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A750B" w14:textId="36DD90C3" w:rsidR="00E203C2" w:rsidRDefault="00E203C2" w:rsidP="007E10DF">
      <w:r>
        <w:rPr>
          <w:noProof/>
          <w:color w:val="2B579A"/>
          <w:shd w:val="clear" w:color="auto" w:fill="E6E6E6"/>
          <w:lang w:eastAsia="en-GB" w:bidi="ar-SA"/>
        </w:rPr>
        <w:drawing>
          <wp:inline distT="0" distB="0" distL="0" distR="0" wp14:anchorId="122FB588" wp14:editId="6D0751AB">
            <wp:extent cx="3488400" cy="612000"/>
            <wp:effectExtent l="0" t="0" r="0" b="0"/>
            <wp:docPr id="3" name="Picture 1"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Logo_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88400" cy="612000"/>
                    </a:xfrm>
                    <a:prstGeom prst="rect">
                      <a:avLst/>
                    </a:prstGeom>
                    <a:noFill/>
                    <a:ln>
                      <a:noFill/>
                    </a:ln>
                  </pic:spPr>
                </pic:pic>
              </a:graphicData>
            </a:graphic>
          </wp:inline>
        </w:drawing>
      </w:r>
    </w:p>
    <w:p w14:paraId="2FD8E81C" w14:textId="77777777" w:rsidR="00E203C2" w:rsidRDefault="00E203C2" w:rsidP="00E203C2"/>
    <w:p w14:paraId="2F4D4E18" w14:textId="3CB96200" w:rsidR="00CA641D" w:rsidRPr="00EE5C87" w:rsidRDefault="4D378C34" w:rsidP="7B867DAA">
      <w:pPr>
        <w:rPr>
          <w:b/>
          <w:bCs/>
          <w:sz w:val="28"/>
          <w:szCs w:val="28"/>
        </w:rPr>
      </w:pPr>
      <w:r w:rsidRPr="00EE5C87">
        <w:rPr>
          <w:b/>
          <w:bCs/>
          <w:sz w:val="28"/>
          <w:szCs w:val="28"/>
        </w:rPr>
        <w:t>6</w:t>
      </w:r>
      <w:r w:rsidR="00CA641D" w:rsidRPr="00EE5C87">
        <w:rPr>
          <w:b/>
          <w:bCs/>
          <w:sz w:val="28"/>
          <w:szCs w:val="28"/>
        </w:rPr>
        <w:t xml:space="preserve"> </w:t>
      </w:r>
      <w:r w:rsidR="002B2677" w:rsidRPr="00EE5C87">
        <w:rPr>
          <w:b/>
          <w:bCs/>
          <w:sz w:val="28"/>
          <w:szCs w:val="28"/>
        </w:rPr>
        <w:t>October</w:t>
      </w:r>
      <w:r w:rsidR="00CA641D" w:rsidRPr="00EE5C87">
        <w:rPr>
          <w:b/>
          <w:bCs/>
          <w:sz w:val="28"/>
          <w:szCs w:val="28"/>
        </w:rPr>
        <w:t xml:space="preserve"> 20</w:t>
      </w:r>
      <w:r w:rsidR="002B2677" w:rsidRPr="00EE5C87">
        <w:rPr>
          <w:b/>
          <w:bCs/>
          <w:sz w:val="28"/>
          <w:szCs w:val="28"/>
        </w:rPr>
        <w:t>22</w:t>
      </w:r>
    </w:p>
    <w:p w14:paraId="43B9B2FB" w14:textId="15C35FBA" w:rsidR="00CA641D" w:rsidRPr="00EE5C87" w:rsidRDefault="00EE5C87" w:rsidP="00CA641D">
      <w:pPr>
        <w:rPr>
          <w:b/>
          <w:sz w:val="28"/>
          <w:szCs w:val="28"/>
        </w:rPr>
      </w:pPr>
      <w:r w:rsidRPr="00EE5C87">
        <w:rPr>
          <w:b/>
          <w:sz w:val="28"/>
          <w:szCs w:val="28"/>
        </w:rPr>
        <w:t>216-22</w:t>
      </w:r>
    </w:p>
    <w:p w14:paraId="46140CDE" w14:textId="77777777" w:rsidR="0057615C" w:rsidRPr="0057615C" w:rsidRDefault="0057615C" w:rsidP="00690206">
      <w:pPr>
        <w:pStyle w:val="FSTitle"/>
        <w:rPr>
          <w:b/>
          <w:sz w:val="22"/>
        </w:rPr>
      </w:pPr>
    </w:p>
    <w:p w14:paraId="0A3E77A5" w14:textId="2ABCB176" w:rsidR="00092CDA" w:rsidRPr="005B7A73" w:rsidRDefault="00092CDA" w:rsidP="00690206">
      <w:pPr>
        <w:pStyle w:val="FSTitle"/>
        <w:rPr>
          <w:b/>
        </w:rPr>
      </w:pPr>
      <w:r w:rsidRPr="005B7A73">
        <w:rPr>
          <w:b/>
        </w:rPr>
        <w:t>S</w:t>
      </w:r>
      <w:r w:rsidR="00B12F1E" w:rsidRPr="005B7A73">
        <w:rPr>
          <w:b/>
        </w:rPr>
        <w:t>upporting document</w:t>
      </w:r>
      <w:r w:rsidRPr="005B7A73">
        <w:rPr>
          <w:b/>
        </w:rPr>
        <w:t xml:space="preserve"> </w:t>
      </w:r>
      <w:r w:rsidR="009B267C" w:rsidRPr="009B267C">
        <w:rPr>
          <w:b/>
        </w:rPr>
        <w:t>1</w:t>
      </w:r>
    </w:p>
    <w:p w14:paraId="1980A400" w14:textId="77777777" w:rsidR="00BA24E2" w:rsidRDefault="00BA24E2" w:rsidP="00E203C2"/>
    <w:p w14:paraId="77204A2C" w14:textId="3F6EAC83" w:rsidR="00D056F1" w:rsidRPr="009B267C" w:rsidRDefault="00320839" w:rsidP="00690206">
      <w:pPr>
        <w:pStyle w:val="FSTitle"/>
      </w:pPr>
      <w:r w:rsidRPr="009B267C">
        <w:t>Risk</w:t>
      </w:r>
      <w:r w:rsidR="5C9F0811">
        <w:t xml:space="preserve">, </w:t>
      </w:r>
      <w:r w:rsidR="00444225">
        <w:t>b</w:t>
      </w:r>
      <w:r w:rsidR="5C9F0811">
        <w:t>enefit</w:t>
      </w:r>
      <w:r w:rsidRPr="009B267C">
        <w:t xml:space="preserve"> </w:t>
      </w:r>
      <w:r w:rsidR="009B267C" w:rsidRPr="009B267C">
        <w:t xml:space="preserve">and </w:t>
      </w:r>
      <w:r w:rsidR="00444225">
        <w:t>t</w:t>
      </w:r>
      <w:r w:rsidR="009B267C">
        <w:t>echnical</w:t>
      </w:r>
      <w:r w:rsidR="009B267C" w:rsidRPr="009B267C">
        <w:t xml:space="preserve"> </w:t>
      </w:r>
      <w:r w:rsidRPr="009B267C">
        <w:t>assessment</w:t>
      </w:r>
      <w:r w:rsidR="006B5EBE" w:rsidRPr="009B267C">
        <w:t xml:space="preserve"> – </w:t>
      </w:r>
      <w:r w:rsidR="00D056F1" w:rsidRPr="009B267C">
        <w:t>A</w:t>
      </w:r>
      <w:r w:rsidR="00B12F1E" w:rsidRPr="009B267C">
        <w:t>pplication</w:t>
      </w:r>
      <w:r w:rsidR="00D056F1" w:rsidRPr="009B267C">
        <w:t xml:space="preserve"> A</w:t>
      </w:r>
      <w:r w:rsidR="009B267C" w:rsidRPr="009B267C">
        <w:t>1253</w:t>
      </w:r>
    </w:p>
    <w:p w14:paraId="2CCA6057" w14:textId="77777777" w:rsidR="00E203C2" w:rsidRPr="009B267C" w:rsidRDefault="00E203C2" w:rsidP="00690206"/>
    <w:p w14:paraId="6ADEA1E0" w14:textId="629E31F9" w:rsidR="00D056F1" w:rsidRPr="009B267C" w:rsidRDefault="009B267C" w:rsidP="00690206">
      <w:pPr>
        <w:pStyle w:val="FSTitle"/>
      </w:pPr>
      <w:r w:rsidRPr="009B267C">
        <w:t>A1253 – Bovine lactoferrin in infant formula products</w:t>
      </w:r>
    </w:p>
    <w:p w14:paraId="79F4F805" w14:textId="77777777" w:rsidR="00E203C2" w:rsidRPr="00B37BF0" w:rsidRDefault="00E203C2" w:rsidP="00E203C2">
      <w:pPr>
        <w:pBdr>
          <w:bottom w:val="single" w:sz="12" w:space="1" w:color="auto"/>
        </w:pBdr>
        <w:spacing w:line="280" w:lineRule="exact"/>
        <w:rPr>
          <w:rFonts w:cs="Arial"/>
          <w:bCs/>
        </w:rPr>
      </w:pPr>
    </w:p>
    <w:p w14:paraId="1EA781CE" w14:textId="77777777" w:rsidR="00092CDA" w:rsidRPr="00092CDA" w:rsidRDefault="00092CDA" w:rsidP="00352CF2">
      <w:pPr>
        <w:pStyle w:val="Heading1"/>
        <w:spacing w:before="0"/>
      </w:pPr>
      <w:bookmarkStart w:id="0" w:name="_Toc286391001"/>
      <w:bookmarkStart w:id="1" w:name="_Toc300933414"/>
      <w:bookmarkStart w:id="2" w:name="_Toc111626673"/>
      <w:bookmarkStart w:id="3" w:name="_Toc112914983"/>
      <w:bookmarkStart w:id="4" w:name="_Toc113523030"/>
      <w:r w:rsidRPr="00092CDA">
        <w:t xml:space="preserve">Executive </w:t>
      </w:r>
      <w:r w:rsidR="00B12F1E">
        <w:t>s</w:t>
      </w:r>
      <w:r w:rsidRPr="00092CDA">
        <w:t>ummary</w:t>
      </w:r>
      <w:bookmarkEnd w:id="0"/>
      <w:bookmarkEnd w:id="1"/>
      <w:bookmarkEnd w:id="2"/>
      <w:bookmarkEnd w:id="3"/>
      <w:bookmarkEnd w:id="4"/>
    </w:p>
    <w:p w14:paraId="72004899" w14:textId="3623D904" w:rsidR="007522AA" w:rsidRDefault="7B283907" w:rsidP="007522AA">
      <w:r>
        <w:t>Food Standards Australia New Zealand (</w:t>
      </w:r>
      <w:r w:rsidR="53559205">
        <w:t>FSANZ</w:t>
      </w:r>
      <w:r w:rsidR="2D91F0E7">
        <w:t>)</w:t>
      </w:r>
      <w:r w:rsidR="53559205">
        <w:t xml:space="preserve"> has assessed an </w:t>
      </w:r>
      <w:r w:rsidR="00BB0ADD">
        <w:t>Application</w:t>
      </w:r>
      <w:r w:rsidR="53559205">
        <w:t xml:space="preserve"> from </w:t>
      </w:r>
      <w:proofErr w:type="spellStart"/>
      <w:r w:rsidR="53559205">
        <w:t>Synlait</w:t>
      </w:r>
      <w:proofErr w:type="spellEnd"/>
      <w:r w:rsidR="53559205">
        <w:t xml:space="preserve"> Milk Ltd</w:t>
      </w:r>
      <w:r w:rsidR="143488FF">
        <w:t>.</w:t>
      </w:r>
      <w:r w:rsidR="53559205">
        <w:t xml:space="preserve"> (</w:t>
      </w:r>
      <w:r w:rsidR="331013A0">
        <w:t>the Applicant</w:t>
      </w:r>
      <w:r w:rsidR="53559205">
        <w:t>) to amend the Australia New Zealand Food Standards Code (the Code) to permit the voluntary addition of bovine lactoferrin (</w:t>
      </w:r>
      <w:proofErr w:type="spellStart"/>
      <w:r w:rsidR="53559205">
        <w:t>bLf</w:t>
      </w:r>
      <w:proofErr w:type="spellEnd"/>
      <w:r w:rsidR="53559205">
        <w:t>) as a nutritive substance to infant formula products (IFP).</w:t>
      </w:r>
    </w:p>
    <w:p w14:paraId="6B3A1670" w14:textId="77777777" w:rsidR="007522AA" w:rsidRDefault="007522AA" w:rsidP="007522AA"/>
    <w:p w14:paraId="2E7BA5C6" w14:textId="0902B102" w:rsidR="007522AA" w:rsidRDefault="4AC1DE88" w:rsidP="007522AA">
      <w:r>
        <w:t xml:space="preserve">The </w:t>
      </w:r>
      <w:r w:rsidR="4473AA50">
        <w:t>Applicant</w:t>
      </w:r>
      <w:r>
        <w:t xml:space="preserve"> is proposing to add </w:t>
      </w:r>
      <w:proofErr w:type="spellStart"/>
      <w:r>
        <w:t>bLf</w:t>
      </w:r>
      <w:proofErr w:type="spellEnd"/>
      <w:r>
        <w:t xml:space="preserve"> to infant formula, follow-on formula and infant formula for special dietary </w:t>
      </w:r>
      <w:r w:rsidR="4B5BB87F">
        <w:t>use</w:t>
      </w:r>
      <w:r>
        <w:t xml:space="preserve"> up to a maximum </w:t>
      </w:r>
      <w:r w:rsidR="794403DF">
        <w:t>permitted amount</w:t>
      </w:r>
      <w:r>
        <w:t xml:space="preserve"> of 40 mg/100 kJ</w:t>
      </w:r>
      <w:r w:rsidR="48749F2F">
        <w:t xml:space="preserve">, equivalent to </w:t>
      </w:r>
      <w:r w:rsidR="0CB7AB8E" w:rsidRPr="361BBD9E">
        <w:rPr>
          <w:rFonts w:cs="Arial"/>
        </w:rPr>
        <w:t>~</w:t>
      </w:r>
      <w:r w:rsidR="0CB7AB8E">
        <w:t xml:space="preserve"> </w:t>
      </w:r>
      <w:r w:rsidR="48749F2F">
        <w:t>1 g/L</w:t>
      </w:r>
      <w:r w:rsidR="43F8365C">
        <w:t>.</w:t>
      </w:r>
      <w:r>
        <w:t xml:space="preserve"> The </w:t>
      </w:r>
      <w:r w:rsidR="66CE8DA3">
        <w:t xml:space="preserve">Application </w:t>
      </w:r>
      <w:r>
        <w:t>state</w:t>
      </w:r>
      <w:r w:rsidR="219D6470">
        <w:t>s the</w:t>
      </w:r>
      <w:r>
        <w:t xml:space="preserve"> purpose for adding </w:t>
      </w:r>
      <w:proofErr w:type="spellStart"/>
      <w:r>
        <w:t>bLf</w:t>
      </w:r>
      <w:proofErr w:type="spellEnd"/>
      <w:r>
        <w:t xml:space="preserve"> to IFP is to more closely reflect the lactoferrin</w:t>
      </w:r>
      <w:r w:rsidR="2B323CE3">
        <w:t xml:space="preserve"> (</w:t>
      </w:r>
      <w:proofErr w:type="spellStart"/>
      <w:r w:rsidR="2B323CE3">
        <w:t>Lf</w:t>
      </w:r>
      <w:proofErr w:type="spellEnd"/>
      <w:r w:rsidR="2B323CE3">
        <w:t>)</w:t>
      </w:r>
      <w:r>
        <w:t xml:space="preserve"> content in human milk, and to provide a reduced risk of infection in formula-fed infants compared with those receiving standard IFP not fortified with</w:t>
      </w:r>
      <w:r w:rsidR="2055BF76">
        <w:t xml:space="preserve"> </w:t>
      </w:r>
      <w:proofErr w:type="spellStart"/>
      <w:r>
        <w:t>bLf</w:t>
      </w:r>
      <w:proofErr w:type="spellEnd"/>
      <w:r>
        <w:t>.</w:t>
      </w:r>
    </w:p>
    <w:p w14:paraId="68316E00" w14:textId="1DBD67DE" w:rsidR="007522AA" w:rsidRDefault="007522AA" w:rsidP="00690206"/>
    <w:p w14:paraId="6F089123" w14:textId="5B47C6D1" w:rsidR="007522AA" w:rsidRPr="00E315F3" w:rsidRDefault="007522AA" w:rsidP="007522AA">
      <w:r>
        <w:t>FSANZ has undertaken an assessment of the food technology aspects, safety, nutritional</w:t>
      </w:r>
      <w:r w:rsidR="000F663B">
        <w:t xml:space="preserve"> </w:t>
      </w:r>
      <w:r>
        <w:t xml:space="preserve">impact and beneficial health effects of the addition of </w:t>
      </w:r>
      <w:proofErr w:type="spellStart"/>
      <w:r>
        <w:t>bLf</w:t>
      </w:r>
      <w:proofErr w:type="spellEnd"/>
      <w:r>
        <w:t xml:space="preserve"> to IFP. </w:t>
      </w:r>
    </w:p>
    <w:p w14:paraId="36B4E7DF" w14:textId="77777777" w:rsidR="007522AA" w:rsidRDefault="007522AA" w:rsidP="007522AA">
      <w:pPr>
        <w:widowControl/>
        <w:rPr>
          <w:rFonts w:cs="Arial"/>
          <w:szCs w:val="22"/>
          <w:lang w:val="en-AU" w:bidi="ar-SA"/>
        </w:rPr>
      </w:pPr>
    </w:p>
    <w:p w14:paraId="55302F1A" w14:textId="5F7E2930" w:rsidR="007522AA" w:rsidRDefault="007522AA" w:rsidP="361BBD9E">
      <w:pPr>
        <w:rPr>
          <w:szCs w:val="22"/>
        </w:rPr>
      </w:pPr>
      <w:proofErr w:type="spellStart"/>
      <w:r w:rsidRPr="361BBD9E">
        <w:rPr>
          <w:rFonts w:cs="Arial"/>
          <w:lang w:val="en-AU" w:bidi="ar-SA"/>
        </w:rPr>
        <w:t>bLf</w:t>
      </w:r>
      <w:proofErr w:type="spellEnd"/>
      <w:r w:rsidRPr="361BBD9E">
        <w:rPr>
          <w:rFonts w:cs="Arial"/>
          <w:lang w:val="en-AU" w:bidi="ar-SA"/>
        </w:rPr>
        <w:t xml:space="preserve"> is a protein naturally present at low levels in cow’s milk. It shares 69% amino acid sequence homology with</w:t>
      </w:r>
      <w:r w:rsidR="00CF7EAD" w:rsidRPr="361BBD9E">
        <w:rPr>
          <w:rFonts w:cs="Arial"/>
          <w:lang w:val="en-AU" w:bidi="ar-SA"/>
        </w:rPr>
        <w:t xml:space="preserve"> human lactoferrin (</w:t>
      </w:r>
      <w:proofErr w:type="spellStart"/>
      <w:r w:rsidRPr="361BBD9E">
        <w:rPr>
          <w:rFonts w:cs="Arial"/>
          <w:lang w:val="en-AU" w:bidi="ar-SA"/>
        </w:rPr>
        <w:t>hLf</w:t>
      </w:r>
      <w:proofErr w:type="spellEnd"/>
      <w:r w:rsidR="00CF7EAD" w:rsidRPr="361BBD9E">
        <w:rPr>
          <w:rFonts w:cs="Arial"/>
          <w:lang w:val="en-AU" w:bidi="ar-SA"/>
        </w:rPr>
        <w:t>)</w:t>
      </w:r>
      <w:r w:rsidRPr="361BBD9E">
        <w:rPr>
          <w:rFonts w:cs="Arial"/>
          <w:lang w:val="en-AU" w:bidi="ar-SA"/>
        </w:rPr>
        <w:t xml:space="preserve">, found in human milk. Information reviewed in the food technology assessment </w:t>
      </w:r>
      <w:r w:rsidRPr="361BBD9E">
        <w:rPr>
          <w:lang w:eastAsia="en-AU" w:bidi="ar-SA"/>
        </w:rPr>
        <w:t xml:space="preserve">demonstrates that </w:t>
      </w:r>
      <w:proofErr w:type="spellStart"/>
      <w:r w:rsidRPr="361BBD9E">
        <w:rPr>
          <w:lang w:eastAsia="en-AU" w:bidi="ar-SA"/>
        </w:rPr>
        <w:t>bLf</w:t>
      </w:r>
      <w:proofErr w:type="spellEnd"/>
      <w:r w:rsidRPr="361BBD9E">
        <w:rPr>
          <w:lang w:bidi="ar-SA"/>
        </w:rPr>
        <w:t xml:space="preserve"> is sufficiently characterised, and confirms its stability in IFP. </w:t>
      </w:r>
      <w:r w:rsidR="1F0C865A" w:rsidRPr="361BBD9E">
        <w:rPr>
          <w:rFonts w:eastAsia="Arial" w:cs="Arial"/>
          <w:szCs w:val="22"/>
        </w:rPr>
        <w:t xml:space="preserve">Identity and purity specifications specifically related to </w:t>
      </w:r>
      <w:proofErr w:type="spellStart"/>
      <w:r w:rsidR="1F0C865A" w:rsidRPr="361BBD9E">
        <w:rPr>
          <w:rFonts w:eastAsia="Arial" w:cs="Arial"/>
          <w:szCs w:val="22"/>
        </w:rPr>
        <w:t>bLf</w:t>
      </w:r>
      <w:proofErr w:type="spellEnd"/>
      <w:r w:rsidR="1F0C865A" w:rsidRPr="361BBD9E">
        <w:rPr>
          <w:rFonts w:eastAsia="Arial" w:cs="Arial"/>
          <w:szCs w:val="22"/>
        </w:rPr>
        <w:t xml:space="preserve"> have been proposed for inclusion in Schedule 3 of the Code, with which </w:t>
      </w:r>
      <w:proofErr w:type="spellStart"/>
      <w:r w:rsidR="1F0C865A" w:rsidRPr="361BBD9E">
        <w:rPr>
          <w:rFonts w:eastAsia="Arial" w:cs="Arial"/>
          <w:szCs w:val="22"/>
        </w:rPr>
        <w:t>bLf</w:t>
      </w:r>
      <w:proofErr w:type="spellEnd"/>
      <w:r w:rsidR="1F0C865A" w:rsidRPr="361BBD9E">
        <w:rPr>
          <w:rFonts w:eastAsia="Arial" w:cs="Arial"/>
          <w:szCs w:val="22"/>
        </w:rPr>
        <w:t xml:space="preserve"> would have to comply.</w:t>
      </w:r>
    </w:p>
    <w:p w14:paraId="348BD129" w14:textId="77777777" w:rsidR="007522AA" w:rsidRDefault="007522AA" w:rsidP="007522AA">
      <w:pPr>
        <w:rPr>
          <w:lang w:bidi="ar-SA"/>
        </w:rPr>
      </w:pPr>
    </w:p>
    <w:p w14:paraId="72E3EE21" w14:textId="2F40775C" w:rsidR="007522AA" w:rsidRDefault="0EB27FBB" w:rsidP="007522AA">
      <w:pPr>
        <w:rPr>
          <w:lang w:bidi="ar-SA"/>
        </w:rPr>
      </w:pPr>
      <w:r w:rsidRPr="0739B08B">
        <w:rPr>
          <w:lang w:bidi="ar-SA"/>
        </w:rPr>
        <w:t xml:space="preserve">The safety assessment concluded there are no toxicological safety concerns from the addition of </w:t>
      </w:r>
      <w:proofErr w:type="spellStart"/>
      <w:r w:rsidRPr="0739B08B">
        <w:rPr>
          <w:lang w:bidi="ar-SA"/>
        </w:rPr>
        <w:t>bLf</w:t>
      </w:r>
      <w:proofErr w:type="spellEnd"/>
      <w:r w:rsidRPr="0739B08B">
        <w:rPr>
          <w:lang w:bidi="ar-SA"/>
        </w:rPr>
        <w:t xml:space="preserve"> to IFP at the proposed concentrations. </w:t>
      </w:r>
    </w:p>
    <w:p w14:paraId="2D3358D5" w14:textId="77777777" w:rsidR="007522AA" w:rsidRDefault="007522AA" w:rsidP="007522AA">
      <w:pPr>
        <w:rPr>
          <w:lang w:bidi="ar-SA"/>
        </w:rPr>
      </w:pPr>
    </w:p>
    <w:p w14:paraId="25E3AC23" w14:textId="77777777" w:rsidR="007522AA" w:rsidRDefault="007522AA" w:rsidP="007522AA">
      <w:proofErr w:type="spellStart"/>
      <w:r>
        <w:t>bLf</w:t>
      </w:r>
      <w:proofErr w:type="spellEnd"/>
      <w:r>
        <w:t xml:space="preserve"> is subject to partial hydrolysis in the stomach and small intestine, but a proportion resists digestion and is excreted in the faeces. Some fragments produced by partial hydrolysis also resist further digestion and are excreted in the faeces. In addition, a small proportion of intact </w:t>
      </w:r>
      <w:proofErr w:type="spellStart"/>
      <w:r>
        <w:t>bLf</w:t>
      </w:r>
      <w:proofErr w:type="spellEnd"/>
      <w:r>
        <w:t xml:space="preserve"> and its fragments is absorbed into the systemic circulation and excreted via the urine. </w:t>
      </w:r>
    </w:p>
    <w:p w14:paraId="2A4F7C81" w14:textId="77777777" w:rsidR="007522AA" w:rsidRDefault="007522AA" w:rsidP="007522AA"/>
    <w:p w14:paraId="466826C5" w14:textId="77777777" w:rsidR="007522AA" w:rsidRDefault="007522AA" w:rsidP="007522AA">
      <w:proofErr w:type="spellStart"/>
      <w:r>
        <w:t>bLf</w:t>
      </w:r>
      <w:proofErr w:type="spellEnd"/>
      <w:r>
        <w:t xml:space="preserve"> is of low acute toxicity, with no adverse effects observed following oral administration to rats up to 2000 mg/kg </w:t>
      </w:r>
      <w:proofErr w:type="spellStart"/>
      <w:r>
        <w:t>bw</w:t>
      </w:r>
      <w:proofErr w:type="spellEnd"/>
      <w:r>
        <w:t xml:space="preserve">. It was not mutagenic </w:t>
      </w:r>
      <w:r w:rsidRPr="004A5C94">
        <w:rPr>
          <w:i/>
        </w:rPr>
        <w:t>in vitro</w:t>
      </w:r>
      <w:r>
        <w:t xml:space="preserve">. No adverse effects were observed in a 13-week oral gavage toxicity study in rats at doses up to 2000 mg/kg </w:t>
      </w:r>
      <w:proofErr w:type="spellStart"/>
      <w:r>
        <w:t>bw</w:t>
      </w:r>
      <w:proofErr w:type="spellEnd"/>
      <w:r>
        <w:t xml:space="preserve">/day, the highest dose tested. </w:t>
      </w:r>
    </w:p>
    <w:p w14:paraId="24A43F77" w14:textId="77777777" w:rsidR="007522AA" w:rsidRDefault="007522AA" w:rsidP="007522AA"/>
    <w:p w14:paraId="4C238149" w14:textId="652614DB" w:rsidR="007522AA" w:rsidRDefault="007522AA" w:rsidP="007522AA">
      <w:r>
        <w:t xml:space="preserve">No adverse effects of </w:t>
      </w:r>
      <w:proofErr w:type="spellStart"/>
      <w:r>
        <w:t>bLf</w:t>
      </w:r>
      <w:proofErr w:type="spellEnd"/>
      <w:r>
        <w:t xml:space="preserve"> have been reported in multiple intervention studies in infants, including the highly vulnerable group of preterm and very low birth weight infants. </w:t>
      </w:r>
      <w:proofErr w:type="spellStart"/>
      <w:r w:rsidR="00056D05">
        <w:t>bLf</w:t>
      </w:r>
      <w:proofErr w:type="spellEnd"/>
      <w:r w:rsidR="00056D05">
        <w:t xml:space="preserve"> c</w:t>
      </w:r>
      <w:r w:rsidR="00AB38FC">
        <w:t xml:space="preserve">oncentrations up to </w:t>
      </w:r>
      <w:r w:rsidR="00B402A5">
        <w:t xml:space="preserve">1000 </w:t>
      </w:r>
      <w:r w:rsidR="00916ECC">
        <w:t>mg/L</w:t>
      </w:r>
      <w:r w:rsidR="00133D52">
        <w:t xml:space="preserve"> formula</w:t>
      </w:r>
      <w:r w:rsidR="00916ECC">
        <w:t xml:space="preserve"> </w:t>
      </w:r>
      <w:r w:rsidR="00FD4599">
        <w:t xml:space="preserve">were tested in the studies in term infants while </w:t>
      </w:r>
      <w:r w:rsidR="0018083E">
        <w:t xml:space="preserve">the </w:t>
      </w:r>
      <w:r w:rsidR="0018083E">
        <w:lastRenderedPageBreak/>
        <w:t xml:space="preserve">doses tested in preterm and very low birth </w:t>
      </w:r>
      <w:r w:rsidR="00FF4991">
        <w:t>weight infants</w:t>
      </w:r>
      <w:r w:rsidR="00CD4637">
        <w:t xml:space="preserve"> ranged from 100 – 300 mg/kg </w:t>
      </w:r>
      <w:proofErr w:type="spellStart"/>
      <w:r w:rsidR="00CD4637">
        <w:t>bw</w:t>
      </w:r>
      <w:proofErr w:type="spellEnd"/>
      <w:r w:rsidR="00CD4637">
        <w:t>/day</w:t>
      </w:r>
      <w:r w:rsidR="00D32D3F">
        <w:t>. These doses</w:t>
      </w:r>
      <w:r w:rsidR="00FF4991">
        <w:t xml:space="preserve"> were estimated as being equivalent to </w:t>
      </w:r>
      <w:proofErr w:type="spellStart"/>
      <w:r w:rsidR="00133D52">
        <w:t>bLf</w:t>
      </w:r>
      <w:proofErr w:type="spellEnd"/>
      <w:r w:rsidR="00133D52">
        <w:t xml:space="preserve"> </w:t>
      </w:r>
      <w:r w:rsidR="0023186F">
        <w:t xml:space="preserve">concentrations ranging from </w:t>
      </w:r>
      <w:r w:rsidR="00133D52">
        <w:t xml:space="preserve">370 – </w:t>
      </w:r>
      <w:r w:rsidR="001A5B4A">
        <w:t>3704</w:t>
      </w:r>
      <w:r w:rsidR="00133D52">
        <w:t xml:space="preserve"> mg/L.</w:t>
      </w:r>
    </w:p>
    <w:p w14:paraId="0923AB2F" w14:textId="77777777" w:rsidR="007522AA" w:rsidRDefault="007522AA" w:rsidP="007522AA"/>
    <w:p w14:paraId="7579D73E" w14:textId="5C0FEE88" w:rsidR="2F7B2179" w:rsidRDefault="2F7B2179">
      <w:r w:rsidRPr="361BBD9E">
        <w:rPr>
          <w:rFonts w:eastAsia="Arial" w:cs="Arial"/>
          <w:szCs w:val="22"/>
        </w:rPr>
        <w:t xml:space="preserve">The first </w:t>
      </w:r>
      <w:proofErr w:type="spellStart"/>
      <w:r w:rsidRPr="361BBD9E">
        <w:rPr>
          <w:rFonts w:eastAsia="Arial" w:cs="Arial"/>
          <w:szCs w:val="22"/>
        </w:rPr>
        <w:t>bLf</w:t>
      </w:r>
      <w:proofErr w:type="spellEnd"/>
      <w:r w:rsidRPr="361BBD9E">
        <w:rPr>
          <w:rFonts w:eastAsia="Arial" w:cs="Arial"/>
          <w:szCs w:val="22"/>
        </w:rPr>
        <w:t xml:space="preserve">-fortified IFP were released for sale overseas in 1986 and to the best of FSANZ’s knowledge there have been no adverse events related to consumption of these products in markets where they are available. The Applicant has also indicated that its post-marketing surveillance overseas, and that of international formula brand owners it supplies, has not identified any complaints or adverse events related to the addition of </w:t>
      </w:r>
      <w:proofErr w:type="spellStart"/>
      <w:r w:rsidRPr="361BBD9E">
        <w:rPr>
          <w:rFonts w:eastAsia="Arial" w:cs="Arial"/>
          <w:szCs w:val="22"/>
        </w:rPr>
        <w:t>bLf</w:t>
      </w:r>
      <w:proofErr w:type="spellEnd"/>
      <w:r w:rsidRPr="361BBD9E">
        <w:rPr>
          <w:rFonts w:eastAsia="Arial" w:cs="Arial"/>
          <w:szCs w:val="22"/>
        </w:rPr>
        <w:t>.</w:t>
      </w:r>
    </w:p>
    <w:p w14:paraId="770CF887" w14:textId="77777777" w:rsidR="007522AA" w:rsidRDefault="007522AA" w:rsidP="007522AA"/>
    <w:p w14:paraId="47A75ABD" w14:textId="06B0E943" w:rsidR="007522AA" w:rsidRDefault="22509B90" w:rsidP="007522AA">
      <w:r>
        <w:t xml:space="preserve">Based on the maximum permitted </w:t>
      </w:r>
      <w:r w:rsidR="7C5FA41A">
        <w:t>amount</w:t>
      </w:r>
      <w:r>
        <w:t xml:space="preserve"> proposed by the Applicant, the estimated mean and </w:t>
      </w:r>
      <w:r w:rsidR="4B02B62B">
        <w:t>90</w:t>
      </w:r>
      <w:r w:rsidR="605C0C41" w:rsidRPr="7079DBC3">
        <w:rPr>
          <w:vertAlign w:val="superscript"/>
        </w:rPr>
        <w:t>th</w:t>
      </w:r>
      <w:r w:rsidR="605C0C41">
        <w:t xml:space="preserve"> </w:t>
      </w:r>
      <w:r w:rsidR="4B02B62B">
        <w:t>percentile (</w:t>
      </w:r>
      <w:r>
        <w:t>P90</w:t>
      </w:r>
      <w:r w:rsidR="4B02B62B">
        <w:t>)</w:t>
      </w:r>
      <w:r>
        <w:t xml:space="preserve"> intakes of </w:t>
      </w:r>
      <w:proofErr w:type="spellStart"/>
      <w:r>
        <w:t>bLf</w:t>
      </w:r>
      <w:proofErr w:type="spellEnd"/>
      <w:r>
        <w:t xml:space="preserve"> from infant formula and follow-on formula range between </w:t>
      </w:r>
      <w:r w:rsidR="1F1E2F00">
        <w:t>0.59</w:t>
      </w:r>
      <w:r>
        <w:t xml:space="preserve"> and </w:t>
      </w:r>
      <w:r w:rsidR="1F1E2F00">
        <w:t>1.8</w:t>
      </w:r>
      <w:r>
        <w:t> g/day (</w:t>
      </w:r>
      <w:r w:rsidR="3671EDBC">
        <w:t>equ</w:t>
      </w:r>
      <w:r w:rsidR="51090AD5">
        <w:t>ivalent</w:t>
      </w:r>
      <w:r>
        <w:t xml:space="preserve"> to </w:t>
      </w:r>
      <w:r w:rsidR="1F1E2F00">
        <w:t>70</w:t>
      </w:r>
      <w:r w:rsidR="4B02B62B">
        <w:t xml:space="preserve"> </w:t>
      </w:r>
      <w:r>
        <w:t>– 27</w:t>
      </w:r>
      <w:r w:rsidR="7B7D7EED">
        <w:t>0</w:t>
      </w:r>
      <w:r>
        <w:t xml:space="preserve"> mg/kg </w:t>
      </w:r>
      <w:proofErr w:type="spellStart"/>
      <w:r>
        <w:t>bw</w:t>
      </w:r>
      <w:proofErr w:type="spellEnd"/>
      <w:r>
        <w:t>/day</w:t>
      </w:r>
      <w:r w:rsidR="2650CAF4">
        <w:t>).</w:t>
      </w:r>
      <w:r>
        <w:t xml:space="preserve"> These intakes are less than the estimated mean and P90 intakes of </w:t>
      </w:r>
      <w:proofErr w:type="spellStart"/>
      <w:r>
        <w:t>hLf</w:t>
      </w:r>
      <w:proofErr w:type="spellEnd"/>
      <w:r>
        <w:t xml:space="preserve"> from human milk of </w:t>
      </w:r>
      <w:r w:rsidR="7B7D7EED">
        <w:t>0.7</w:t>
      </w:r>
      <w:r>
        <w:t xml:space="preserve"> to </w:t>
      </w:r>
      <w:r w:rsidR="7B7D7EED">
        <w:t>5.0</w:t>
      </w:r>
      <w:r w:rsidR="4B02B62B">
        <w:t> </w:t>
      </w:r>
      <w:r>
        <w:t xml:space="preserve">g/day, and </w:t>
      </w:r>
      <w:r w:rsidRPr="7079DBC3">
        <w:rPr>
          <w:rFonts w:cs="Arial"/>
        </w:rPr>
        <w:t xml:space="preserve">approximately </w:t>
      </w:r>
      <w:r>
        <w:t>10 – 30</w:t>
      </w:r>
      <w:r w:rsidR="453EE748" w:rsidRPr="7079DBC3">
        <w:rPr>
          <w:rStyle w:val="CommentReference"/>
          <w:sz w:val="22"/>
          <w:szCs w:val="22"/>
        </w:rPr>
        <w:t>-f</w:t>
      </w:r>
      <w:r>
        <w:t xml:space="preserve">old lower than the </w:t>
      </w:r>
      <w:r w:rsidR="453EE748">
        <w:t xml:space="preserve">no observed adverse effect level </w:t>
      </w:r>
      <w:r w:rsidR="6C6039F0">
        <w:t xml:space="preserve">of 2000 mg/kg </w:t>
      </w:r>
      <w:proofErr w:type="spellStart"/>
      <w:r w:rsidR="6C6039F0">
        <w:t>bw</w:t>
      </w:r>
      <w:proofErr w:type="spellEnd"/>
      <w:r w:rsidR="6C6039F0">
        <w:t>/day</w:t>
      </w:r>
      <w:r w:rsidR="74470A01">
        <w:t xml:space="preserve"> </w:t>
      </w:r>
      <w:r w:rsidR="453EE748">
        <w:t>from the 13-</w:t>
      </w:r>
      <w:r>
        <w:t xml:space="preserve">week toxicity study of </w:t>
      </w:r>
      <w:proofErr w:type="spellStart"/>
      <w:r>
        <w:t>bLf</w:t>
      </w:r>
      <w:proofErr w:type="spellEnd"/>
      <w:r>
        <w:t xml:space="preserve"> in rats. </w:t>
      </w:r>
    </w:p>
    <w:p w14:paraId="7A50DCB3" w14:textId="24A03FFD" w:rsidR="007522AA" w:rsidRDefault="007522AA" w:rsidP="29A90341">
      <w:pPr>
        <w:widowControl/>
        <w:rPr>
          <w:szCs w:val="22"/>
          <w:lang w:val="en-AU" w:eastAsia="en-AU" w:bidi="ar-SA"/>
        </w:rPr>
      </w:pPr>
    </w:p>
    <w:p w14:paraId="0B2FA947" w14:textId="5013DB4B" w:rsidR="007522AA" w:rsidRDefault="00F01BDF" w:rsidP="361BBD9E">
      <w:pPr>
        <w:rPr>
          <w:lang w:bidi="ar-SA"/>
        </w:rPr>
      </w:pPr>
      <w:proofErr w:type="spellStart"/>
      <w:r>
        <w:t>bLf</w:t>
      </w:r>
      <w:proofErr w:type="spellEnd"/>
      <w:r>
        <w:t xml:space="preserve"> is derived from</w:t>
      </w:r>
      <w:r w:rsidR="007522AA">
        <w:t xml:space="preserve"> cow’s milk </w:t>
      </w:r>
      <w:r>
        <w:t>which is a major</w:t>
      </w:r>
      <w:r w:rsidR="007522AA">
        <w:t xml:space="preserve"> food </w:t>
      </w:r>
      <w:r>
        <w:t>allergen</w:t>
      </w:r>
      <w:r w:rsidR="007522AA">
        <w:t>. Some individuals with cow’s milk allergy have</w:t>
      </w:r>
      <w:r w:rsidR="1DA4B4A7">
        <w:t xml:space="preserve"> immunoglobulin E</w:t>
      </w:r>
      <w:r w:rsidR="007522AA">
        <w:t xml:space="preserve"> </w:t>
      </w:r>
      <w:r w:rsidR="32231DFC">
        <w:t>(</w:t>
      </w:r>
      <w:proofErr w:type="spellStart"/>
      <w:r w:rsidR="007522AA">
        <w:t>IgE</w:t>
      </w:r>
      <w:proofErr w:type="spellEnd"/>
      <w:r w:rsidR="51E7D0FD">
        <w:t>)</w:t>
      </w:r>
      <w:r w:rsidR="007522AA">
        <w:t xml:space="preserve"> antibodies to </w:t>
      </w:r>
      <w:proofErr w:type="spellStart"/>
      <w:r w:rsidR="007522AA">
        <w:t>bLf</w:t>
      </w:r>
      <w:proofErr w:type="spellEnd"/>
      <w:r w:rsidR="00814F13">
        <w:t xml:space="preserve"> indicating sensitisation</w:t>
      </w:r>
      <w:r w:rsidR="007522AA">
        <w:t xml:space="preserve">, but the clinical significance of this has not been confirmed and </w:t>
      </w:r>
      <w:proofErr w:type="spellStart"/>
      <w:r w:rsidR="007522AA">
        <w:t>bLf</w:t>
      </w:r>
      <w:proofErr w:type="spellEnd"/>
      <w:r w:rsidR="007522AA">
        <w:t xml:space="preserve"> is not currently listed as a cow’s milk allergen by the </w:t>
      </w:r>
      <w:r w:rsidR="01977C83" w:rsidRPr="361BBD9E">
        <w:rPr>
          <w:rFonts w:eastAsia="Arial" w:cs="Arial"/>
          <w:szCs w:val="22"/>
        </w:rPr>
        <w:t>World Health Organisation and International Union of Immunological Societies (WHO/IUIS)</w:t>
      </w:r>
      <w:r w:rsidR="007522AA">
        <w:t xml:space="preserve">. </w:t>
      </w:r>
      <w:r w:rsidR="00E20563">
        <w:t xml:space="preserve">The limited available evidence </w:t>
      </w:r>
      <w:r w:rsidR="00AE69D1">
        <w:t xml:space="preserve">however </w:t>
      </w:r>
      <w:r w:rsidR="00E20563">
        <w:t xml:space="preserve">is insufficient to conclude that </w:t>
      </w:r>
      <w:proofErr w:type="spellStart"/>
      <w:r w:rsidR="00E20563">
        <w:t>bLf</w:t>
      </w:r>
      <w:proofErr w:type="spellEnd"/>
      <w:r w:rsidR="00E20563">
        <w:t xml:space="preserve"> does not pose a food allergy risk to consumers with cow’s milk allergy.</w:t>
      </w:r>
    </w:p>
    <w:p w14:paraId="3E7DD226" w14:textId="77777777" w:rsidR="007522AA" w:rsidRDefault="007522AA" w:rsidP="007522AA">
      <w:pPr>
        <w:rPr>
          <w:lang w:bidi="ar-SA"/>
        </w:rPr>
      </w:pPr>
    </w:p>
    <w:p w14:paraId="7BF3CEF9" w14:textId="77777777" w:rsidR="007522AA" w:rsidRDefault="007522AA" w:rsidP="007522AA">
      <w:pPr>
        <w:rPr>
          <w:rFonts w:eastAsia="Arial" w:cs="Arial"/>
        </w:rPr>
      </w:pPr>
      <w:r w:rsidRPr="6A06BEFA">
        <w:rPr>
          <w:rFonts w:eastAsia="Arial" w:cs="Arial"/>
        </w:rPr>
        <w:t xml:space="preserve">No additional microbiological safety risks arise from addition of </w:t>
      </w:r>
      <w:proofErr w:type="spellStart"/>
      <w:r w:rsidRPr="6A06BEFA">
        <w:rPr>
          <w:rFonts w:eastAsia="Arial" w:cs="Arial"/>
        </w:rPr>
        <w:t>bLf</w:t>
      </w:r>
      <w:proofErr w:type="spellEnd"/>
      <w:r w:rsidRPr="6A06BEFA">
        <w:rPr>
          <w:rFonts w:eastAsia="Arial" w:cs="Arial"/>
        </w:rPr>
        <w:t xml:space="preserve"> to powdered infant formula products and its preparation and consumption beyond those encountered with </w:t>
      </w:r>
      <w:r>
        <w:rPr>
          <w:rFonts w:eastAsia="Arial" w:cs="Arial"/>
        </w:rPr>
        <w:t>IFP</w:t>
      </w:r>
      <w:r w:rsidRPr="6A06BEFA">
        <w:rPr>
          <w:rFonts w:eastAsia="Arial" w:cs="Arial"/>
        </w:rPr>
        <w:t xml:space="preserve"> that is not supplemented with </w:t>
      </w:r>
      <w:proofErr w:type="spellStart"/>
      <w:r w:rsidRPr="6A06BEFA">
        <w:rPr>
          <w:rFonts w:eastAsia="Arial" w:cs="Arial"/>
        </w:rPr>
        <w:t>bLf</w:t>
      </w:r>
      <w:proofErr w:type="spellEnd"/>
      <w:r w:rsidRPr="6A06BEFA">
        <w:rPr>
          <w:rFonts w:eastAsia="Arial" w:cs="Arial"/>
        </w:rPr>
        <w:t>.</w:t>
      </w:r>
    </w:p>
    <w:p w14:paraId="3E437E0E" w14:textId="77777777" w:rsidR="00481705" w:rsidRDefault="00481705" w:rsidP="007522AA">
      <w:pPr>
        <w:rPr>
          <w:rFonts w:eastAsia="Arial" w:cs="Arial"/>
        </w:rPr>
      </w:pPr>
    </w:p>
    <w:p w14:paraId="17913E27" w14:textId="5E776869" w:rsidR="00481705" w:rsidRDefault="78719D13" w:rsidP="007522AA">
      <w:pPr>
        <w:rPr>
          <w:rFonts w:eastAsia="Arial" w:cs="Arial"/>
        </w:rPr>
      </w:pPr>
      <w:r w:rsidRPr="7079DBC3">
        <w:rPr>
          <w:rFonts w:eastAsia="Arial" w:cs="Arial"/>
        </w:rPr>
        <w:t xml:space="preserve">Several double-blind, randomised controlled trials (RCTs) have investigated the potential for </w:t>
      </w:r>
      <w:proofErr w:type="spellStart"/>
      <w:r w:rsidRPr="7079DBC3">
        <w:rPr>
          <w:rFonts w:eastAsia="Arial" w:cs="Arial"/>
        </w:rPr>
        <w:t>bLf</w:t>
      </w:r>
      <w:proofErr w:type="spellEnd"/>
      <w:r w:rsidRPr="7079DBC3">
        <w:rPr>
          <w:rFonts w:eastAsia="Arial" w:cs="Arial"/>
        </w:rPr>
        <w:t xml:space="preserve"> to affect infant growth and development. Differences in weight gain between </w:t>
      </w:r>
      <w:proofErr w:type="spellStart"/>
      <w:r w:rsidRPr="7079DBC3">
        <w:rPr>
          <w:rFonts w:eastAsia="Arial" w:cs="Arial"/>
        </w:rPr>
        <w:t>bLf</w:t>
      </w:r>
      <w:proofErr w:type="spellEnd"/>
      <w:r w:rsidRPr="7079DBC3">
        <w:rPr>
          <w:rFonts w:eastAsia="Arial" w:cs="Arial"/>
        </w:rPr>
        <w:t xml:space="preserve"> and control formula groups were </w:t>
      </w:r>
      <w:r w:rsidR="0015A592" w:rsidRPr="19A50326">
        <w:rPr>
          <w:rFonts w:eastAsia="Arial" w:cs="Arial"/>
        </w:rPr>
        <w:t>l</w:t>
      </w:r>
      <w:r w:rsidRPr="7079DBC3">
        <w:rPr>
          <w:rFonts w:eastAsia="Arial" w:cs="Arial"/>
        </w:rPr>
        <w:t xml:space="preserve">ess than the clinically relevant threshold of 3 g/day. It is concluded that consumption of infant formula with added </w:t>
      </w:r>
      <w:proofErr w:type="spellStart"/>
      <w:r w:rsidRPr="7079DBC3">
        <w:rPr>
          <w:rFonts w:eastAsia="Arial" w:cs="Arial"/>
        </w:rPr>
        <w:t>bLf</w:t>
      </w:r>
      <w:proofErr w:type="spellEnd"/>
      <w:r w:rsidRPr="7079DBC3">
        <w:rPr>
          <w:rFonts w:eastAsia="Arial" w:cs="Arial"/>
        </w:rPr>
        <w:t xml:space="preserve">, at up to 1 g/L (equivalent to 40 mg/100 kJ), is unlikely to adversely affect infant growth and development. Infant iron status, investigated in one of these RCTs, was unaffected by </w:t>
      </w:r>
      <w:proofErr w:type="spellStart"/>
      <w:r w:rsidRPr="7079DBC3">
        <w:rPr>
          <w:rFonts w:eastAsia="Arial" w:cs="Arial"/>
        </w:rPr>
        <w:t>bLf</w:t>
      </w:r>
      <w:proofErr w:type="spellEnd"/>
      <w:r w:rsidRPr="7079DBC3">
        <w:rPr>
          <w:rFonts w:eastAsia="Arial" w:cs="Arial"/>
        </w:rPr>
        <w:t xml:space="preserve"> addition to infant formula.</w:t>
      </w:r>
    </w:p>
    <w:p w14:paraId="5358181F" w14:textId="77777777" w:rsidR="007522AA" w:rsidRDefault="007522AA" w:rsidP="007522AA">
      <w:pPr>
        <w:rPr>
          <w:lang w:bidi="ar-SA"/>
        </w:rPr>
      </w:pPr>
    </w:p>
    <w:p w14:paraId="148CD08C" w14:textId="77777777" w:rsidR="004A1DAD" w:rsidRPr="004A1DAD" w:rsidRDefault="007522AA" w:rsidP="004A1DAD">
      <w:pPr>
        <w:pStyle w:val="CommentText"/>
        <w:rPr>
          <w:sz w:val="22"/>
          <w:szCs w:val="22"/>
        </w:rPr>
      </w:pPr>
      <w:r w:rsidRPr="004A1DAD">
        <w:rPr>
          <w:sz w:val="22"/>
          <w:szCs w:val="22"/>
          <w:lang w:val="en-AU" w:eastAsia="en-GB" w:bidi="ar-SA"/>
        </w:rPr>
        <w:t xml:space="preserve">In terms of beneficial effects, the weight of evidence suggests </w:t>
      </w:r>
      <w:r w:rsidRPr="004A1DAD">
        <w:rPr>
          <w:rFonts w:eastAsia="Arial" w:cs="Arial"/>
          <w:sz w:val="22"/>
          <w:szCs w:val="22"/>
        </w:rPr>
        <w:t xml:space="preserve">a plausible mechanism by which </w:t>
      </w:r>
      <w:proofErr w:type="spellStart"/>
      <w:r w:rsidRPr="004A1DAD">
        <w:rPr>
          <w:rFonts w:eastAsia="Arial" w:cs="Arial"/>
          <w:sz w:val="22"/>
          <w:szCs w:val="22"/>
        </w:rPr>
        <w:t>bLf</w:t>
      </w:r>
      <w:proofErr w:type="spellEnd"/>
      <w:r w:rsidRPr="004A1DAD">
        <w:rPr>
          <w:rFonts w:eastAsia="Arial" w:cs="Arial"/>
          <w:sz w:val="22"/>
          <w:szCs w:val="22"/>
        </w:rPr>
        <w:t xml:space="preserve"> can reduce the risk of bacterial and viral infection. </w:t>
      </w:r>
      <w:proofErr w:type="spellStart"/>
      <w:r w:rsidRPr="004A1DAD">
        <w:rPr>
          <w:rFonts w:eastAsia="Arial" w:cs="Arial"/>
          <w:sz w:val="22"/>
          <w:szCs w:val="22"/>
        </w:rPr>
        <w:t>bLf</w:t>
      </w:r>
      <w:proofErr w:type="spellEnd"/>
      <w:r w:rsidRPr="004A1DAD">
        <w:rPr>
          <w:rFonts w:eastAsia="Arial" w:cs="Arial"/>
          <w:sz w:val="22"/>
          <w:szCs w:val="22"/>
        </w:rPr>
        <w:t xml:space="preserve"> has been shown to reduce the severity and duration of infection in relevant animal infection models</w:t>
      </w:r>
      <w:r w:rsidR="004A1DAD" w:rsidRPr="004A1DAD">
        <w:rPr>
          <w:rFonts w:eastAsia="Arial" w:cs="Arial"/>
          <w:sz w:val="22"/>
          <w:szCs w:val="22"/>
        </w:rPr>
        <w:t>. The few relevant human studies provided weak but consistent support for the proposed beneficial effect.</w:t>
      </w:r>
    </w:p>
    <w:p w14:paraId="06467436" w14:textId="77777777" w:rsidR="007522AA" w:rsidRDefault="007522AA" w:rsidP="00690206"/>
    <w:p w14:paraId="708491C0" w14:textId="77777777" w:rsidR="00092CDA" w:rsidRDefault="00092CDA" w:rsidP="00690206"/>
    <w:p w14:paraId="28D87820" w14:textId="77777777" w:rsidR="00092CDA" w:rsidRDefault="00092CDA" w:rsidP="00690206">
      <w:pPr>
        <w:sectPr w:rsidR="00092CDA" w:rsidSect="0054272D">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9" w:footer="709" w:gutter="0"/>
          <w:pgNumType w:fmt="lowerRoman" w:start="1"/>
          <w:cols w:space="708"/>
          <w:docGrid w:linePitch="360"/>
        </w:sectPr>
      </w:pPr>
    </w:p>
    <w:p w14:paraId="6B84DB3D" w14:textId="46B7ABD3" w:rsidR="00E2694E" w:rsidRDefault="00326D85">
      <w:pPr>
        <w:pStyle w:val="TOC1"/>
        <w:rPr>
          <w:rFonts w:eastAsiaTheme="minorEastAsia" w:cstheme="minorBidi"/>
          <w:b w:val="0"/>
          <w:bCs w:val="0"/>
          <w:caps w:val="0"/>
          <w:noProof/>
          <w:sz w:val="22"/>
          <w:szCs w:val="22"/>
          <w:lang w:val="en-NZ" w:eastAsia="en-NZ" w:bidi="ar-SA"/>
        </w:rPr>
      </w:pPr>
      <w:r>
        <w:rPr>
          <w:color w:val="2B579A"/>
          <w:shd w:val="clear" w:color="auto" w:fill="E6E6E6"/>
        </w:rPr>
        <w:lastRenderedPageBreak/>
        <w:fldChar w:fldCharType="begin"/>
      </w:r>
      <w:r>
        <w:instrText xml:space="preserve"> TOC \o "1-3" \h \z \u </w:instrText>
      </w:r>
      <w:r>
        <w:rPr>
          <w:color w:val="2B579A"/>
          <w:shd w:val="clear" w:color="auto" w:fill="E6E6E6"/>
        </w:rPr>
        <w:fldChar w:fldCharType="separate"/>
      </w:r>
      <w:hyperlink w:anchor="_Toc113523030" w:history="1">
        <w:r w:rsidR="00E2694E" w:rsidRPr="005179BF">
          <w:rPr>
            <w:rStyle w:val="Hyperlink"/>
            <w:noProof/>
          </w:rPr>
          <w:t>Executive summary</w:t>
        </w:r>
        <w:r w:rsidR="00E2694E">
          <w:rPr>
            <w:noProof/>
            <w:webHidden/>
          </w:rPr>
          <w:tab/>
        </w:r>
        <w:r w:rsidR="00E2694E">
          <w:rPr>
            <w:noProof/>
            <w:webHidden/>
          </w:rPr>
          <w:fldChar w:fldCharType="begin"/>
        </w:r>
        <w:r w:rsidR="00E2694E">
          <w:rPr>
            <w:noProof/>
            <w:webHidden/>
          </w:rPr>
          <w:instrText xml:space="preserve"> PAGEREF _Toc113523030 \h </w:instrText>
        </w:r>
        <w:r w:rsidR="00E2694E">
          <w:rPr>
            <w:noProof/>
            <w:webHidden/>
          </w:rPr>
        </w:r>
        <w:r w:rsidR="00E2694E">
          <w:rPr>
            <w:noProof/>
            <w:webHidden/>
          </w:rPr>
          <w:fldChar w:fldCharType="separate"/>
        </w:r>
        <w:r w:rsidR="00E2694E">
          <w:rPr>
            <w:noProof/>
            <w:webHidden/>
          </w:rPr>
          <w:t>i</w:t>
        </w:r>
        <w:r w:rsidR="00E2694E">
          <w:rPr>
            <w:noProof/>
            <w:webHidden/>
          </w:rPr>
          <w:fldChar w:fldCharType="end"/>
        </w:r>
      </w:hyperlink>
    </w:p>
    <w:p w14:paraId="62DBB17D" w14:textId="2DC4B70A" w:rsidR="00E2694E" w:rsidRDefault="00653E38">
      <w:pPr>
        <w:pStyle w:val="TOC1"/>
        <w:rPr>
          <w:rFonts w:eastAsiaTheme="minorEastAsia" w:cstheme="minorBidi"/>
          <w:b w:val="0"/>
          <w:bCs w:val="0"/>
          <w:caps w:val="0"/>
          <w:noProof/>
          <w:sz w:val="22"/>
          <w:szCs w:val="22"/>
          <w:lang w:val="en-NZ" w:eastAsia="en-NZ" w:bidi="ar-SA"/>
        </w:rPr>
      </w:pPr>
      <w:hyperlink w:anchor="_Toc113523031" w:history="1">
        <w:r w:rsidR="00E2694E" w:rsidRPr="005179BF">
          <w:rPr>
            <w:rStyle w:val="Hyperlink"/>
            <w:noProof/>
          </w:rPr>
          <w:t>1</w:t>
        </w:r>
        <w:r w:rsidR="00E2694E">
          <w:rPr>
            <w:rFonts w:eastAsiaTheme="minorEastAsia" w:cstheme="minorBidi"/>
            <w:b w:val="0"/>
            <w:bCs w:val="0"/>
            <w:caps w:val="0"/>
            <w:noProof/>
            <w:sz w:val="22"/>
            <w:szCs w:val="22"/>
            <w:lang w:val="en-NZ" w:eastAsia="en-NZ" w:bidi="ar-SA"/>
          </w:rPr>
          <w:tab/>
        </w:r>
        <w:r w:rsidR="00E2694E" w:rsidRPr="005179BF">
          <w:rPr>
            <w:rStyle w:val="Hyperlink"/>
            <w:noProof/>
          </w:rPr>
          <w:t>Introduction</w:t>
        </w:r>
        <w:r w:rsidR="00E2694E">
          <w:rPr>
            <w:noProof/>
            <w:webHidden/>
          </w:rPr>
          <w:tab/>
        </w:r>
        <w:r w:rsidR="00E2694E">
          <w:rPr>
            <w:noProof/>
            <w:webHidden/>
          </w:rPr>
          <w:fldChar w:fldCharType="begin"/>
        </w:r>
        <w:r w:rsidR="00E2694E">
          <w:rPr>
            <w:noProof/>
            <w:webHidden/>
          </w:rPr>
          <w:instrText xml:space="preserve"> PAGEREF _Toc113523031 \h </w:instrText>
        </w:r>
        <w:r w:rsidR="00E2694E">
          <w:rPr>
            <w:noProof/>
            <w:webHidden/>
          </w:rPr>
        </w:r>
        <w:r w:rsidR="00E2694E">
          <w:rPr>
            <w:noProof/>
            <w:webHidden/>
          </w:rPr>
          <w:fldChar w:fldCharType="separate"/>
        </w:r>
        <w:r w:rsidR="00E2694E">
          <w:rPr>
            <w:noProof/>
            <w:webHidden/>
          </w:rPr>
          <w:t>3</w:t>
        </w:r>
        <w:r w:rsidR="00E2694E">
          <w:rPr>
            <w:noProof/>
            <w:webHidden/>
          </w:rPr>
          <w:fldChar w:fldCharType="end"/>
        </w:r>
      </w:hyperlink>
    </w:p>
    <w:p w14:paraId="2134EBD8" w14:textId="0BAC1230" w:rsidR="00E2694E" w:rsidRDefault="00653E38">
      <w:pPr>
        <w:pStyle w:val="TOC1"/>
        <w:rPr>
          <w:rFonts w:eastAsiaTheme="minorEastAsia" w:cstheme="minorBidi"/>
          <w:b w:val="0"/>
          <w:bCs w:val="0"/>
          <w:caps w:val="0"/>
          <w:noProof/>
          <w:sz w:val="22"/>
          <w:szCs w:val="22"/>
          <w:lang w:val="en-NZ" w:eastAsia="en-NZ" w:bidi="ar-SA"/>
        </w:rPr>
      </w:pPr>
      <w:hyperlink w:anchor="_Toc113523032" w:history="1">
        <w:r w:rsidR="00E2694E" w:rsidRPr="005179BF">
          <w:rPr>
            <w:rStyle w:val="Hyperlink"/>
            <w:noProof/>
          </w:rPr>
          <w:t>2</w:t>
        </w:r>
        <w:r w:rsidR="00E2694E">
          <w:rPr>
            <w:rFonts w:eastAsiaTheme="minorEastAsia" w:cstheme="minorBidi"/>
            <w:b w:val="0"/>
            <w:bCs w:val="0"/>
            <w:caps w:val="0"/>
            <w:noProof/>
            <w:sz w:val="22"/>
            <w:szCs w:val="22"/>
            <w:lang w:val="en-NZ" w:eastAsia="en-NZ" w:bidi="ar-SA"/>
          </w:rPr>
          <w:tab/>
        </w:r>
        <w:r w:rsidR="00E2694E" w:rsidRPr="005179BF">
          <w:rPr>
            <w:rStyle w:val="Hyperlink"/>
            <w:noProof/>
          </w:rPr>
          <w:t>Food technology assessment</w:t>
        </w:r>
        <w:r w:rsidR="00E2694E">
          <w:rPr>
            <w:noProof/>
            <w:webHidden/>
          </w:rPr>
          <w:tab/>
        </w:r>
        <w:r w:rsidR="00E2694E">
          <w:rPr>
            <w:noProof/>
            <w:webHidden/>
          </w:rPr>
          <w:fldChar w:fldCharType="begin"/>
        </w:r>
        <w:r w:rsidR="00E2694E">
          <w:rPr>
            <w:noProof/>
            <w:webHidden/>
          </w:rPr>
          <w:instrText xml:space="preserve"> PAGEREF _Toc113523032 \h </w:instrText>
        </w:r>
        <w:r w:rsidR="00E2694E">
          <w:rPr>
            <w:noProof/>
            <w:webHidden/>
          </w:rPr>
        </w:r>
        <w:r w:rsidR="00E2694E">
          <w:rPr>
            <w:noProof/>
            <w:webHidden/>
          </w:rPr>
          <w:fldChar w:fldCharType="separate"/>
        </w:r>
        <w:r w:rsidR="00E2694E">
          <w:rPr>
            <w:noProof/>
            <w:webHidden/>
          </w:rPr>
          <w:t>3</w:t>
        </w:r>
        <w:r w:rsidR="00E2694E">
          <w:rPr>
            <w:noProof/>
            <w:webHidden/>
          </w:rPr>
          <w:fldChar w:fldCharType="end"/>
        </w:r>
      </w:hyperlink>
    </w:p>
    <w:p w14:paraId="0648725F" w14:textId="37F6AD79" w:rsidR="00E2694E" w:rsidRDefault="00653E38">
      <w:pPr>
        <w:pStyle w:val="TOC2"/>
        <w:rPr>
          <w:rFonts w:eastAsiaTheme="minorEastAsia" w:cstheme="minorBidi"/>
          <w:smallCaps w:val="0"/>
          <w:noProof/>
          <w:sz w:val="22"/>
          <w:szCs w:val="22"/>
          <w:lang w:val="en-NZ" w:eastAsia="en-NZ" w:bidi="ar-SA"/>
        </w:rPr>
      </w:pPr>
      <w:hyperlink w:anchor="_Toc113523033" w:history="1">
        <w:r w:rsidR="00E2694E" w:rsidRPr="005179BF">
          <w:rPr>
            <w:rStyle w:val="Hyperlink"/>
            <w:noProof/>
          </w:rPr>
          <w:t>2.1</w:t>
        </w:r>
        <w:r w:rsidR="00E2694E">
          <w:rPr>
            <w:rFonts w:eastAsiaTheme="minorEastAsia" w:cstheme="minorBidi"/>
            <w:smallCaps w:val="0"/>
            <w:noProof/>
            <w:sz w:val="22"/>
            <w:szCs w:val="22"/>
            <w:lang w:val="en-NZ" w:eastAsia="en-NZ" w:bidi="ar-SA"/>
          </w:rPr>
          <w:tab/>
        </w:r>
        <w:r w:rsidR="00E2694E" w:rsidRPr="005179BF">
          <w:rPr>
            <w:rStyle w:val="Hyperlink"/>
            <w:noProof/>
          </w:rPr>
          <w:t>Objectives of the food technology assessment</w:t>
        </w:r>
        <w:r w:rsidR="00E2694E">
          <w:rPr>
            <w:noProof/>
            <w:webHidden/>
          </w:rPr>
          <w:tab/>
        </w:r>
        <w:r w:rsidR="00E2694E">
          <w:rPr>
            <w:noProof/>
            <w:webHidden/>
          </w:rPr>
          <w:fldChar w:fldCharType="begin"/>
        </w:r>
        <w:r w:rsidR="00E2694E">
          <w:rPr>
            <w:noProof/>
            <w:webHidden/>
          </w:rPr>
          <w:instrText xml:space="preserve"> PAGEREF _Toc113523033 \h </w:instrText>
        </w:r>
        <w:r w:rsidR="00E2694E">
          <w:rPr>
            <w:noProof/>
            <w:webHidden/>
          </w:rPr>
        </w:r>
        <w:r w:rsidR="00E2694E">
          <w:rPr>
            <w:noProof/>
            <w:webHidden/>
          </w:rPr>
          <w:fldChar w:fldCharType="separate"/>
        </w:r>
        <w:r w:rsidR="00E2694E">
          <w:rPr>
            <w:noProof/>
            <w:webHidden/>
          </w:rPr>
          <w:t>3</w:t>
        </w:r>
        <w:r w:rsidR="00E2694E">
          <w:rPr>
            <w:noProof/>
            <w:webHidden/>
          </w:rPr>
          <w:fldChar w:fldCharType="end"/>
        </w:r>
      </w:hyperlink>
    </w:p>
    <w:p w14:paraId="24586321" w14:textId="625C7AB8" w:rsidR="00E2694E" w:rsidRDefault="00653E38">
      <w:pPr>
        <w:pStyle w:val="TOC2"/>
        <w:rPr>
          <w:rFonts w:eastAsiaTheme="minorEastAsia" w:cstheme="minorBidi"/>
          <w:smallCaps w:val="0"/>
          <w:noProof/>
          <w:sz w:val="22"/>
          <w:szCs w:val="22"/>
          <w:lang w:val="en-NZ" w:eastAsia="en-NZ" w:bidi="ar-SA"/>
        </w:rPr>
      </w:pPr>
      <w:hyperlink w:anchor="_Toc113523034" w:history="1">
        <w:r w:rsidR="00E2694E" w:rsidRPr="005179BF">
          <w:rPr>
            <w:rStyle w:val="Hyperlink"/>
            <w:noProof/>
          </w:rPr>
          <w:t>2.2</w:t>
        </w:r>
        <w:r w:rsidR="00E2694E">
          <w:rPr>
            <w:rFonts w:eastAsiaTheme="minorEastAsia" w:cstheme="minorBidi"/>
            <w:smallCaps w:val="0"/>
            <w:noProof/>
            <w:sz w:val="22"/>
            <w:szCs w:val="22"/>
            <w:lang w:val="en-NZ" w:eastAsia="en-NZ" w:bidi="ar-SA"/>
          </w:rPr>
          <w:tab/>
        </w:r>
        <w:r w:rsidR="00E2694E" w:rsidRPr="005179BF">
          <w:rPr>
            <w:rStyle w:val="Hyperlink"/>
            <w:noProof/>
          </w:rPr>
          <w:t>Assessment of the bLf ingredient</w:t>
        </w:r>
        <w:r w:rsidR="00E2694E">
          <w:rPr>
            <w:noProof/>
            <w:webHidden/>
          </w:rPr>
          <w:tab/>
        </w:r>
        <w:r w:rsidR="00E2694E">
          <w:rPr>
            <w:noProof/>
            <w:webHidden/>
          </w:rPr>
          <w:fldChar w:fldCharType="begin"/>
        </w:r>
        <w:r w:rsidR="00E2694E">
          <w:rPr>
            <w:noProof/>
            <w:webHidden/>
          </w:rPr>
          <w:instrText xml:space="preserve"> PAGEREF _Toc113523034 \h </w:instrText>
        </w:r>
        <w:r w:rsidR="00E2694E">
          <w:rPr>
            <w:noProof/>
            <w:webHidden/>
          </w:rPr>
        </w:r>
        <w:r w:rsidR="00E2694E">
          <w:rPr>
            <w:noProof/>
            <w:webHidden/>
          </w:rPr>
          <w:fldChar w:fldCharType="separate"/>
        </w:r>
        <w:r w:rsidR="00E2694E">
          <w:rPr>
            <w:noProof/>
            <w:webHidden/>
          </w:rPr>
          <w:t>3</w:t>
        </w:r>
        <w:r w:rsidR="00E2694E">
          <w:rPr>
            <w:noProof/>
            <w:webHidden/>
          </w:rPr>
          <w:fldChar w:fldCharType="end"/>
        </w:r>
      </w:hyperlink>
    </w:p>
    <w:p w14:paraId="6DDFC0CD" w14:textId="4A57A531" w:rsidR="00E2694E" w:rsidRDefault="00653E38">
      <w:pPr>
        <w:pStyle w:val="TOC3"/>
        <w:rPr>
          <w:rFonts w:eastAsiaTheme="minorEastAsia" w:cstheme="minorBidi"/>
          <w:i w:val="0"/>
          <w:iCs w:val="0"/>
          <w:noProof/>
          <w:sz w:val="22"/>
          <w:szCs w:val="22"/>
          <w:lang w:val="en-NZ" w:eastAsia="en-NZ" w:bidi="ar-SA"/>
        </w:rPr>
      </w:pPr>
      <w:hyperlink w:anchor="_Toc113523035" w:history="1">
        <w:r w:rsidR="00E2694E" w:rsidRPr="005179BF">
          <w:rPr>
            <w:rStyle w:val="Hyperlink"/>
            <w:noProof/>
          </w:rPr>
          <w:t>2.2.1</w:t>
        </w:r>
        <w:r w:rsidR="00E2694E">
          <w:rPr>
            <w:rFonts w:eastAsiaTheme="minorEastAsia" w:cstheme="minorBidi"/>
            <w:i w:val="0"/>
            <w:iCs w:val="0"/>
            <w:noProof/>
            <w:sz w:val="22"/>
            <w:szCs w:val="22"/>
            <w:lang w:val="en-NZ" w:eastAsia="en-NZ" w:bidi="ar-SA"/>
          </w:rPr>
          <w:tab/>
        </w:r>
        <w:r w:rsidR="00E2694E" w:rsidRPr="005179BF">
          <w:rPr>
            <w:rStyle w:val="Hyperlink"/>
            <w:noProof/>
          </w:rPr>
          <w:t>Identity of the bLf ingredient</w:t>
        </w:r>
        <w:r w:rsidR="00E2694E">
          <w:rPr>
            <w:noProof/>
            <w:webHidden/>
          </w:rPr>
          <w:tab/>
        </w:r>
        <w:r w:rsidR="00E2694E">
          <w:rPr>
            <w:noProof/>
            <w:webHidden/>
          </w:rPr>
          <w:fldChar w:fldCharType="begin"/>
        </w:r>
        <w:r w:rsidR="00E2694E">
          <w:rPr>
            <w:noProof/>
            <w:webHidden/>
          </w:rPr>
          <w:instrText xml:space="preserve"> PAGEREF _Toc113523035 \h </w:instrText>
        </w:r>
        <w:r w:rsidR="00E2694E">
          <w:rPr>
            <w:noProof/>
            <w:webHidden/>
          </w:rPr>
        </w:r>
        <w:r w:rsidR="00E2694E">
          <w:rPr>
            <w:noProof/>
            <w:webHidden/>
          </w:rPr>
          <w:fldChar w:fldCharType="separate"/>
        </w:r>
        <w:r w:rsidR="00E2694E">
          <w:rPr>
            <w:noProof/>
            <w:webHidden/>
          </w:rPr>
          <w:t>3</w:t>
        </w:r>
        <w:r w:rsidR="00E2694E">
          <w:rPr>
            <w:noProof/>
            <w:webHidden/>
          </w:rPr>
          <w:fldChar w:fldCharType="end"/>
        </w:r>
      </w:hyperlink>
    </w:p>
    <w:p w14:paraId="3BF4742E" w14:textId="22080FBC" w:rsidR="00E2694E" w:rsidRDefault="00653E38">
      <w:pPr>
        <w:pStyle w:val="TOC3"/>
        <w:rPr>
          <w:rFonts w:eastAsiaTheme="minorEastAsia" w:cstheme="minorBidi"/>
          <w:i w:val="0"/>
          <w:iCs w:val="0"/>
          <w:noProof/>
          <w:sz w:val="22"/>
          <w:szCs w:val="22"/>
          <w:lang w:val="en-NZ" w:eastAsia="en-NZ" w:bidi="ar-SA"/>
        </w:rPr>
      </w:pPr>
      <w:hyperlink w:anchor="_Toc113523036" w:history="1">
        <w:r w:rsidR="00E2694E" w:rsidRPr="005179BF">
          <w:rPr>
            <w:rStyle w:val="Hyperlink"/>
            <w:noProof/>
          </w:rPr>
          <w:t>2.2.2</w:t>
        </w:r>
        <w:r w:rsidR="00E2694E">
          <w:rPr>
            <w:rFonts w:eastAsiaTheme="minorEastAsia" w:cstheme="minorBidi"/>
            <w:i w:val="0"/>
            <w:iCs w:val="0"/>
            <w:noProof/>
            <w:sz w:val="22"/>
            <w:szCs w:val="22"/>
            <w:lang w:val="en-NZ" w:eastAsia="en-NZ" w:bidi="ar-SA"/>
          </w:rPr>
          <w:tab/>
        </w:r>
        <w:r w:rsidR="00E2694E" w:rsidRPr="005179BF">
          <w:rPr>
            <w:rStyle w:val="Hyperlink"/>
            <w:noProof/>
          </w:rPr>
          <w:t>Physical properties of the bLf ingredient</w:t>
        </w:r>
        <w:r w:rsidR="00E2694E">
          <w:rPr>
            <w:noProof/>
            <w:webHidden/>
          </w:rPr>
          <w:tab/>
        </w:r>
        <w:r w:rsidR="00E2694E">
          <w:rPr>
            <w:noProof/>
            <w:webHidden/>
          </w:rPr>
          <w:fldChar w:fldCharType="begin"/>
        </w:r>
        <w:r w:rsidR="00E2694E">
          <w:rPr>
            <w:noProof/>
            <w:webHidden/>
          </w:rPr>
          <w:instrText xml:space="preserve"> PAGEREF _Toc113523036 \h </w:instrText>
        </w:r>
        <w:r w:rsidR="00E2694E">
          <w:rPr>
            <w:noProof/>
            <w:webHidden/>
          </w:rPr>
        </w:r>
        <w:r w:rsidR="00E2694E">
          <w:rPr>
            <w:noProof/>
            <w:webHidden/>
          </w:rPr>
          <w:fldChar w:fldCharType="separate"/>
        </w:r>
        <w:r w:rsidR="00E2694E">
          <w:rPr>
            <w:noProof/>
            <w:webHidden/>
          </w:rPr>
          <w:t>4</w:t>
        </w:r>
        <w:r w:rsidR="00E2694E">
          <w:rPr>
            <w:noProof/>
            <w:webHidden/>
          </w:rPr>
          <w:fldChar w:fldCharType="end"/>
        </w:r>
      </w:hyperlink>
    </w:p>
    <w:p w14:paraId="2C19DE5B" w14:textId="5EE81671" w:rsidR="00E2694E" w:rsidRDefault="00653E38">
      <w:pPr>
        <w:pStyle w:val="TOC3"/>
        <w:rPr>
          <w:rFonts w:eastAsiaTheme="minorEastAsia" w:cstheme="minorBidi"/>
          <w:i w:val="0"/>
          <w:iCs w:val="0"/>
          <w:noProof/>
          <w:sz w:val="22"/>
          <w:szCs w:val="22"/>
          <w:lang w:val="en-NZ" w:eastAsia="en-NZ" w:bidi="ar-SA"/>
        </w:rPr>
      </w:pPr>
      <w:hyperlink w:anchor="_Toc113523037" w:history="1">
        <w:r w:rsidR="00E2694E" w:rsidRPr="005179BF">
          <w:rPr>
            <w:rStyle w:val="Hyperlink"/>
            <w:noProof/>
          </w:rPr>
          <w:t>2.2.3</w:t>
        </w:r>
        <w:r w:rsidR="00E2694E">
          <w:rPr>
            <w:rFonts w:eastAsiaTheme="minorEastAsia" w:cstheme="minorBidi"/>
            <w:i w:val="0"/>
            <w:iCs w:val="0"/>
            <w:noProof/>
            <w:sz w:val="22"/>
            <w:szCs w:val="22"/>
            <w:lang w:val="en-NZ" w:eastAsia="en-NZ" w:bidi="ar-SA"/>
          </w:rPr>
          <w:tab/>
        </w:r>
        <w:r w:rsidR="00E2694E" w:rsidRPr="005179BF">
          <w:rPr>
            <w:rStyle w:val="Hyperlink"/>
            <w:noProof/>
          </w:rPr>
          <w:t>Use and stability in IFP</w:t>
        </w:r>
        <w:r w:rsidR="00E2694E">
          <w:rPr>
            <w:noProof/>
            <w:webHidden/>
          </w:rPr>
          <w:tab/>
        </w:r>
        <w:r w:rsidR="00E2694E">
          <w:rPr>
            <w:noProof/>
            <w:webHidden/>
          </w:rPr>
          <w:fldChar w:fldCharType="begin"/>
        </w:r>
        <w:r w:rsidR="00E2694E">
          <w:rPr>
            <w:noProof/>
            <w:webHidden/>
          </w:rPr>
          <w:instrText xml:space="preserve"> PAGEREF _Toc113523037 \h </w:instrText>
        </w:r>
        <w:r w:rsidR="00E2694E">
          <w:rPr>
            <w:noProof/>
            <w:webHidden/>
          </w:rPr>
        </w:r>
        <w:r w:rsidR="00E2694E">
          <w:rPr>
            <w:noProof/>
            <w:webHidden/>
          </w:rPr>
          <w:fldChar w:fldCharType="separate"/>
        </w:r>
        <w:r w:rsidR="00E2694E">
          <w:rPr>
            <w:noProof/>
            <w:webHidden/>
          </w:rPr>
          <w:t>4</w:t>
        </w:r>
        <w:r w:rsidR="00E2694E">
          <w:rPr>
            <w:noProof/>
            <w:webHidden/>
          </w:rPr>
          <w:fldChar w:fldCharType="end"/>
        </w:r>
      </w:hyperlink>
    </w:p>
    <w:p w14:paraId="77741422" w14:textId="03C187C1" w:rsidR="00E2694E" w:rsidRDefault="00653E38">
      <w:pPr>
        <w:pStyle w:val="TOC2"/>
        <w:rPr>
          <w:rFonts w:eastAsiaTheme="minorEastAsia" w:cstheme="minorBidi"/>
          <w:smallCaps w:val="0"/>
          <w:noProof/>
          <w:sz w:val="22"/>
          <w:szCs w:val="22"/>
          <w:lang w:val="en-NZ" w:eastAsia="en-NZ" w:bidi="ar-SA"/>
        </w:rPr>
      </w:pPr>
      <w:hyperlink w:anchor="_Toc113523038" w:history="1">
        <w:r w:rsidR="00E2694E" w:rsidRPr="005179BF">
          <w:rPr>
            <w:rStyle w:val="Hyperlink"/>
            <w:noProof/>
          </w:rPr>
          <w:t>2.3</w:t>
        </w:r>
        <w:r w:rsidR="00E2694E">
          <w:rPr>
            <w:rFonts w:eastAsiaTheme="minorEastAsia" w:cstheme="minorBidi"/>
            <w:smallCaps w:val="0"/>
            <w:noProof/>
            <w:sz w:val="22"/>
            <w:szCs w:val="22"/>
            <w:lang w:val="en-NZ" w:eastAsia="en-NZ" w:bidi="ar-SA"/>
          </w:rPr>
          <w:tab/>
        </w:r>
        <w:r w:rsidR="00E2694E" w:rsidRPr="005179BF">
          <w:rPr>
            <w:rStyle w:val="Hyperlink"/>
            <w:noProof/>
          </w:rPr>
          <w:t>Manufacturing process</w:t>
        </w:r>
        <w:r w:rsidR="00E2694E">
          <w:rPr>
            <w:noProof/>
            <w:webHidden/>
          </w:rPr>
          <w:tab/>
        </w:r>
        <w:r w:rsidR="00E2694E">
          <w:rPr>
            <w:noProof/>
            <w:webHidden/>
          </w:rPr>
          <w:fldChar w:fldCharType="begin"/>
        </w:r>
        <w:r w:rsidR="00E2694E">
          <w:rPr>
            <w:noProof/>
            <w:webHidden/>
          </w:rPr>
          <w:instrText xml:space="preserve"> PAGEREF _Toc113523038 \h </w:instrText>
        </w:r>
        <w:r w:rsidR="00E2694E">
          <w:rPr>
            <w:noProof/>
            <w:webHidden/>
          </w:rPr>
        </w:r>
        <w:r w:rsidR="00E2694E">
          <w:rPr>
            <w:noProof/>
            <w:webHidden/>
          </w:rPr>
          <w:fldChar w:fldCharType="separate"/>
        </w:r>
        <w:r w:rsidR="00E2694E">
          <w:rPr>
            <w:noProof/>
            <w:webHidden/>
          </w:rPr>
          <w:t>4</w:t>
        </w:r>
        <w:r w:rsidR="00E2694E">
          <w:rPr>
            <w:noProof/>
            <w:webHidden/>
          </w:rPr>
          <w:fldChar w:fldCharType="end"/>
        </w:r>
      </w:hyperlink>
    </w:p>
    <w:p w14:paraId="3B355CB4" w14:textId="20FBDE94" w:rsidR="00E2694E" w:rsidRDefault="00653E38">
      <w:pPr>
        <w:pStyle w:val="TOC3"/>
        <w:rPr>
          <w:rFonts w:eastAsiaTheme="minorEastAsia" w:cstheme="minorBidi"/>
          <w:i w:val="0"/>
          <w:iCs w:val="0"/>
          <w:noProof/>
          <w:sz w:val="22"/>
          <w:szCs w:val="22"/>
          <w:lang w:val="en-NZ" w:eastAsia="en-NZ" w:bidi="ar-SA"/>
        </w:rPr>
      </w:pPr>
      <w:hyperlink w:anchor="_Toc113523039" w:history="1">
        <w:r w:rsidR="00E2694E" w:rsidRPr="005179BF">
          <w:rPr>
            <w:rStyle w:val="Hyperlink"/>
            <w:noProof/>
          </w:rPr>
          <w:t>2.3.1</w:t>
        </w:r>
        <w:r w:rsidR="00E2694E">
          <w:rPr>
            <w:rFonts w:eastAsiaTheme="minorEastAsia" w:cstheme="minorBidi"/>
            <w:i w:val="0"/>
            <w:iCs w:val="0"/>
            <w:noProof/>
            <w:sz w:val="22"/>
            <w:szCs w:val="22"/>
            <w:lang w:val="en-NZ" w:eastAsia="en-NZ" w:bidi="ar-SA"/>
          </w:rPr>
          <w:tab/>
        </w:r>
        <w:r w:rsidR="00E2694E" w:rsidRPr="005179BF">
          <w:rPr>
            <w:rStyle w:val="Hyperlink"/>
            <w:noProof/>
          </w:rPr>
          <w:t>Manufacture of the bLf ingredient</w:t>
        </w:r>
        <w:r w:rsidR="00E2694E">
          <w:rPr>
            <w:noProof/>
            <w:webHidden/>
          </w:rPr>
          <w:tab/>
        </w:r>
        <w:r w:rsidR="00E2694E">
          <w:rPr>
            <w:noProof/>
            <w:webHidden/>
          </w:rPr>
          <w:fldChar w:fldCharType="begin"/>
        </w:r>
        <w:r w:rsidR="00E2694E">
          <w:rPr>
            <w:noProof/>
            <w:webHidden/>
          </w:rPr>
          <w:instrText xml:space="preserve"> PAGEREF _Toc113523039 \h </w:instrText>
        </w:r>
        <w:r w:rsidR="00E2694E">
          <w:rPr>
            <w:noProof/>
            <w:webHidden/>
          </w:rPr>
        </w:r>
        <w:r w:rsidR="00E2694E">
          <w:rPr>
            <w:noProof/>
            <w:webHidden/>
          </w:rPr>
          <w:fldChar w:fldCharType="separate"/>
        </w:r>
        <w:r w:rsidR="00E2694E">
          <w:rPr>
            <w:noProof/>
            <w:webHidden/>
          </w:rPr>
          <w:t>4</w:t>
        </w:r>
        <w:r w:rsidR="00E2694E">
          <w:rPr>
            <w:noProof/>
            <w:webHidden/>
          </w:rPr>
          <w:fldChar w:fldCharType="end"/>
        </w:r>
      </w:hyperlink>
    </w:p>
    <w:p w14:paraId="09324514" w14:textId="5C2AB444" w:rsidR="00E2694E" w:rsidRDefault="00653E38">
      <w:pPr>
        <w:pStyle w:val="TOC3"/>
        <w:rPr>
          <w:rFonts w:eastAsiaTheme="minorEastAsia" w:cstheme="minorBidi"/>
          <w:i w:val="0"/>
          <w:iCs w:val="0"/>
          <w:noProof/>
          <w:sz w:val="22"/>
          <w:szCs w:val="22"/>
          <w:lang w:val="en-NZ" w:eastAsia="en-NZ" w:bidi="ar-SA"/>
        </w:rPr>
      </w:pPr>
      <w:hyperlink w:anchor="_Toc113523040" w:history="1">
        <w:r w:rsidR="00E2694E" w:rsidRPr="005179BF">
          <w:rPr>
            <w:rStyle w:val="Hyperlink"/>
            <w:noProof/>
          </w:rPr>
          <w:t>2.3.2</w:t>
        </w:r>
        <w:r w:rsidR="00E2694E">
          <w:rPr>
            <w:rFonts w:eastAsiaTheme="minorEastAsia" w:cstheme="minorBidi"/>
            <w:i w:val="0"/>
            <w:iCs w:val="0"/>
            <w:noProof/>
            <w:sz w:val="22"/>
            <w:szCs w:val="22"/>
            <w:lang w:val="en-NZ" w:eastAsia="en-NZ" w:bidi="ar-SA"/>
          </w:rPr>
          <w:tab/>
        </w:r>
        <w:r w:rsidR="00E2694E" w:rsidRPr="005179BF">
          <w:rPr>
            <w:rStyle w:val="Hyperlink"/>
            <w:noProof/>
          </w:rPr>
          <w:t>Information on impurities</w:t>
        </w:r>
        <w:r w:rsidR="00E2694E">
          <w:rPr>
            <w:noProof/>
            <w:webHidden/>
          </w:rPr>
          <w:tab/>
        </w:r>
        <w:r w:rsidR="00E2694E">
          <w:rPr>
            <w:noProof/>
            <w:webHidden/>
          </w:rPr>
          <w:fldChar w:fldCharType="begin"/>
        </w:r>
        <w:r w:rsidR="00E2694E">
          <w:rPr>
            <w:noProof/>
            <w:webHidden/>
          </w:rPr>
          <w:instrText xml:space="preserve"> PAGEREF _Toc113523040 \h </w:instrText>
        </w:r>
        <w:r w:rsidR="00E2694E">
          <w:rPr>
            <w:noProof/>
            <w:webHidden/>
          </w:rPr>
        </w:r>
        <w:r w:rsidR="00E2694E">
          <w:rPr>
            <w:noProof/>
            <w:webHidden/>
          </w:rPr>
          <w:fldChar w:fldCharType="separate"/>
        </w:r>
        <w:r w:rsidR="00E2694E">
          <w:rPr>
            <w:noProof/>
            <w:webHidden/>
          </w:rPr>
          <w:t>5</w:t>
        </w:r>
        <w:r w:rsidR="00E2694E">
          <w:rPr>
            <w:noProof/>
            <w:webHidden/>
          </w:rPr>
          <w:fldChar w:fldCharType="end"/>
        </w:r>
      </w:hyperlink>
    </w:p>
    <w:p w14:paraId="6890C204" w14:textId="2D75CD88" w:rsidR="00E2694E" w:rsidRDefault="00653E38">
      <w:pPr>
        <w:pStyle w:val="TOC2"/>
        <w:rPr>
          <w:rFonts w:eastAsiaTheme="minorEastAsia" w:cstheme="minorBidi"/>
          <w:smallCaps w:val="0"/>
          <w:noProof/>
          <w:sz w:val="22"/>
          <w:szCs w:val="22"/>
          <w:lang w:val="en-NZ" w:eastAsia="en-NZ" w:bidi="ar-SA"/>
        </w:rPr>
      </w:pPr>
      <w:hyperlink w:anchor="_Toc113523041" w:history="1">
        <w:r w:rsidR="00E2694E" w:rsidRPr="005179BF">
          <w:rPr>
            <w:rStyle w:val="Hyperlink"/>
            <w:noProof/>
          </w:rPr>
          <w:t>2.4</w:t>
        </w:r>
        <w:r w:rsidR="00E2694E">
          <w:rPr>
            <w:rFonts w:eastAsiaTheme="minorEastAsia" w:cstheme="minorBidi"/>
            <w:smallCaps w:val="0"/>
            <w:noProof/>
            <w:sz w:val="22"/>
            <w:szCs w:val="22"/>
            <w:lang w:val="en-NZ" w:eastAsia="en-NZ" w:bidi="ar-SA"/>
          </w:rPr>
          <w:tab/>
        </w:r>
        <w:r w:rsidR="00E2694E" w:rsidRPr="005179BF">
          <w:rPr>
            <w:rStyle w:val="Hyperlink"/>
            <w:noProof/>
          </w:rPr>
          <w:t>Specification for the bLf ingredient</w:t>
        </w:r>
        <w:r w:rsidR="00E2694E">
          <w:rPr>
            <w:noProof/>
            <w:webHidden/>
          </w:rPr>
          <w:tab/>
        </w:r>
        <w:r w:rsidR="00E2694E">
          <w:rPr>
            <w:noProof/>
            <w:webHidden/>
          </w:rPr>
          <w:fldChar w:fldCharType="begin"/>
        </w:r>
        <w:r w:rsidR="00E2694E">
          <w:rPr>
            <w:noProof/>
            <w:webHidden/>
          </w:rPr>
          <w:instrText xml:space="preserve"> PAGEREF _Toc113523041 \h </w:instrText>
        </w:r>
        <w:r w:rsidR="00E2694E">
          <w:rPr>
            <w:noProof/>
            <w:webHidden/>
          </w:rPr>
        </w:r>
        <w:r w:rsidR="00E2694E">
          <w:rPr>
            <w:noProof/>
            <w:webHidden/>
          </w:rPr>
          <w:fldChar w:fldCharType="separate"/>
        </w:r>
        <w:r w:rsidR="00E2694E">
          <w:rPr>
            <w:noProof/>
            <w:webHidden/>
          </w:rPr>
          <w:t>5</w:t>
        </w:r>
        <w:r w:rsidR="00E2694E">
          <w:rPr>
            <w:noProof/>
            <w:webHidden/>
          </w:rPr>
          <w:fldChar w:fldCharType="end"/>
        </w:r>
      </w:hyperlink>
    </w:p>
    <w:p w14:paraId="147004AC" w14:textId="430E750B" w:rsidR="00E2694E" w:rsidRDefault="00653E38">
      <w:pPr>
        <w:pStyle w:val="TOC2"/>
        <w:rPr>
          <w:rFonts w:eastAsiaTheme="minorEastAsia" w:cstheme="minorBidi"/>
          <w:smallCaps w:val="0"/>
          <w:noProof/>
          <w:sz w:val="22"/>
          <w:szCs w:val="22"/>
          <w:lang w:val="en-NZ" w:eastAsia="en-NZ" w:bidi="ar-SA"/>
        </w:rPr>
      </w:pPr>
      <w:hyperlink w:anchor="_Toc113523042" w:history="1">
        <w:r w:rsidR="00E2694E" w:rsidRPr="005179BF">
          <w:rPr>
            <w:rStyle w:val="Hyperlink"/>
            <w:noProof/>
          </w:rPr>
          <w:t>2.5</w:t>
        </w:r>
        <w:r w:rsidR="00E2694E">
          <w:rPr>
            <w:rFonts w:eastAsiaTheme="minorEastAsia" w:cstheme="minorBidi"/>
            <w:smallCaps w:val="0"/>
            <w:noProof/>
            <w:sz w:val="22"/>
            <w:szCs w:val="22"/>
            <w:lang w:val="en-NZ" w:eastAsia="en-NZ" w:bidi="ar-SA"/>
          </w:rPr>
          <w:tab/>
        </w:r>
        <w:r w:rsidR="00E2694E" w:rsidRPr="005179BF">
          <w:rPr>
            <w:rStyle w:val="Hyperlink"/>
            <w:noProof/>
          </w:rPr>
          <w:t>Analytical method of detection</w:t>
        </w:r>
        <w:r w:rsidR="00E2694E">
          <w:rPr>
            <w:noProof/>
            <w:webHidden/>
          </w:rPr>
          <w:tab/>
        </w:r>
        <w:r w:rsidR="00E2694E">
          <w:rPr>
            <w:noProof/>
            <w:webHidden/>
          </w:rPr>
          <w:fldChar w:fldCharType="begin"/>
        </w:r>
        <w:r w:rsidR="00E2694E">
          <w:rPr>
            <w:noProof/>
            <w:webHidden/>
          </w:rPr>
          <w:instrText xml:space="preserve"> PAGEREF _Toc113523042 \h </w:instrText>
        </w:r>
        <w:r w:rsidR="00E2694E">
          <w:rPr>
            <w:noProof/>
            <w:webHidden/>
          </w:rPr>
        </w:r>
        <w:r w:rsidR="00E2694E">
          <w:rPr>
            <w:noProof/>
            <w:webHidden/>
          </w:rPr>
          <w:fldChar w:fldCharType="separate"/>
        </w:r>
        <w:r w:rsidR="00E2694E">
          <w:rPr>
            <w:noProof/>
            <w:webHidden/>
          </w:rPr>
          <w:t>6</w:t>
        </w:r>
        <w:r w:rsidR="00E2694E">
          <w:rPr>
            <w:noProof/>
            <w:webHidden/>
          </w:rPr>
          <w:fldChar w:fldCharType="end"/>
        </w:r>
      </w:hyperlink>
    </w:p>
    <w:p w14:paraId="286FFF92" w14:textId="1F671827" w:rsidR="00E2694E" w:rsidRDefault="00653E38">
      <w:pPr>
        <w:pStyle w:val="TOC2"/>
        <w:rPr>
          <w:rFonts w:eastAsiaTheme="minorEastAsia" w:cstheme="minorBidi"/>
          <w:smallCaps w:val="0"/>
          <w:noProof/>
          <w:sz w:val="22"/>
          <w:szCs w:val="22"/>
          <w:lang w:val="en-NZ" w:eastAsia="en-NZ" w:bidi="ar-SA"/>
        </w:rPr>
      </w:pPr>
      <w:hyperlink w:anchor="_Toc113523043" w:history="1">
        <w:r w:rsidR="00E2694E" w:rsidRPr="005179BF">
          <w:rPr>
            <w:rStyle w:val="Hyperlink"/>
            <w:noProof/>
          </w:rPr>
          <w:t>2.6</w:t>
        </w:r>
        <w:r w:rsidR="00E2694E">
          <w:rPr>
            <w:rFonts w:eastAsiaTheme="minorEastAsia" w:cstheme="minorBidi"/>
            <w:smallCaps w:val="0"/>
            <w:noProof/>
            <w:sz w:val="22"/>
            <w:szCs w:val="22"/>
            <w:lang w:val="en-NZ" w:eastAsia="en-NZ" w:bidi="ar-SA"/>
          </w:rPr>
          <w:tab/>
        </w:r>
        <w:r w:rsidR="00E2694E" w:rsidRPr="005179BF">
          <w:rPr>
            <w:rStyle w:val="Hyperlink"/>
            <w:noProof/>
          </w:rPr>
          <w:t>Food Technology conclusion</w:t>
        </w:r>
        <w:r w:rsidR="00E2694E">
          <w:rPr>
            <w:noProof/>
            <w:webHidden/>
          </w:rPr>
          <w:tab/>
        </w:r>
        <w:r w:rsidR="00E2694E">
          <w:rPr>
            <w:noProof/>
            <w:webHidden/>
          </w:rPr>
          <w:fldChar w:fldCharType="begin"/>
        </w:r>
        <w:r w:rsidR="00E2694E">
          <w:rPr>
            <w:noProof/>
            <w:webHidden/>
          </w:rPr>
          <w:instrText xml:space="preserve"> PAGEREF _Toc113523043 \h </w:instrText>
        </w:r>
        <w:r w:rsidR="00E2694E">
          <w:rPr>
            <w:noProof/>
            <w:webHidden/>
          </w:rPr>
        </w:r>
        <w:r w:rsidR="00E2694E">
          <w:rPr>
            <w:noProof/>
            <w:webHidden/>
          </w:rPr>
          <w:fldChar w:fldCharType="separate"/>
        </w:r>
        <w:r w:rsidR="00E2694E">
          <w:rPr>
            <w:noProof/>
            <w:webHidden/>
          </w:rPr>
          <w:t>6</w:t>
        </w:r>
        <w:r w:rsidR="00E2694E">
          <w:rPr>
            <w:noProof/>
            <w:webHidden/>
          </w:rPr>
          <w:fldChar w:fldCharType="end"/>
        </w:r>
      </w:hyperlink>
    </w:p>
    <w:p w14:paraId="6BAC49A5" w14:textId="300EC306" w:rsidR="00E2694E" w:rsidRDefault="00653E38">
      <w:pPr>
        <w:pStyle w:val="TOC1"/>
        <w:rPr>
          <w:rFonts w:eastAsiaTheme="minorEastAsia" w:cstheme="minorBidi"/>
          <w:b w:val="0"/>
          <w:bCs w:val="0"/>
          <w:caps w:val="0"/>
          <w:noProof/>
          <w:sz w:val="22"/>
          <w:szCs w:val="22"/>
          <w:lang w:val="en-NZ" w:eastAsia="en-NZ" w:bidi="ar-SA"/>
        </w:rPr>
      </w:pPr>
      <w:hyperlink w:anchor="_Toc113523044" w:history="1">
        <w:r w:rsidR="00E2694E" w:rsidRPr="005179BF">
          <w:rPr>
            <w:rStyle w:val="Hyperlink"/>
            <w:noProof/>
          </w:rPr>
          <w:t>3</w:t>
        </w:r>
        <w:r w:rsidR="00E2694E">
          <w:rPr>
            <w:rFonts w:eastAsiaTheme="minorEastAsia" w:cstheme="minorBidi"/>
            <w:b w:val="0"/>
            <w:bCs w:val="0"/>
            <w:caps w:val="0"/>
            <w:noProof/>
            <w:sz w:val="22"/>
            <w:szCs w:val="22"/>
            <w:lang w:val="en-NZ" w:eastAsia="en-NZ" w:bidi="ar-SA"/>
          </w:rPr>
          <w:tab/>
        </w:r>
        <w:r w:rsidR="00E2694E" w:rsidRPr="005179BF">
          <w:rPr>
            <w:rStyle w:val="Hyperlink"/>
            <w:noProof/>
          </w:rPr>
          <w:t>Safety assessment</w:t>
        </w:r>
        <w:r w:rsidR="00E2694E">
          <w:rPr>
            <w:noProof/>
            <w:webHidden/>
          </w:rPr>
          <w:tab/>
        </w:r>
        <w:r w:rsidR="00E2694E">
          <w:rPr>
            <w:noProof/>
            <w:webHidden/>
          </w:rPr>
          <w:fldChar w:fldCharType="begin"/>
        </w:r>
        <w:r w:rsidR="00E2694E">
          <w:rPr>
            <w:noProof/>
            <w:webHidden/>
          </w:rPr>
          <w:instrText xml:space="preserve"> PAGEREF _Toc113523044 \h </w:instrText>
        </w:r>
        <w:r w:rsidR="00E2694E">
          <w:rPr>
            <w:noProof/>
            <w:webHidden/>
          </w:rPr>
        </w:r>
        <w:r w:rsidR="00E2694E">
          <w:rPr>
            <w:noProof/>
            <w:webHidden/>
          </w:rPr>
          <w:fldChar w:fldCharType="separate"/>
        </w:r>
        <w:r w:rsidR="00E2694E">
          <w:rPr>
            <w:noProof/>
            <w:webHidden/>
          </w:rPr>
          <w:t>7</w:t>
        </w:r>
        <w:r w:rsidR="00E2694E">
          <w:rPr>
            <w:noProof/>
            <w:webHidden/>
          </w:rPr>
          <w:fldChar w:fldCharType="end"/>
        </w:r>
      </w:hyperlink>
    </w:p>
    <w:p w14:paraId="4B923554" w14:textId="55F172AB" w:rsidR="00E2694E" w:rsidRDefault="00653E38">
      <w:pPr>
        <w:pStyle w:val="TOC2"/>
        <w:rPr>
          <w:rFonts w:eastAsiaTheme="minorEastAsia" w:cstheme="minorBidi"/>
          <w:smallCaps w:val="0"/>
          <w:noProof/>
          <w:sz w:val="22"/>
          <w:szCs w:val="22"/>
          <w:lang w:val="en-NZ" w:eastAsia="en-NZ" w:bidi="ar-SA"/>
        </w:rPr>
      </w:pPr>
      <w:hyperlink w:anchor="_Toc113523045" w:history="1">
        <w:r w:rsidR="00E2694E" w:rsidRPr="005179BF">
          <w:rPr>
            <w:rStyle w:val="Hyperlink"/>
            <w:noProof/>
          </w:rPr>
          <w:t>3.1</w:t>
        </w:r>
        <w:r w:rsidR="00E2694E">
          <w:rPr>
            <w:rFonts w:eastAsiaTheme="minorEastAsia" w:cstheme="minorBidi"/>
            <w:smallCaps w:val="0"/>
            <w:noProof/>
            <w:sz w:val="22"/>
            <w:szCs w:val="22"/>
            <w:lang w:val="en-NZ" w:eastAsia="en-NZ" w:bidi="ar-SA"/>
          </w:rPr>
          <w:tab/>
        </w:r>
        <w:r w:rsidR="00E2694E" w:rsidRPr="005179BF">
          <w:rPr>
            <w:rStyle w:val="Hyperlink"/>
            <w:noProof/>
          </w:rPr>
          <w:t>Toxicology assessment</w:t>
        </w:r>
        <w:r w:rsidR="00E2694E">
          <w:rPr>
            <w:noProof/>
            <w:webHidden/>
          </w:rPr>
          <w:tab/>
        </w:r>
        <w:r w:rsidR="00E2694E">
          <w:rPr>
            <w:noProof/>
            <w:webHidden/>
          </w:rPr>
          <w:fldChar w:fldCharType="begin"/>
        </w:r>
        <w:r w:rsidR="00E2694E">
          <w:rPr>
            <w:noProof/>
            <w:webHidden/>
          </w:rPr>
          <w:instrText xml:space="preserve"> PAGEREF _Toc113523045 \h </w:instrText>
        </w:r>
        <w:r w:rsidR="00E2694E">
          <w:rPr>
            <w:noProof/>
            <w:webHidden/>
          </w:rPr>
        </w:r>
        <w:r w:rsidR="00E2694E">
          <w:rPr>
            <w:noProof/>
            <w:webHidden/>
          </w:rPr>
          <w:fldChar w:fldCharType="separate"/>
        </w:r>
        <w:r w:rsidR="00E2694E">
          <w:rPr>
            <w:noProof/>
            <w:webHidden/>
          </w:rPr>
          <w:t>7</w:t>
        </w:r>
        <w:r w:rsidR="00E2694E">
          <w:rPr>
            <w:noProof/>
            <w:webHidden/>
          </w:rPr>
          <w:fldChar w:fldCharType="end"/>
        </w:r>
      </w:hyperlink>
    </w:p>
    <w:p w14:paraId="4314B10E" w14:textId="2148CAC3" w:rsidR="00E2694E" w:rsidRDefault="00653E38">
      <w:pPr>
        <w:pStyle w:val="TOC3"/>
        <w:rPr>
          <w:rFonts w:eastAsiaTheme="minorEastAsia" w:cstheme="minorBidi"/>
          <w:i w:val="0"/>
          <w:iCs w:val="0"/>
          <w:noProof/>
          <w:sz w:val="22"/>
          <w:szCs w:val="22"/>
          <w:lang w:val="en-NZ" w:eastAsia="en-NZ" w:bidi="ar-SA"/>
        </w:rPr>
      </w:pPr>
      <w:hyperlink w:anchor="_Toc113523046" w:history="1">
        <w:r w:rsidR="00E2694E" w:rsidRPr="005179BF">
          <w:rPr>
            <w:rStyle w:val="Hyperlink"/>
            <w:noProof/>
          </w:rPr>
          <w:t>3.1.1</w:t>
        </w:r>
        <w:r w:rsidR="00E2694E">
          <w:rPr>
            <w:rFonts w:eastAsiaTheme="minorEastAsia" w:cstheme="minorBidi"/>
            <w:i w:val="0"/>
            <w:iCs w:val="0"/>
            <w:noProof/>
            <w:sz w:val="22"/>
            <w:szCs w:val="22"/>
            <w:lang w:val="en-NZ" w:eastAsia="en-NZ" w:bidi="ar-SA"/>
          </w:rPr>
          <w:tab/>
        </w:r>
        <w:r w:rsidR="00E2694E" w:rsidRPr="005179BF">
          <w:rPr>
            <w:rStyle w:val="Hyperlink"/>
            <w:noProof/>
          </w:rPr>
          <w:t>Absorption, distribution, metabolism and excretion studies</w:t>
        </w:r>
        <w:r w:rsidR="00E2694E">
          <w:rPr>
            <w:noProof/>
            <w:webHidden/>
          </w:rPr>
          <w:tab/>
        </w:r>
        <w:r w:rsidR="00E2694E">
          <w:rPr>
            <w:noProof/>
            <w:webHidden/>
          </w:rPr>
          <w:fldChar w:fldCharType="begin"/>
        </w:r>
        <w:r w:rsidR="00E2694E">
          <w:rPr>
            <w:noProof/>
            <w:webHidden/>
          </w:rPr>
          <w:instrText xml:space="preserve"> PAGEREF _Toc113523046 \h </w:instrText>
        </w:r>
        <w:r w:rsidR="00E2694E">
          <w:rPr>
            <w:noProof/>
            <w:webHidden/>
          </w:rPr>
        </w:r>
        <w:r w:rsidR="00E2694E">
          <w:rPr>
            <w:noProof/>
            <w:webHidden/>
          </w:rPr>
          <w:fldChar w:fldCharType="separate"/>
        </w:r>
        <w:r w:rsidR="00E2694E">
          <w:rPr>
            <w:noProof/>
            <w:webHidden/>
          </w:rPr>
          <w:t>7</w:t>
        </w:r>
        <w:r w:rsidR="00E2694E">
          <w:rPr>
            <w:noProof/>
            <w:webHidden/>
          </w:rPr>
          <w:fldChar w:fldCharType="end"/>
        </w:r>
      </w:hyperlink>
    </w:p>
    <w:p w14:paraId="0BD94240" w14:textId="1F18F78A" w:rsidR="00E2694E" w:rsidRDefault="00653E38">
      <w:pPr>
        <w:pStyle w:val="TOC3"/>
        <w:rPr>
          <w:rFonts w:eastAsiaTheme="minorEastAsia" w:cstheme="minorBidi"/>
          <w:i w:val="0"/>
          <w:iCs w:val="0"/>
          <w:noProof/>
          <w:sz w:val="22"/>
          <w:szCs w:val="22"/>
          <w:lang w:val="en-NZ" w:eastAsia="en-NZ" w:bidi="ar-SA"/>
        </w:rPr>
      </w:pPr>
      <w:hyperlink w:anchor="_Toc113523047" w:history="1">
        <w:r w:rsidR="00E2694E" w:rsidRPr="005179BF">
          <w:rPr>
            <w:rStyle w:val="Hyperlink"/>
            <w:noProof/>
          </w:rPr>
          <w:t>3.1.2</w:t>
        </w:r>
        <w:r w:rsidR="00E2694E">
          <w:rPr>
            <w:rFonts w:eastAsiaTheme="minorEastAsia" w:cstheme="minorBidi"/>
            <w:i w:val="0"/>
            <w:iCs w:val="0"/>
            <w:noProof/>
            <w:sz w:val="22"/>
            <w:szCs w:val="22"/>
            <w:lang w:val="en-NZ" w:eastAsia="en-NZ" w:bidi="ar-SA"/>
          </w:rPr>
          <w:tab/>
        </w:r>
        <w:r w:rsidR="00E2694E" w:rsidRPr="005179BF">
          <w:rPr>
            <w:rStyle w:val="Hyperlink"/>
            <w:noProof/>
          </w:rPr>
          <w:t>Toxicology studies</w:t>
        </w:r>
        <w:r w:rsidR="00E2694E">
          <w:rPr>
            <w:noProof/>
            <w:webHidden/>
          </w:rPr>
          <w:tab/>
        </w:r>
        <w:r w:rsidR="00E2694E">
          <w:rPr>
            <w:noProof/>
            <w:webHidden/>
          </w:rPr>
          <w:fldChar w:fldCharType="begin"/>
        </w:r>
        <w:r w:rsidR="00E2694E">
          <w:rPr>
            <w:noProof/>
            <w:webHidden/>
          </w:rPr>
          <w:instrText xml:space="preserve"> PAGEREF _Toc113523047 \h </w:instrText>
        </w:r>
        <w:r w:rsidR="00E2694E">
          <w:rPr>
            <w:noProof/>
            <w:webHidden/>
          </w:rPr>
        </w:r>
        <w:r w:rsidR="00E2694E">
          <w:rPr>
            <w:noProof/>
            <w:webHidden/>
          </w:rPr>
          <w:fldChar w:fldCharType="separate"/>
        </w:r>
        <w:r w:rsidR="00E2694E">
          <w:rPr>
            <w:noProof/>
            <w:webHidden/>
          </w:rPr>
          <w:t>10</w:t>
        </w:r>
        <w:r w:rsidR="00E2694E">
          <w:rPr>
            <w:noProof/>
            <w:webHidden/>
          </w:rPr>
          <w:fldChar w:fldCharType="end"/>
        </w:r>
      </w:hyperlink>
    </w:p>
    <w:p w14:paraId="28CF54C3" w14:textId="7072BC90" w:rsidR="00E2694E" w:rsidRDefault="00653E38">
      <w:pPr>
        <w:pStyle w:val="TOC3"/>
        <w:rPr>
          <w:rFonts w:eastAsiaTheme="minorEastAsia" w:cstheme="minorBidi"/>
          <w:i w:val="0"/>
          <w:iCs w:val="0"/>
          <w:noProof/>
          <w:sz w:val="22"/>
          <w:szCs w:val="22"/>
          <w:lang w:val="en-NZ" w:eastAsia="en-NZ" w:bidi="ar-SA"/>
        </w:rPr>
      </w:pPr>
      <w:hyperlink w:anchor="_Toc113523048" w:history="1">
        <w:r w:rsidR="00E2694E" w:rsidRPr="005179BF">
          <w:rPr>
            <w:rStyle w:val="Hyperlink"/>
            <w:noProof/>
          </w:rPr>
          <w:t>3.1.3</w:t>
        </w:r>
        <w:r w:rsidR="00E2694E">
          <w:rPr>
            <w:rFonts w:eastAsiaTheme="minorEastAsia" w:cstheme="minorBidi"/>
            <w:i w:val="0"/>
            <w:iCs w:val="0"/>
            <w:noProof/>
            <w:sz w:val="22"/>
            <w:szCs w:val="22"/>
            <w:lang w:val="en-NZ" w:eastAsia="en-NZ" w:bidi="ar-SA"/>
          </w:rPr>
          <w:tab/>
        </w:r>
        <w:r w:rsidR="00E2694E" w:rsidRPr="005179BF">
          <w:rPr>
            <w:rStyle w:val="Hyperlink"/>
            <w:noProof/>
          </w:rPr>
          <w:t>Human tolerance studies</w:t>
        </w:r>
        <w:r w:rsidR="00E2694E">
          <w:rPr>
            <w:noProof/>
            <w:webHidden/>
          </w:rPr>
          <w:tab/>
        </w:r>
        <w:r w:rsidR="00E2694E">
          <w:rPr>
            <w:noProof/>
            <w:webHidden/>
          </w:rPr>
          <w:fldChar w:fldCharType="begin"/>
        </w:r>
        <w:r w:rsidR="00E2694E">
          <w:rPr>
            <w:noProof/>
            <w:webHidden/>
          </w:rPr>
          <w:instrText xml:space="preserve"> PAGEREF _Toc113523048 \h </w:instrText>
        </w:r>
        <w:r w:rsidR="00E2694E">
          <w:rPr>
            <w:noProof/>
            <w:webHidden/>
          </w:rPr>
        </w:r>
        <w:r w:rsidR="00E2694E">
          <w:rPr>
            <w:noProof/>
            <w:webHidden/>
          </w:rPr>
          <w:fldChar w:fldCharType="separate"/>
        </w:r>
        <w:r w:rsidR="00E2694E">
          <w:rPr>
            <w:noProof/>
            <w:webHidden/>
          </w:rPr>
          <w:t>13</w:t>
        </w:r>
        <w:r w:rsidR="00E2694E">
          <w:rPr>
            <w:noProof/>
            <w:webHidden/>
          </w:rPr>
          <w:fldChar w:fldCharType="end"/>
        </w:r>
      </w:hyperlink>
    </w:p>
    <w:p w14:paraId="34F38991" w14:textId="73B224FA" w:rsidR="00E2694E" w:rsidRDefault="00653E38">
      <w:pPr>
        <w:pStyle w:val="TOC3"/>
        <w:rPr>
          <w:rFonts w:eastAsiaTheme="minorEastAsia" w:cstheme="minorBidi"/>
          <w:i w:val="0"/>
          <w:iCs w:val="0"/>
          <w:noProof/>
          <w:sz w:val="22"/>
          <w:szCs w:val="22"/>
          <w:lang w:val="en-NZ" w:eastAsia="en-NZ" w:bidi="ar-SA"/>
        </w:rPr>
      </w:pPr>
      <w:hyperlink w:anchor="_Toc113523049" w:history="1">
        <w:r w:rsidR="00E2694E" w:rsidRPr="005179BF">
          <w:rPr>
            <w:rStyle w:val="Hyperlink"/>
            <w:noProof/>
          </w:rPr>
          <w:t>3.1.4</w:t>
        </w:r>
        <w:r w:rsidR="00E2694E">
          <w:rPr>
            <w:rFonts w:eastAsiaTheme="minorEastAsia" w:cstheme="minorBidi"/>
            <w:i w:val="0"/>
            <w:iCs w:val="0"/>
            <w:noProof/>
            <w:sz w:val="22"/>
            <w:szCs w:val="22"/>
            <w:lang w:val="en-NZ" w:eastAsia="en-NZ" w:bidi="ar-SA"/>
          </w:rPr>
          <w:tab/>
        </w:r>
        <w:r w:rsidR="00E2694E" w:rsidRPr="005179BF">
          <w:rPr>
            <w:rStyle w:val="Hyperlink"/>
            <w:noProof/>
          </w:rPr>
          <w:t>Post-marketing surveillance</w:t>
        </w:r>
        <w:r w:rsidR="00E2694E">
          <w:rPr>
            <w:noProof/>
            <w:webHidden/>
          </w:rPr>
          <w:tab/>
        </w:r>
        <w:r w:rsidR="00E2694E">
          <w:rPr>
            <w:noProof/>
            <w:webHidden/>
          </w:rPr>
          <w:fldChar w:fldCharType="begin"/>
        </w:r>
        <w:r w:rsidR="00E2694E">
          <w:rPr>
            <w:noProof/>
            <w:webHidden/>
          </w:rPr>
          <w:instrText xml:space="preserve"> PAGEREF _Toc113523049 \h </w:instrText>
        </w:r>
        <w:r w:rsidR="00E2694E">
          <w:rPr>
            <w:noProof/>
            <w:webHidden/>
          </w:rPr>
        </w:r>
        <w:r w:rsidR="00E2694E">
          <w:rPr>
            <w:noProof/>
            <w:webHidden/>
          </w:rPr>
          <w:fldChar w:fldCharType="separate"/>
        </w:r>
        <w:r w:rsidR="00E2694E">
          <w:rPr>
            <w:noProof/>
            <w:webHidden/>
          </w:rPr>
          <w:t>24</w:t>
        </w:r>
        <w:r w:rsidR="00E2694E">
          <w:rPr>
            <w:noProof/>
            <w:webHidden/>
          </w:rPr>
          <w:fldChar w:fldCharType="end"/>
        </w:r>
      </w:hyperlink>
    </w:p>
    <w:p w14:paraId="7DF15983" w14:textId="58EF1363" w:rsidR="00E2694E" w:rsidRDefault="00653E38">
      <w:pPr>
        <w:pStyle w:val="TOC3"/>
        <w:rPr>
          <w:rFonts w:eastAsiaTheme="minorEastAsia" w:cstheme="minorBidi"/>
          <w:i w:val="0"/>
          <w:iCs w:val="0"/>
          <w:noProof/>
          <w:sz w:val="22"/>
          <w:szCs w:val="22"/>
          <w:lang w:val="en-NZ" w:eastAsia="en-NZ" w:bidi="ar-SA"/>
        </w:rPr>
      </w:pPr>
      <w:hyperlink w:anchor="_Toc113523050" w:history="1">
        <w:r w:rsidR="00E2694E" w:rsidRPr="005179BF">
          <w:rPr>
            <w:rStyle w:val="Hyperlink"/>
            <w:noProof/>
          </w:rPr>
          <w:t>3.1.5</w:t>
        </w:r>
        <w:r w:rsidR="00E2694E">
          <w:rPr>
            <w:rFonts w:eastAsiaTheme="minorEastAsia" w:cstheme="minorBidi"/>
            <w:i w:val="0"/>
            <w:iCs w:val="0"/>
            <w:noProof/>
            <w:sz w:val="22"/>
            <w:szCs w:val="22"/>
            <w:lang w:val="en-NZ" w:eastAsia="en-NZ" w:bidi="ar-SA"/>
          </w:rPr>
          <w:tab/>
        </w:r>
        <w:r w:rsidR="00E2694E" w:rsidRPr="005179BF">
          <w:rPr>
            <w:rStyle w:val="Hyperlink"/>
            <w:noProof/>
          </w:rPr>
          <w:t>Allergenicity</w:t>
        </w:r>
        <w:r w:rsidR="00E2694E">
          <w:rPr>
            <w:noProof/>
            <w:webHidden/>
          </w:rPr>
          <w:tab/>
        </w:r>
        <w:r w:rsidR="00E2694E">
          <w:rPr>
            <w:noProof/>
            <w:webHidden/>
          </w:rPr>
          <w:fldChar w:fldCharType="begin"/>
        </w:r>
        <w:r w:rsidR="00E2694E">
          <w:rPr>
            <w:noProof/>
            <w:webHidden/>
          </w:rPr>
          <w:instrText xml:space="preserve"> PAGEREF _Toc113523050 \h </w:instrText>
        </w:r>
        <w:r w:rsidR="00E2694E">
          <w:rPr>
            <w:noProof/>
            <w:webHidden/>
          </w:rPr>
        </w:r>
        <w:r w:rsidR="00E2694E">
          <w:rPr>
            <w:noProof/>
            <w:webHidden/>
          </w:rPr>
          <w:fldChar w:fldCharType="separate"/>
        </w:r>
        <w:r w:rsidR="00E2694E">
          <w:rPr>
            <w:noProof/>
            <w:webHidden/>
          </w:rPr>
          <w:t>24</w:t>
        </w:r>
        <w:r w:rsidR="00E2694E">
          <w:rPr>
            <w:noProof/>
            <w:webHidden/>
          </w:rPr>
          <w:fldChar w:fldCharType="end"/>
        </w:r>
      </w:hyperlink>
    </w:p>
    <w:p w14:paraId="2F03EEA0" w14:textId="113B88DA" w:rsidR="00E2694E" w:rsidRDefault="00653E38">
      <w:pPr>
        <w:pStyle w:val="TOC3"/>
        <w:rPr>
          <w:rFonts w:eastAsiaTheme="minorEastAsia" w:cstheme="minorBidi"/>
          <w:i w:val="0"/>
          <w:iCs w:val="0"/>
          <w:noProof/>
          <w:sz w:val="22"/>
          <w:szCs w:val="22"/>
          <w:lang w:val="en-NZ" w:eastAsia="en-NZ" w:bidi="ar-SA"/>
        </w:rPr>
      </w:pPr>
      <w:hyperlink w:anchor="_Toc113523051" w:history="1">
        <w:r w:rsidR="00E2694E" w:rsidRPr="005179BF">
          <w:rPr>
            <w:rStyle w:val="Hyperlink"/>
            <w:noProof/>
          </w:rPr>
          <w:t>3.1.6</w:t>
        </w:r>
        <w:r w:rsidR="00E2694E">
          <w:rPr>
            <w:rFonts w:eastAsiaTheme="minorEastAsia" w:cstheme="minorBidi"/>
            <w:i w:val="0"/>
            <w:iCs w:val="0"/>
            <w:noProof/>
            <w:sz w:val="22"/>
            <w:szCs w:val="22"/>
            <w:lang w:val="en-NZ" w:eastAsia="en-NZ" w:bidi="ar-SA"/>
          </w:rPr>
          <w:tab/>
        </w:r>
        <w:r w:rsidR="00E2694E" w:rsidRPr="005179BF">
          <w:rPr>
            <w:rStyle w:val="Hyperlink"/>
            <w:noProof/>
          </w:rPr>
          <w:t>Safety assessments by other agencies</w:t>
        </w:r>
        <w:r w:rsidR="00E2694E">
          <w:rPr>
            <w:noProof/>
            <w:webHidden/>
          </w:rPr>
          <w:tab/>
        </w:r>
        <w:r w:rsidR="00E2694E">
          <w:rPr>
            <w:noProof/>
            <w:webHidden/>
          </w:rPr>
          <w:fldChar w:fldCharType="begin"/>
        </w:r>
        <w:r w:rsidR="00E2694E">
          <w:rPr>
            <w:noProof/>
            <w:webHidden/>
          </w:rPr>
          <w:instrText xml:space="preserve"> PAGEREF _Toc113523051 \h </w:instrText>
        </w:r>
        <w:r w:rsidR="00E2694E">
          <w:rPr>
            <w:noProof/>
            <w:webHidden/>
          </w:rPr>
        </w:r>
        <w:r w:rsidR="00E2694E">
          <w:rPr>
            <w:noProof/>
            <w:webHidden/>
          </w:rPr>
          <w:fldChar w:fldCharType="separate"/>
        </w:r>
        <w:r w:rsidR="00E2694E">
          <w:rPr>
            <w:noProof/>
            <w:webHidden/>
          </w:rPr>
          <w:t>24</w:t>
        </w:r>
        <w:r w:rsidR="00E2694E">
          <w:rPr>
            <w:noProof/>
            <w:webHidden/>
          </w:rPr>
          <w:fldChar w:fldCharType="end"/>
        </w:r>
      </w:hyperlink>
    </w:p>
    <w:p w14:paraId="44E649AA" w14:textId="399BE639" w:rsidR="00E2694E" w:rsidRDefault="00653E38">
      <w:pPr>
        <w:pStyle w:val="TOC3"/>
        <w:rPr>
          <w:rFonts w:eastAsiaTheme="minorEastAsia" w:cstheme="minorBidi"/>
          <w:i w:val="0"/>
          <w:iCs w:val="0"/>
          <w:noProof/>
          <w:sz w:val="22"/>
          <w:szCs w:val="22"/>
          <w:lang w:val="en-NZ" w:eastAsia="en-NZ" w:bidi="ar-SA"/>
        </w:rPr>
      </w:pPr>
      <w:hyperlink w:anchor="_Toc113523052" w:history="1">
        <w:r w:rsidR="00E2694E" w:rsidRPr="005179BF">
          <w:rPr>
            <w:rStyle w:val="Hyperlink"/>
            <w:noProof/>
          </w:rPr>
          <w:t>3.1.7</w:t>
        </w:r>
        <w:r w:rsidR="00E2694E">
          <w:rPr>
            <w:rFonts w:eastAsiaTheme="minorEastAsia" w:cstheme="minorBidi"/>
            <w:i w:val="0"/>
            <w:iCs w:val="0"/>
            <w:noProof/>
            <w:sz w:val="22"/>
            <w:szCs w:val="22"/>
            <w:lang w:val="en-NZ" w:eastAsia="en-NZ" w:bidi="ar-SA"/>
          </w:rPr>
          <w:tab/>
        </w:r>
        <w:r w:rsidR="00E2694E" w:rsidRPr="005179BF">
          <w:rPr>
            <w:rStyle w:val="Hyperlink"/>
            <w:noProof/>
          </w:rPr>
          <w:t>Discussion of toxicological assessment</w:t>
        </w:r>
        <w:r w:rsidR="00E2694E">
          <w:rPr>
            <w:noProof/>
            <w:webHidden/>
          </w:rPr>
          <w:tab/>
        </w:r>
        <w:r w:rsidR="00E2694E">
          <w:rPr>
            <w:noProof/>
            <w:webHidden/>
          </w:rPr>
          <w:fldChar w:fldCharType="begin"/>
        </w:r>
        <w:r w:rsidR="00E2694E">
          <w:rPr>
            <w:noProof/>
            <w:webHidden/>
          </w:rPr>
          <w:instrText xml:space="preserve"> PAGEREF _Toc113523052 \h </w:instrText>
        </w:r>
        <w:r w:rsidR="00E2694E">
          <w:rPr>
            <w:noProof/>
            <w:webHidden/>
          </w:rPr>
        </w:r>
        <w:r w:rsidR="00E2694E">
          <w:rPr>
            <w:noProof/>
            <w:webHidden/>
          </w:rPr>
          <w:fldChar w:fldCharType="separate"/>
        </w:r>
        <w:r w:rsidR="00E2694E">
          <w:rPr>
            <w:noProof/>
            <w:webHidden/>
          </w:rPr>
          <w:t>25</w:t>
        </w:r>
        <w:r w:rsidR="00E2694E">
          <w:rPr>
            <w:noProof/>
            <w:webHidden/>
          </w:rPr>
          <w:fldChar w:fldCharType="end"/>
        </w:r>
      </w:hyperlink>
    </w:p>
    <w:p w14:paraId="51A4DAEB" w14:textId="4514F405" w:rsidR="00E2694E" w:rsidRDefault="00653E38">
      <w:pPr>
        <w:pStyle w:val="TOC2"/>
        <w:rPr>
          <w:rFonts w:eastAsiaTheme="minorEastAsia" w:cstheme="minorBidi"/>
          <w:smallCaps w:val="0"/>
          <w:noProof/>
          <w:sz w:val="22"/>
          <w:szCs w:val="22"/>
          <w:lang w:val="en-NZ" w:eastAsia="en-NZ" w:bidi="ar-SA"/>
        </w:rPr>
      </w:pPr>
      <w:hyperlink w:anchor="_Toc113523053" w:history="1">
        <w:r w:rsidR="00E2694E" w:rsidRPr="005179BF">
          <w:rPr>
            <w:rStyle w:val="Hyperlink"/>
            <w:noProof/>
          </w:rPr>
          <w:t>3.2</w:t>
        </w:r>
        <w:r w:rsidR="00E2694E">
          <w:rPr>
            <w:rFonts w:eastAsiaTheme="minorEastAsia" w:cstheme="minorBidi"/>
            <w:smallCaps w:val="0"/>
            <w:noProof/>
            <w:sz w:val="22"/>
            <w:szCs w:val="22"/>
            <w:lang w:val="en-NZ" w:eastAsia="en-NZ" w:bidi="ar-SA"/>
          </w:rPr>
          <w:tab/>
        </w:r>
        <w:r w:rsidR="00E2694E" w:rsidRPr="005179BF">
          <w:rPr>
            <w:rStyle w:val="Hyperlink"/>
            <w:noProof/>
          </w:rPr>
          <w:t>Microbiology assessment</w:t>
        </w:r>
        <w:r w:rsidR="00E2694E">
          <w:rPr>
            <w:noProof/>
            <w:webHidden/>
          </w:rPr>
          <w:tab/>
        </w:r>
        <w:r w:rsidR="00E2694E">
          <w:rPr>
            <w:noProof/>
            <w:webHidden/>
          </w:rPr>
          <w:fldChar w:fldCharType="begin"/>
        </w:r>
        <w:r w:rsidR="00E2694E">
          <w:rPr>
            <w:noProof/>
            <w:webHidden/>
          </w:rPr>
          <w:instrText xml:space="preserve"> PAGEREF _Toc113523053 \h </w:instrText>
        </w:r>
        <w:r w:rsidR="00E2694E">
          <w:rPr>
            <w:noProof/>
            <w:webHidden/>
          </w:rPr>
        </w:r>
        <w:r w:rsidR="00E2694E">
          <w:rPr>
            <w:noProof/>
            <w:webHidden/>
          </w:rPr>
          <w:fldChar w:fldCharType="separate"/>
        </w:r>
        <w:r w:rsidR="00E2694E">
          <w:rPr>
            <w:noProof/>
            <w:webHidden/>
          </w:rPr>
          <w:t>25</w:t>
        </w:r>
        <w:r w:rsidR="00E2694E">
          <w:rPr>
            <w:noProof/>
            <w:webHidden/>
          </w:rPr>
          <w:fldChar w:fldCharType="end"/>
        </w:r>
      </w:hyperlink>
    </w:p>
    <w:p w14:paraId="3C6F533F" w14:textId="43ACFC89" w:rsidR="00E2694E" w:rsidRDefault="00653E38">
      <w:pPr>
        <w:pStyle w:val="TOC2"/>
        <w:rPr>
          <w:rFonts w:eastAsiaTheme="minorEastAsia" w:cstheme="minorBidi"/>
          <w:smallCaps w:val="0"/>
          <w:noProof/>
          <w:sz w:val="22"/>
          <w:szCs w:val="22"/>
          <w:lang w:val="en-NZ" w:eastAsia="en-NZ" w:bidi="ar-SA"/>
        </w:rPr>
      </w:pPr>
      <w:hyperlink w:anchor="_Toc113523054" w:history="1">
        <w:r w:rsidR="00E2694E" w:rsidRPr="005179BF">
          <w:rPr>
            <w:rStyle w:val="Hyperlink"/>
            <w:noProof/>
          </w:rPr>
          <w:t>3.3</w:t>
        </w:r>
        <w:r w:rsidR="00E2694E">
          <w:rPr>
            <w:rFonts w:eastAsiaTheme="minorEastAsia" w:cstheme="minorBidi"/>
            <w:smallCaps w:val="0"/>
            <w:noProof/>
            <w:sz w:val="22"/>
            <w:szCs w:val="22"/>
            <w:lang w:val="en-NZ" w:eastAsia="en-NZ" w:bidi="ar-SA"/>
          </w:rPr>
          <w:tab/>
        </w:r>
        <w:r w:rsidR="00E2694E" w:rsidRPr="005179BF">
          <w:rPr>
            <w:rStyle w:val="Hyperlink"/>
            <w:noProof/>
          </w:rPr>
          <w:t>Dietary intake assessment</w:t>
        </w:r>
        <w:r w:rsidR="00E2694E">
          <w:rPr>
            <w:noProof/>
            <w:webHidden/>
          </w:rPr>
          <w:tab/>
        </w:r>
        <w:r w:rsidR="00E2694E">
          <w:rPr>
            <w:noProof/>
            <w:webHidden/>
          </w:rPr>
          <w:fldChar w:fldCharType="begin"/>
        </w:r>
        <w:r w:rsidR="00E2694E">
          <w:rPr>
            <w:noProof/>
            <w:webHidden/>
          </w:rPr>
          <w:instrText xml:space="preserve"> PAGEREF _Toc113523054 \h </w:instrText>
        </w:r>
        <w:r w:rsidR="00E2694E">
          <w:rPr>
            <w:noProof/>
            <w:webHidden/>
          </w:rPr>
        </w:r>
        <w:r w:rsidR="00E2694E">
          <w:rPr>
            <w:noProof/>
            <w:webHidden/>
          </w:rPr>
          <w:fldChar w:fldCharType="separate"/>
        </w:r>
        <w:r w:rsidR="00E2694E">
          <w:rPr>
            <w:noProof/>
            <w:webHidden/>
          </w:rPr>
          <w:t>26</w:t>
        </w:r>
        <w:r w:rsidR="00E2694E">
          <w:rPr>
            <w:noProof/>
            <w:webHidden/>
          </w:rPr>
          <w:fldChar w:fldCharType="end"/>
        </w:r>
      </w:hyperlink>
    </w:p>
    <w:p w14:paraId="15D9649E" w14:textId="3F3E5C55" w:rsidR="00E2694E" w:rsidRDefault="00653E38">
      <w:pPr>
        <w:pStyle w:val="TOC3"/>
        <w:rPr>
          <w:rFonts w:eastAsiaTheme="minorEastAsia" w:cstheme="minorBidi"/>
          <w:i w:val="0"/>
          <w:iCs w:val="0"/>
          <w:noProof/>
          <w:sz w:val="22"/>
          <w:szCs w:val="22"/>
          <w:lang w:val="en-NZ" w:eastAsia="en-NZ" w:bidi="ar-SA"/>
        </w:rPr>
      </w:pPr>
      <w:hyperlink w:anchor="_Toc113523055" w:history="1">
        <w:r w:rsidR="00E2694E" w:rsidRPr="005179BF">
          <w:rPr>
            <w:rStyle w:val="Hyperlink"/>
            <w:noProof/>
          </w:rPr>
          <w:t>3.3.1</w:t>
        </w:r>
        <w:r w:rsidR="00E2694E">
          <w:rPr>
            <w:rFonts w:eastAsiaTheme="minorEastAsia" w:cstheme="minorBidi"/>
            <w:i w:val="0"/>
            <w:iCs w:val="0"/>
            <w:noProof/>
            <w:sz w:val="22"/>
            <w:szCs w:val="22"/>
            <w:lang w:val="en-NZ" w:eastAsia="en-NZ" w:bidi="ar-SA"/>
          </w:rPr>
          <w:tab/>
        </w:r>
        <w:r w:rsidR="00E2694E" w:rsidRPr="005179BF">
          <w:rPr>
            <w:rStyle w:val="Hyperlink"/>
            <w:rFonts w:cs="Arial"/>
            <w:noProof/>
          </w:rPr>
          <w:t>Objective </w:t>
        </w:r>
        <w:r w:rsidR="00E2694E">
          <w:rPr>
            <w:noProof/>
            <w:webHidden/>
          </w:rPr>
          <w:tab/>
        </w:r>
        <w:r w:rsidR="00E2694E">
          <w:rPr>
            <w:noProof/>
            <w:webHidden/>
          </w:rPr>
          <w:fldChar w:fldCharType="begin"/>
        </w:r>
        <w:r w:rsidR="00E2694E">
          <w:rPr>
            <w:noProof/>
            <w:webHidden/>
          </w:rPr>
          <w:instrText xml:space="preserve"> PAGEREF _Toc113523055 \h </w:instrText>
        </w:r>
        <w:r w:rsidR="00E2694E">
          <w:rPr>
            <w:noProof/>
            <w:webHidden/>
          </w:rPr>
        </w:r>
        <w:r w:rsidR="00E2694E">
          <w:rPr>
            <w:noProof/>
            <w:webHidden/>
          </w:rPr>
          <w:fldChar w:fldCharType="separate"/>
        </w:r>
        <w:r w:rsidR="00E2694E">
          <w:rPr>
            <w:noProof/>
            <w:webHidden/>
          </w:rPr>
          <w:t>26</w:t>
        </w:r>
        <w:r w:rsidR="00E2694E">
          <w:rPr>
            <w:noProof/>
            <w:webHidden/>
          </w:rPr>
          <w:fldChar w:fldCharType="end"/>
        </w:r>
      </w:hyperlink>
    </w:p>
    <w:p w14:paraId="4FF5B4E0" w14:textId="58D38DEE" w:rsidR="00E2694E" w:rsidRDefault="00653E38">
      <w:pPr>
        <w:pStyle w:val="TOC3"/>
        <w:rPr>
          <w:rFonts w:eastAsiaTheme="minorEastAsia" w:cstheme="minorBidi"/>
          <w:i w:val="0"/>
          <w:iCs w:val="0"/>
          <w:noProof/>
          <w:sz w:val="22"/>
          <w:szCs w:val="22"/>
          <w:lang w:val="en-NZ" w:eastAsia="en-NZ" w:bidi="ar-SA"/>
        </w:rPr>
      </w:pPr>
      <w:hyperlink w:anchor="_Toc113523056" w:history="1">
        <w:r w:rsidR="00E2694E" w:rsidRPr="005179BF">
          <w:rPr>
            <w:rStyle w:val="Hyperlink"/>
            <w:noProof/>
          </w:rPr>
          <w:t>3.3.2</w:t>
        </w:r>
        <w:r w:rsidR="00E2694E">
          <w:rPr>
            <w:rFonts w:eastAsiaTheme="minorEastAsia" w:cstheme="minorBidi"/>
            <w:i w:val="0"/>
            <w:iCs w:val="0"/>
            <w:noProof/>
            <w:sz w:val="22"/>
            <w:szCs w:val="22"/>
            <w:lang w:val="en-NZ" w:eastAsia="en-NZ" w:bidi="ar-SA"/>
          </w:rPr>
          <w:tab/>
        </w:r>
        <w:r w:rsidR="00E2694E" w:rsidRPr="005179BF">
          <w:rPr>
            <w:rStyle w:val="Hyperlink"/>
            <w:noProof/>
          </w:rPr>
          <w:t xml:space="preserve">Approach to estimating dietary intakes of </w:t>
        </w:r>
        <w:r w:rsidR="00E2694E" w:rsidRPr="005179BF">
          <w:rPr>
            <w:rStyle w:val="Hyperlink"/>
            <w:rFonts w:cs="Arial"/>
            <w:noProof/>
          </w:rPr>
          <w:t>bLf </w:t>
        </w:r>
        <w:r w:rsidR="00E2694E">
          <w:rPr>
            <w:noProof/>
            <w:webHidden/>
          </w:rPr>
          <w:tab/>
        </w:r>
        <w:r w:rsidR="00E2694E">
          <w:rPr>
            <w:noProof/>
            <w:webHidden/>
          </w:rPr>
          <w:fldChar w:fldCharType="begin"/>
        </w:r>
        <w:r w:rsidR="00E2694E">
          <w:rPr>
            <w:noProof/>
            <w:webHidden/>
          </w:rPr>
          <w:instrText xml:space="preserve"> PAGEREF _Toc113523056 \h </w:instrText>
        </w:r>
        <w:r w:rsidR="00E2694E">
          <w:rPr>
            <w:noProof/>
            <w:webHidden/>
          </w:rPr>
        </w:r>
        <w:r w:rsidR="00E2694E">
          <w:rPr>
            <w:noProof/>
            <w:webHidden/>
          </w:rPr>
          <w:fldChar w:fldCharType="separate"/>
        </w:r>
        <w:r w:rsidR="00E2694E">
          <w:rPr>
            <w:noProof/>
            <w:webHidden/>
          </w:rPr>
          <w:t>26</w:t>
        </w:r>
        <w:r w:rsidR="00E2694E">
          <w:rPr>
            <w:noProof/>
            <w:webHidden/>
          </w:rPr>
          <w:fldChar w:fldCharType="end"/>
        </w:r>
      </w:hyperlink>
    </w:p>
    <w:p w14:paraId="2028C70D" w14:textId="0C8CA0B8" w:rsidR="00E2694E" w:rsidRDefault="00653E38">
      <w:pPr>
        <w:pStyle w:val="TOC3"/>
        <w:rPr>
          <w:rFonts w:eastAsiaTheme="minorEastAsia" w:cstheme="minorBidi"/>
          <w:i w:val="0"/>
          <w:iCs w:val="0"/>
          <w:noProof/>
          <w:sz w:val="22"/>
          <w:szCs w:val="22"/>
          <w:lang w:val="en-NZ" w:eastAsia="en-NZ" w:bidi="ar-SA"/>
        </w:rPr>
      </w:pPr>
      <w:hyperlink w:anchor="_Toc113523057" w:history="1">
        <w:r w:rsidR="00E2694E" w:rsidRPr="005179BF">
          <w:rPr>
            <w:rStyle w:val="Hyperlink"/>
            <w:noProof/>
          </w:rPr>
          <w:t>3.3.3</w:t>
        </w:r>
        <w:r w:rsidR="00E2694E">
          <w:rPr>
            <w:rFonts w:eastAsiaTheme="minorEastAsia" w:cstheme="minorBidi"/>
            <w:i w:val="0"/>
            <w:iCs w:val="0"/>
            <w:noProof/>
            <w:sz w:val="22"/>
            <w:szCs w:val="22"/>
            <w:lang w:val="en-NZ" w:eastAsia="en-NZ" w:bidi="ar-SA"/>
          </w:rPr>
          <w:tab/>
        </w:r>
        <w:r w:rsidR="00E2694E" w:rsidRPr="005179BF">
          <w:rPr>
            <w:rStyle w:val="Hyperlink"/>
            <w:noProof/>
          </w:rPr>
          <w:t>Estimated dietary intakes </w:t>
        </w:r>
        <w:r w:rsidR="00E2694E">
          <w:rPr>
            <w:noProof/>
            <w:webHidden/>
          </w:rPr>
          <w:tab/>
        </w:r>
        <w:r w:rsidR="00E2694E">
          <w:rPr>
            <w:noProof/>
            <w:webHidden/>
          </w:rPr>
          <w:fldChar w:fldCharType="begin"/>
        </w:r>
        <w:r w:rsidR="00E2694E">
          <w:rPr>
            <w:noProof/>
            <w:webHidden/>
          </w:rPr>
          <w:instrText xml:space="preserve"> PAGEREF _Toc113523057 \h </w:instrText>
        </w:r>
        <w:r w:rsidR="00E2694E">
          <w:rPr>
            <w:noProof/>
            <w:webHidden/>
          </w:rPr>
        </w:r>
        <w:r w:rsidR="00E2694E">
          <w:rPr>
            <w:noProof/>
            <w:webHidden/>
          </w:rPr>
          <w:fldChar w:fldCharType="separate"/>
        </w:r>
        <w:r w:rsidR="00E2694E">
          <w:rPr>
            <w:noProof/>
            <w:webHidden/>
          </w:rPr>
          <w:t>30</w:t>
        </w:r>
        <w:r w:rsidR="00E2694E">
          <w:rPr>
            <w:noProof/>
            <w:webHidden/>
          </w:rPr>
          <w:fldChar w:fldCharType="end"/>
        </w:r>
      </w:hyperlink>
    </w:p>
    <w:p w14:paraId="5768F0BF" w14:textId="13BC8870" w:rsidR="00E2694E" w:rsidRDefault="00653E38">
      <w:pPr>
        <w:pStyle w:val="TOC3"/>
        <w:rPr>
          <w:rFonts w:eastAsiaTheme="minorEastAsia" w:cstheme="minorBidi"/>
          <w:i w:val="0"/>
          <w:iCs w:val="0"/>
          <w:noProof/>
          <w:sz w:val="22"/>
          <w:szCs w:val="22"/>
          <w:lang w:val="en-NZ" w:eastAsia="en-NZ" w:bidi="ar-SA"/>
        </w:rPr>
      </w:pPr>
      <w:hyperlink w:anchor="_Toc113523058" w:history="1">
        <w:r w:rsidR="00E2694E" w:rsidRPr="005179BF">
          <w:rPr>
            <w:rStyle w:val="Hyperlink"/>
            <w:noProof/>
          </w:rPr>
          <w:t>3.3.6</w:t>
        </w:r>
        <w:r w:rsidR="00E2694E">
          <w:rPr>
            <w:rFonts w:eastAsiaTheme="minorEastAsia" w:cstheme="minorBidi"/>
            <w:i w:val="0"/>
            <w:iCs w:val="0"/>
            <w:noProof/>
            <w:sz w:val="22"/>
            <w:szCs w:val="22"/>
            <w:lang w:val="en-NZ" w:eastAsia="en-NZ" w:bidi="ar-SA"/>
          </w:rPr>
          <w:tab/>
        </w:r>
        <w:r w:rsidR="00E2694E" w:rsidRPr="005179BF">
          <w:rPr>
            <w:rStyle w:val="Hyperlink"/>
            <w:rFonts w:cs="Arial"/>
            <w:noProof/>
          </w:rPr>
          <w:t>Conclusion </w:t>
        </w:r>
        <w:r w:rsidR="00E2694E">
          <w:rPr>
            <w:noProof/>
            <w:webHidden/>
          </w:rPr>
          <w:tab/>
        </w:r>
        <w:r w:rsidR="00E2694E">
          <w:rPr>
            <w:noProof/>
            <w:webHidden/>
          </w:rPr>
          <w:fldChar w:fldCharType="begin"/>
        </w:r>
        <w:r w:rsidR="00E2694E">
          <w:rPr>
            <w:noProof/>
            <w:webHidden/>
          </w:rPr>
          <w:instrText xml:space="preserve"> PAGEREF _Toc113523058 \h </w:instrText>
        </w:r>
        <w:r w:rsidR="00E2694E">
          <w:rPr>
            <w:noProof/>
            <w:webHidden/>
          </w:rPr>
        </w:r>
        <w:r w:rsidR="00E2694E">
          <w:rPr>
            <w:noProof/>
            <w:webHidden/>
          </w:rPr>
          <w:fldChar w:fldCharType="separate"/>
        </w:r>
        <w:r w:rsidR="00E2694E">
          <w:rPr>
            <w:noProof/>
            <w:webHidden/>
          </w:rPr>
          <w:t>31</w:t>
        </w:r>
        <w:r w:rsidR="00E2694E">
          <w:rPr>
            <w:noProof/>
            <w:webHidden/>
          </w:rPr>
          <w:fldChar w:fldCharType="end"/>
        </w:r>
      </w:hyperlink>
    </w:p>
    <w:p w14:paraId="6FE8C3F9" w14:textId="4F27D139" w:rsidR="00E2694E" w:rsidRDefault="00653E38">
      <w:pPr>
        <w:pStyle w:val="TOC1"/>
        <w:rPr>
          <w:rFonts w:eastAsiaTheme="minorEastAsia" w:cstheme="minorBidi"/>
          <w:b w:val="0"/>
          <w:bCs w:val="0"/>
          <w:caps w:val="0"/>
          <w:noProof/>
          <w:sz w:val="22"/>
          <w:szCs w:val="22"/>
          <w:lang w:val="en-NZ" w:eastAsia="en-NZ" w:bidi="ar-SA"/>
        </w:rPr>
      </w:pPr>
      <w:hyperlink w:anchor="_Toc113523059" w:history="1">
        <w:r w:rsidR="00E2694E" w:rsidRPr="005179BF">
          <w:rPr>
            <w:rStyle w:val="Hyperlink"/>
            <w:rFonts w:eastAsia="Arial" w:cs="Arial"/>
            <w:noProof/>
          </w:rPr>
          <w:t>4</w:t>
        </w:r>
        <w:r w:rsidR="00E2694E">
          <w:rPr>
            <w:rFonts w:eastAsiaTheme="minorEastAsia" w:cstheme="minorBidi"/>
            <w:b w:val="0"/>
            <w:bCs w:val="0"/>
            <w:caps w:val="0"/>
            <w:noProof/>
            <w:sz w:val="22"/>
            <w:szCs w:val="22"/>
            <w:lang w:val="en-NZ" w:eastAsia="en-NZ" w:bidi="ar-SA"/>
          </w:rPr>
          <w:tab/>
        </w:r>
        <w:r w:rsidR="00E2694E" w:rsidRPr="005179BF">
          <w:rPr>
            <w:rStyle w:val="Hyperlink"/>
            <w:rFonts w:eastAsia="Arial" w:cs="Arial"/>
            <w:noProof/>
          </w:rPr>
          <w:t>Nutrition assessment</w:t>
        </w:r>
        <w:r w:rsidR="00E2694E">
          <w:rPr>
            <w:noProof/>
            <w:webHidden/>
          </w:rPr>
          <w:tab/>
        </w:r>
        <w:r w:rsidR="00E2694E">
          <w:rPr>
            <w:noProof/>
            <w:webHidden/>
          </w:rPr>
          <w:fldChar w:fldCharType="begin"/>
        </w:r>
        <w:r w:rsidR="00E2694E">
          <w:rPr>
            <w:noProof/>
            <w:webHidden/>
          </w:rPr>
          <w:instrText xml:space="preserve"> PAGEREF _Toc113523059 \h </w:instrText>
        </w:r>
        <w:r w:rsidR="00E2694E">
          <w:rPr>
            <w:noProof/>
            <w:webHidden/>
          </w:rPr>
        </w:r>
        <w:r w:rsidR="00E2694E">
          <w:rPr>
            <w:noProof/>
            <w:webHidden/>
          </w:rPr>
          <w:fldChar w:fldCharType="separate"/>
        </w:r>
        <w:r w:rsidR="00E2694E">
          <w:rPr>
            <w:noProof/>
            <w:webHidden/>
          </w:rPr>
          <w:t>31</w:t>
        </w:r>
        <w:r w:rsidR="00E2694E">
          <w:rPr>
            <w:noProof/>
            <w:webHidden/>
          </w:rPr>
          <w:fldChar w:fldCharType="end"/>
        </w:r>
      </w:hyperlink>
    </w:p>
    <w:p w14:paraId="4FB31992" w14:textId="654C2F27" w:rsidR="00E2694E" w:rsidRDefault="00653E38">
      <w:pPr>
        <w:pStyle w:val="TOC2"/>
        <w:rPr>
          <w:rFonts w:eastAsiaTheme="minorEastAsia" w:cstheme="minorBidi"/>
          <w:smallCaps w:val="0"/>
          <w:noProof/>
          <w:sz w:val="22"/>
          <w:szCs w:val="22"/>
          <w:lang w:val="en-NZ" w:eastAsia="en-NZ" w:bidi="ar-SA"/>
        </w:rPr>
      </w:pPr>
      <w:hyperlink w:anchor="_Toc113523060" w:history="1">
        <w:r w:rsidR="00E2694E" w:rsidRPr="005179BF">
          <w:rPr>
            <w:rStyle w:val="Hyperlink"/>
            <w:rFonts w:eastAsia="Arial"/>
            <w:noProof/>
          </w:rPr>
          <w:t>4.1</w:t>
        </w:r>
        <w:r w:rsidR="00E2694E">
          <w:rPr>
            <w:rFonts w:eastAsiaTheme="minorEastAsia" w:cstheme="minorBidi"/>
            <w:smallCaps w:val="0"/>
            <w:noProof/>
            <w:sz w:val="22"/>
            <w:szCs w:val="22"/>
            <w:lang w:val="en-NZ" w:eastAsia="en-NZ" w:bidi="ar-SA"/>
          </w:rPr>
          <w:tab/>
        </w:r>
        <w:r w:rsidR="00E2694E" w:rsidRPr="005179BF">
          <w:rPr>
            <w:rStyle w:val="Hyperlink"/>
            <w:rFonts w:eastAsia="Arial"/>
            <w:noProof/>
          </w:rPr>
          <w:t>Background</w:t>
        </w:r>
        <w:r w:rsidR="00E2694E">
          <w:rPr>
            <w:noProof/>
            <w:webHidden/>
          </w:rPr>
          <w:tab/>
        </w:r>
        <w:r w:rsidR="00E2694E">
          <w:rPr>
            <w:noProof/>
            <w:webHidden/>
          </w:rPr>
          <w:fldChar w:fldCharType="begin"/>
        </w:r>
        <w:r w:rsidR="00E2694E">
          <w:rPr>
            <w:noProof/>
            <w:webHidden/>
          </w:rPr>
          <w:instrText xml:space="preserve"> PAGEREF _Toc113523060 \h </w:instrText>
        </w:r>
        <w:r w:rsidR="00E2694E">
          <w:rPr>
            <w:noProof/>
            <w:webHidden/>
          </w:rPr>
        </w:r>
        <w:r w:rsidR="00E2694E">
          <w:rPr>
            <w:noProof/>
            <w:webHidden/>
          </w:rPr>
          <w:fldChar w:fldCharType="separate"/>
        </w:r>
        <w:r w:rsidR="00E2694E">
          <w:rPr>
            <w:noProof/>
            <w:webHidden/>
          </w:rPr>
          <w:t>31</w:t>
        </w:r>
        <w:r w:rsidR="00E2694E">
          <w:rPr>
            <w:noProof/>
            <w:webHidden/>
          </w:rPr>
          <w:fldChar w:fldCharType="end"/>
        </w:r>
      </w:hyperlink>
    </w:p>
    <w:p w14:paraId="24E8E875" w14:textId="0CC96DCC" w:rsidR="00E2694E" w:rsidRDefault="00653E38">
      <w:pPr>
        <w:pStyle w:val="TOC3"/>
        <w:rPr>
          <w:rFonts w:eastAsiaTheme="minorEastAsia" w:cstheme="minorBidi"/>
          <w:i w:val="0"/>
          <w:iCs w:val="0"/>
          <w:noProof/>
          <w:sz w:val="22"/>
          <w:szCs w:val="22"/>
          <w:lang w:val="en-NZ" w:eastAsia="en-NZ" w:bidi="ar-SA"/>
        </w:rPr>
      </w:pPr>
      <w:hyperlink w:anchor="_Toc113523061" w:history="1">
        <w:r w:rsidR="00E2694E" w:rsidRPr="005179BF">
          <w:rPr>
            <w:rStyle w:val="Hyperlink"/>
            <w:rFonts w:eastAsia="Arial"/>
            <w:noProof/>
          </w:rPr>
          <w:t>4.1.1</w:t>
        </w:r>
        <w:r w:rsidR="00E2694E">
          <w:rPr>
            <w:rFonts w:eastAsiaTheme="minorEastAsia" w:cstheme="minorBidi"/>
            <w:i w:val="0"/>
            <w:iCs w:val="0"/>
            <w:noProof/>
            <w:sz w:val="22"/>
            <w:szCs w:val="22"/>
            <w:lang w:val="en-NZ" w:eastAsia="en-NZ" w:bidi="ar-SA"/>
          </w:rPr>
          <w:tab/>
        </w:r>
        <w:r w:rsidR="00E2694E" w:rsidRPr="005179BF">
          <w:rPr>
            <w:rStyle w:val="Hyperlink"/>
            <w:rFonts w:eastAsia="Arial"/>
            <w:noProof/>
          </w:rPr>
          <w:t>Lactoferrin function</w:t>
        </w:r>
        <w:r w:rsidR="00E2694E">
          <w:rPr>
            <w:noProof/>
            <w:webHidden/>
          </w:rPr>
          <w:tab/>
        </w:r>
        <w:r w:rsidR="00E2694E">
          <w:rPr>
            <w:noProof/>
            <w:webHidden/>
          </w:rPr>
          <w:fldChar w:fldCharType="begin"/>
        </w:r>
        <w:r w:rsidR="00E2694E">
          <w:rPr>
            <w:noProof/>
            <w:webHidden/>
          </w:rPr>
          <w:instrText xml:space="preserve"> PAGEREF _Toc113523061 \h </w:instrText>
        </w:r>
        <w:r w:rsidR="00E2694E">
          <w:rPr>
            <w:noProof/>
            <w:webHidden/>
          </w:rPr>
        </w:r>
        <w:r w:rsidR="00E2694E">
          <w:rPr>
            <w:noProof/>
            <w:webHidden/>
          </w:rPr>
          <w:fldChar w:fldCharType="separate"/>
        </w:r>
        <w:r w:rsidR="00E2694E">
          <w:rPr>
            <w:noProof/>
            <w:webHidden/>
          </w:rPr>
          <w:t>31</w:t>
        </w:r>
        <w:r w:rsidR="00E2694E">
          <w:rPr>
            <w:noProof/>
            <w:webHidden/>
          </w:rPr>
          <w:fldChar w:fldCharType="end"/>
        </w:r>
      </w:hyperlink>
    </w:p>
    <w:p w14:paraId="162A91FE" w14:textId="61643808" w:rsidR="00E2694E" w:rsidRDefault="00653E38">
      <w:pPr>
        <w:pStyle w:val="TOC3"/>
        <w:rPr>
          <w:rFonts w:eastAsiaTheme="minorEastAsia" w:cstheme="minorBidi"/>
          <w:i w:val="0"/>
          <w:iCs w:val="0"/>
          <w:noProof/>
          <w:sz w:val="22"/>
          <w:szCs w:val="22"/>
          <w:lang w:val="en-NZ" w:eastAsia="en-NZ" w:bidi="ar-SA"/>
        </w:rPr>
      </w:pPr>
      <w:hyperlink w:anchor="_Toc113523062" w:history="1">
        <w:r w:rsidR="00E2694E" w:rsidRPr="005179BF">
          <w:rPr>
            <w:rStyle w:val="Hyperlink"/>
            <w:rFonts w:eastAsia="Arial"/>
            <w:noProof/>
          </w:rPr>
          <w:t>4.1.2</w:t>
        </w:r>
        <w:r w:rsidR="00E2694E">
          <w:rPr>
            <w:rFonts w:eastAsiaTheme="minorEastAsia" w:cstheme="minorBidi"/>
            <w:i w:val="0"/>
            <w:iCs w:val="0"/>
            <w:noProof/>
            <w:sz w:val="22"/>
            <w:szCs w:val="22"/>
            <w:lang w:val="en-NZ" w:eastAsia="en-NZ" w:bidi="ar-SA"/>
          </w:rPr>
          <w:tab/>
        </w:r>
        <w:r w:rsidR="00E2694E" w:rsidRPr="005179BF">
          <w:rPr>
            <w:rStyle w:val="Hyperlink"/>
            <w:rFonts w:eastAsia="Arial"/>
            <w:noProof/>
          </w:rPr>
          <w:t>Data requirements to assess nutrition-related outcomes</w:t>
        </w:r>
        <w:r w:rsidR="00E2694E">
          <w:rPr>
            <w:noProof/>
            <w:webHidden/>
          </w:rPr>
          <w:tab/>
        </w:r>
        <w:r w:rsidR="00E2694E">
          <w:rPr>
            <w:noProof/>
            <w:webHidden/>
          </w:rPr>
          <w:fldChar w:fldCharType="begin"/>
        </w:r>
        <w:r w:rsidR="00E2694E">
          <w:rPr>
            <w:noProof/>
            <w:webHidden/>
          </w:rPr>
          <w:instrText xml:space="preserve"> PAGEREF _Toc113523062 \h </w:instrText>
        </w:r>
        <w:r w:rsidR="00E2694E">
          <w:rPr>
            <w:noProof/>
            <w:webHidden/>
          </w:rPr>
        </w:r>
        <w:r w:rsidR="00E2694E">
          <w:rPr>
            <w:noProof/>
            <w:webHidden/>
          </w:rPr>
          <w:fldChar w:fldCharType="separate"/>
        </w:r>
        <w:r w:rsidR="00E2694E">
          <w:rPr>
            <w:noProof/>
            <w:webHidden/>
          </w:rPr>
          <w:t>31</w:t>
        </w:r>
        <w:r w:rsidR="00E2694E">
          <w:rPr>
            <w:noProof/>
            <w:webHidden/>
          </w:rPr>
          <w:fldChar w:fldCharType="end"/>
        </w:r>
      </w:hyperlink>
    </w:p>
    <w:p w14:paraId="7A2F8DAB" w14:textId="5E443CA4" w:rsidR="00E2694E" w:rsidRDefault="00653E38">
      <w:pPr>
        <w:pStyle w:val="TOC2"/>
        <w:rPr>
          <w:rFonts w:eastAsiaTheme="minorEastAsia" w:cstheme="minorBidi"/>
          <w:smallCaps w:val="0"/>
          <w:noProof/>
          <w:sz w:val="22"/>
          <w:szCs w:val="22"/>
          <w:lang w:val="en-NZ" w:eastAsia="en-NZ" w:bidi="ar-SA"/>
        </w:rPr>
      </w:pPr>
      <w:hyperlink w:anchor="_Toc113523063" w:history="1">
        <w:r w:rsidR="00E2694E" w:rsidRPr="005179BF">
          <w:rPr>
            <w:rStyle w:val="Hyperlink"/>
            <w:rFonts w:eastAsia="Arial"/>
            <w:noProof/>
          </w:rPr>
          <w:t>4.2</w:t>
        </w:r>
        <w:r w:rsidR="00E2694E">
          <w:rPr>
            <w:rFonts w:eastAsiaTheme="minorEastAsia" w:cstheme="minorBidi"/>
            <w:smallCaps w:val="0"/>
            <w:noProof/>
            <w:sz w:val="22"/>
            <w:szCs w:val="22"/>
            <w:lang w:val="en-NZ" w:eastAsia="en-NZ" w:bidi="ar-SA"/>
          </w:rPr>
          <w:tab/>
        </w:r>
        <w:r w:rsidR="00E2694E" w:rsidRPr="005179BF">
          <w:rPr>
            <w:rStyle w:val="Hyperlink"/>
            <w:rFonts w:eastAsia="Arial"/>
            <w:noProof/>
          </w:rPr>
          <w:t>Effect on growth and development</w:t>
        </w:r>
        <w:r w:rsidR="00E2694E">
          <w:rPr>
            <w:noProof/>
            <w:webHidden/>
          </w:rPr>
          <w:tab/>
        </w:r>
        <w:r w:rsidR="00E2694E">
          <w:rPr>
            <w:noProof/>
            <w:webHidden/>
          </w:rPr>
          <w:fldChar w:fldCharType="begin"/>
        </w:r>
        <w:r w:rsidR="00E2694E">
          <w:rPr>
            <w:noProof/>
            <w:webHidden/>
          </w:rPr>
          <w:instrText xml:space="preserve"> PAGEREF _Toc113523063 \h </w:instrText>
        </w:r>
        <w:r w:rsidR="00E2694E">
          <w:rPr>
            <w:noProof/>
            <w:webHidden/>
          </w:rPr>
        </w:r>
        <w:r w:rsidR="00E2694E">
          <w:rPr>
            <w:noProof/>
            <w:webHidden/>
          </w:rPr>
          <w:fldChar w:fldCharType="separate"/>
        </w:r>
        <w:r w:rsidR="00E2694E">
          <w:rPr>
            <w:noProof/>
            <w:webHidden/>
          </w:rPr>
          <w:t>32</w:t>
        </w:r>
        <w:r w:rsidR="00E2694E">
          <w:rPr>
            <w:noProof/>
            <w:webHidden/>
          </w:rPr>
          <w:fldChar w:fldCharType="end"/>
        </w:r>
      </w:hyperlink>
    </w:p>
    <w:p w14:paraId="0D5AD581" w14:textId="700EC2DA" w:rsidR="00E2694E" w:rsidRDefault="00653E38">
      <w:pPr>
        <w:pStyle w:val="TOC3"/>
        <w:rPr>
          <w:rFonts w:eastAsiaTheme="minorEastAsia" w:cstheme="minorBidi"/>
          <w:i w:val="0"/>
          <w:iCs w:val="0"/>
          <w:noProof/>
          <w:sz w:val="22"/>
          <w:szCs w:val="22"/>
          <w:lang w:val="en-NZ" w:eastAsia="en-NZ" w:bidi="ar-SA"/>
        </w:rPr>
      </w:pPr>
      <w:hyperlink w:anchor="_Toc113523064" w:history="1">
        <w:r w:rsidR="00E2694E" w:rsidRPr="005179BF">
          <w:rPr>
            <w:rStyle w:val="Hyperlink"/>
            <w:rFonts w:eastAsia="Arial"/>
            <w:noProof/>
          </w:rPr>
          <w:t>4.2.1</w:t>
        </w:r>
        <w:r w:rsidR="00E2694E">
          <w:rPr>
            <w:rFonts w:eastAsiaTheme="minorEastAsia" w:cstheme="minorBidi"/>
            <w:i w:val="0"/>
            <w:iCs w:val="0"/>
            <w:noProof/>
            <w:sz w:val="22"/>
            <w:szCs w:val="22"/>
            <w:lang w:val="en-NZ" w:eastAsia="en-NZ" w:bidi="ar-SA"/>
          </w:rPr>
          <w:tab/>
        </w:r>
        <w:r w:rsidR="00E2694E" w:rsidRPr="005179BF">
          <w:rPr>
            <w:rStyle w:val="Hyperlink"/>
            <w:rFonts w:eastAsia="Arial"/>
            <w:noProof/>
          </w:rPr>
          <w:t>Objectives</w:t>
        </w:r>
        <w:r w:rsidR="00E2694E">
          <w:rPr>
            <w:noProof/>
            <w:webHidden/>
          </w:rPr>
          <w:tab/>
        </w:r>
        <w:r w:rsidR="00E2694E">
          <w:rPr>
            <w:noProof/>
            <w:webHidden/>
          </w:rPr>
          <w:fldChar w:fldCharType="begin"/>
        </w:r>
        <w:r w:rsidR="00E2694E">
          <w:rPr>
            <w:noProof/>
            <w:webHidden/>
          </w:rPr>
          <w:instrText xml:space="preserve"> PAGEREF _Toc113523064 \h </w:instrText>
        </w:r>
        <w:r w:rsidR="00E2694E">
          <w:rPr>
            <w:noProof/>
            <w:webHidden/>
          </w:rPr>
        </w:r>
        <w:r w:rsidR="00E2694E">
          <w:rPr>
            <w:noProof/>
            <w:webHidden/>
          </w:rPr>
          <w:fldChar w:fldCharType="separate"/>
        </w:r>
        <w:r w:rsidR="00E2694E">
          <w:rPr>
            <w:noProof/>
            <w:webHidden/>
          </w:rPr>
          <w:t>32</w:t>
        </w:r>
        <w:r w:rsidR="00E2694E">
          <w:rPr>
            <w:noProof/>
            <w:webHidden/>
          </w:rPr>
          <w:fldChar w:fldCharType="end"/>
        </w:r>
      </w:hyperlink>
    </w:p>
    <w:p w14:paraId="70BD7D6B" w14:textId="4CB20C09" w:rsidR="00E2694E" w:rsidRDefault="00653E38">
      <w:pPr>
        <w:pStyle w:val="TOC3"/>
        <w:rPr>
          <w:rFonts w:eastAsiaTheme="minorEastAsia" w:cstheme="minorBidi"/>
          <w:i w:val="0"/>
          <w:iCs w:val="0"/>
          <w:noProof/>
          <w:sz w:val="22"/>
          <w:szCs w:val="22"/>
          <w:lang w:val="en-NZ" w:eastAsia="en-NZ" w:bidi="ar-SA"/>
        </w:rPr>
      </w:pPr>
      <w:hyperlink w:anchor="_Toc113523065" w:history="1">
        <w:r w:rsidR="00E2694E" w:rsidRPr="005179BF">
          <w:rPr>
            <w:rStyle w:val="Hyperlink"/>
            <w:rFonts w:eastAsia="Arial"/>
            <w:noProof/>
          </w:rPr>
          <w:t>4.2.2</w:t>
        </w:r>
        <w:r w:rsidR="00E2694E">
          <w:rPr>
            <w:rFonts w:eastAsiaTheme="minorEastAsia" w:cstheme="minorBidi"/>
            <w:i w:val="0"/>
            <w:iCs w:val="0"/>
            <w:noProof/>
            <w:sz w:val="22"/>
            <w:szCs w:val="22"/>
            <w:lang w:val="en-NZ" w:eastAsia="en-NZ" w:bidi="ar-SA"/>
          </w:rPr>
          <w:tab/>
        </w:r>
        <w:r w:rsidR="00E2694E" w:rsidRPr="005179BF">
          <w:rPr>
            <w:rStyle w:val="Hyperlink"/>
            <w:rFonts w:eastAsia="Arial"/>
            <w:noProof/>
          </w:rPr>
          <w:t>Methods and results</w:t>
        </w:r>
        <w:r w:rsidR="00E2694E">
          <w:rPr>
            <w:noProof/>
            <w:webHidden/>
          </w:rPr>
          <w:tab/>
        </w:r>
        <w:r w:rsidR="00E2694E">
          <w:rPr>
            <w:noProof/>
            <w:webHidden/>
          </w:rPr>
          <w:fldChar w:fldCharType="begin"/>
        </w:r>
        <w:r w:rsidR="00E2694E">
          <w:rPr>
            <w:noProof/>
            <w:webHidden/>
          </w:rPr>
          <w:instrText xml:space="preserve"> PAGEREF _Toc113523065 \h </w:instrText>
        </w:r>
        <w:r w:rsidR="00E2694E">
          <w:rPr>
            <w:noProof/>
            <w:webHidden/>
          </w:rPr>
        </w:r>
        <w:r w:rsidR="00E2694E">
          <w:rPr>
            <w:noProof/>
            <w:webHidden/>
          </w:rPr>
          <w:fldChar w:fldCharType="separate"/>
        </w:r>
        <w:r w:rsidR="00E2694E">
          <w:rPr>
            <w:noProof/>
            <w:webHidden/>
          </w:rPr>
          <w:t>32</w:t>
        </w:r>
        <w:r w:rsidR="00E2694E">
          <w:rPr>
            <w:noProof/>
            <w:webHidden/>
          </w:rPr>
          <w:fldChar w:fldCharType="end"/>
        </w:r>
      </w:hyperlink>
    </w:p>
    <w:p w14:paraId="30815D9F" w14:textId="68C55D93" w:rsidR="00E2694E" w:rsidRDefault="00653E38">
      <w:pPr>
        <w:pStyle w:val="TOC3"/>
        <w:rPr>
          <w:rFonts w:eastAsiaTheme="minorEastAsia" w:cstheme="minorBidi"/>
          <w:i w:val="0"/>
          <w:iCs w:val="0"/>
          <w:noProof/>
          <w:sz w:val="22"/>
          <w:szCs w:val="22"/>
          <w:lang w:val="en-NZ" w:eastAsia="en-NZ" w:bidi="ar-SA"/>
        </w:rPr>
      </w:pPr>
      <w:hyperlink w:anchor="_Toc113523066" w:history="1">
        <w:r w:rsidR="00E2694E" w:rsidRPr="005179BF">
          <w:rPr>
            <w:rStyle w:val="Hyperlink"/>
            <w:rFonts w:eastAsia="Arial"/>
            <w:noProof/>
          </w:rPr>
          <w:t>4.2.3</w:t>
        </w:r>
        <w:r w:rsidR="00E2694E">
          <w:rPr>
            <w:rFonts w:eastAsiaTheme="minorEastAsia" w:cstheme="minorBidi"/>
            <w:i w:val="0"/>
            <w:iCs w:val="0"/>
            <w:noProof/>
            <w:sz w:val="22"/>
            <w:szCs w:val="22"/>
            <w:lang w:val="en-NZ" w:eastAsia="en-NZ" w:bidi="ar-SA"/>
          </w:rPr>
          <w:tab/>
        </w:r>
        <w:r w:rsidR="00E2694E" w:rsidRPr="005179BF">
          <w:rPr>
            <w:rStyle w:val="Hyperlink"/>
            <w:rFonts w:eastAsia="Arial"/>
            <w:noProof/>
            <w:lang w:val="en-AU"/>
          </w:rPr>
          <w:t>Selected excluded studies’ findings</w:t>
        </w:r>
        <w:r w:rsidR="00E2694E">
          <w:rPr>
            <w:noProof/>
            <w:webHidden/>
          </w:rPr>
          <w:tab/>
        </w:r>
        <w:r w:rsidR="00E2694E">
          <w:rPr>
            <w:noProof/>
            <w:webHidden/>
          </w:rPr>
          <w:fldChar w:fldCharType="begin"/>
        </w:r>
        <w:r w:rsidR="00E2694E">
          <w:rPr>
            <w:noProof/>
            <w:webHidden/>
          </w:rPr>
          <w:instrText xml:space="preserve"> PAGEREF _Toc113523066 \h </w:instrText>
        </w:r>
        <w:r w:rsidR="00E2694E">
          <w:rPr>
            <w:noProof/>
            <w:webHidden/>
          </w:rPr>
        </w:r>
        <w:r w:rsidR="00E2694E">
          <w:rPr>
            <w:noProof/>
            <w:webHidden/>
          </w:rPr>
          <w:fldChar w:fldCharType="separate"/>
        </w:r>
        <w:r w:rsidR="00E2694E">
          <w:rPr>
            <w:noProof/>
            <w:webHidden/>
          </w:rPr>
          <w:t>33</w:t>
        </w:r>
        <w:r w:rsidR="00E2694E">
          <w:rPr>
            <w:noProof/>
            <w:webHidden/>
          </w:rPr>
          <w:fldChar w:fldCharType="end"/>
        </w:r>
      </w:hyperlink>
    </w:p>
    <w:p w14:paraId="6DF15807" w14:textId="50DF7808" w:rsidR="00E2694E" w:rsidRDefault="00653E38">
      <w:pPr>
        <w:pStyle w:val="TOC2"/>
        <w:rPr>
          <w:rFonts w:eastAsiaTheme="minorEastAsia" w:cstheme="minorBidi"/>
          <w:smallCaps w:val="0"/>
          <w:noProof/>
          <w:sz w:val="22"/>
          <w:szCs w:val="22"/>
          <w:lang w:val="en-NZ" w:eastAsia="en-NZ" w:bidi="ar-SA"/>
        </w:rPr>
      </w:pPr>
      <w:hyperlink w:anchor="_Toc113523067" w:history="1">
        <w:r w:rsidR="00E2694E" w:rsidRPr="005179BF">
          <w:rPr>
            <w:rStyle w:val="Hyperlink"/>
            <w:rFonts w:eastAsia="Arial"/>
            <w:noProof/>
          </w:rPr>
          <w:t>4.3</w:t>
        </w:r>
        <w:r w:rsidR="00E2694E">
          <w:rPr>
            <w:rFonts w:eastAsiaTheme="minorEastAsia" w:cstheme="minorBidi"/>
            <w:smallCaps w:val="0"/>
            <w:noProof/>
            <w:sz w:val="22"/>
            <w:szCs w:val="22"/>
            <w:lang w:val="en-NZ" w:eastAsia="en-NZ" w:bidi="ar-SA"/>
          </w:rPr>
          <w:tab/>
        </w:r>
        <w:r w:rsidR="00E2694E" w:rsidRPr="005179BF">
          <w:rPr>
            <w:rStyle w:val="Hyperlink"/>
            <w:rFonts w:eastAsia="Arial"/>
            <w:noProof/>
          </w:rPr>
          <w:t>Bioavailability of bovine versus human lactoferrin</w:t>
        </w:r>
        <w:r w:rsidR="00E2694E">
          <w:rPr>
            <w:noProof/>
            <w:webHidden/>
          </w:rPr>
          <w:tab/>
        </w:r>
        <w:r w:rsidR="00E2694E">
          <w:rPr>
            <w:noProof/>
            <w:webHidden/>
          </w:rPr>
          <w:fldChar w:fldCharType="begin"/>
        </w:r>
        <w:r w:rsidR="00E2694E">
          <w:rPr>
            <w:noProof/>
            <w:webHidden/>
          </w:rPr>
          <w:instrText xml:space="preserve"> PAGEREF _Toc113523067 \h </w:instrText>
        </w:r>
        <w:r w:rsidR="00E2694E">
          <w:rPr>
            <w:noProof/>
            <w:webHidden/>
          </w:rPr>
        </w:r>
        <w:r w:rsidR="00E2694E">
          <w:rPr>
            <w:noProof/>
            <w:webHidden/>
          </w:rPr>
          <w:fldChar w:fldCharType="separate"/>
        </w:r>
        <w:r w:rsidR="00E2694E">
          <w:rPr>
            <w:noProof/>
            <w:webHidden/>
          </w:rPr>
          <w:t>39</w:t>
        </w:r>
        <w:r w:rsidR="00E2694E">
          <w:rPr>
            <w:noProof/>
            <w:webHidden/>
          </w:rPr>
          <w:fldChar w:fldCharType="end"/>
        </w:r>
      </w:hyperlink>
    </w:p>
    <w:p w14:paraId="5ECAF861" w14:textId="5BC16256" w:rsidR="00E2694E" w:rsidRDefault="00653E38">
      <w:pPr>
        <w:pStyle w:val="TOC3"/>
        <w:rPr>
          <w:rFonts w:eastAsiaTheme="minorEastAsia" w:cstheme="minorBidi"/>
          <w:i w:val="0"/>
          <w:iCs w:val="0"/>
          <w:noProof/>
          <w:sz w:val="22"/>
          <w:szCs w:val="22"/>
          <w:lang w:val="en-NZ" w:eastAsia="en-NZ" w:bidi="ar-SA"/>
        </w:rPr>
      </w:pPr>
      <w:hyperlink w:anchor="_Toc113523068" w:history="1">
        <w:r w:rsidR="00E2694E" w:rsidRPr="005179BF">
          <w:rPr>
            <w:rStyle w:val="Hyperlink"/>
            <w:rFonts w:eastAsia="Arial"/>
            <w:noProof/>
          </w:rPr>
          <w:t>4.3.1</w:t>
        </w:r>
        <w:r w:rsidR="00E2694E">
          <w:rPr>
            <w:rFonts w:eastAsiaTheme="minorEastAsia" w:cstheme="minorBidi"/>
            <w:i w:val="0"/>
            <w:iCs w:val="0"/>
            <w:noProof/>
            <w:sz w:val="22"/>
            <w:szCs w:val="22"/>
            <w:lang w:val="en-NZ" w:eastAsia="en-NZ" w:bidi="ar-SA"/>
          </w:rPr>
          <w:tab/>
        </w:r>
        <w:r w:rsidR="00E2694E" w:rsidRPr="005179BF">
          <w:rPr>
            <w:rStyle w:val="Hyperlink"/>
            <w:rFonts w:eastAsia="Arial"/>
            <w:noProof/>
          </w:rPr>
          <w:t>Objective</w:t>
        </w:r>
        <w:r w:rsidR="00E2694E">
          <w:rPr>
            <w:noProof/>
            <w:webHidden/>
          </w:rPr>
          <w:tab/>
        </w:r>
        <w:r w:rsidR="00E2694E">
          <w:rPr>
            <w:noProof/>
            <w:webHidden/>
          </w:rPr>
          <w:fldChar w:fldCharType="begin"/>
        </w:r>
        <w:r w:rsidR="00E2694E">
          <w:rPr>
            <w:noProof/>
            <w:webHidden/>
          </w:rPr>
          <w:instrText xml:space="preserve"> PAGEREF _Toc113523068 \h </w:instrText>
        </w:r>
        <w:r w:rsidR="00E2694E">
          <w:rPr>
            <w:noProof/>
            <w:webHidden/>
          </w:rPr>
        </w:r>
        <w:r w:rsidR="00E2694E">
          <w:rPr>
            <w:noProof/>
            <w:webHidden/>
          </w:rPr>
          <w:fldChar w:fldCharType="separate"/>
        </w:r>
        <w:r w:rsidR="00E2694E">
          <w:rPr>
            <w:noProof/>
            <w:webHidden/>
          </w:rPr>
          <w:t>39</w:t>
        </w:r>
        <w:r w:rsidR="00E2694E">
          <w:rPr>
            <w:noProof/>
            <w:webHidden/>
          </w:rPr>
          <w:fldChar w:fldCharType="end"/>
        </w:r>
      </w:hyperlink>
    </w:p>
    <w:p w14:paraId="2BA79A8C" w14:textId="34583FCA" w:rsidR="00E2694E" w:rsidRDefault="00653E38">
      <w:pPr>
        <w:pStyle w:val="TOC3"/>
        <w:rPr>
          <w:rFonts w:eastAsiaTheme="minorEastAsia" w:cstheme="minorBidi"/>
          <w:i w:val="0"/>
          <w:iCs w:val="0"/>
          <w:noProof/>
          <w:sz w:val="22"/>
          <w:szCs w:val="22"/>
          <w:lang w:val="en-NZ" w:eastAsia="en-NZ" w:bidi="ar-SA"/>
        </w:rPr>
      </w:pPr>
      <w:hyperlink w:anchor="_Toc113523069" w:history="1">
        <w:r w:rsidR="00E2694E" w:rsidRPr="005179BF">
          <w:rPr>
            <w:rStyle w:val="Hyperlink"/>
            <w:rFonts w:eastAsia="Arial"/>
            <w:noProof/>
          </w:rPr>
          <w:t>4.3.2</w:t>
        </w:r>
        <w:r w:rsidR="00E2694E">
          <w:rPr>
            <w:rFonts w:eastAsiaTheme="minorEastAsia" w:cstheme="minorBidi"/>
            <w:i w:val="0"/>
            <w:iCs w:val="0"/>
            <w:noProof/>
            <w:sz w:val="22"/>
            <w:szCs w:val="22"/>
            <w:lang w:val="en-NZ" w:eastAsia="en-NZ" w:bidi="ar-SA"/>
          </w:rPr>
          <w:tab/>
        </w:r>
        <w:r w:rsidR="00E2694E" w:rsidRPr="005179BF">
          <w:rPr>
            <w:rStyle w:val="Hyperlink"/>
            <w:rFonts w:eastAsia="Arial"/>
            <w:noProof/>
          </w:rPr>
          <w:t>Methods and results</w:t>
        </w:r>
        <w:r w:rsidR="00E2694E">
          <w:rPr>
            <w:noProof/>
            <w:webHidden/>
          </w:rPr>
          <w:tab/>
        </w:r>
        <w:r w:rsidR="00E2694E">
          <w:rPr>
            <w:noProof/>
            <w:webHidden/>
          </w:rPr>
          <w:fldChar w:fldCharType="begin"/>
        </w:r>
        <w:r w:rsidR="00E2694E">
          <w:rPr>
            <w:noProof/>
            <w:webHidden/>
          </w:rPr>
          <w:instrText xml:space="preserve"> PAGEREF _Toc113523069 \h </w:instrText>
        </w:r>
        <w:r w:rsidR="00E2694E">
          <w:rPr>
            <w:noProof/>
            <w:webHidden/>
          </w:rPr>
        </w:r>
        <w:r w:rsidR="00E2694E">
          <w:rPr>
            <w:noProof/>
            <w:webHidden/>
          </w:rPr>
          <w:fldChar w:fldCharType="separate"/>
        </w:r>
        <w:r w:rsidR="00E2694E">
          <w:rPr>
            <w:noProof/>
            <w:webHidden/>
          </w:rPr>
          <w:t>39</w:t>
        </w:r>
        <w:r w:rsidR="00E2694E">
          <w:rPr>
            <w:noProof/>
            <w:webHidden/>
          </w:rPr>
          <w:fldChar w:fldCharType="end"/>
        </w:r>
      </w:hyperlink>
    </w:p>
    <w:p w14:paraId="57E0C99F" w14:textId="1A90A50A" w:rsidR="00E2694E" w:rsidRDefault="00653E38">
      <w:pPr>
        <w:pStyle w:val="TOC3"/>
        <w:rPr>
          <w:rFonts w:eastAsiaTheme="minorEastAsia" w:cstheme="minorBidi"/>
          <w:i w:val="0"/>
          <w:iCs w:val="0"/>
          <w:noProof/>
          <w:sz w:val="22"/>
          <w:szCs w:val="22"/>
          <w:lang w:val="en-NZ" w:eastAsia="en-NZ" w:bidi="ar-SA"/>
        </w:rPr>
      </w:pPr>
      <w:hyperlink w:anchor="_Toc113523070" w:history="1">
        <w:r w:rsidR="00E2694E" w:rsidRPr="005179BF">
          <w:rPr>
            <w:rStyle w:val="Hyperlink"/>
            <w:rFonts w:eastAsia="Arial"/>
            <w:noProof/>
          </w:rPr>
          <w:t>4.3.3</w:t>
        </w:r>
        <w:r w:rsidR="00E2694E">
          <w:rPr>
            <w:rFonts w:eastAsiaTheme="minorEastAsia" w:cstheme="minorBidi"/>
            <w:i w:val="0"/>
            <w:iCs w:val="0"/>
            <w:noProof/>
            <w:sz w:val="22"/>
            <w:szCs w:val="22"/>
            <w:lang w:val="en-NZ" w:eastAsia="en-NZ" w:bidi="ar-SA"/>
          </w:rPr>
          <w:tab/>
        </w:r>
        <w:r w:rsidR="00E2694E" w:rsidRPr="005179BF">
          <w:rPr>
            <w:rStyle w:val="Hyperlink"/>
            <w:rFonts w:eastAsia="Arial"/>
            <w:noProof/>
            <w:lang w:val="en-AU"/>
          </w:rPr>
          <w:t>Selected excluded studies’ findings</w:t>
        </w:r>
        <w:r w:rsidR="00E2694E">
          <w:rPr>
            <w:noProof/>
            <w:webHidden/>
          </w:rPr>
          <w:tab/>
        </w:r>
        <w:r w:rsidR="00E2694E">
          <w:rPr>
            <w:noProof/>
            <w:webHidden/>
          </w:rPr>
          <w:fldChar w:fldCharType="begin"/>
        </w:r>
        <w:r w:rsidR="00E2694E">
          <w:rPr>
            <w:noProof/>
            <w:webHidden/>
          </w:rPr>
          <w:instrText xml:space="preserve"> PAGEREF _Toc113523070 \h </w:instrText>
        </w:r>
        <w:r w:rsidR="00E2694E">
          <w:rPr>
            <w:noProof/>
            <w:webHidden/>
          </w:rPr>
        </w:r>
        <w:r w:rsidR="00E2694E">
          <w:rPr>
            <w:noProof/>
            <w:webHidden/>
          </w:rPr>
          <w:fldChar w:fldCharType="separate"/>
        </w:r>
        <w:r w:rsidR="00E2694E">
          <w:rPr>
            <w:noProof/>
            <w:webHidden/>
          </w:rPr>
          <w:t>39</w:t>
        </w:r>
        <w:r w:rsidR="00E2694E">
          <w:rPr>
            <w:noProof/>
            <w:webHidden/>
          </w:rPr>
          <w:fldChar w:fldCharType="end"/>
        </w:r>
      </w:hyperlink>
    </w:p>
    <w:p w14:paraId="65A3ADA7" w14:textId="6380E9BB" w:rsidR="00E2694E" w:rsidRDefault="00653E38">
      <w:pPr>
        <w:pStyle w:val="TOC2"/>
        <w:rPr>
          <w:rFonts w:eastAsiaTheme="minorEastAsia" w:cstheme="minorBidi"/>
          <w:smallCaps w:val="0"/>
          <w:noProof/>
          <w:sz w:val="22"/>
          <w:szCs w:val="22"/>
          <w:lang w:val="en-NZ" w:eastAsia="en-NZ" w:bidi="ar-SA"/>
        </w:rPr>
      </w:pPr>
      <w:hyperlink w:anchor="_Toc113523071" w:history="1">
        <w:r w:rsidR="00E2694E" w:rsidRPr="005179BF">
          <w:rPr>
            <w:rStyle w:val="Hyperlink"/>
            <w:rFonts w:eastAsia="Arial"/>
            <w:noProof/>
          </w:rPr>
          <w:t>4.4</w:t>
        </w:r>
        <w:r w:rsidR="00E2694E">
          <w:rPr>
            <w:rFonts w:eastAsiaTheme="minorEastAsia" w:cstheme="minorBidi"/>
            <w:smallCaps w:val="0"/>
            <w:noProof/>
            <w:sz w:val="22"/>
            <w:szCs w:val="22"/>
            <w:lang w:val="en-NZ" w:eastAsia="en-NZ" w:bidi="ar-SA"/>
          </w:rPr>
          <w:tab/>
        </w:r>
        <w:r w:rsidR="00E2694E" w:rsidRPr="005179BF">
          <w:rPr>
            <w:rStyle w:val="Hyperlink"/>
            <w:rFonts w:eastAsia="Arial"/>
            <w:noProof/>
          </w:rPr>
          <w:t>The effect of bovine versus human lactoferrin on nutrient bioavailability</w:t>
        </w:r>
        <w:r w:rsidR="00E2694E">
          <w:rPr>
            <w:noProof/>
            <w:webHidden/>
          </w:rPr>
          <w:tab/>
        </w:r>
        <w:r w:rsidR="00E2694E">
          <w:rPr>
            <w:noProof/>
            <w:webHidden/>
          </w:rPr>
          <w:fldChar w:fldCharType="begin"/>
        </w:r>
        <w:r w:rsidR="00E2694E">
          <w:rPr>
            <w:noProof/>
            <w:webHidden/>
          </w:rPr>
          <w:instrText xml:space="preserve"> PAGEREF _Toc113523071 \h </w:instrText>
        </w:r>
        <w:r w:rsidR="00E2694E">
          <w:rPr>
            <w:noProof/>
            <w:webHidden/>
          </w:rPr>
        </w:r>
        <w:r w:rsidR="00E2694E">
          <w:rPr>
            <w:noProof/>
            <w:webHidden/>
          </w:rPr>
          <w:fldChar w:fldCharType="separate"/>
        </w:r>
        <w:r w:rsidR="00E2694E">
          <w:rPr>
            <w:noProof/>
            <w:webHidden/>
          </w:rPr>
          <w:t>39</w:t>
        </w:r>
        <w:r w:rsidR="00E2694E">
          <w:rPr>
            <w:noProof/>
            <w:webHidden/>
          </w:rPr>
          <w:fldChar w:fldCharType="end"/>
        </w:r>
      </w:hyperlink>
    </w:p>
    <w:p w14:paraId="5349D827" w14:textId="7BC46E8C" w:rsidR="00E2694E" w:rsidRDefault="00653E38">
      <w:pPr>
        <w:pStyle w:val="TOC3"/>
        <w:rPr>
          <w:rFonts w:eastAsiaTheme="minorEastAsia" w:cstheme="minorBidi"/>
          <w:i w:val="0"/>
          <w:iCs w:val="0"/>
          <w:noProof/>
          <w:sz w:val="22"/>
          <w:szCs w:val="22"/>
          <w:lang w:val="en-NZ" w:eastAsia="en-NZ" w:bidi="ar-SA"/>
        </w:rPr>
      </w:pPr>
      <w:hyperlink w:anchor="_Toc113523072" w:history="1">
        <w:r w:rsidR="00E2694E" w:rsidRPr="005179BF">
          <w:rPr>
            <w:rStyle w:val="Hyperlink"/>
            <w:rFonts w:eastAsia="Arial"/>
            <w:noProof/>
          </w:rPr>
          <w:t>4.4.1</w:t>
        </w:r>
        <w:r w:rsidR="00E2694E">
          <w:rPr>
            <w:rFonts w:eastAsiaTheme="minorEastAsia" w:cstheme="minorBidi"/>
            <w:i w:val="0"/>
            <w:iCs w:val="0"/>
            <w:noProof/>
            <w:sz w:val="22"/>
            <w:szCs w:val="22"/>
            <w:lang w:val="en-NZ" w:eastAsia="en-NZ" w:bidi="ar-SA"/>
          </w:rPr>
          <w:tab/>
        </w:r>
        <w:r w:rsidR="00E2694E" w:rsidRPr="005179BF">
          <w:rPr>
            <w:rStyle w:val="Hyperlink"/>
            <w:rFonts w:eastAsia="Arial"/>
            <w:noProof/>
          </w:rPr>
          <w:t>Objective</w:t>
        </w:r>
        <w:r w:rsidR="00E2694E">
          <w:rPr>
            <w:noProof/>
            <w:webHidden/>
          </w:rPr>
          <w:tab/>
        </w:r>
        <w:r w:rsidR="00E2694E">
          <w:rPr>
            <w:noProof/>
            <w:webHidden/>
          </w:rPr>
          <w:fldChar w:fldCharType="begin"/>
        </w:r>
        <w:r w:rsidR="00E2694E">
          <w:rPr>
            <w:noProof/>
            <w:webHidden/>
          </w:rPr>
          <w:instrText xml:space="preserve"> PAGEREF _Toc113523072 \h </w:instrText>
        </w:r>
        <w:r w:rsidR="00E2694E">
          <w:rPr>
            <w:noProof/>
            <w:webHidden/>
          </w:rPr>
        </w:r>
        <w:r w:rsidR="00E2694E">
          <w:rPr>
            <w:noProof/>
            <w:webHidden/>
          </w:rPr>
          <w:fldChar w:fldCharType="separate"/>
        </w:r>
        <w:r w:rsidR="00E2694E">
          <w:rPr>
            <w:noProof/>
            <w:webHidden/>
          </w:rPr>
          <w:t>39</w:t>
        </w:r>
        <w:r w:rsidR="00E2694E">
          <w:rPr>
            <w:noProof/>
            <w:webHidden/>
          </w:rPr>
          <w:fldChar w:fldCharType="end"/>
        </w:r>
      </w:hyperlink>
    </w:p>
    <w:p w14:paraId="52F62D01" w14:textId="7420A760" w:rsidR="00E2694E" w:rsidRDefault="00653E38">
      <w:pPr>
        <w:pStyle w:val="TOC3"/>
        <w:rPr>
          <w:rFonts w:eastAsiaTheme="minorEastAsia" w:cstheme="minorBidi"/>
          <w:i w:val="0"/>
          <w:iCs w:val="0"/>
          <w:noProof/>
          <w:sz w:val="22"/>
          <w:szCs w:val="22"/>
          <w:lang w:val="en-NZ" w:eastAsia="en-NZ" w:bidi="ar-SA"/>
        </w:rPr>
      </w:pPr>
      <w:hyperlink w:anchor="_Toc113523073" w:history="1">
        <w:r w:rsidR="00E2694E" w:rsidRPr="005179BF">
          <w:rPr>
            <w:rStyle w:val="Hyperlink"/>
            <w:rFonts w:eastAsia="Arial"/>
            <w:noProof/>
          </w:rPr>
          <w:t>4.4.2</w:t>
        </w:r>
        <w:r w:rsidR="00E2694E">
          <w:rPr>
            <w:rFonts w:eastAsiaTheme="minorEastAsia" w:cstheme="minorBidi"/>
            <w:i w:val="0"/>
            <w:iCs w:val="0"/>
            <w:noProof/>
            <w:sz w:val="22"/>
            <w:szCs w:val="22"/>
            <w:lang w:val="en-NZ" w:eastAsia="en-NZ" w:bidi="ar-SA"/>
          </w:rPr>
          <w:tab/>
        </w:r>
        <w:r w:rsidR="00E2694E" w:rsidRPr="005179BF">
          <w:rPr>
            <w:rStyle w:val="Hyperlink"/>
            <w:rFonts w:eastAsia="Arial"/>
            <w:noProof/>
          </w:rPr>
          <w:t>Methods and results</w:t>
        </w:r>
        <w:r w:rsidR="00E2694E">
          <w:rPr>
            <w:noProof/>
            <w:webHidden/>
          </w:rPr>
          <w:tab/>
        </w:r>
        <w:r w:rsidR="00E2694E">
          <w:rPr>
            <w:noProof/>
            <w:webHidden/>
          </w:rPr>
          <w:fldChar w:fldCharType="begin"/>
        </w:r>
        <w:r w:rsidR="00E2694E">
          <w:rPr>
            <w:noProof/>
            <w:webHidden/>
          </w:rPr>
          <w:instrText xml:space="preserve"> PAGEREF _Toc113523073 \h </w:instrText>
        </w:r>
        <w:r w:rsidR="00E2694E">
          <w:rPr>
            <w:noProof/>
            <w:webHidden/>
          </w:rPr>
        </w:r>
        <w:r w:rsidR="00E2694E">
          <w:rPr>
            <w:noProof/>
            <w:webHidden/>
          </w:rPr>
          <w:fldChar w:fldCharType="separate"/>
        </w:r>
        <w:r w:rsidR="00E2694E">
          <w:rPr>
            <w:noProof/>
            <w:webHidden/>
          </w:rPr>
          <w:t>40</w:t>
        </w:r>
        <w:r w:rsidR="00E2694E">
          <w:rPr>
            <w:noProof/>
            <w:webHidden/>
          </w:rPr>
          <w:fldChar w:fldCharType="end"/>
        </w:r>
      </w:hyperlink>
    </w:p>
    <w:p w14:paraId="49295B3A" w14:textId="378ACB43" w:rsidR="00E2694E" w:rsidRDefault="00653E38">
      <w:pPr>
        <w:pStyle w:val="TOC3"/>
        <w:rPr>
          <w:rFonts w:eastAsiaTheme="minorEastAsia" w:cstheme="minorBidi"/>
          <w:i w:val="0"/>
          <w:iCs w:val="0"/>
          <w:noProof/>
          <w:sz w:val="22"/>
          <w:szCs w:val="22"/>
          <w:lang w:val="en-NZ" w:eastAsia="en-NZ" w:bidi="ar-SA"/>
        </w:rPr>
      </w:pPr>
      <w:hyperlink w:anchor="_Toc113523074" w:history="1">
        <w:r w:rsidR="00E2694E" w:rsidRPr="005179BF">
          <w:rPr>
            <w:rStyle w:val="Hyperlink"/>
            <w:rFonts w:eastAsia="Arial"/>
            <w:noProof/>
          </w:rPr>
          <w:t>4.4.3</w:t>
        </w:r>
        <w:r w:rsidR="00E2694E">
          <w:rPr>
            <w:rFonts w:eastAsiaTheme="minorEastAsia" w:cstheme="minorBidi"/>
            <w:i w:val="0"/>
            <w:iCs w:val="0"/>
            <w:noProof/>
            <w:sz w:val="22"/>
            <w:szCs w:val="22"/>
            <w:lang w:val="en-NZ" w:eastAsia="en-NZ" w:bidi="ar-SA"/>
          </w:rPr>
          <w:tab/>
        </w:r>
        <w:r w:rsidR="00E2694E" w:rsidRPr="005179BF">
          <w:rPr>
            <w:rStyle w:val="Hyperlink"/>
            <w:rFonts w:eastAsia="Arial"/>
            <w:noProof/>
            <w:lang w:val="en-AU"/>
          </w:rPr>
          <w:t>Selected excluded studies’ findings</w:t>
        </w:r>
        <w:r w:rsidR="00E2694E">
          <w:rPr>
            <w:noProof/>
            <w:webHidden/>
          </w:rPr>
          <w:tab/>
        </w:r>
        <w:r w:rsidR="00E2694E">
          <w:rPr>
            <w:noProof/>
            <w:webHidden/>
          </w:rPr>
          <w:fldChar w:fldCharType="begin"/>
        </w:r>
        <w:r w:rsidR="00E2694E">
          <w:rPr>
            <w:noProof/>
            <w:webHidden/>
          </w:rPr>
          <w:instrText xml:space="preserve"> PAGEREF _Toc113523074 \h </w:instrText>
        </w:r>
        <w:r w:rsidR="00E2694E">
          <w:rPr>
            <w:noProof/>
            <w:webHidden/>
          </w:rPr>
        </w:r>
        <w:r w:rsidR="00E2694E">
          <w:rPr>
            <w:noProof/>
            <w:webHidden/>
          </w:rPr>
          <w:fldChar w:fldCharType="separate"/>
        </w:r>
        <w:r w:rsidR="00E2694E">
          <w:rPr>
            <w:noProof/>
            <w:webHidden/>
          </w:rPr>
          <w:t>40</w:t>
        </w:r>
        <w:r w:rsidR="00E2694E">
          <w:rPr>
            <w:noProof/>
            <w:webHidden/>
          </w:rPr>
          <w:fldChar w:fldCharType="end"/>
        </w:r>
      </w:hyperlink>
    </w:p>
    <w:p w14:paraId="529D8E12" w14:textId="6A17D32C" w:rsidR="00E2694E" w:rsidRDefault="00653E38">
      <w:pPr>
        <w:pStyle w:val="TOC2"/>
        <w:rPr>
          <w:rFonts w:eastAsiaTheme="minorEastAsia" w:cstheme="minorBidi"/>
          <w:smallCaps w:val="0"/>
          <w:noProof/>
          <w:sz w:val="22"/>
          <w:szCs w:val="22"/>
          <w:lang w:val="en-NZ" w:eastAsia="en-NZ" w:bidi="ar-SA"/>
        </w:rPr>
      </w:pPr>
      <w:hyperlink w:anchor="_Toc113523075" w:history="1">
        <w:r w:rsidR="00E2694E" w:rsidRPr="005179BF">
          <w:rPr>
            <w:rStyle w:val="Hyperlink"/>
            <w:rFonts w:eastAsia="Arial"/>
            <w:noProof/>
          </w:rPr>
          <w:t>4.5</w:t>
        </w:r>
        <w:r w:rsidR="00E2694E">
          <w:rPr>
            <w:rFonts w:eastAsiaTheme="minorEastAsia" w:cstheme="minorBidi"/>
            <w:smallCaps w:val="0"/>
            <w:noProof/>
            <w:sz w:val="22"/>
            <w:szCs w:val="22"/>
            <w:lang w:val="en-NZ" w:eastAsia="en-NZ" w:bidi="ar-SA"/>
          </w:rPr>
          <w:tab/>
        </w:r>
        <w:r w:rsidR="00E2694E" w:rsidRPr="005179BF">
          <w:rPr>
            <w:rStyle w:val="Hyperlink"/>
            <w:rFonts w:eastAsia="Arial"/>
            <w:noProof/>
          </w:rPr>
          <w:t>Discussion and conclusion</w:t>
        </w:r>
        <w:r w:rsidR="00E2694E">
          <w:rPr>
            <w:noProof/>
            <w:webHidden/>
          </w:rPr>
          <w:tab/>
        </w:r>
        <w:r w:rsidR="00E2694E">
          <w:rPr>
            <w:noProof/>
            <w:webHidden/>
          </w:rPr>
          <w:fldChar w:fldCharType="begin"/>
        </w:r>
        <w:r w:rsidR="00E2694E">
          <w:rPr>
            <w:noProof/>
            <w:webHidden/>
          </w:rPr>
          <w:instrText xml:space="preserve"> PAGEREF _Toc113523075 \h </w:instrText>
        </w:r>
        <w:r w:rsidR="00E2694E">
          <w:rPr>
            <w:noProof/>
            <w:webHidden/>
          </w:rPr>
        </w:r>
        <w:r w:rsidR="00E2694E">
          <w:rPr>
            <w:noProof/>
            <w:webHidden/>
          </w:rPr>
          <w:fldChar w:fldCharType="separate"/>
        </w:r>
        <w:r w:rsidR="00E2694E">
          <w:rPr>
            <w:noProof/>
            <w:webHidden/>
          </w:rPr>
          <w:t>40</w:t>
        </w:r>
        <w:r w:rsidR="00E2694E">
          <w:rPr>
            <w:noProof/>
            <w:webHidden/>
          </w:rPr>
          <w:fldChar w:fldCharType="end"/>
        </w:r>
      </w:hyperlink>
    </w:p>
    <w:p w14:paraId="016025C1" w14:textId="6A1FBA01" w:rsidR="00E2694E" w:rsidRDefault="00653E38">
      <w:pPr>
        <w:pStyle w:val="TOC1"/>
        <w:rPr>
          <w:rFonts w:eastAsiaTheme="minorEastAsia" w:cstheme="minorBidi"/>
          <w:b w:val="0"/>
          <w:bCs w:val="0"/>
          <w:caps w:val="0"/>
          <w:noProof/>
          <w:sz w:val="22"/>
          <w:szCs w:val="22"/>
          <w:lang w:val="en-NZ" w:eastAsia="en-NZ" w:bidi="ar-SA"/>
        </w:rPr>
      </w:pPr>
      <w:hyperlink w:anchor="_Toc113523076" w:history="1">
        <w:r w:rsidR="00E2694E" w:rsidRPr="005179BF">
          <w:rPr>
            <w:rStyle w:val="Hyperlink"/>
            <w:noProof/>
          </w:rPr>
          <w:t>5</w:t>
        </w:r>
        <w:r w:rsidR="00E2694E">
          <w:rPr>
            <w:rFonts w:eastAsiaTheme="minorEastAsia" w:cstheme="minorBidi"/>
            <w:b w:val="0"/>
            <w:bCs w:val="0"/>
            <w:caps w:val="0"/>
            <w:noProof/>
            <w:sz w:val="22"/>
            <w:szCs w:val="22"/>
            <w:lang w:val="en-NZ" w:eastAsia="en-NZ" w:bidi="ar-SA"/>
          </w:rPr>
          <w:tab/>
        </w:r>
        <w:r w:rsidR="00E2694E" w:rsidRPr="005179BF">
          <w:rPr>
            <w:rStyle w:val="Hyperlink"/>
            <w:noProof/>
          </w:rPr>
          <w:t>Beneficial health effects assessment</w:t>
        </w:r>
        <w:r w:rsidR="00E2694E">
          <w:rPr>
            <w:noProof/>
            <w:webHidden/>
          </w:rPr>
          <w:tab/>
        </w:r>
        <w:r w:rsidR="00E2694E">
          <w:rPr>
            <w:noProof/>
            <w:webHidden/>
          </w:rPr>
          <w:fldChar w:fldCharType="begin"/>
        </w:r>
        <w:r w:rsidR="00E2694E">
          <w:rPr>
            <w:noProof/>
            <w:webHidden/>
          </w:rPr>
          <w:instrText xml:space="preserve"> PAGEREF _Toc113523076 \h </w:instrText>
        </w:r>
        <w:r w:rsidR="00E2694E">
          <w:rPr>
            <w:noProof/>
            <w:webHidden/>
          </w:rPr>
        </w:r>
        <w:r w:rsidR="00E2694E">
          <w:rPr>
            <w:noProof/>
            <w:webHidden/>
          </w:rPr>
          <w:fldChar w:fldCharType="separate"/>
        </w:r>
        <w:r w:rsidR="00E2694E">
          <w:rPr>
            <w:noProof/>
            <w:webHidden/>
          </w:rPr>
          <w:t>41</w:t>
        </w:r>
        <w:r w:rsidR="00E2694E">
          <w:rPr>
            <w:noProof/>
            <w:webHidden/>
          </w:rPr>
          <w:fldChar w:fldCharType="end"/>
        </w:r>
      </w:hyperlink>
    </w:p>
    <w:p w14:paraId="60950F17" w14:textId="6F60CCBC" w:rsidR="00E2694E" w:rsidRDefault="00653E38">
      <w:pPr>
        <w:pStyle w:val="TOC2"/>
        <w:rPr>
          <w:rFonts w:eastAsiaTheme="minorEastAsia" w:cstheme="minorBidi"/>
          <w:smallCaps w:val="0"/>
          <w:noProof/>
          <w:sz w:val="22"/>
          <w:szCs w:val="22"/>
          <w:lang w:val="en-NZ" w:eastAsia="en-NZ" w:bidi="ar-SA"/>
        </w:rPr>
      </w:pPr>
      <w:hyperlink w:anchor="_Toc113523077" w:history="1">
        <w:r w:rsidR="00E2694E" w:rsidRPr="005179BF">
          <w:rPr>
            <w:rStyle w:val="Hyperlink"/>
            <w:noProof/>
          </w:rPr>
          <w:t>5.1</w:t>
        </w:r>
        <w:r w:rsidR="00E2694E">
          <w:rPr>
            <w:rFonts w:eastAsiaTheme="minorEastAsia" w:cstheme="minorBidi"/>
            <w:smallCaps w:val="0"/>
            <w:noProof/>
            <w:sz w:val="22"/>
            <w:szCs w:val="22"/>
            <w:lang w:val="en-NZ" w:eastAsia="en-NZ" w:bidi="ar-SA"/>
          </w:rPr>
          <w:tab/>
        </w:r>
        <w:r w:rsidR="00E2694E" w:rsidRPr="005179BF">
          <w:rPr>
            <w:rStyle w:val="Hyperlink"/>
            <w:noProof/>
          </w:rPr>
          <w:t>Antibacterial and/or bacteriostatic effects</w:t>
        </w:r>
        <w:r w:rsidR="00E2694E">
          <w:rPr>
            <w:noProof/>
            <w:webHidden/>
          </w:rPr>
          <w:tab/>
        </w:r>
        <w:r w:rsidR="00E2694E">
          <w:rPr>
            <w:noProof/>
            <w:webHidden/>
          </w:rPr>
          <w:fldChar w:fldCharType="begin"/>
        </w:r>
        <w:r w:rsidR="00E2694E">
          <w:rPr>
            <w:noProof/>
            <w:webHidden/>
          </w:rPr>
          <w:instrText xml:space="preserve"> PAGEREF _Toc113523077 \h </w:instrText>
        </w:r>
        <w:r w:rsidR="00E2694E">
          <w:rPr>
            <w:noProof/>
            <w:webHidden/>
          </w:rPr>
        </w:r>
        <w:r w:rsidR="00E2694E">
          <w:rPr>
            <w:noProof/>
            <w:webHidden/>
          </w:rPr>
          <w:fldChar w:fldCharType="separate"/>
        </w:r>
        <w:r w:rsidR="00E2694E">
          <w:rPr>
            <w:noProof/>
            <w:webHidden/>
          </w:rPr>
          <w:t>42</w:t>
        </w:r>
        <w:r w:rsidR="00E2694E">
          <w:rPr>
            <w:noProof/>
            <w:webHidden/>
          </w:rPr>
          <w:fldChar w:fldCharType="end"/>
        </w:r>
      </w:hyperlink>
    </w:p>
    <w:p w14:paraId="5170C51D" w14:textId="083AF631" w:rsidR="00E2694E" w:rsidRDefault="00653E38">
      <w:pPr>
        <w:pStyle w:val="TOC2"/>
        <w:rPr>
          <w:rFonts w:eastAsiaTheme="minorEastAsia" w:cstheme="minorBidi"/>
          <w:smallCaps w:val="0"/>
          <w:noProof/>
          <w:sz w:val="22"/>
          <w:szCs w:val="22"/>
          <w:lang w:val="en-NZ" w:eastAsia="en-NZ" w:bidi="ar-SA"/>
        </w:rPr>
      </w:pPr>
      <w:hyperlink w:anchor="_Toc113523078" w:history="1">
        <w:r w:rsidR="00E2694E" w:rsidRPr="005179BF">
          <w:rPr>
            <w:rStyle w:val="Hyperlink"/>
            <w:noProof/>
          </w:rPr>
          <w:t>5.2</w:t>
        </w:r>
        <w:r w:rsidR="00E2694E">
          <w:rPr>
            <w:rFonts w:eastAsiaTheme="minorEastAsia" w:cstheme="minorBidi"/>
            <w:smallCaps w:val="0"/>
            <w:noProof/>
            <w:sz w:val="22"/>
            <w:szCs w:val="22"/>
            <w:lang w:val="en-NZ" w:eastAsia="en-NZ" w:bidi="ar-SA"/>
          </w:rPr>
          <w:tab/>
        </w:r>
        <w:r w:rsidR="00E2694E" w:rsidRPr="005179BF">
          <w:rPr>
            <w:rStyle w:val="Hyperlink"/>
            <w:noProof/>
          </w:rPr>
          <w:t>Anti-viral effect</w:t>
        </w:r>
        <w:r w:rsidR="00E2694E">
          <w:rPr>
            <w:noProof/>
            <w:webHidden/>
          </w:rPr>
          <w:tab/>
        </w:r>
        <w:r w:rsidR="00E2694E">
          <w:rPr>
            <w:noProof/>
            <w:webHidden/>
          </w:rPr>
          <w:fldChar w:fldCharType="begin"/>
        </w:r>
        <w:r w:rsidR="00E2694E">
          <w:rPr>
            <w:noProof/>
            <w:webHidden/>
          </w:rPr>
          <w:instrText xml:space="preserve"> PAGEREF _Toc113523078 \h </w:instrText>
        </w:r>
        <w:r w:rsidR="00E2694E">
          <w:rPr>
            <w:noProof/>
            <w:webHidden/>
          </w:rPr>
        </w:r>
        <w:r w:rsidR="00E2694E">
          <w:rPr>
            <w:noProof/>
            <w:webHidden/>
          </w:rPr>
          <w:fldChar w:fldCharType="separate"/>
        </w:r>
        <w:r w:rsidR="00E2694E">
          <w:rPr>
            <w:noProof/>
            <w:webHidden/>
          </w:rPr>
          <w:t>43</w:t>
        </w:r>
        <w:r w:rsidR="00E2694E">
          <w:rPr>
            <w:noProof/>
            <w:webHidden/>
          </w:rPr>
          <w:fldChar w:fldCharType="end"/>
        </w:r>
      </w:hyperlink>
    </w:p>
    <w:p w14:paraId="6E46D415" w14:textId="7527EB65" w:rsidR="00E2694E" w:rsidRDefault="00653E38">
      <w:pPr>
        <w:pStyle w:val="TOC2"/>
        <w:rPr>
          <w:rFonts w:eastAsiaTheme="minorEastAsia" w:cstheme="minorBidi"/>
          <w:smallCaps w:val="0"/>
          <w:noProof/>
          <w:sz w:val="22"/>
          <w:szCs w:val="22"/>
          <w:lang w:val="en-NZ" w:eastAsia="en-NZ" w:bidi="ar-SA"/>
        </w:rPr>
      </w:pPr>
      <w:hyperlink w:anchor="_Toc113523079" w:history="1">
        <w:r w:rsidR="00E2694E" w:rsidRPr="005179BF">
          <w:rPr>
            <w:rStyle w:val="Hyperlink"/>
            <w:noProof/>
          </w:rPr>
          <w:t>5.3</w:t>
        </w:r>
        <w:r w:rsidR="00E2694E">
          <w:rPr>
            <w:rFonts w:eastAsiaTheme="minorEastAsia" w:cstheme="minorBidi"/>
            <w:smallCaps w:val="0"/>
            <w:noProof/>
            <w:sz w:val="22"/>
            <w:szCs w:val="22"/>
            <w:lang w:val="en-NZ" w:eastAsia="en-NZ" w:bidi="ar-SA"/>
          </w:rPr>
          <w:tab/>
        </w:r>
        <w:r w:rsidR="00E2694E" w:rsidRPr="005179BF">
          <w:rPr>
            <w:rStyle w:val="Hyperlink"/>
            <w:noProof/>
          </w:rPr>
          <w:t>Immunomodulatory effect</w:t>
        </w:r>
        <w:r w:rsidR="00E2694E">
          <w:rPr>
            <w:noProof/>
            <w:webHidden/>
          </w:rPr>
          <w:tab/>
        </w:r>
        <w:r w:rsidR="00E2694E">
          <w:rPr>
            <w:noProof/>
            <w:webHidden/>
          </w:rPr>
          <w:fldChar w:fldCharType="begin"/>
        </w:r>
        <w:r w:rsidR="00E2694E">
          <w:rPr>
            <w:noProof/>
            <w:webHidden/>
          </w:rPr>
          <w:instrText xml:space="preserve"> PAGEREF _Toc113523079 \h </w:instrText>
        </w:r>
        <w:r w:rsidR="00E2694E">
          <w:rPr>
            <w:noProof/>
            <w:webHidden/>
          </w:rPr>
        </w:r>
        <w:r w:rsidR="00E2694E">
          <w:rPr>
            <w:noProof/>
            <w:webHidden/>
          </w:rPr>
          <w:fldChar w:fldCharType="separate"/>
        </w:r>
        <w:r w:rsidR="00E2694E">
          <w:rPr>
            <w:noProof/>
            <w:webHidden/>
          </w:rPr>
          <w:t>44</w:t>
        </w:r>
        <w:r w:rsidR="00E2694E">
          <w:rPr>
            <w:noProof/>
            <w:webHidden/>
          </w:rPr>
          <w:fldChar w:fldCharType="end"/>
        </w:r>
      </w:hyperlink>
    </w:p>
    <w:p w14:paraId="2E430EB5" w14:textId="72D64DEF" w:rsidR="00E2694E" w:rsidRDefault="00653E38">
      <w:pPr>
        <w:pStyle w:val="TOC2"/>
        <w:rPr>
          <w:rFonts w:eastAsiaTheme="minorEastAsia" w:cstheme="minorBidi"/>
          <w:smallCaps w:val="0"/>
          <w:noProof/>
          <w:sz w:val="22"/>
          <w:szCs w:val="22"/>
          <w:lang w:val="en-NZ" w:eastAsia="en-NZ" w:bidi="ar-SA"/>
        </w:rPr>
      </w:pPr>
      <w:hyperlink w:anchor="_Toc113523080" w:history="1">
        <w:r w:rsidR="00E2694E" w:rsidRPr="005179BF">
          <w:rPr>
            <w:rStyle w:val="Hyperlink"/>
            <w:noProof/>
          </w:rPr>
          <w:t>5.4</w:t>
        </w:r>
        <w:r w:rsidR="00E2694E">
          <w:rPr>
            <w:rFonts w:eastAsiaTheme="minorEastAsia" w:cstheme="minorBidi"/>
            <w:smallCaps w:val="0"/>
            <w:noProof/>
            <w:sz w:val="22"/>
            <w:szCs w:val="22"/>
            <w:lang w:val="en-NZ" w:eastAsia="en-NZ" w:bidi="ar-SA"/>
          </w:rPr>
          <w:tab/>
        </w:r>
        <w:r w:rsidR="00E2694E" w:rsidRPr="005179BF">
          <w:rPr>
            <w:rStyle w:val="Hyperlink"/>
            <w:noProof/>
          </w:rPr>
          <w:t>Reduced severity and duration of infection</w:t>
        </w:r>
        <w:r w:rsidR="00E2694E">
          <w:rPr>
            <w:noProof/>
            <w:webHidden/>
          </w:rPr>
          <w:tab/>
        </w:r>
        <w:r w:rsidR="00E2694E">
          <w:rPr>
            <w:noProof/>
            <w:webHidden/>
          </w:rPr>
          <w:fldChar w:fldCharType="begin"/>
        </w:r>
        <w:r w:rsidR="00E2694E">
          <w:rPr>
            <w:noProof/>
            <w:webHidden/>
          </w:rPr>
          <w:instrText xml:space="preserve"> PAGEREF _Toc113523080 \h </w:instrText>
        </w:r>
        <w:r w:rsidR="00E2694E">
          <w:rPr>
            <w:noProof/>
            <w:webHidden/>
          </w:rPr>
        </w:r>
        <w:r w:rsidR="00E2694E">
          <w:rPr>
            <w:noProof/>
            <w:webHidden/>
          </w:rPr>
          <w:fldChar w:fldCharType="separate"/>
        </w:r>
        <w:r w:rsidR="00E2694E">
          <w:rPr>
            <w:noProof/>
            <w:webHidden/>
          </w:rPr>
          <w:t>46</w:t>
        </w:r>
        <w:r w:rsidR="00E2694E">
          <w:rPr>
            <w:noProof/>
            <w:webHidden/>
          </w:rPr>
          <w:fldChar w:fldCharType="end"/>
        </w:r>
      </w:hyperlink>
    </w:p>
    <w:p w14:paraId="5D9810F1" w14:textId="46B0C7E6" w:rsidR="00E2694E" w:rsidRDefault="00653E38">
      <w:pPr>
        <w:pStyle w:val="TOC2"/>
        <w:rPr>
          <w:rFonts w:eastAsiaTheme="minorEastAsia" w:cstheme="minorBidi"/>
          <w:smallCaps w:val="0"/>
          <w:noProof/>
          <w:sz w:val="22"/>
          <w:szCs w:val="22"/>
          <w:lang w:val="en-NZ" w:eastAsia="en-NZ" w:bidi="ar-SA"/>
        </w:rPr>
      </w:pPr>
      <w:hyperlink w:anchor="_Toc113523081" w:history="1">
        <w:r w:rsidR="00E2694E" w:rsidRPr="005179BF">
          <w:rPr>
            <w:rStyle w:val="Hyperlink"/>
            <w:noProof/>
          </w:rPr>
          <w:t>5.5</w:t>
        </w:r>
        <w:r w:rsidR="00E2694E">
          <w:rPr>
            <w:rFonts w:eastAsiaTheme="minorEastAsia" w:cstheme="minorBidi"/>
            <w:smallCaps w:val="0"/>
            <w:noProof/>
            <w:sz w:val="22"/>
            <w:szCs w:val="22"/>
            <w:lang w:val="en-NZ" w:eastAsia="en-NZ" w:bidi="ar-SA"/>
          </w:rPr>
          <w:tab/>
        </w:r>
        <w:r w:rsidR="00E2694E" w:rsidRPr="005179BF">
          <w:rPr>
            <w:rStyle w:val="Hyperlink"/>
            <w:noProof/>
          </w:rPr>
          <w:t>Human intervention studies</w:t>
        </w:r>
        <w:r w:rsidR="00E2694E">
          <w:rPr>
            <w:noProof/>
            <w:webHidden/>
          </w:rPr>
          <w:tab/>
        </w:r>
        <w:r w:rsidR="00E2694E">
          <w:rPr>
            <w:noProof/>
            <w:webHidden/>
          </w:rPr>
          <w:fldChar w:fldCharType="begin"/>
        </w:r>
        <w:r w:rsidR="00E2694E">
          <w:rPr>
            <w:noProof/>
            <w:webHidden/>
          </w:rPr>
          <w:instrText xml:space="preserve"> PAGEREF _Toc113523081 \h </w:instrText>
        </w:r>
        <w:r w:rsidR="00E2694E">
          <w:rPr>
            <w:noProof/>
            <w:webHidden/>
          </w:rPr>
        </w:r>
        <w:r w:rsidR="00E2694E">
          <w:rPr>
            <w:noProof/>
            <w:webHidden/>
          </w:rPr>
          <w:fldChar w:fldCharType="separate"/>
        </w:r>
        <w:r w:rsidR="00E2694E">
          <w:rPr>
            <w:noProof/>
            <w:webHidden/>
          </w:rPr>
          <w:t>47</w:t>
        </w:r>
        <w:r w:rsidR="00E2694E">
          <w:rPr>
            <w:noProof/>
            <w:webHidden/>
          </w:rPr>
          <w:fldChar w:fldCharType="end"/>
        </w:r>
      </w:hyperlink>
    </w:p>
    <w:p w14:paraId="2DCEC990" w14:textId="52676A3C" w:rsidR="00E2694E" w:rsidRDefault="00653E38">
      <w:pPr>
        <w:pStyle w:val="TOC2"/>
        <w:rPr>
          <w:rFonts w:eastAsiaTheme="minorEastAsia" w:cstheme="minorBidi"/>
          <w:smallCaps w:val="0"/>
          <w:noProof/>
          <w:sz w:val="22"/>
          <w:szCs w:val="22"/>
          <w:lang w:val="en-NZ" w:eastAsia="en-NZ" w:bidi="ar-SA"/>
        </w:rPr>
      </w:pPr>
      <w:hyperlink w:anchor="_Toc113523082" w:history="1">
        <w:r w:rsidR="00E2694E" w:rsidRPr="005179BF">
          <w:rPr>
            <w:rStyle w:val="Hyperlink"/>
            <w:rFonts w:eastAsia="Arial"/>
            <w:noProof/>
          </w:rPr>
          <w:t>5.6</w:t>
        </w:r>
        <w:r w:rsidR="00E2694E">
          <w:rPr>
            <w:rFonts w:eastAsiaTheme="minorEastAsia" w:cstheme="minorBidi"/>
            <w:smallCaps w:val="0"/>
            <w:noProof/>
            <w:sz w:val="22"/>
            <w:szCs w:val="22"/>
            <w:lang w:val="en-NZ" w:eastAsia="en-NZ" w:bidi="ar-SA"/>
          </w:rPr>
          <w:tab/>
        </w:r>
        <w:r w:rsidR="00E2694E" w:rsidRPr="005179BF">
          <w:rPr>
            <w:rStyle w:val="Hyperlink"/>
            <w:rFonts w:eastAsia="Arial"/>
            <w:noProof/>
          </w:rPr>
          <w:t>Conclusions of beneficial health effects assessment</w:t>
        </w:r>
        <w:r w:rsidR="00E2694E">
          <w:rPr>
            <w:noProof/>
            <w:webHidden/>
          </w:rPr>
          <w:tab/>
        </w:r>
        <w:r w:rsidR="00E2694E">
          <w:rPr>
            <w:noProof/>
            <w:webHidden/>
          </w:rPr>
          <w:fldChar w:fldCharType="begin"/>
        </w:r>
        <w:r w:rsidR="00E2694E">
          <w:rPr>
            <w:noProof/>
            <w:webHidden/>
          </w:rPr>
          <w:instrText xml:space="preserve"> PAGEREF _Toc113523082 \h </w:instrText>
        </w:r>
        <w:r w:rsidR="00E2694E">
          <w:rPr>
            <w:noProof/>
            <w:webHidden/>
          </w:rPr>
        </w:r>
        <w:r w:rsidR="00E2694E">
          <w:rPr>
            <w:noProof/>
            <w:webHidden/>
          </w:rPr>
          <w:fldChar w:fldCharType="separate"/>
        </w:r>
        <w:r w:rsidR="00E2694E">
          <w:rPr>
            <w:noProof/>
            <w:webHidden/>
          </w:rPr>
          <w:t>47</w:t>
        </w:r>
        <w:r w:rsidR="00E2694E">
          <w:rPr>
            <w:noProof/>
            <w:webHidden/>
          </w:rPr>
          <w:fldChar w:fldCharType="end"/>
        </w:r>
      </w:hyperlink>
    </w:p>
    <w:p w14:paraId="7117753F" w14:textId="6CE131AF" w:rsidR="00E2694E" w:rsidRDefault="00653E38">
      <w:pPr>
        <w:pStyle w:val="TOC1"/>
        <w:rPr>
          <w:rFonts w:eastAsiaTheme="minorEastAsia" w:cstheme="minorBidi"/>
          <w:b w:val="0"/>
          <w:bCs w:val="0"/>
          <w:caps w:val="0"/>
          <w:noProof/>
          <w:sz w:val="22"/>
          <w:szCs w:val="22"/>
          <w:lang w:val="en-NZ" w:eastAsia="en-NZ" w:bidi="ar-SA"/>
        </w:rPr>
      </w:pPr>
      <w:hyperlink w:anchor="_Toc113523083" w:history="1">
        <w:r w:rsidR="00E2694E" w:rsidRPr="005179BF">
          <w:rPr>
            <w:rStyle w:val="Hyperlink"/>
            <w:noProof/>
          </w:rPr>
          <w:t>6</w:t>
        </w:r>
        <w:r w:rsidR="00E2694E">
          <w:rPr>
            <w:rFonts w:eastAsiaTheme="minorEastAsia" w:cstheme="minorBidi"/>
            <w:b w:val="0"/>
            <w:bCs w:val="0"/>
            <w:caps w:val="0"/>
            <w:noProof/>
            <w:sz w:val="22"/>
            <w:szCs w:val="22"/>
            <w:lang w:val="en-NZ" w:eastAsia="en-NZ" w:bidi="ar-SA"/>
          </w:rPr>
          <w:tab/>
        </w:r>
        <w:r w:rsidR="00E2694E" w:rsidRPr="005179BF">
          <w:rPr>
            <w:rStyle w:val="Hyperlink"/>
            <w:noProof/>
          </w:rPr>
          <w:t>Conclusions from the risk and technical assessment</w:t>
        </w:r>
        <w:r w:rsidR="00E2694E">
          <w:rPr>
            <w:noProof/>
            <w:webHidden/>
          </w:rPr>
          <w:tab/>
        </w:r>
        <w:r w:rsidR="00E2694E">
          <w:rPr>
            <w:noProof/>
            <w:webHidden/>
          </w:rPr>
          <w:fldChar w:fldCharType="begin"/>
        </w:r>
        <w:r w:rsidR="00E2694E">
          <w:rPr>
            <w:noProof/>
            <w:webHidden/>
          </w:rPr>
          <w:instrText xml:space="preserve"> PAGEREF _Toc113523083 \h </w:instrText>
        </w:r>
        <w:r w:rsidR="00E2694E">
          <w:rPr>
            <w:noProof/>
            <w:webHidden/>
          </w:rPr>
        </w:r>
        <w:r w:rsidR="00E2694E">
          <w:rPr>
            <w:noProof/>
            <w:webHidden/>
          </w:rPr>
          <w:fldChar w:fldCharType="separate"/>
        </w:r>
        <w:r w:rsidR="00E2694E">
          <w:rPr>
            <w:noProof/>
            <w:webHidden/>
          </w:rPr>
          <w:t>48</w:t>
        </w:r>
        <w:r w:rsidR="00E2694E">
          <w:rPr>
            <w:noProof/>
            <w:webHidden/>
          </w:rPr>
          <w:fldChar w:fldCharType="end"/>
        </w:r>
      </w:hyperlink>
    </w:p>
    <w:p w14:paraId="2BF9ED38" w14:textId="4E86A093" w:rsidR="00E2694E" w:rsidRDefault="00653E38">
      <w:pPr>
        <w:pStyle w:val="TOC1"/>
        <w:rPr>
          <w:rFonts w:eastAsiaTheme="minorEastAsia" w:cstheme="minorBidi"/>
          <w:b w:val="0"/>
          <w:bCs w:val="0"/>
          <w:caps w:val="0"/>
          <w:noProof/>
          <w:sz w:val="22"/>
          <w:szCs w:val="22"/>
          <w:lang w:val="en-NZ" w:eastAsia="en-NZ" w:bidi="ar-SA"/>
        </w:rPr>
      </w:pPr>
      <w:hyperlink w:anchor="_Toc113523084" w:history="1">
        <w:r w:rsidR="00E2694E" w:rsidRPr="005179BF">
          <w:rPr>
            <w:rStyle w:val="Hyperlink"/>
            <w:noProof/>
          </w:rPr>
          <w:t>7</w:t>
        </w:r>
        <w:r w:rsidR="00E2694E">
          <w:rPr>
            <w:rFonts w:eastAsiaTheme="minorEastAsia" w:cstheme="minorBidi"/>
            <w:b w:val="0"/>
            <w:bCs w:val="0"/>
            <w:caps w:val="0"/>
            <w:noProof/>
            <w:sz w:val="22"/>
            <w:szCs w:val="22"/>
            <w:lang w:val="en-NZ" w:eastAsia="en-NZ" w:bidi="ar-SA"/>
          </w:rPr>
          <w:tab/>
        </w:r>
        <w:r w:rsidR="00E2694E" w:rsidRPr="005179BF">
          <w:rPr>
            <w:rStyle w:val="Hyperlink"/>
            <w:noProof/>
          </w:rPr>
          <w:t>References</w:t>
        </w:r>
        <w:r w:rsidR="00E2694E">
          <w:rPr>
            <w:noProof/>
            <w:webHidden/>
          </w:rPr>
          <w:tab/>
        </w:r>
        <w:r w:rsidR="00E2694E">
          <w:rPr>
            <w:noProof/>
            <w:webHidden/>
          </w:rPr>
          <w:fldChar w:fldCharType="begin"/>
        </w:r>
        <w:r w:rsidR="00E2694E">
          <w:rPr>
            <w:noProof/>
            <w:webHidden/>
          </w:rPr>
          <w:instrText xml:space="preserve"> PAGEREF _Toc113523084 \h </w:instrText>
        </w:r>
        <w:r w:rsidR="00E2694E">
          <w:rPr>
            <w:noProof/>
            <w:webHidden/>
          </w:rPr>
        </w:r>
        <w:r w:rsidR="00E2694E">
          <w:rPr>
            <w:noProof/>
            <w:webHidden/>
          </w:rPr>
          <w:fldChar w:fldCharType="separate"/>
        </w:r>
        <w:r w:rsidR="00E2694E">
          <w:rPr>
            <w:noProof/>
            <w:webHidden/>
          </w:rPr>
          <w:t>50</w:t>
        </w:r>
        <w:r w:rsidR="00E2694E">
          <w:rPr>
            <w:noProof/>
            <w:webHidden/>
          </w:rPr>
          <w:fldChar w:fldCharType="end"/>
        </w:r>
      </w:hyperlink>
    </w:p>
    <w:p w14:paraId="2E0E5696" w14:textId="68A7C2B0" w:rsidR="00E2694E" w:rsidRDefault="00653E38">
      <w:pPr>
        <w:pStyle w:val="TOC1"/>
        <w:rPr>
          <w:rFonts w:eastAsiaTheme="minorEastAsia" w:cstheme="minorBidi"/>
          <w:b w:val="0"/>
          <w:bCs w:val="0"/>
          <w:caps w:val="0"/>
          <w:noProof/>
          <w:sz w:val="22"/>
          <w:szCs w:val="22"/>
          <w:lang w:val="en-NZ" w:eastAsia="en-NZ" w:bidi="ar-SA"/>
        </w:rPr>
      </w:pPr>
      <w:hyperlink w:anchor="_Toc113523085" w:history="1">
        <w:r w:rsidR="00E2694E" w:rsidRPr="005179BF">
          <w:rPr>
            <w:rStyle w:val="Hyperlink"/>
            <w:noProof/>
          </w:rPr>
          <w:t>Appendix 1:  How the infant model diets were constructed </w:t>
        </w:r>
        <w:r w:rsidR="00E2694E">
          <w:rPr>
            <w:noProof/>
            <w:webHidden/>
          </w:rPr>
          <w:tab/>
        </w:r>
        <w:r w:rsidR="00E2694E">
          <w:rPr>
            <w:noProof/>
            <w:webHidden/>
          </w:rPr>
          <w:fldChar w:fldCharType="begin"/>
        </w:r>
        <w:r w:rsidR="00E2694E">
          <w:rPr>
            <w:noProof/>
            <w:webHidden/>
          </w:rPr>
          <w:instrText xml:space="preserve"> PAGEREF _Toc113523085 \h </w:instrText>
        </w:r>
        <w:r w:rsidR="00E2694E">
          <w:rPr>
            <w:noProof/>
            <w:webHidden/>
          </w:rPr>
        </w:r>
        <w:r w:rsidR="00E2694E">
          <w:rPr>
            <w:noProof/>
            <w:webHidden/>
          </w:rPr>
          <w:fldChar w:fldCharType="separate"/>
        </w:r>
        <w:r w:rsidR="00E2694E">
          <w:rPr>
            <w:noProof/>
            <w:webHidden/>
          </w:rPr>
          <w:t>61</w:t>
        </w:r>
        <w:r w:rsidR="00E2694E">
          <w:rPr>
            <w:noProof/>
            <w:webHidden/>
          </w:rPr>
          <w:fldChar w:fldCharType="end"/>
        </w:r>
      </w:hyperlink>
    </w:p>
    <w:p w14:paraId="771C78C7" w14:textId="1E6FD178" w:rsidR="00E2694E" w:rsidRDefault="00653E38">
      <w:pPr>
        <w:pStyle w:val="TOC1"/>
        <w:rPr>
          <w:rFonts w:eastAsiaTheme="minorEastAsia" w:cstheme="minorBidi"/>
          <w:b w:val="0"/>
          <w:bCs w:val="0"/>
          <w:caps w:val="0"/>
          <w:noProof/>
          <w:sz w:val="22"/>
          <w:szCs w:val="22"/>
          <w:lang w:val="en-NZ" w:eastAsia="en-NZ" w:bidi="ar-SA"/>
        </w:rPr>
      </w:pPr>
      <w:hyperlink w:anchor="_Toc113523086" w:history="1">
        <w:r w:rsidR="00E2694E" w:rsidRPr="005179BF">
          <w:rPr>
            <w:rStyle w:val="Hyperlink"/>
            <w:rFonts w:eastAsia="Arial" w:cs="Arial"/>
            <w:noProof/>
          </w:rPr>
          <w:t>Appendix 2: Nutrition assessment literature screening</w:t>
        </w:r>
        <w:r w:rsidR="00E2694E">
          <w:rPr>
            <w:noProof/>
            <w:webHidden/>
          </w:rPr>
          <w:tab/>
        </w:r>
        <w:r w:rsidR="00E2694E">
          <w:rPr>
            <w:noProof/>
            <w:webHidden/>
          </w:rPr>
          <w:fldChar w:fldCharType="begin"/>
        </w:r>
        <w:r w:rsidR="00E2694E">
          <w:rPr>
            <w:noProof/>
            <w:webHidden/>
          </w:rPr>
          <w:instrText xml:space="preserve"> PAGEREF _Toc113523086 \h </w:instrText>
        </w:r>
        <w:r w:rsidR="00E2694E">
          <w:rPr>
            <w:noProof/>
            <w:webHidden/>
          </w:rPr>
        </w:r>
        <w:r w:rsidR="00E2694E">
          <w:rPr>
            <w:noProof/>
            <w:webHidden/>
          </w:rPr>
          <w:fldChar w:fldCharType="separate"/>
        </w:r>
        <w:r w:rsidR="00E2694E">
          <w:rPr>
            <w:noProof/>
            <w:webHidden/>
          </w:rPr>
          <w:t>63</w:t>
        </w:r>
        <w:r w:rsidR="00E2694E">
          <w:rPr>
            <w:noProof/>
            <w:webHidden/>
          </w:rPr>
          <w:fldChar w:fldCharType="end"/>
        </w:r>
      </w:hyperlink>
    </w:p>
    <w:p w14:paraId="1A5264A7" w14:textId="604F3970" w:rsidR="00E2694E" w:rsidRDefault="00653E38">
      <w:pPr>
        <w:pStyle w:val="TOC2"/>
        <w:rPr>
          <w:rFonts w:eastAsiaTheme="minorEastAsia" w:cstheme="minorBidi"/>
          <w:smallCaps w:val="0"/>
          <w:noProof/>
          <w:sz w:val="22"/>
          <w:szCs w:val="22"/>
          <w:lang w:val="en-NZ" w:eastAsia="en-NZ" w:bidi="ar-SA"/>
        </w:rPr>
      </w:pPr>
      <w:hyperlink w:anchor="_Toc113523087" w:history="1">
        <w:r w:rsidR="00E2694E" w:rsidRPr="005179BF">
          <w:rPr>
            <w:rStyle w:val="Hyperlink"/>
            <w:rFonts w:eastAsia="Arial"/>
            <w:noProof/>
          </w:rPr>
          <w:t>A2.1</w:t>
        </w:r>
        <w:r w:rsidR="00E2694E">
          <w:rPr>
            <w:rFonts w:eastAsiaTheme="minorEastAsia" w:cstheme="minorBidi"/>
            <w:smallCaps w:val="0"/>
            <w:noProof/>
            <w:sz w:val="22"/>
            <w:szCs w:val="22"/>
            <w:lang w:val="en-NZ" w:eastAsia="en-NZ" w:bidi="ar-SA"/>
          </w:rPr>
          <w:tab/>
        </w:r>
        <w:r w:rsidR="00E2694E" w:rsidRPr="005179BF">
          <w:rPr>
            <w:rStyle w:val="Hyperlink"/>
            <w:rFonts w:eastAsia="Arial"/>
            <w:noProof/>
          </w:rPr>
          <w:t>Effect on growth and development: comparison to human-milk fed infants</w:t>
        </w:r>
        <w:r w:rsidR="00E2694E">
          <w:rPr>
            <w:noProof/>
            <w:webHidden/>
          </w:rPr>
          <w:tab/>
        </w:r>
        <w:r w:rsidR="00E2694E">
          <w:rPr>
            <w:noProof/>
            <w:webHidden/>
          </w:rPr>
          <w:fldChar w:fldCharType="begin"/>
        </w:r>
        <w:r w:rsidR="00E2694E">
          <w:rPr>
            <w:noProof/>
            <w:webHidden/>
          </w:rPr>
          <w:instrText xml:space="preserve"> PAGEREF _Toc113523087 \h </w:instrText>
        </w:r>
        <w:r w:rsidR="00E2694E">
          <w:rPr>
            <w:noProof/>
            <w:webHidden/>
          </w:rPr>
        </w:r>
        <w:r w:rsidR="00E2694E">
          <w:rPr>
            <w:noProof/>
            <w:webHidden/>
          </w:rPr>
          <w:fldChar w:fldCharType="separate"/>
        </w:r>
        <w:r w:rsidR="00E2694E">
          <w:rPr>
            <w:noProof/>
            <w:webHidden/>
          </w:rPr>
          <w:t>63</w:t>
        </w:r>
        <w:r w:rsidR="00E2694E">
          <w:rPr>
            <w:noProof/>
            <w:webHidden/>
          </w:rPr>
          <w:fldChar w:fldCharType="end"/>
        </w:r>
      </w:hyperlink>
    </w:p>
    <w:p w14:paraId="65EC25F8" w14:textId="07642A5F" w:rsidR="00E2694E" w:rsidRDefault="00653E38">
      <w:pPr>
        <w:pStyle w:val="TOC3"/>
        <w:rPr>
          <w:rFonts w:eastAsiaTheme="minorEastAsia" w:cstheme="minorBidi"/>
          <w:i w:val="0"/>
          <w:iCs w:val="0"/>
          <w:noProof/>
          <w:sz w:val="22"/>
          <w:szCs w:val="22"/>
          <w:lang w:val="en-NZ" w:eastAsia="en-NZ" w:bidi="ar-SA"/>
        </w:rPr>
      </w:pPr>
      <w:hyperlink w:anchor="_Toc113523088" w:history="1">
        <w:r w:rsidR="00E2694E" w:rsidRPr="005179BF">
          <w:rPr>
            <w:rStyle w:val="Hyperlink"/>
            <w:rFonts w:eastAsia="Arial"/>
            <w:noProof/>
          </w:rPr>
          <w:t>A2.1.1</w:t>
        </w:r>
        <w:r w:rsidR="00E2694E">
          <w:rPr>
            <w:rFonts w:eastAsiaTheme="minorEastAsia" w:cstheme="minorBidi"/>
            <w:i w:val="0"/>
            <w:iCs w:val="0"/>
            <w:noProof/>
            <w:sz w:val="22"/>
            <w:szCs w:val="22"/>
            <w:lang w:val="en-NZ" w:eastAsia="en-NZ" w:bidi="ar-SA"/>
          </w:rPr>
          <w:tab/>
        </w:r>
        <w:r w:rsidR="00E2694E" w:rsidRPr="005179BF">
          <w:rPr>
            <w:rStyle w:val="Hyperlink"/>
            <w:rFonts w:eastAsia="Arial"/>
            <w:noProof/>
          </w:rPr>
          <w:t xml:space="preserve"> Methods and results</w:t>
        </w:r>
        <w:r w:rsidR="00E2694E">
          <w:rPr>
            <w:noProof/>
            <w:webHidden/>
          </w:rPr>
          <w:tab/>
        </w:r>
        <w:r w:rsidR="00E2694E">
          <w:rPr>
            <w:noProof/>
            <w:webHidden/>
          </w:rPr>
          <w:fldChar w:fldCharType="begin"/>
        </w:r>
        <w:r w:rsidR="00E2694E">
          <w:rPr>
            <w:noProof/>
            <w:webHidden/>
          </w:rPr>
          <w:instrText xml:space="preserve"> PAGEREF _Toc113523088 \h </w:instrText>
        </w:r>
        <w:r w:rsidR="00E2694E">
          <w:rPr>
            <w:noProof/>
            <w:webHidden/>
          </w:rPr>
        </w:r>
        <w:r w:rsidR="00E2694E">
          <w:rPr>
            <w:noProof/>
            <w:webHidden/>
          </w:rPr>
          <w:fldChar w:fldCharType="separate"/>
        </w:r>
        <w:r w:rsidR="00E2694E">
          <w:rPr>
            <w:noProof/>
            <w:webHidden/>
          </w:rPr>
          <w:t>63</w:t>
        </w:r>
        <w:r w:rsidR="00E2694E">
          <w:rPr>
            <w:noProof/>
            <w:webHidden/>
          </w:rPr>
          <w:fldChar w:fldCharType="end"/>
        </w:r>
      </w:hyperlink>
    </w:p>
    <w:p w14:paraId="2F7989FD" w14:textId="34A49CB8" w:rsidR="00E2694E" w:rsidRDefault="00653E38">
      <w:pPr>
        <w:pStyle w:val="TOC2"/>
        <w:rPr>
          <w:rFonts w:eastAsiaTheme="minorEastAsia" w:cstheme="minorBidi"/>
          <w:smallCaps w:val="0"/>
          <w:noProof/>
          <w:sz w:val="22"/>
          <w:szCs w:val="22"/>
          <w:lang w:val="en-NZ" w:eastAsia="en-NZ" w:bidi="ar-SA"/>
        </w:rPr>
      </w:pPr>
      <w:hyperlink w:anchor="_Toc113523089" w:history="1">
        <w:r w:rsidR="00E2694E" w:rsidRPr="005179BF">
          <w:rPr>
            <w:rStyle w:val="Hyperlink"/>
            <w:rFonts w:eastAsia="Arial"/>
            <w:noProof/>
          </w:rPr>
          <w:t>A2.2</w:t>
        </w:r>
        <w:r w:rsidR="00E2694E">
          <w:rPr>
            <w:rFonts w:eastAsiaTheme="minorEastAsia" w:cstheme="minorBidi"/>
            <w:smallCaps w:val="0"/>
            <w:noProof/>
            <w:sz w:val="22"/>
            <w:szCs w:val="22"/>
            <w:lang w:val="en-NZ" w:eastAsia="en-NZ" w:bidi="ar-SA"/>
          </w:rPr>
          <w:tab/>
        </w:r>
        <w:r w:rsidR="00E2694E" w:rsidRPr="005179BF">
          <w:rPr>
            <w:rStyle w:val="Hyperlink"/>
            <w:rFonts w:eastAsia="Arial"/>
            <w:noProof/>
          </w:rPr>
          <w:t>Effect on growth and development: comparison to infants consuming IFP without added bLf</w:t>
        </w:r>
        <w:r w:rsidR="00E2694E">
          <w:rPr>
            <w:noProof/>
            <w:webHidden/>
          </w:rPr>
          <w:tab/>
        </w:r>
        <w:r w:rsidR="00E2694E">
          <w:rPr>
            <w:noProof/>
            <w:webHidden/>
          </w:rPr>
          <w:fldChar w:fldCharType="begin"/>
        </w:r>
        <w:r w:rsidR="00E2694E">
          <w:rPr>
            <w:noProof/>
            <w:webHidden/>
          </w:rPr>
          <w:instrText xml:space="preserve"> PAGEREF _Toc113523089 \h </w:instrText>
        </w:r>
        <w:r w:rsidR="00E2694E">
          <w:rPr>
            <w:noProof/>
            <w:webHidden/>
          </w:rPr>
        </w:r>
        <w:r w:rsidR="00E2694E">
          <w:rPr>
            <w:noProof/>
            <w:webHidden/>
          </w:rPr>
          <w:fldChar w:fldCharType="separate"/>
        </w:r>
        <w:r w:rsidR="00E2694E">
          <w:rPr>
            <w:noProof/>
            <w:webHidden/>
          </w:rPr>
          <w:t>64</w:t>
        </w:r>
        <w:r w:rsidR="00E2694E">
          <w:rPr>
            <w:noProof/>
            <w:webHidden/>
          </w:rPr>
          <w:fldChar w:fldCharType="end"/>
        </w:r>
      </w:hyperlink>
    </w:p>
    <w:p w14:paraId="64AF8227" w14:textId="2F0356FC" w:rsidR="00E2694E" w:rsidRDefault="00653E38">
      <w:pPr>
        <w:pStyle w:val="TOC3"/>
        <w:rPr>
          <w:rFonts w:eastAsiaTheme="minorEastAsia" w:cstheme="minorBidi"/>
          <w:i w:val="0"/>
          <w:iCs w:val="0"/>
          <w:noProof/>
          <w:sz w:val="22"/>
          <w:szCs w:val="22"/>
          <w:lang w:val="en-NZ" w:eastAsia="en-NZ" w:bidi="ar-SA"/>
        </w:rPr>
      </w:pPr>
      <w:hyperlink w:anchor="_Toc113523090" w:history="1">
        <w:r w:rsidR="00E2694E" w:rsidRPr="005179BF">
          <w:rPr>
            <w:rStyle w:val="Hyperlink"/>
            <w:rFonts w:eastAsia="Arial"/>
            <w:noProof/>
          </w:rPr>
          <w:t>A2.2.1</w:t>
        </w:r>
        <w:r w:rsidR="00E2694E">
          <w:rPr>
            <w:rFonts w:eastAsiaTheme="minorEastAsia" w:cstheme="minorBidi"/>
            <w:i w:val="0"/>
            <w:iCs w:val="0"/>
            <w:noProof/>
            <w:sz w:val="22"/>
            <w:szCs w:val="22"/>
            <w:lang w:val="en-NZ" w:eastAsia="en-NZ" w:bidi="ar-SA"/>
          </w:rPr>
          <w:tab/>
        </w:r>
        <w:r w:rsidR="00E2694E" w:rsidRPr="005179BF">
          <w:rPr>
            <w:rStyle w:val="Hyperlink"/>
            <w:rFonts w:eastAsia="Arial"/>
            <w:noProof/>
          </w:rPr>
          <w:t xml:space="preserve"> Methods and results</w:t>
        </w:r>
        <w:r w:rsidR="00E2694E">
          <w:rPr>
            <w:noProof/>
            <w:webHidden/>
          </w:rPr>
          <w:tab/>
        </w:r>
        <w:r w:rsidR="00E2694E">
          <w:rPr>
            <w:noProof/>
            <w:webHidden/>
          </w:rPr>
          <w:fldChar w:fldCharType="begin"/>
        </w:r>
        <w:r w:rsidR="00E2694E">
          <w:rPr>
            <w:noProof/>
            <w:webHidden/>
          </w:rPr>
          <w:instrText xml:space="preserve"> PAGEREF _Toc113523090 \h </w:instrText>
        </w:r>
        <w:r w:rsidR="00E2694E">
          <w:rPr>
            <w:noProof/>
            <w:webHidden/>
          </w:rPr>
        </w:r>
        <w:r w:rsidR="00E2694E">
          <w:rPr>
            <w:noProof/>
            <w:webHidden/>
          </w:rPr>
          <w:fldChar w:fldCharType="separate"/>
        </w:r>
        <w:r w:rsidR="00E2694E">
          <w:rPr>
            <w:noProof/>
            <w:webHidden/>
          </w:rPr>
          <w:t>64</w:t>
        </w:r>
        <w:r w:rsidR="00E2694E">
          <w:rPr>
            <w:noProof/>
            <w:webHidden/>
          </w:rPr>
          <w:fldChar w:fldCharType="end"/>
        </w:r>
      </w:hyperlink>
    </w:p>
    <w:p w14:paraId="3C210ACE" w14:textId="30A0F925" w:rsidR="00E2694E" w:rsidRDefault="00653E38">
      <w:pPr>
        <w:pStyle w:val="TOC2"/>
        <w:rPr>
          <w:rFonts w:eastAsiaTheme="minorEastAsia" w:cstheme="minorBidi"/>
          <w:smallCaps w:val="0"/>
          <w:noProof/>
          <w:sz w:val="22"/>
          <w:szCs w:val="22"/>
          <w:lang w:val="en-NZ" w:eastAsia="en-NZ" w:bidi="ar-SA"/>
        </w:rPr>
      </w:pPr>
      <w:hyperlink w:anchor="_Toc113523091" w:history="1">
        <w:r w:rsidR="00E2694E" w:rsidRPr="005179BF">
          <w:rPr>
            <w:rStyle w:val="Hyperlink"/>
            <w:rFonts w:eastAsia="Arial"/>
            <w:noProof/>
          </w:rPr>
          <w:t>A2.3</w:t>
        </w:r>
        <w:r w:rsidR="00E2694E">
          <w:rPr>
            <w:rFonts w:eastAsiaTheme="minorEastAsia" w:cstheme="minorBidi"/>
            <w:smallCaps w:val="0"/>
            <w:noProof/>
            <w:sz w:val="22"/>
            <w:szCs w:val="22"/>
            <w:lang w:val="en-NZ" w:eastAsia="en-NZ" w:bidi="ar-SA"/>
          </w:rPr>
          <w:tab/>
        </w:r>
        <w:r w:rsidR="00E2694E" w:rsidRPr="005179BF">
          <w:rPr>
            <w:rStyle w:val="Hyperlink"/>
            <w:rFonts w:eastAsia="Arial"/>
            <w:noProof/>
          </w:rPr>
          <w:t>Bioavailability of bovine versus human lactoferrin</w:t>
        </w:r>
        <w:r w:rsidR="00E2694E">
          <w:rPr>
            <w:noProof/>
            <w:webHidden/>
          </w:rPr>
          <w:tab/>
        </w:r>
        <w:r w:rsidR="00E2694E">
          <w:rPr>
            <w:noProof/>
            <w:webHidden/>
          </w:rPr>
          <w:fldChar w:fldCharType="begin"/>
        </w:r>
        <w:r w:rsidR="00E2694E">
          <w:rPr>
            <w:noProof/>
            <w:webHidden/>
          </w:rPr>
          <w:instrText xml:space="preserve"> PAGEREF _Toc113523091 \h </w:instrText>
        </w:r>
        <w:r w:rsidR="00E2694E">
          <w:rPr>
            <w:noProof/>
            <w:webHidden/>
          </w:rPr>
        </w:r>
        <w:r w:rsidR="00E2694E">
          <w:rPr>
            <w:noProof/>
            <w:webHidden/>
          </w:rPr>
          <w:fldChar w:fldCharType="separate"/>
        </w:r>
        <w:r w:rsidR="00E2694E">
          <w:rPr>
            <w:noProof/>
            <w:webHidden/>
          </w:rPr>
          <w:t>65</w:t>
        </w:r>
        <w:r w:rsidR="00E2694E">
          <w:rPr>
            <w:noProof/>
            <w:webHidden/>
          </w:rPr>
          <w:fldChar w:fldCharType="end"/>
        </w:r>
      </w:hyperlink>
    </w:p>
    <w:p w14:paraId="5AA8453F" w14:textId="228BF12B" w:rsidR="00E2694E" w:rsidRDefault="00653E38">
      <w:pPr>
        <w:pStyle w:val="TOC3"/>
        <w:rPr>
          <w:rFonts w:eastAsiaTheme="minorEastAsia" w:cstheme="minorBidi"/>
          <w:i w:val="0"/>
          <w:iCs w:val="0"/>
          <w:noProof/>
          <w:sz w:val="22"/>
          <w:szCs w:val="22"/>
          <w:lang w:val="en-NZ" w:eastAsia="en-NZ" w:bidi="ar-SA"/>
        </w:rPr>
      </w:pPr>
      <w:hyperlink w:anchor="_Toc113523092" w:history="1">
        <w:r w:rsidR="00E2694E" w:rsidRPr="005179BF">
          <w:rPr>
            <w:rStyle w:val="Hyperlink"/>
            <w:rFonts w:eastAsia="Arial"/>
            <w:noProof/>
          </w:rPr>
          <w:t>A2.3.1</w:t>
        </w:r>
        <w:r w:rsidR="00E2694E">
          <w:rPr>
            <w:rFonts w:eastAsiaTheme="minorEastAsia" w:cstheme="minorBidi"/>
            <w:i w:val="0"/>
            <w:iCs w:val="0"/>
            <w:noProof/>
            <w:sz w:val="22"/>
            <w:szCs w:val="22"/>
            <w:lang w:val="en-NZ" w:eastAsia="en-NZ" w:bidi="ar-SA"/>
          </w:rPr>
          <w:tab/>
        </w:r>
        <w:r w:rsidR="00E2694E" w:rsidRPr="005179BF">
          <w:rPr>
            <w:rStyle w:val="Hyperlink"/>
            <w:rFonts w:eastAsia="Arial"/>
            <w:noProof/>
          </w:rPr>
          <w:t xml:space="preserve"> Methods and results</w:t>
        </w:r>
        <w:r w:rsidR="00E2694E">
          <w:rPr>
            <w:noProof/>
            <w:webHidden/>
          </w:rPr>
          <w:tab/>
        </w:r>
        <w:r w:rsidR="00E2694E">
          <w:rPr>
            <w:noProof/>
            <w:webHidden/>
          </w:rPr>
          <w:fldChar w:fldCharType="begin"/>
        </w:r>
        <w:r w:rsidR="00E2694E">
          <w:rPr>
            <w:noProof/>
            <w:webHidden/>
          </w:rPr>
          <w:instrText xml:space="preserve"> PAGEREF _Toc113523092 \h </w:instrText>
        </w:r>
        <w:r w:rsidR="00E2694E">
          <w:rPr>
            <w:noProof/>
            <w:webHidden/>
          </w:rPr>
        </w:r>
        <w:r w:rsidR="00E2694E">
          <w:rPr>
            <w:noProof/>
            <w:webHidden/>
          </w:rPr>
          <w:fldChar w:fldCharType="separate"/>
        </w:r>
        <w:r w:rsidR="00E2694E">
          <w:rPr>
            <w:noProof/>
            <w:webHidden/>
          </w:rPr>
          <w:t>65</w:t>
        </w:r>
        <w:r w:rsidR="00E2694E">
          <w:rPr>
            <w:noProof/>
            <w:webHidden/>
          </w:rPr>
          <w:fldChar w:fldCharType="end"/>
        </w:r>
      </w:hyperlink>
    </w:p>
    <w:p w14:paraId="04755583" w14:textId="4F2D6902" w:rsidR="00E2694E" w:rsidRDefault="00653E38">
      <w:pPr>
        <w:pStyle w:val="TOC2"/>
        <w:rPr>
          <w:rFonts w:eastAsiaTheme="minorEastAsia" w:cstheme="minorBidi"/>
          <w:smallCaps w:val="0"/>
          <w:noProof/>
          <w:sz w:val="22"/>
          <w:szCs w:val="22"/>
          <w:lang w:val="en-NZ" w:eastAsia="en-NZ" w:bidi="ar-SA"/>
        </w:rPr>
      </w:pPr>
      <w:hyperlink w:anchor="_Toc113523093" w:history="1">
        <w:r w:rsidR="00E2694E" w:rsidRPr="005179BF">
          <w:rPr>
            <w:rStyle w:val="Hyperlink"/>
            <w:rFonts w:eastAsia="Arial"/>
            <w:noProof/>
          </w:rPr>
          <w:t>A2.4</w:t>
        </w:r>
        <w:r w:rsidR="00E2694E">
          <w:rPr>
            <w:rFonts w:eastAsiaTheme="minorEastAsia" w:cstheme="minorBidi"/>
            <w:smallCaps w:val="0"/>
            <w:noProof/>
            <w:sz w:val="22"/>
            <w:szCs w:val="22"/>
            <w:lang w:val="en-NZ" w:eastAsia="en-NZ" w:bidi="ar-SA"/>
          </w:rPr>
          <w:tab/>
        </w:r>
        <w:r w:rsidR="00E2694E" w:rsidRPr="005179BF">
          <w:rPr>
            <w:rStyle w:val="Hyperlink"/>
            <w:rFonts w:eastAsia="Arial"/>
            <w:noProof/>
          </w:rPr>
          <w:t>The effect of bovine versus human lactoferrin on nutrient bioavailability</w:t>
        </w:r>
        <w:r w:rsidR="00E2694E">
          <w:rPr>
            <w:noProof/>
            <w:webHidden/>
          </w:rPr>
          <w:tab/>
        </w:r>
        <w:r w:rsidR="00E2694E">
          <w:rPr>
            <w:noProof/>
            <w:webHidden/>
          </w:rPr>
          <w:fldChar w:fldCharType="begin"/>
        </w:r>
        <w:r w:rsidR="00E2694E">
          <w:rPr>
            <w:noProof/>
            <w:webHidden/>
          </w:rPr>
          <w:instrText xml:space="preserve"> PAGEREF _Toc113523093 \h </w:instrText>
        </w:r>
        <w:r w:rsidR="00E2694E">
          <w:rPr>
            <w:noProof/>
            <w:webHidden/>
          </w:rPr>
        </w:r>
        <w:r w:rsidR="00E2694E">
          <w:rPr>
            <w:noProof/>
            <w:webHidden/>
          </w:rPr>
          <w:fldChar w:fldCharType="separate"/>
        </w:r>
        <w:r w:rsidR="00E2694E">
          <w:rPr>
            <w:noProof/>
            <w:webHidden/>
          </w:rPr>
          <w:t>65</w:t>
        </w:r>
        <w:r w:rsidR="00E2694E">
          <w:rPr>
            <w:noProof/>
            <w:webHidden/>
          </w:rPr>
          <w:fldChar w:fldCharType="end"/>
        </w:r>
      </w:hyperlink>
    </w:p>
    <w:p w14:paraId="245E2AFA" w14:textId="2BB8E101" w:rsidR="00E2694E" w:rsidRDefault="00653E38">
      <w:pPr>
        <w:pStyle w:val="TOC3"/>
        <w:rPr>
          <w:rFonts w:eastAsiaTheme="minorEastAsia" w:cstheme="minorBidi"/>
          <w:i w:val="0"/>
          <w:iCs w:val="0"/>
          <w:noProof/>
          <w:sz w:val="22"/>
          <w:szCs w:val="22"/>
          <w:lang w:val="en-NZ" w:eastAsia="en-NZ" w:bidi="ar-SA"/>
        </w:rPr>
      </w:pPr>
      <w:hyperlink w:anchor="_Toc113523094" w:history="1">
        <w:r w:rsidR="00E2694E" w:rsidRPr="005179BF">
          <w:rPr>
            <w:rStyle w:val="Hyperlink"/>
            <w:rFonts w:eastAsia="Arial"/>
            <w:noProof/>
          </w:rPr>
          <w:t>A2.4.1</w:t>
        </w:r>
        <w:r w:rsidR="00E2694E">
          <w:rPr>
            <w:rFonts w:eastAsiaTheme="minorEastAsia" w:cstheme="minorBidi"/>
            <w:i w:val="0"/>
            <w:iCs w:val="0"/>
            <w:noProof/>
            <w:sz w:val="22"/>
            <w:szCs w:val="22"/>
            <w:lang w:val="en-NZ" w:eastAsia="en-NZ" w:bidi="ar-SA"/>
          </w:rPr>
          <w:tab/>
        </w:r>
        <w:r w:rsidR="00E2694E" w:rsidRPr="005179BF">
          <w:rPr>
            <w:rStyle w:val="Hyperlink"/>
            <w:noProof/>
          </w:rPr>
          <w:t xml:space="preserve"> </w:t>
        </w:r>
        <w:r w:rsidR="00E2694E" w:rsidRPr="005179BF">
          <w:rPr>
            <w:rStyle w:val="Hyperlink"/>
            <w:rFonts w:eastAsia="Arial"/>
            <w:noProof/>
          </w:rPr>
          <w:t>Methods and results</w:t>
        </w:r>
        <w:r w:rsidR="00E2694E">
          <w:rPr>
            <w:noProof/>
            <w:webHidden/>
          </w:rPr>
          <w:tab/>
        </w:r>
        <w:r w:rsidR="00E2694E">
          <w:rPr>
            <w:noProof/>
            <w:webHidden/>
          </w:rPr>
          <w:fldChar w:fldCharType="begin"/>
        </w:r>
        <w:r w:rsidR="00E2694E">
          <w:rPr>
            <w:noProof/>
            <w:webHidden/>
          </w:rPr>
          <w:instrText xml:space="preserve"> PAGEREF _Toc113523094 \h </w:instrText>
        </w:r>
        <w:r w:rsidR="00E2694E">
          <w:rPr>
            <w:noProof/>
            <w:webHidden/>
          </w:rPr>
        </w:r>
        <w:r w:rsidR="00E2694E">
          <w:rPr>
            <w:noProof/>
            <w:webHidden/>
          </w:rPr>
          <w:fldChar w:fldCharType="separate"/>
        </w:r>
        <w:r w:rsidR="00E2694E">
          <w:rPr>
            <w:noProof/>
            <w:webHidden/>
          </w:rPr>
          <w:t>65</w:t>
        </w:r>
        <w:r w:rsidR="00E2694E">
          <w:rPr>
            <w:noProof/>
            <w:webHidden/>
          </w:rPr>
          <w:fldChar w:fldCharType="end"/>
        </w:r>
      </w:hyperlink>
    </w:p>
    <w:p w14:paraId="4EE3B85B" w14:textId="4BA38EFD" w:rsidR="00562917" w:rsidRDefault="00326D85" w:rsidP="00051ED9">
      <w:r>
        <w:rPr>
          <w:color w:val="2B579A"/>
          <w:shd w:val="clear" w:color="auto" w:fill="E6E6E6"/>
        </w:rPr>
        <w:fldChar w:fldCharType="end"/>
      </w:r>
    </w:p>
    <w:p w14:paraId="11246071" w14:textId="77777777" w:rsidR="00E066BA" w:rsidRDefault="00E066BA" w:rsidP="00051ED9"/>
    <w:p w14:paraId="3B947950" w14:textId="77777777" w:rsidR="00051ED9" w:rsidRDefault="00562917" w:rsidP="00772BDC">
      <w:r w:rsidRPr="00E203C2">
        <w:br w:type="page"/>
      </w:r>
    </w:p>
    <w:p w14:paraId="49FEB69F" w14:textId="216B160E" w:rsidR="00D60568" w:rsidRDefault="009B267C" w:rsidP="009B267C">
      <w:pPr>
        <w:pStyle w:val="Heading1"/>
      </w:pPr>
      <w:bookmarkStart w:id="5" w:name="_Toc111626674"/>
      <w:bookmarkStart w:id="6" w:name="_Toc112914984"/>
      <w:bookmarkStart w:id="7" w:name="_Toc113523031"/>
      <w:r>
        <w:lastRenderedPageBreak/>
        <w:t>1</w:t>
      </w:r>
      <w:r>
        <w:tab/>
        <w:t>Introduction</w:t>
      </w:r>
      <w:bookmarkEnd w:id="5"/>
      <w:bookmarkEnd w:id="6"/>
      <w:bookmarkEnd w:id="7"/>
    </w:p>
    <w:p w14:paraId="2439DB7F" w14:textId="3A2EEB20" w:rsidR="009B267C" w:rsidRDefault="00B54DBA" w:rsidP="00690206">
      <w:r>
        <w:t>Food Standard Australia New Zealand (</w:t>
      </w:r>
      <w:r w:rsidR="009B267C">
        <w:t>FSANZ</w:t>
      </w:r>
      <w:r>
        <w:t>)</w:t>
      </w:r>
      <w:r w:rsidR="009B267C">
        <w:t xml:space="preserve"> received an </w:t>
      </w:r>
      <w:r w:rsidR="00BB0ADD">
        <w:t>Application</w:t>
      </w:r>
      <w:r w:rsidR="009B267C">
        <w:t xml:space="preserve"> from </w:t>
      </w:r>
      <w:proofErr w:type="spellStart"/>
      <w:r w:rsidR="009B267C">
        <w:t>Synlait</w:t>
      </w:r>
      <w:proofErr w:type="spellEnd"/>
      <w:r w:rsidR="009B267C">
        <w:t xml:space="preserve"> Milk Ltd (</w:t>
      </w:r>
      <w:proofErr w:type="spellStart"/>
      <w:r w:rsidR="009B267C">
        <w:t>Synlait</w:t>
      </w:r>
      <w:proofErr w:type="spellEnd"/>
      <w:r w:rsidR="009B267C">
        <w:t xml:space="preserve">) to amend the Australia New Zealand Food Standards Code (the Code) to permit the </w:t>
      </w:r>
      <w:r w:rsidR="007522AA">
        <w:t xml:space="preserve">voluntary </w:t>
      </w:r>
      <w:r w:rsidR="009B267C">
        <w:t>addition of bovine lactoferrin (</w:t>
      </w:r>
      <w:proofErr w:type="spellStart"/>
      <w:r w:rsidR="009B267C">
        <w:t>bLf</w:t>
      </w:r>
      <w:proofErr w:type="spellEnd"/>
      <w:r w:rsidR="009B267C">
        <w:t>) as a nutritive substance to</w:t>
      </w:r>
      <w:r w:rsidR="00664637">
        <w:t xml:space="preserve"> infant formula products (IFP).</w:t>
      </w:r>
    </w:p>
    <w:p w14:paraId="4CCDB5E0" w14:textId="77777777" w:rsidR="00FA5C6B" w:rsidRDefault="00FA5C6B" w:rsidP="00690206"/>
    <w:p w14:paraId="2B2E0EFD" w14:textId="1902CDCF" w:rsidR="00FA5C6B" w:rsidRDefault="00FA5C6B" w:rsidP="00690206">
      <w:r>
        <w:t>Lactoferrin is also present in human milk and milk from other mammalian species</w:t>
      </w:r>
      <w:r w:rsidR="00CE3268">
        <w:t xml:space="preserve">. The focus of the present </w:t>
      </w:r>
      <w:r w:rsidR="00BB0ADD">
        <w:t>Application</w:t>
      </w:r>
      <w:r w:rsidR="00CE3268">
        <w:t xml:space="preserve"> is solely on </w:t>
      </w:r>
      <w:proofErr w:type="spellStart"/>
      <w:r w:rsidR="00CE3268">
        <w:t>bLf</w:t>
      </w:r>
      <w:proofErr w:type="spellEnd"/>
      <w:r w:rsidR="00CE3268">
        <w:t xml:space="preserve">. </w:t>
      </w:r>
    </w:p>
    <w:p w14:paraId="7CD89BB7" w14:textId="216C2834" w:rsidR="00025AF4" w:rsidRDefault="00025AF4" w:rsidP="00690206"/>
    <w:p w14:paraId="4D4F19D9" w14:textId="18725130" w:rsidR="00025AF4" w:rsidRDefault="00025AF4" w:rsidP="00690206">
      <w:r>
        <w:t xml:space="preserve">The </w:t>
      </w:r>
      <w:r w:rsidR="0037207C">
        <w:t>Applicant</w:t>
      </w:r>
      <w:r>
        <w:t xml:space="preserve"> is proposing to add </w:t>
      </w:r>
      <w:proofErr w:type="spellStart"/>
      <w:r>
        <w:t>bLf</w:t>
      </w:r>
      <w:proofErr w:type="spellEnd"/>
      <w:r>
        <w:t xml:space="preserve"> to infant formula, follow-on formula and infant formula for special dietary </w:t>
      </w:r>
      <w:r w:rsidR="7732C055">
        <w:t>use</w:t>
      </w:r>
      <w:r>
        <w:t xml:space="preserve"> up to a maximum </w:t>
      </w:r>
      <w:r w:rsidR="7A07D755">
        <w:t>permitted amount</w:t>
      </w:r>
      <w:r>
        <w:t xml:space="preserve"> of 40 mg/100 kJ. </w:t>
      </w:r>
      <w:r w:rsidR="00F81217">
        <w:t xml:space="preserve">The stated purpose for adding </w:t>
      </w:r>
      <w:proofErr w:type="spellStart"/>
      <w:r w:rsidR="00F81217">
        <w:t>bLf</w:t>
      </w:r>
      <w:proofErr w:type="spellEnd"/>
      <w:r w:rsidR="00F81217">
        <w:t xml:space="preserve"> to IFP is to more closely reflect the lactoferrin content in human milk, and to provide a reduced risk of infection in formula-fed infants compared with those receiving stand</w:t>
      </w:r>
      <w:r w:rsidR="00664637">
        <w:t xml:space="preserve">ard IFP not fortified with </w:t>
      </w:r>
      <w:proofErr w:type="spellStart"/>
      <w:r w:rsidR="00664637">
        <w:t>bLf</w:t>
      </w:r>
      <w:proofErr w:type="spellEnd"/>
      <w:r w:rsidR="00664637">
        <w:t>.</w:t>
      </w:r>
    </w:p>
    <w:p w14:paraId="47AB3630" w14:textId="76B15D87" w:rsidR="00025AF4" w:rsidRDefault="00025AF4" w:rsidP="00690206"/>
    <w:p w14:paraId="0D5E0466" w14:textId="127CB208" w:rsidR="00025AF4" w:rsidRDefault="00025AF4" w:rsidP="00690206">
      <w:r>
        <w:t>The objectives of this assessment were to assess the food technology</w:t>
      </w:r>
      <w:r w:rsidR="009C312B">
        <w:t xml:space="preserve"> aspects</w:t>
      </w:r>
      <w:r>
        <w:t>, safety, nutritional impact and beneficial health effects</w:t>
      </w:r>
      <w:r w:rsidR="00664637">
        <w:t xml:space="preserve"> of the addition of </w:t>
      </w:r>
      <w:proofErr w:type="spellStart"/>
      <w:r w:rsidR="00664637">
        <w:t>bLf</w:t>
      </w:r>
      <w:proofErr w:type="spellEnd"/>
      <w:r w:rsidR="00664637">
        <w:t xml:space="preserve"> to IFP.</w:t>
      </w:r>
    </w:p>
    <w:p w14:paraId="0091F010" w14:textId="170908B5" w:rsidR="00F81217" w:rsidRDefault="00F81217" w:rsidP="00F81217">
      <w:pPr>
        <w:pStyle w:val="Heading1"/>
      </w:pPr>
      <w:bookmarkStart w:id="8" w:name="_Toc111626675"/>
      <w:bookmarkStart w:id="9" w:name="_Toc112914985"/>
      <w:bookmarkStart w:id="10" w:name="_Toc113523032"/>
      <w:r>
        <w:t>2</w:t>
      </w:r>
      <w:r>
        <w:tab/>
        <w:t>Food technology assessment</w:t>
      </w:r>
      <w:bookmarkEnd w:id="8"/>
      <w:bookmarkEnd w:id="9"/>
      <w:bookmarkEnd w:id="10"/>
    </w:p>
    <w:p w14:paraId="7E1CDA86" w14:textId="171A0990" w:rsidR="007A75CE" w:rsidRDefault="007A75CE" w:rsidP="00733CE2">
      <w:pPr>
        <w:pStyle w:val="Heading2"/>
      </w:pPr>
      <w:bookmarkStart w:id="11" w:name="_Toc111626676"/>
      <w:bookmarkStart w:id="12" w:name="_Toc112914986"/>
      <w:bookmarkStart w:id="13" w:name="_Toc113523033"/>
      <w:r>
        <w:t>2.1</w:t>
      </w:r>
      <w:r>
        <w:tab/>
        <w:t>Objectives of the food technology assessment</w:t>
      </w:r>
      <w:bookmarkEnd w:id="11"/>
      <w:bookmarkEnd w:id="12"/>
      <w:bookmarkEnd w:id="13"/>
    </w:p>
    <w:p w14:paraId="285F6FA7" w14:textId="0BEE646E" w:rsidR="007A75CE" w:rsidRDefault="007A75CE" w:rsidP="007A75CE">
      <w:pPr>
        <w:spacing w:after="240"/>
        <w:rPr>
          <w:lang w:bidi="ar-SA"/>
        </w:rPr>
      </w:pPr>
      <w:r w:rsidRPr="005670BD">
        <w:t>Th</w:t>
      </w:r>
      <w:r>
        <w:t xml:space="preserve">is assessment reviewed </w:t>
      </w:r>
      <w:r>
        <w:rPr>
          <w:lang w:bidi="ar-SA"/>
        </w:rPr>
        <w:t xml:space="preserve">the </w:t>
      </w:r>
      <w:r w:rsidR="0037207C">
        <w:rPr>
          <w:lang w:bidi="ar-SA"/>
        </w:rPr>
        <w:t>Applicant’s</w:t>
      </w:r>
      <w:r>
        <w:rPr>
          <w:lang w:bidi="ar-SA"/>
        </w:rPr>
        <w:t xml:space="preserve"> </w:t>
      </w:r>
      <w:proofErr w:type="spellStart"/>
      <w:r w:rsidRPr="77A44187">
        <w:rPr>
          <w:lang w:eastAsia="en-AU"/>
        </w:rPr>
        <w:t>bLf</w:t>
      </w:r>
      <w:proofErr w:type="spellEnd"/>
      <w:r w:rsidRPr="006A55DF">
        <w:rPr>
          <w:lang w:bidi="ar-SA"/>
        </w:rPr>
        <w:t xml:space="preserve"> </w:t>
      </w:r>
      <w:r w:rsidRPr="00B976DB">
        <w:rPr>
          <w:lang w:bidi="ar-SA"/>
        </w:rPr>
        <w:t>ingredient</w:t>
      </w:r>
      <w:r>
        <w:rPr>
          <w:lang w:bidi="ar-SA"/>
        </w:rPr>
        <w:t xml:space="preserve"> from a food technology perspective. As such, the assessment provides information on the identity and properties of the </w:t>
      </w:r>
      <w:proofErr w:type="spellStart"/>
      <w:r>
        <w:rPr>
          <w:lang w:bidi="ar-SA"/>
        </w:rPr>
        <w:t>bLf</w:t>
      </w:r>
      <w:proofErr w:type="spellEnd"/>
      <w:r>
        <w:rPr>
          <w:lang w:bidi="ar-SA"/>
        </w:rPr>
        <w:t xml:space="preserve">; its use and stability in </w:t>
      </w:r>
      <w:r w:rsidR="003930E5">
        <w:rPr>
          <w:lang w:bidi="ar-SA"/>
        </w:rPr>
        <w:t>IFP</w:t>
      </w:r>
      <w:r>
        <w:rPr>
          <w:lang w:bidi="ar-SA"/>
        </w:rPr>
        <w:t xml:space="preserve">; and includes a proposed specification for inclusion in Schedule 3 </w:t>
      </w:r>
      <w:r w:rsidRPr="77A44187">
        <w:rPr>
          <w:lang w:bidi="ar-SA"/>
        </w:rPr>
        <w:t xml:space="preserve">– Identity and purity of the Code. </w:t>
      </w:r>
      <w:r>
        <w:rPr>
          <w:lang w:bidi="ar-SA"/>
        </w:rPr>
        <w:t xml:space="preserve">The assessment also considered the manufacturing process and the ability of analytical methods to detect/quantify the </w:t>
      </w:r>
      <w:proofErr w:type="spellStart"/>
      <w:r>
        <w:rPr>
          <w:lang w:bidi="ar-SA"/>
        </w:rPr>
        <w:t>bLf</w:t>
      </w:r>
      <w:proofErr w:type="spellEnd"/>
      <w:r>
        <w:rPr>
          <w:lang w:bidi="ar-SA"/>
        </w:rPr>
        <w:t xml:space="preserve"> in </w:t>
      </w:r>
      <w:r w:rsidR="003930E5">
        <w:rPr>
          <w:lang w:bidi="ar-SA"/>
        </w:rPr>
        <w:t>IFP</w:t>
      </w:r>
      <w:r>
        <w:rPr>
          <w:lang w:bidi="ar-SA"/>
        </w:rPr>
        <w:t>.</w:t>
      </w:r>
    </w:p>
    <w:p w14:paraId="4551A825" w14:textId="75F7D609" w:rsidR="007A75CE" w:rsidRDefault="007A75CE" w:rsidP="00733CE2">
      <w:pPr>
        <w:pStyle w:val="Heading2"/>
      </w:pPr>
      <w:bookmarkStart w:id="14" w:name="_Toc111626677"/>
      <w:bookmarkStart w:id="15" w:name="_Toc112914987"/>
      <w:bookmarkStart w:id="16" w:name="_Toc113523034"/>
      <w:r>
        <w:t>2.2</w:t>
      </w:r>
      <w:r>
        <w:tab/>
        <w:t xml:space="preserve">Assessment of the </w:t>
      </w:r>
      <w:proofErr w:type="spellStart"/>
      <w:r>
        <w:t>bLf</w:t>
      </w:r>
      <w:proofErr w:type="spellEnd"/>
      <w:r>
        <w:t xml:space="preserve"> ingredient</w:t>
      </w:r>
      <w:bookmarkEnd w:id="14"/>
      <w:bookmarkEnd w:id="15"/>
      <w:bookmarkEnd w:id="16"/>
    </w:p>
    <w:p w14:paraId="78327A9D" w14:textId="1376AD17" w:rsidR="007A75CE" w:rsidRDefault="007A75CE" w:rsidP="006406E3">
      <w:pPr>
        <w:pStyle w:val="Heading3"/>
      </w:pPr>
      <w:bookmarkStart w:id="17" w:name="_Toc111626678"/>
      <w:bookmarkStart w:id="18" w:name="_Toc112914988"/>
      <w:bookmarkStart w:id="19" w:name="_Toc113523035"/>
      <w:r>
        <w:t>2.2.1</w:t>
      </w:r>
      <w:r>
        <w:tab/>
        <w:t xml:space="preserve">Identity of the </w:t>
      </w:r>
      <w:proofErr w:type="spellStart"/>
      <w:r>
        <w:t>bLf</w:t>
      </w:r>
      <w:proofErr w:type="spellEnd"/>
      <w:r>
        <w:t xml:space="preserve"> ingredient</w:t>
      </w:r>
      <w:bookmarkEnd w:id="17"/>
      <w:bookmarkEnd w:id="18"/>
      <w:bookmarkEnd w:id="19"/>
    </w:p>
    <w:p w14:paraId="4B4986EC" w14:textId="54144779" w:rsidR="007A75CE" w:rsidRPr="00190734" w:rsidRDefault="007A75CE" w:rsidP="003C14FA">
      <w:pPr>
        <w:rPr>
          <w:szCs w:val="22"/>
        </w:rPr>
      </w:pPr>
      <w:r w:rsidRPr="003C14FA">
        <w:t xml:space="preserve">Lactoferrins are glycoproteins, and have a molecular weight of about 80 </w:t>
      </w:r>
      <w:proofErr w:type="spellStart"/>
      <w:r w:rsidRPr="003C14FA">
        <w:t>kDa</w:t>
      </w:r>
      <w:proofErr w:type="spellEnd"/>
      <w:r w:rsidRPr="003C14FA">
        <w:t xml:space="preserve"> with 670-690 amino acid residues. </w:t>
      </w:r>
      <w:proofErr w:type="spellStart"/>
      <w:r w:rsidRPr="003C14FA">
        <w:t>bLf</w:t>
      </w:r>
      <w:proofErr w:type="spellEnd"/>
      <w:r w:rsidRPr="003C14FA">
        <w:t xml:space="preserve"> occurs naturally in the whey fraction of cow’s milk. </w:t>
      </w:r>
      <w:proofErr w:type="spellStart"/>
      <w:r w:rsidRPr="003C14FA">
        <w:t>Lf</w:t>
      </w:r>
      <w:proofErr w:type="spellEnd"/>
      <w:r w:rsidRPr="003C14FA">
        <w:t xml:space="preserve"> is naturally present in </w:t>
      </w:r>
      <w:r w:rsidR="00296F41" w:rsidRPr="003C14FA">
        <w:t>human</w:t>
      </w:r>
      <w:r w:rsidRPr="003C14FA">
        <w:t xml:space="preserve"> </w:t>
      </w:r>
      <w:r w:rsidRPr="00190734">
        <w:rPr>
          <w:szCs w:val="22"/>
        </w:rPr>
        <w:t>milk.</w:t>
      </w:r>
    </w:p>
    <w:p w14:paraId="2A393BB4" w14:textId="77777777" w:rsidR="003C14FA" w:rsidRPr="003C14FA" w:rsidRDefault="003C14FA" w:rsidP="003C14FA"/>
    <w:p w14:paraId="5EC9F0F6" w14:textId="13E317EC" w:rsidR="007A75CE" w:rsidRPr="00190734" w:rsidRDefault="007A75CE" w:rsidP="003C14FA">
      <w:pPr>
        <w:rPr>
          <w:szCs w:val="22"/>
        </w:rPr>
      </w:pPr>
      <w:r w:rsidRPr="003C14FA">
        <w:t xml:space="preserve">As stated in the </w:t>
      </w:r>
      <w:r w:rsidR="00BB0ADD" w:rsidRPr="003C14FA">
        <w:t>Application</w:t>
      </w:r>
      <w:r w:rsidRPr="003C14FA">
        <w:t xml:space="preserve"> (section 2.2), lactoferrin is a non-h</w:t>
      </w:r>
      <w:r w:rsidRPr="00190734">
        <w:rPr>
          <w:szCs w:val="22"/>
        </w:rPr>
        <w:t>aem iron-binding protein. It is a member of the</w:t>
      </w:r>
      <w:r>
        <w:rPr>
          <w:szCs w:val="22"/>
        </w:rPr>
        <w:t xml:space="preserve"> transferrin family of iron-bind</w:t>
      </w:r>
      <w:r w:rsidRPr="00190734">
        <w:rPr>
          <w:szCs w:val="22"/>
        </w:rPr>
        <w:t xml:space="preserve">ing proteins, which is characterised by the capacity to reversibly bind ferric iron with high affinity. </w:t>
      </w:r>
    </w:p>
    <w:p w14:paraId="0EF82EDE" w14:textId="77777777" w:rsidR="003C14FA" w:rsidRPr="003C14FA" w:rsidRDefault="003C14FA" w:rsidP="003C14FA"/>
    <w:p w14:paraId="042DF66C" w14:textId="46D5C1BB" w:rsidR="007A75CE" w:rsidRPr="00190734" w:rsidRDefault="007A75CE" w:rsidP="003C14FA">
      <w:pPr>
        <w:rPr>
          <w:szCs w:val="22"/>
        </w:rPr>
      </w:pPr>
      <w:proofErr w:type="spellStart"/>
      <w:r w:rsidRPr="003C14FA">
        <w:t>bL</w:t>
      </w:r>
      <w:r w:rsidR="4F8E8A9D" w:rsidRPr="003C14FA">
        <w:t>f</w:t>
      </w:r>
      <w:proofErr w:type="spellEnd"/>
      <w:r w:rsidRPr="003C14FA">
        <w:t xml:space="preserve"> has a molecular weight of approximately 77 </w:t>
      </w:r>
      <w:proofErr w:type="spellStart"/>
      <w:r>
        <w:rPr>
          <w:szCs w:val="22"/>
        </w:rPr>
        <w:t>k</w:t>
      </w:r>
      <w:r w:rsidRPr="00190734">
        <w:rPr>
          <w:szCs w:val="22"/>
        </w:rPr>
        <w:t>Da</w:t>
      </w:r>
      <w:proofErr w:type="spellEnd"/>
      <w:r w:rsidRPr="00190734">
        <w:rPr>
          <w:szCs w:val="22"/>
        </w:rPr>
        <w:t xml:space="preserve"> and consists of a single amino acid chain of 689 amino acids. Each lactoferrin macromolecule is composed of two lobes (a </w:t>
      </w:r>
      <w:r w:rsidR="00F73303">
        <w:rPr>
          <w:szCs w:val="22"/>
        </w:rPr>
        <w:t>N</w:t>
      </w:r>
      <w:r w:rsidRPr="00190734">
        <w:rPr>
          <w:szCs w:val="22"/>
        </w:rPr>
        <w:t xml:space="preserve">- and a </w:t>
      </w:r>
      <w:r w:rsidR="00EE29EC">
        <w:rPr>
          <w:szCs w:val="22"/>
        </w:rPr>
        <w:t>C</w:t>
      </w:r>
      <w:r w:rsidRPr="00190734">
        <w:rPr>
          <w:szCs w:val="22"/>
        </w:rPr>
        <w:t>-lobe (representing the N and C-terminals of the molecule, respectively)</w:t>
      </w:r>
      <w:r w:rsidR="007F710C">
        <w:rPr>
          <w:szCs w:val="22"/>
        </w:rPr>
        <w:t>.</w:t>
      </w:r>
      <w:r w:rsidRPr="00190734">
        <w:rPr>
          <w:szCs w:val="22"/>
        </w:rPr>
        <w:t xml:space="preserve"> The lobes are unevenly glycosylated, the C-lobe typically containing more N-linked glycosylation sites</w:t>
      </w:r>
      <w:r w:rsidR="00AE3006">
        <w:rPr>
          <w:szCs w:val="22"/>
        </w:rPr>
        <w:t>.</w:t>
      </w:r>
      <w:r w:rsidRPr="00190734">
        <w:rPr>
          <w:szCs w:val="22"/>
        </w:rPr>
        <w:t xml:space="preserve"> In the presence of either bicarbonate or carbonate, ferric iron binds to lactoferrin such that one </w:t>
      </w:r>
      <w:proofErr w:type="spellStart"/>
      <w:r w:rsidRPr="00190734">
        <w:rPr>
          <w:szCs w:val="22"/>
        </w:rPr>
        <w:t>Lf</w:t>
      </w:r>
      <w:proofErr w:type="spellEnd"/>
      <w:r w:rsidRPr="00190734">
        <w:rPr>
          <w:szCs w:val="22"/>
        </w:rPr>
        <w:t xml:space="preserve"> molecule is able to bind 2 ferric irons</w:t>
      </w:r>
      <w:r>
        <w:rPr>
          <w:szCs w:val="22"/>
        </w:rPr>
        <w:t>.</w:t>
      </w:r>
      <w:r w:rsidR="005538E6">
        <w:rPr>
          <w:szCs w:val="22"/>
        </w:rPr>
        <w:t xml:space="preserve"> </w:t>
      </w:r>
      <w:r w:rsidR="005538E6" w:rsidRPr="0051675D">
        <w:rPr>
          <w:szCs w:val="22"/>
        </w:rPr>
        <w:t xml:space="preserve">The amino acid sequence homology of </w:t>
      </w:r>
      <w:proofErr w:type="spellStart"/>
      <w:r w:rsidR="001E1395" w:rsidRPr="0051675D">
        <w:rPr>
          <w:szCs w:val="22"/>
        </w:rPr>
        <w:t>bLf</w:t>
      </w:r>
      <w:proofErr w:type="spellEnd"/>
      <w:r w:rsidR="001E1395" w:rsidRPr="0051675D">
        <w:rPr>
          <w:szCs w:val="22"/>
        </w:rPr>
        <w:t xml:space="preserve"> with </w:t>
      </w:r>
      <w:proofErr w:type="spellStart"/>
      <w:r w:rsidR="001E1395" w:rsidRPr="0051675D">
        <w:rPr>
          <w:szCs w:val="22"/>
        </w:rPr>
        <w:t>hLf</w:t>
      </w:r>
      <w:proofErr w:type="spellEnd"/>
      <w:r w:rsidR="001E1395" w:rsidRPr="0051675D">
        <w:rPr>
          <w:szCs w:val="22"/>
        </w:rPr>
        <w:t xml:space="preserve"> is 69% (</w:t>
      </w:r>
      <w:proofErr w:type="spellStart"/>
      <w:r w:rsidR="00975A0A" w:rsidRPr="0051675D">
        <w:rPr>
          <w:szCs w:val="22"/>
        </w:rPr>
        <w:t>Lat</w:t>
      </w:r>
      <w:r w:rsidR="001E1395" w:rsidRPr="0051675D">
        <w:rPr>
          <w:szCs w:val="22"/>
        </w:rPr>
        <w:t>orre</w:t>
      </w:r>
      <w:proofErr w:type="spellEnd"/>
      <w:r w:rsidR="001E1395" w:rsidRPr="0051675D">
        <w:rPr>
          <w:szCs w:val="22"/>
        </w:rPr>
        <w:t xml:space="preserve"> et al, 2012).</w:t>
      </w:r>
    </w:p>
    <w:p w14:paraId="08E82211" w14:textId="77777777" w:rsidR="003C14FA" w:rsidRPr="003C14FA" w:rsidRDefault="003C14FA" w:rsidP="003C14FA"/>
    <w:p w14:paraId="725333AB" w14:textId="0A1986F7" w:rsidR="007A75CE" w:rsidRDefault="007A75CE" w:rsidP="003C14FA">
      <w:pPr>
        <w:rPr>
          <w:szCs w:val="22"/>
        </w:rPr>
      </w:pPr>
      <w:r w:rsidRPr="00190734">
        <w:rPr>
          <w:szCs w:val="22"/>
        </w:rPr>
        <w:t xml:space="preserve">As described in the </w:t>
      </w:r>
      <w:r w:rsidR="00BB0ADD">
        <w:rPr>
          <w:szCs w:val="22"/>
        </w:rPr>
        <w:t>Application</w:t>
      </w:r>
      <w:r w:rsidRPr="00190734">
        <w:rPr>
          <w:szCs w:val="22"/>
        </w:rPr>
        <w:t xml:space="preserve">, </w:t>
      </w:r>
      <w:proofErr w:type="spellStart"/>
      <w:r w:rsidRPr="00190734">
        <w:rPr>
          <w:szCs w:val="22"/>
        </w:rPr>
        <w:t>bLf</w:t>
      </w:r>
      <w:proofErr w:type="spellEnd"/>
      <w:r w:rsidRPr="00190734">
        <w:rPr>
          <w:szCs w:val="22"/>
        </w:rPr>
        <w:t xml:space="preserve"> has 5 potential glycosylation sites, whereas </w:t>
      </w:r>
      <w:proofErr w:type="spellStart"/>
      <w:r w:rsidR="00C05DF5">
        <w:rPr>
          <w:szCs w:val="22"/>
        </w:rPr>
        <w:t>h</w:t>
      </w:r>
      <w:r w:rsidRPr="00190734">
        <w:rPr>
          <w:szCs w:val="22"/>
        </w:rPr>
        <w:t>Lf</w:t>
      </w:r>
      <w:proofErr w:type="spellEnd"/>
      <w:r w:rsidRPr="00190734">
        <w:rPr>
          <w:szCs w:val="22"/>
        </w:rPr>
        <w:t xml:space="preserve"> has 3 potential glycosylation sites. </w:t>
      </w:r>
      <w:proofErr w:type="spellStart"/>
      <w:r w:rsidRPr="00190734">
        <w:rPr>
          <w:szCs w:val="22"/>
        </w:rPr>
        <w:t>bLf</w:t>
      </w:r>
      <w:proofErr w:type="spellEnd"/>
      <w:r w:rsidRPr="00190734">
        <w:rPr>
          <w:szCs w:val="22"/>
        </w:rPr>
        <w:t xml:space="preserve"> contains N-</w:t>
      </w:r>
      <w:proofErr w:type="spellStart"/>
      <w:r w:rsidRPr="00190734">
        <w:rPr>
          <w:szCs w:val="22"/>
        </w:rPr>
        <w:t>glycosidically</w:t>
      </w:r>
      <w:proofErr w:type="spellEnd"/>
      <w:r w:rsidRPr="00190734">
        <w:rPr>
          <w:szCs w:val="22"/>
        </w:rPr>
        <w:t>-linked glycans possessing N-acetylneuraminic acid, galactose, mannose, fucose, N-acetylglucosamine, and N-</w:t>
      </w:r>
      <w:proofErr w:type="spellStart"/>
      <w:r w:rsidRPr="00190734">
        <w:rPr>
          <w:szCs w:val="22"/>
        </w:rPr>
        <w:t>acetylgalactosamine</w:t>
      </w:r>
      <w:proofErr w:type="spellEnd"/>
      <w:r>
        <w:rPr>
          <w:szCs w:val="22"/>
        </w:rPr>
        <w:t>.</w:t>
      </w:r>
    </w:p>
    <w:p w14:paraId="19F84245" w14:textId="77777777" w:rsidR="003C14FA" w:rsidRPr="003C14FA" w:rsidRDefault="003C14FA" w:rsidP="003C14FA"/>
    <w:p w14:paraId="7CF22E4A" w14:textId="7158CFAA" w:rsidR="007A75CE" w:rsidRPr="00190734" w:rsidRDefault="007A75CE" w:rsidP="003C14FA">
      <w:pPr>
        <w:rPr>
          <w:szCs w:val="22"/>
        </w:rPr>
      </w:pPr>
      <w:proofErr w:type="spellStart"/>
      <w:r w:rsidRPr="003C14FA">
        <w:t>Lf</w:t>
      </w:r>
      <w:proofErr w:type="spellEnd"/>
      <w:r w:rsidRPr="003C14FA">
        <w:t xml:space="preserve"> with less than 5% iron saturation is called </w:t>
      </w:r>
      <w:proofErr w:type="spellStart"/>
      <w:r w:rsidRPr="003C14FA">
        <w:t>apolactoferrin</w:t>
      </w:r>
      <w:proofErr w:type="spellEnd"/>
      <w:r w:rsidRPr="003C14FA">
        <w:t>, while the iron</w:t>
      </w:r>
      <w:r w:rsidR="00147C43" w:rsidRPr="003C14FA">
        <w:t>-</w:t>
      </w:r>
      <w:r w:rsidRPr="003C14FA">
        <w:t xml:space="preserve">saturated </w:t>
      </w:r>
      <w:proofErr w:type="spellStart"/>
      <w:r w:rsidRPr="003C14FA">
        <w:t>Lf</w:t>
      </w:r>
      <w:proofErr w:type="spellEnd"/>
      <w:r w:rsidRPr="003C14FA">
        <w:t xml:space="preserve"> is called </w:t>
      </w:r>
      <w:proofErr w:type="spellStart"/>
      <w:r w:rsidRPr="003C14FA">
        <w:t>hololactoferrin</w:t>
      </w:r>
      <w:proofErr w:type="spellEnd"/>
      <w:r w:rsidRPr="003C14FA">
        <w:t xml:space="preserve">. The </w:t>
      </w:r>
      <w:proofErr w:type="spellStart"/>
      <w:r w:rsidRPr="003C14FA">
        <w:t>bLf</w:t>
      </w:r>
      <w:proofErr w:type="spellEnd"/>
      <w:r w:rsidRPr="003C14FA">
        <w:t xml:space="preserve"> subject to this </w:t>
      </w:r>
      <w:r w:rsidR="00BB0ADD" w:rsidRPr="003C14FA">
        <w:t>Application</w:t>
      </w:r>
      <w:r w:rsidRPr="003C14FA">
        <w:t xml:space="preserve"> contains a maximum of 15mg Fe/100g </w:t>
      </w:r>
      <w:proofErr w:type="spellStart"/>
      <w:r w:rsidRPr="003C14FA">
        <w:t>bLf</w:t>
      </w:r>
      <w:proofErr w:type="spellEnd"/>
      <w:r w:rsidRPr="003C14FA">
        <w:t xml:space="preserve"> (i.e., at the time of addition to </w:t>
      </w:r>
      <w:r w:rsidR="003930E5" w:rsidRPr="003C14FA">
        <w:t>IFP</w:t>
      </w:r>
      <w:r w:rsidRPr="003C14FA">
        <w:t xml:space="preserve">). As noted in the </w:t>
      </w:r>
      <w:r w:rsidR="00BB0ADD" w:rsidRPr="003C14FA">
        <w:t>Application</w:t>
      </w:r>
      <w:r w:rsidRPr="003C14FA">
        <w:t xml:space="preserve"> (section 2.2), this</w:t>
      </w:r>
      <w:r w:rsidRPr="00190734">
        <w:rPr>
          <w:szCs w:val="22"/>
        </w:rPr>
        <w:t xml:space="preserve"> equates to a maximum iron saturation of 10.7%.</w:t>
      </w:r>
    </w:p>
    <w:p w14:paraId="6C8BB7AC" w14:textId="77777777" w:rsidR="003C14FA" w:rsidRPr="003C14FA" w:rsidRDefault="003C14FA" w:rsidP="003C14FA"/>
    <w:p w14:paraId="71E6C0CB" w14:textId="225B9EF1" w:rsidR="007A75CE" w:rsidRPr="00190734" w:rsidRDefault="007A75CE" w:rsidP="003C14FA">
      <w:pPr>
        <w:rPr>
          <w:szCs w:val="22"/>
        </w:rPr>
      </w:pPr>
      <w:r w:rsidRPr="003C14FA">
        <w:t xml:space="preserve">The Chemical Abstracts Service (CAS) Registry Number for bovine lactoferrin is CAS Reg. No.146897-68-9. </w:t>
      </w:r>
    </w:p>
    <w:p w14:paraId="46995643" w14:textId="432AB97E" w:rsidR="007A75CE" w:rsidRDefault="007A75CE" w:rsidP="006406E3">
      <w:pPr>
        <w:pStyle w:val="Heading3"/>
      </w:pPr>
      <w:bookmarkStart w:id="20" w:name="_Toc111626679"/>
      <w:bookmarkStart w:id="21" w:name="_Toc112914989"/>
      <w:bookmarkStart w:id="22" w:name="_Toc113523036"/>
      <w:r>
        <w:t>2.2.2</w:t>
      </w:r>
      <w:r>
        <w:tab/>
        <w:t xml:space="preserve">Physical properties of the </w:t>
      </w:r>
      <w:proofErr w:type="spellStart"/>
      <w:r>
        <w:t>bLf</w:t>
      </w:r>
      <w:proofErr w:type="spellEnd"/>
      <w:r>
        <w:t xml:space="preserve"> ingredient</w:t>
      </w:r>
      <w:bookmarkEnd w:id="20"/>
      <w:bookmarkEnd w:id="21"/>
      <w:bookmarkEnd w:id="22"/>
    </w:p>
    <w:p w14:paraId="089AC022" w14:textId="16F9C826" w:rsidR="007A75CE" w:rsidRPr="00190734" w:rsidRDefault="007A75CE" w:rsidP="007A75CE">
      <w:pPr>
        <w:rPr>
          <w:rFonts w:cs="Arial"/>
          <w:lang w:val="en-AU" w:bidi="ar-SA"/>
        </w:rPr>
      </w:pPr>
      <w:r w:rsidRPr="544FA2B4">
        <w:rPr>
          <w:rFonts w:cs="Arial"/>
          <w:lang w:val="en-AU" w:bidi="ar-SA"/>
        </w:rPr>
        <w:t xml:space="preserve">Table 2-3 in the </w:t>
      </w:r>
      <w:r>
        <w:rPr>
          <w:rFonts w:cs="Arial"/>
          <w:lang w:val="en-AU" w:bidi="ar-SA"/>
        </w:rPr>
        <w:t>Application</w:t>
      </w:r>
      <w:r w:rsidRPr="544FA2B4">
        <w:rPr>
          <w:rFonts w:cs="Arial"/>
          <w:lang w:val="en-AU" w:bidi="ar-SA"/>
        </w:rPr>
        <w:t xml:space="preserve"> summarises the physical and chemical properties of </w:t>
      </w:r>
      <w:proofErr w:type="spellStart"/>
      <w:r w:rsidRPr="544FA2B4">
        <w:rPr>
          <w:rFonts w:cs="Arial"/>
          <w:lang w:val="en-AU" w:bidi="ar-SA"/>
        </w:rPr>
        <w:t>bLf</w:t>
      </w:r>
      <w:proofErr w:type="spellEnd"/>
      <w:r w:rsidRPr="544FA2B4">
        <w:rPr>
          <w:rFonts w:cs="Arial"/>
          <w:lang w:val="en-AU" w:bidi="ar-SA"/>
        </w:rPr>
        <w:t xml:space="preserve">. The </w:t>
      </w:r>
      <w:proofErr w:type="spellStart"/>
      <w:r w:rsidRPr="544FA2B4">
        <w:rPr>
          <w:rFonts w:cs="Arial"/>
          <w:lang w:val="en-AU" w:bidi="ar-SA"/>
        </w:rPr>
        <w:t>bLf</w:t>
      </w:r>
      <w:proofErr w:type="spellEnd"/>
      <w:r w:rsidRPr="544FA2B4">
        <w:rPr>
          <w:rFonts w:cs="Arial"/>
          <w:lang w:val="en-AU" w:bidi="ar-SA"/>
        </w:rPr>
        <w:t xml:space="preserve"> ingredient is a pink to reddish brown coloured, free-flowing powder. It is sold in 5kg commercial packs and does not need to be refrigerated.</w:t>
      </w:r>
    </w:p>
    <w:p w14:paraId="02630717" w14:textId="1A067B13" w:rsidR="007A75CE" w:rsidRDefault="007A75CE" w:rsidP="006406E3">
      <w:pPr>
        <w:pStyle w:val="Heading3"/>
      </w:pPr>
      <w:bookmarkStart w:id="23" w:name="_Toc111626680"/>
      <w:bookmarkStart w:id="24" w:name="_Toc112914990"/>
      <w:bookmarkStart w:id="25" w:name="_Toc113523037"/>
      <w:r>
        <w:t>2.2.3</w:t>
      </w:r>
      <w:r>
        <w:tab/>
        <w:t xml:space="preserve">Use and stability in </w:t>
      </w:r>
      <w:r w:rsidR="003930E5">
        <w:t>IFP</w:t>
      </w:r>
      <w:bookmarkEnd w:id="23"/>
      <w:bookmarkEnd w:id="24"/>
      <w:bookmarkEnd w:id="25"/>
    </w:p>
    <w:p w14:paraId="27FAF9E3" w14:textId="593E6889" w:rsidR="007A75CE" w:rsidRPr="00190734" w:rsidRDefault="003930E5" w:rsidP="007A75CE">
      <w:pPr>
        <w:rPr>
          <w:rFonts w:cs="Arial"/>
          <w:szCs w:val="22"/>
          <w:lang w:val="en-AU" w:bidi="ar-SA"/>
        </w:rPr>
      </w:pPr>
      <w:r>
        <w:rPr>
          <w:rFonts w:cs="Arial"/>
          <w:szCs w:val="22"/>
          <w:lang w:val="en-AU" w:bidi="ar-SA"/>
        </w:rPr>
        <w:t>IFP</w:t>
      </w:r>
      <w:r w:rsidR="007A75CE" w:rsidRPr="00190734">
        <w:rPr>
          <w:rFonts w:cs="Arial"/>
          <w:szCs w:val="22"/>
          <w:lang w:val="en-AU" w:bidi="ar-SA"/>
        </w:rPr>
        <w:t xml:space="preserve"> are usually sold in the form of powder, for reconstitution with water. The </w:t>
      </w:r>
      <w:proofErr w:type="spellStart"/>
      <w:r w:rsidR="007A75CE" w:rsidRPr="00190734">
        <w:rPr>
          <w:rFonts w:cs="Arial"/>
          <w:szCs w:val="22"/>
          <w:lang w:val="en-AU" w:bidi="ar-SA"/>
        </w:rPr>
        <w:t>bLf</w:t>
      </w:r>
      <w:proofErr w:type="spellEnd"/>
      <w:r w:rsidR="007A75CE" w:rsidRPr="00190734">
        <w:rPr>
          <w:rFonts w:cs="Arial"/>
          <w:szCs w:val="22"/>
          <w:lang w:val="en-AU" w:bidi="ar-SA"/>
        </w:rPr>
        <w:t xml:space="preserve"> ingredient is intended to be incorporated into </w:t>
      </w:r>
      <w:r>
        <w:rPr>
          <w:rFonts w:cs="Arial"/>
          <w:szCs w:val="22"/>
          <w:lang w:val="en-AU" w:bidi="ar-SA"/>
        </w:rPr>
        <w:t>IFP</w:t>
      </w:r>
      <w:r w:rsidR="007A75CE" w:rsidRPr="00190734">
        <w:rPr>
          <w:rFonts w:cs="Arial"/>
          <w:szCs w:val="22"/>
          <w:lang w:val="en-AU" w:bidi="ar-SA"/>
        </w:rPr>
        <w:t xml:space="preserve"> (sold in powder form) via dry-blending</w:t>
      </w:r>
      <w:r w:rsidR="007A75CE">
        <w:rPr>
          <w:rFonts w:cs="Arial"/>
          <w:szCs w:val="22"/>
          <w:lang w:val="en-AU" w:bidi="ar-SA"/>
        </w:rPr>
        <w:t xml:space="preserve"> technology</w:t>
      </w:r>
      <w:r w:rsidR="007A75CE" w:rsidRPr="00190734">
        <w:rPr>
          <w:rFonts w:cs="Arial"/>
          <w:szCs w:val="22"/>
          <w:lang w:val="en-AU" w:bidi="ar-SA"/>
        </w:rPr>
        <w:t xml:space="preserve">, to protect </w:t>
      </w:r>
      <w:proofErr w:type="spellStart"/>
      <w:r w:rsidR="007A75CE" w:rsidRPr="00190734">
        <w:rPr>
          <w:rFonts w:cs="Arial"/>
          <w:szCs w:val="22"/>
          <w:lang w:val="en-AU" w:bidi="ar-SA"/>
        </w:rPr>
        <w:t>bLf</w:t>
      </w:r>
      <w:proofErr w:type="spellEnd"/>
      <w:r w:rsidR="007A75CE" w:rsidRPr="00190734">
        <w:rPr>
          <w:rFonts w:cs="Arial"/>
          <w:szCs w:val="22"/>
          <w:lang w:val="en-AU" w:bidi="ar-SA"/>
        </w:rPr>
        <w:t xml:space="preserve"> from denaturation due to heat exposure and therefore to protect its bioavailability.</w:t>
      </w:r>
    </w:p>
    <w:p w14:paraId="625149B6" w14:textId="77777777" w:rsidR="007A75CE" w:rsidRPr="00190734" w:rsidRDefault="007A75CE" w:rsidP="007A75CE">
      <w:pPr>
        <w:rPr>
          <w:szCs w:val="22"/>
          <w:lang w:eastAsia="en-AU" w:bidi="ar-SA"/>
        </w:rPr>
      </w:pPr>
    </w:p>
    <w:p w14:paraId="6385B98F" w14:textId="2ADB666E" w:rsidR="007A75CE" w:rsidRPr="00190734" w:rsidRDefault="007A75CE" w:rsidP="007A75CE">
      <w:pPr>
        <w:rPr>
          <w:rFonts w:cs="Arial"/>
          <w:szCs w:val="22"/>
          <w:lang w:val="en-AU" w:bidi="ar-SA"/>
        </w:rPr>
      </w:pPr>
      <w:r w:rsidRPr="00190734">
        <w:rPr>
          <w:rFonts w:cs="Arial"/>
          <w:szCs w:val="22"/>
          <w:lang w:val="en-AU" w:bidi="ar-SA"/>
        </w:rPr>
        <w:t xml:space="preserve">The </w:t>
      </w:r>
      <w:r w:rsidR="00CA3ACE">
        <w:rPr>
          <w:rFonts w:cs="Arial"/>
          <w:szCs w:val="22"/>
          <w:lang w:val="en-AU" w:bidi="ar-SA"/>
        </w:rPr>
        <w:t>A</w:t>
      </w:r>
      <w:r w:rsidR="00CA3ACE" w:rsidRPr="00190734">
        <w:rPr>
          <w:rFonts w:cs="Arial"/>
          <w:szCs w:val="22"/>
          <w:lang w:val="en-AU" w:bidi="ar-SA"/>
        </w:rPr>
        <w:t>pplicant’s</w:t>
      </w:r>
      <w:r w:rsidRPr="00190734">
        <w:rPr>
          <w:rFonts w:cs="Arial"/>
          <w:szCs w:val="22"/>
          <w:lang w:val="en-AU" w:bidi="ar-SA"/>
        </w:rPr>
        <w:t xml:space="preserve"> </w:t>
      </w:r>
      <w:proofErr w:type="spellStart"/>
      <w:r w:rsidRPr="00190734">
        <w:rPr>
          <w:rFonts w:cs="Arial"/>
          <w:szCs w:val="22"/>
          <w:lang w:val="en-AU" w:bidi="ar-SA"/>
        </w:rPr>
        <w:t>bLf</w:t>
      </w:r>
      <w:proofErr w:type="spellEnd"/>
      <w:r w:rsidRPr="00190734">
        <w:rPr>
          <w:rFonts w:cs="Arial"/>
          <w:szCs w:val="22"/>
          <w:lang w:val="en-AU" w:bidi="ar-SA"/>
        </w:rPr>
        <w:t xml:space="preserve"> ingredient has a shelf life of three years as a raw material. </w:t>
      </w:r>
    </w:p>
    <w:p w14:paraId="1C2C991D" w14:textId="77777777" w:rsidR="007A75CE" w:rsidRPr="00190734" w:rsidRDefault="007A75CE" w:rsidP="007A75CE">
      <w:pPr>
        <w:rPr>
          <w:rFonts w:cs="Arial"/>
          <w:szCs w:val="22"/>
          <w:lang w:val="en-AU" w:bidi="ar-SA"/>
        </w:rPr>
      </w:pPr>
    </w:p>
    <w:p w14:paraId="71ABC7F3" w14:textId="7CEB5875" w:rsidR="007A75CE" w:rsidRDefault="007A75CE" w:rsidP="007A75CE">
      <w:pPr>
        <w:rPr>
          <w:rFonts w:cs="Arial"/>
          <w:szCs w:val="22"/>
          <w:lang w:val="en-AU" w:bidi="ar-SA"/>
        </w:rPr>
      </w:pPr>
      <w:r w:rsidRPr="00190734">
        <w:rPr>
          <w:rFonts w:cs="Arial"/>
          <w:szCs w:val="22"/>
          <w:lang w:val="en-AU" w:bidi="ar-SA"/>
        </w:rPr>
        <w:t xml:space="preserve">Additional information was provided to demonstrate stability in </w:t>
      </w:r>
      <w:r w:rsidR="003930E5">
        <w:rPr>
          <w:rFonts w:cs="Arial"/>
          <w:szCs w:val="22"/>
          <w:lang w:val="en-AU" w:bidi="ar-SA"/>
        </w:rPr>
        <w:t>IFP</w:t>
      </w:r>
      <w:r w:rsidRPr="00190734">
        <w:rPr>
          <w:rFonts w:cs="Arial"/>
          <w:szCs w:val="22"/>
          <w:lang w:val="en-AU" w:bidi="ar-SA"/>
        </w:rPr>
        <w:t xml:space="preserve">. The longest ambient shelf-life study with a product containing </w:t>
      </w:r>
      <w:proofErr w:type="spellStart"/>
      <w:r w:rsidRPr="00190734">
        <w:rPr>
          <w:rFonts w:cs="Arial"/>
          <w:szCs w:val="22"/>
          <w:lang w:val="en-AU" w:bidi="ar-SA"/>
        </w:rPr>
        <w:t>bLf</w:t>
      </w:r>
      <w:proofErr w:type="spellEnd"/>
      <w:r w:rsidRPr="00190734">
        <w:rPr>
          <w:rFonts w:cs="Arial"/>
          <w:szCs w:val="22"/>
          <w:lang w:val="en-AU" w:bidi="ar-SA"/>
        </w:rPr>
        <w:t xml:space="preserve"> was carried out over a period of 30 months. The results support the stability of </w:t>
      </w:r>
      <w:proofErr w:type="spellStart"/>
      <w:r w:rsidRPr="00190734">
        <w:rPr>
          <w:rFonts w:cs="Arial"/>
          <w:szCs w:val="22"/>
          <w:lang w:val="en-AU" w:bidi="ar-SA"/>
        </w:rPr>
        <w:t>bLf</w:t>
      </w:r>
      <w:proofErr w:type="spellEnd"/>
      <w:r w:rsidRPr="00190734">
        <w:rPr>
          <w:rFonts w:cs="Arial"/>
          <w:szCs w:val="22"/>
          <w:lang w:val="en-AU" w:bidi="ar-SA"/>
        </w:rPr>
        <w:t xml:space="preserve"> over this period of time, in </w:t>
      </w:r>
      <w:r w:rsidR="003930E5">
        <w:rPr>
          <w:rFonts w:cs="Arial"/>
          <w:szCs w:val="22"/>
          <w:lang w:val="en-AU" w:bidi="ar-SA"/>
        </w:rPr>
        <w:t>IFP</w:t>
      </w:r>
      <w:r w:rsidRPr="00190734">
        <w:rPr>
          <w:rFonts w:cs="Arial"/>
          <w:szCs w:val="22"/>
          <w:lang w:val="en-AU" w:bidi="ar-SA"/>
        </w:rPr>
        <w:t>. Stability is ensured by achieving appropriate water activity for finished products (close to 0.2 as much as possible) for optimum product preservation and by using packaging material with excellent barrier properties (metal can). The exchange of moisture and oxygen and the influx of light are not possible with this packaging material, thus providing more assurance on the stability of product throughout its shelf-life.</w:t>
      </w:r>
    </w:p>
    <w:p w14:paraId="3AF4917F" w14:textId="2F2BF590" w:rsidR="007A75CE" w:rsidRDefault="00533345" w:rsidP="00733CE2">
      <w:pPr>
        <w:pStyle w:val="Heading2"/>
      </w:pPr>
      <w:bookmarkStart w:id="26" w:name="_Toc111626681"/>
      <w:bookmarkStart w:id="27" w:name="_Toc112914991"/>
      <w:bookmarkStart w:id="28" w:name="_Toc113523038"/>
      <w:r>
        <w:t>2.3</w:t>
      </w:r>
      <w:r w:rsidR="007A75CE">
        <w:tab/>
      </w:r>
      <w:r>
        <w:t>Manufacturing process</w:t>
      </w:r>
      <w:bookmarkEnd w:id="26"/>
      <w:bookmarkEnd w:id="27"/>
      <w:bookmarkEnd w:id="28"/>
    </w:p>
    <w:p w14:paraId="5C86D94F" w14:textId="65FD3E9E" w:rsidR="00533345" w:rsidRDefault="00533345" w:rsidP="006406E3">
      <w:pPr>
        <w:pStyle w:val="Heading3"/>
      </w:pPr>
      <w:bookmarkStart w:id="29" w:name="_Toc111626682"/>
      <w:bookmarkStart w:id="30" w:name="_Toc112914992"/>
      <w:bookmarkStart w:id="31" w:name="_Toc113523039"/>
      <w:r>
        <w:t>2.3.1</w:t>
      </w:r>
      <w:r>
        <w:tab/>
        <w:t xml:space="preserve">Manufacture of the </w:t>
      </w:r>
      <w:proofErr w:type="spellStart"/>
      <w:r>
        <w:t>bLf</w:t>
      </w:r>
      <w:proofErr w:type="spellEnd"/>
      <w:r>
        <w:t xml:space="preserve"> ingredient</w:t>
      </w:r>
      <w:bookmarkEnd w:id="29"/>
      <w:bookmarkEnd w:id="30"/>
      <w:bookmarkEnd w:id="31"/>
    </w:p>
    <w:p w14:paraId="4BD5BAFD" w14:textId="77777777" w:rsidR="00533345" w:rsidRDefault="00533345" w:rsidP="00533345">
      <w:pPr>
        <w:rPr>
          <w:lang w:eastAsia="en-AU" w:bidi="ar-SA"/>
        </w:rPr>
      </w:pPr>
      <w:r>
        <w:rPr>
          <w:lang w:eastAsia="en-AU" w:bidi="ar-SA"/>
        </w:rPr>
        <w:t xml:space="preserve">Bovine milk is naturally low in </w:t>
      </w:r>
      <w:proofErr w:type="spellStart"/>
      <w:r>
        <w:rPr>
          <w:lang w:eastAsia="en-AU" w:bidi="ar-SA"/>
        </w:rPr>
        <w:t>bLf</w:t>
      </w:r>
      <w:proofErr w:type="spellEnd"/>
      <w:r>
        <w:rPr>
          <w:lang w:eastAsia="en-AU" w:bidi="ar-SA"/>
        </w:rPr>
        <w:t xml:space="preserve">. Dairy technology including ion exchange and ultrafiltration are used to separate, isolate and concentrate the </w:t>
      </w:r>
      <w:proofErr w:type="spellStart"/>
      <w:r>
        <w:rPr>
          <w:lang w:eastAsia="en-AU" w:bidi="ar-SA"/>
        </w:rPr>
        <w:t>bLf</w:t>
      </w:r>
      <w:proofErr w:type="spellEnd"/>
      <w:r>
        <w:rPr>
          <w:lang w:eastAsia="en-AU" w:bidi="ar-SA"/>
        </w:rPr>
        <w:t xml:space="preserve"> from skim milk. </w:t>
      </w:r>
    </w:p>
    <w:p w14:paraId="61735AD8" w14:textId="77777777" w:rsidR="00533345" w:rsidRDefault="00533345" w:rsidP="00533345">
      <w:pPr>
        <w:rPr>
          <w:lang w:eastAsia="en-AU" w:bidi="ar-SA"/>
        </w:rPr>
      </w:pPr>
    </w:p>
    <w:p w14:paraId="2170EFA1" w14:textId="13B20A76" w:rsidR="00533345" w:rsidRDefault="00533345" w:rsidP="00533345">
      <w:pPr>
        <w:rPr>
          <w:lang w:eastAsia="en-AU" w:bidi="ar-SA"/>
        </w:rPr>
      </w:pPr>
      <w:r>
        <w:rPr>
          <w:lang w:eastAsia="en-AU" w:bidi="ar-SA"/>
        </w:rPr>
        <w:t xml:space="preserve">The applicant has provided general details of the manufacturing process in section 2.2.4 of the </w:t>
      </w:r>
      <w:r w:rsidR="00BB0ADD">
        <w:rPr>
          <w:lang w:eastAsia="en-AU" w:bidi="ar-SA"/>
        </w:rPr>
        <w:t>Application</w:t>
      </w:r>
      <w:r>
        <w:rPr>
          <w:lang w:eastAsia="en-AU" w:bidi="ar-SA"/>
        </w:rPr>
        <w:t xml:space="preserve"> (and shown diagrammatically in Figure 2-6). In summary, raw milk is separated to provide the skim milk stream that is concentrated via an ion exchange column, and is subsequently subjected to ultrafiltration steps.</w:t>
      </w:r>
    </w:p>
    <w:p w14:paraId="04A5C131" w14:textId="77777777" w:rsidR="00533345" w:rsidRDefault="00533345" w:rsidP="00533345">
      <w:pPr>
        <w:rPr>
          <w:lang w:eastAsia="en-AU" w:bidi="ar-SA"/>
        </w:rPr>
      </w:pPr>
    </w:p>
    <w:p w14:paraId="65F13623" w14:textId="77777777" w:rsidR="00533345" w:rsidRDefault="00533345" w:rsidP="00533345">
      <w:pPr>
        <w:rPr>
          <w:lang w:eastAsia="en-AU" w:bidi="ar-SA"/>
        </w:rPr>
      </w:pPr>
      <w:r>
        <w:rPr>
          <w:lang w:eastAsia="en-AU" w:bidi="ar-SA"/>
        </w:rPr>
        <w:t xml:space="preserve">The ultra-filtrate solution is pasteurised and further concentrated, prior to evaporation and spray drying, to produce the </w:t>
      </w:r>
      <w:proofErr w:type="spellStart"/>
      <w:r>
        <w:rPr>
          <w:lang w:eastAsia="en-AU" w:bidi="ar-SA"/>
        </w:rPr>
        <w:t>bLf</w:t>
      </w:r>
      <w:proofErr w:type="spellEnd"/>
      <w:r>
        <w:rPr>
          <w:lang w:eastAsia="en-AU" w:bidi="ar-SA"/>
        </w:rPr>
        <w:t xml:space="preserve"> in an isolated and pure form. The applicant provided additional information confirming that pasteurisation and spray drying of isolated </w:t>
      </w:r>
      <w:proofErr w:type="spellStart"/>
      <w:r>
        <w:rPr>
          <w:lang w:eastAsia="en-AU" w:bidi="ar-SA"/>
        </w:rPr>
        <w:t>bLf</w:t>
      </w:r>
      <w:proofErr w:type="spellEnd"/>
      <w:r>
        <w:rPr>
          <w:lang w:eastAsia="en-AU" w:bidi="ar-SA"/>
        </w:rPr>
        <w:t xml:space="preserve"> has virtually no impact on the structure and consequently on the bioactivity of </w:t>
      </w:r>
      <w:proofErr w:type="spellStart"/>
      <w:r>
        <w:rPr>
          <w:lang w:eastAsia="en-AU" w:bidi="ar-SA"/>
        </w:rPr>
        <w:t>bLf</w:t>
      </w:r>
      <w:proofErr w:type="spellEnd"/>
      <w:r>
        <w:rPr>
          <w:lang w:eastAsia="en-AU" w:bidi="ar-SA"/>
        </w:rPr>
        <w:t>.</w:t>
      </w:r>
    </w:p>
    <w:p w14:paraId="71B6C589" w14:textId="77777777" w:rsidR="00533345" w:rsidRDefault="00533345" w:rsidP="00533345">
      <w:pPr>
        <w:rPr>
          <w:lang w:eastAsia="en-AU" w:bidi="ar-SA"/>
        </w:rPr>
      </w:pPr>
    </w:p>
    <w:p w14:paraId="0BC51D65" w14:textId="4DB1755A" w:rsidR="00533345" w:rsidRDefault="00533345" w:rsidP="00533345">
      <w:pPr>
        <w:rPr>
          <w:lang w:eastAsia="en-AU" w:bidi="ar-SA"/>
        </w:rPr>
      </w:pPr>
      <w:r>
        <w:rPr>
          <w:lang w:eastAsia="en-AU" w:bidi="ar-SA"/>
        </w:rPr>
        <w:t xml:space="preserve">The processing aids used are listed in </w:t>
      </w:r>
      <w:r w:rsidR="00F04EEF">
        <w:rPr>
          <w:lang w:eastAsia="en-AU" w:bidi="ar-SA"/>
        </w:rPr>
        <w:t>T</w:t>
      </w:r>
      <w:r>
        <w:rPr>
          <w:lang w:eastAsia="en-AU" w:bidi="ar-SA"/>
        </w:rPr>
        <w:t xml:space="preserve">able 2-7 of the </w:t>
      </w:r>
      <w:r w:rsidR="00BB0ADD">
        <w:rPr>
          <w:lang w:eastAsia="en-AU" w:bidi="ar-SA"/>
        </w:rPr>
        <w:t>Application</w:t>
      </w:r>
      <w:r>
        <w:rPr>
          <w:lang w:eastAsia="en-AU" w:bidi="ar-SA"/>
        </w:rPr>
        <w:t>. All processing aids are approved in S18. The ‘Sepharose</w:t>
      </w:r>
      <w:r>
        <w:rPr>
          <w:rFonts w:cs="Arial"/>
          <w:lang w:eastAsia="en-AU" w:bidi="ar-SA"/>
        </w:rPr>
        <w:t>™</w:t>
      </w:r>
      <w:r>
        <w:rPr>
          <w:lang w:eastAsia="en-AU" w:bidi="ar-SA"/>
        </w:rPr>
        <w:t xml:space="preserve"> Big Beads’ ion exchange resin was approved under </w:t>
      </w:r>
      <w:r w:rsidR="00BB0ADD">
        <w:rPr>
          <w:lang w:eastAsia="en-AU" w:bidi="ar-SA"/>
        </w:rPr>
        <w:t>Application</w:t>
      </w:r>
      <w:r>
        <w:rPr>
          <w:lang w:eastAsia="en-AU" w:bidi="ar-SA"/>
        </w:rPr>
        <w:t xml:space="preserve"> A1120 – Agarose Ion Exchange Resin as a Processing Aid for Lactoferrin </w:t>
      </w:r>
      <w:r>
        <w:rPr>
          <w:lang w:eastAsia="en-AU" w:bidi="ar-SA"/>
        </w:rPr>
        <w:lastRenderedPageBreak/>
        <w:t>Production.</w:t>
      </w:r>
      <w:r>
        <w:rPr>
          <w:rStyle w:val="FootnoteReference"/>
          <w:lang w:eastAsia="en-AU" w:bidi="ar-SA"/>
        </w:rPr>
        <w:footnoteReference w:id="2"/>
      </w:r>
      <w:r>
        <w:rPr>
          <w:lang w:eastAsia="en-AU" w:bidi="ar-SA"/>
        </w:rPr>
        <w:t xml:space="preserve"> The permission for use of the ion exchange resin in the production of lactoferrin from bovine milk is listed in </w:t>
      </w:r>
      <w:r>
        <w:t>the table to subsection S18—9(3), under ‘Sulphonate agarose ion exchange resin’ (as defined in subsection S18—9(2)).</w:t>
      </w:r>
    </w:p>
    <w:p w14:paraId="7D96B8FC" w14:textId="7B3F4583" w:rsidR="00533345" w:rsidRDefault="00533345" w:rsidP="006406E3">
      <w:pPr>
        <w:pStyle w:val="Heading3"/>
      </w:pPr>
      <w:bookmarkStart w:id="32" w:name="_Toc111626683"/>
      <w:bookmarkStart w:id="33" w:name="_Toc112914993"/>
      <w:bookmarkStart w:id="34" w:name="_Toc113523040"/>
      <w:r>
        <w:t>2.3.2</w:t>
      </w:r>
      <w:r>
        <w:tab/>
        <w:t>Information on impurities</w:t>
      </w:r>
      <w:bookmarkEnd w:id="32"/>
      <w:bookmarkEnd w:id="33"/>
      <w:bookmarkEnd w:id="34"/>
    </w:p>
    <w:p w14:paraId="679A2946" w14:textId="114FADCF" w:rsidR="00533345" w:rsidRPr="00E86816" w:rsidRDefault="00533345" w:rsidP="00533345">
      <w:pPr>
        <w:rPr>
          <w:strike/>
          <w:lang w:eastAsia="en-AU" w:bidi="ar-SA"/>
        </w:rPr>
      </w:pPr>
      <w:r>
        <w:rPr>
          <w:lang w:eastAsia="en-AU" w:bidi="ar-SA"/>
        </w:rPr>
        <w:t xml:space="preserve">Section 2.2.3 of the </w:t>
      </w:r>
      <w:r w:rsidR="00BB0ADD">
        <w:rPr>
          <w:lang w:eastAsia="en-AU" w:bidi="ar-SA"/>
        </w:rPr>
        <w:t>Application</w:t>
      </w:r>
      <w:r>
        <w:rPr>
          <w:lang w:eastAsia="en-AU" w:bidi="ar-SA"/>
        </w:rPr>
        <w:t xml:space="preserve"> provides information on impurities. </w:t>
      </w:r>
      <w:r>
        <w:t>The applicant</w:t>
      </w:r>
      <w:r w:rsidR="0063350C">
        <w:t>’</w:t>
      </w:r>
      <w:r>
        <w:t xml:space="preserve">s </w:t>
      </w:r>
      <w:proofErr w:type="spellStart"/>
      <w:r>
        <w:t>bLf</w:t>
      </w:r>
      <w:proofErr w:type="spellEnd"/>
      <w:r>
        <w:t xml:space="preserve"> has a minimum protein content of 95%, of which more than 95% is lactoferrin, and </w:t>
      </w:r>
      <w:r>
        <w:rPr>
          <w:lang w:eastAsia="en-AU" w:bidi="ar-SA"/>
        </w:rPr>
        <w:t xml:space="preserve">up to 5% other proteins. These are not quantified in the </w:t>
      </w:r>
      <w:r w:rsidR="00BB0ADD">
        <w:rPr>
          <w:lang w:eastAsia="en-AU" w:bidi="ar-SA"/>
        </w:rPr>
        <w:t>Application</w:t>
      </w:r>
      <w:r>
        <w:rPr>
          <w:lang w:eastAsia="en-AU" w:bidi="ar-SA"/>
        </w:rPr>
        <w:t xml:space="preserve">, however endotoxin levels (including lipopolysaccharide) are addressed. </w:t>
      </w:r>
    </w:p>
    <w:p w14:paraId="202E4710" w14:textId="77777777" w:rsidR="00533345" w:rsidRDefault="00533345" w:rsidP="00533345">
      <w:pPr>
        <w:rPr>
          <w:lang w:eastAsia="en-AU" w:bidi="ar-SA"/>
        </w:rPr>
      </w:pPr>
    </w:p>
    <w:p w14:paraId="2A68E21E" w14:textId="7E00C120" w:rsidR="00533345" w:rsidRDefault="00533345" w:rsidP="00533345">
      <w:pPr>
        <w:rPr>
          <w:lang w:bidi="ar-SA"/>
        </w:rPr>
      </w:pPr>
      <w:r w:rsidRPr="400D9AB5">
        <w:rPr>
          <w:lang w:eastAsia="en-AU" w:bidi="ar-SA"/>
        </w:rPr>
        <w:t xml:space="preserve">The </w:t>
      </w:r>
      <w:r w:rsidR="005975B1" w:rsidRPr="400D9AB5">
        <w:rPr>
          <w:lang w:eastAsia="en-AU" w:bidi="ar-SA"/>
        </w:rPr>
        <w:t>Applicant</w:t>
      </w:r>
      <w:r w:rsidRPr="400D9AB5">
        <w:rPr>
          <w:lang w:eastAsia="en-AU" w:bidi="ar-SA"/>
        </w:rPr>
        <w:t xml:space="preserve"> provided certificates of analysis for 8 non-consecutive batches </w:t>
      </w:r>
      <w:r w:rsidRPr="400D9AB5">
        <w:rPr>
          <w:lang w:bidi="ar-SA"/>
        </w:rPr>
        <w:t>(</w:t>
      </w:r>
      <w:r w:rsidR="00197623" w:rsidRPr="400D9AB5">
        <w:rPr>
          <w:lang w:bidi="ar-SA"/>
        </w:rPr>
        <w:t>T</w:t>
      </w:r>
      <w:r w:rsidRPr="400D9AB5">
        <w:rPr>
          <w:lang w:bidi="ar-SA"/>
        </w:rPr>
        <w:t xml:space="preserve">able 2-5 in the </w:t>
      </w:r>
      <w:r w:rsidR="00BB0ADD" w:rsidRPr="400D9AB5">
        <w:rPr>
          <w:lang w:bidi="ar-SA"/>
        </w:rPr>
        <w:t>Application</w:t>
      </w:r>
      <w:r w:rsidRPr="400D9AB5">
        <w:rPr>
          <w:lang w:bidi="ar-SA"/>
        </w:rPr>
        <w:t xml:space="preserve">), which demonstrate endotoxins are effectively absent, with levels less than 0.1 endotoxin units (EU)/mg </w:t>
      </w:r>
      <w:proofErr w:type="spellStart"/>
      <w:r w:rsidRPr="400D9AB5">
        <w:rPr>
          <w:lang w:bidi="ar-SA"/>
        </w:rPr>
        <w:t>bLf</w:t>
      </w:r>
      <w:proofErr w:type="spellEnd"/>
      <w:r w:rsidRPr="400D9AB5">
        <w:rPr>
          <w:lang w:bidi="ar-SA"/>
        </w:rPr>
        <w:t xml:space="preserve">. </w:t>
      </w:r>
    </w:p>
    <w:p w14:paraId="15EBF6DB" w14:textId="31C9119B" w:rsidR="00533345" w:rsidRDefault="00533345" w:rsidP="00733CE2">
      <w:pPr>
        <w:pStyle w:val="Heading2"/>
      </w:pPr>
      <w:bookmarkStart w:id="35" w:name="_Toc111626684"/>
      <w:bookmarkStart w:id="36" w:name="_Toc112914994"/>
      <w:bookmarkStart w:id="37" w:name="_Toc113523041"/>
      <w:r>
        <w:t>2.4</w:t>
      </w:r>
      <w:r>
        <w:tab/>
        <w:t xml:space="preserve">Specification for the </w:t>
      </w:r>
      <w:proofErr w:type="spellStart"/>
      <w:r>
        <w:t>bLf</w:t>
      </w:r>
      <w:proofErr w:type="spellEnd"/>
      <w:r>
        <w:t xml:space="preserve"> ingredient</w:t>
      </w:r>
      <w:bookmarkEnd w:id="35"/>
      <w:bookmarkEnd w:id="36"/>
      <w:bookmarkEnd w:id="37"/>
    </w:p>
    <w:p w14:paraId="419D77C3" w14:textId="2C7ECD4F" w:rsidR="00533345" w:rsidRDefault="00533345" w:rsidP="00533345">
      <w:pPr>
        <w:rPr>
          <w:lang w:bidi="ar-SA"/>
        </w:rPr>
      </w:pPr>
      <w:r>
        <w:t xml:space="preserve">Since there are no specifications for the </w:t>
      </w:r>
      <w:proofErr w:type="spellStart"/>
      <w:r>
        <w:t>bLf</w:t>
      </w:r>
      <w:proofErr w:type="spellEnd"/>
      <w:r>
        <w:t xml:space="preserve"> in any of the monographs in Schedule 3 </w:t>
      </w:r>
      <w:r w:rsidRPr="008F0A02">
        <w:rPr>
          <w:lang w:val="en-AU" w:eastAsia="en-GB" w:bidi="ar-SA"/>
        </w:rPr>
        <w:t>(</w:t>
      </w:r>
      <w:r>
        <w:rPr>
          <w:lang w:val="en-AU" w:eastAsia="en-GB" w:bidi="ar-SA"/>
        </w:rPr>
        <w:t xml:space="preserve">subsections </w:t>
      </w:r>
      <w:r w:rsidRPr="008F0A02">
        <w:rPr>
          <w:lang w:val="en-AU" w:eastAsia="en-GB" w:bidi="ar-SA"/>
        </w:rPr>
        <w:t>S3</w:t>
      </w:r>
      <w:r>
        <w:rPr>
          <w:lang w:val="en-AU" w:eastAsia="en-GB" w:bidi="ar-SA"/>
        </w:rPr>
        <w:t xml:space="preserve">—2 </w:t>
      </w:r>
      <w:r w:rsidRPr="008F0A02">
        <w:rPr>
          <w:lang w:val="en-AU" w:eastAsia="en-GB" w:bidi="ar-SA"/>
        </w:rPr>
        <w:t>and S3</w:t>
      </w:r>
      <w:r>
        <w:rPr>
          <w:lang w:val="en-AU" w:eastAsia="en-GB" w:bidi="ar-SA"/>
        </w:rPr>
        <w:t>—3)</w:t>
      </w:r>
      <w:r w:rsidRPr="008F0A02">
        <w:rPr>
          <w:lang w:val="en-AU" w:eastAsia="en-GB" w:bidi="ar-SA"/>
        </w:rPr>
        <w:t>,</w:t>
      </w:r>
      <w:r>
        <w:rPr>
          <w:lang w:val="en-AU" w:eastAsia="en-GB" w:bidi="ar-SA"/>
        </w:rPr>
        <w:t xml:space="preserve"> a new specification will be written into Schedule 3. </w:t>
      </w:r>
      <w:r>
        <w:rPr>
          <w:lang w:bidi="ar-SA"/>
        </w:rPr>
        <w:t>The applicant</w:t>
      </w:r>
      <w:r w:rsidR="007F7467">
        <w:rPr>
          <w:lang w:bidi="ar-SA"/>
        </w:rPr>
        <w:t>’</w:t>
      </w:r>
      <w:r>
        <w:rPr>
          <w:lang w:bidi="ar-SA"/>
        </w:rPr>
        <w:t xml:space="preserve">s </w:t>
      </w:r>
      <w:proofErr w:type="spellStart"/>
      <w:r>
        <w:rPr>
          <w:lang w:bidi="ar-SA"/>
        </w:rPr>
        <w:t>bLf</w:t>
      </w:r>
      <w:proofErr w:type="spellEnd"/>
      <w:r>
        <w:rPr>
          <w:lang w:bidi="ar-SA"/>
        </w:rPr>
        <w:t xml:space="preserve"> pure and isolated ingredient is sold in powder form, and does not contain any carriers or anticaking agents. The </w:t>
      </w:r>
      <w:r w:rsidR="007638B5">
        <w:rPr>
          <w:lang w:bidi="ar-SA"/>
        </w:rPr>
        <w:t>Applicant</w:t>
      </w:r>
      <w:r>
        <w:rPr>
          <w:lang w:bidi="ar-SA"/>
        </w:rPr>
        <w:t xml:space="preserve"> has provided a specification with information relevant to a new specification. </w:t>
      </w:r>
      <w:r w:rsidR="00295EEE">
        <w:rPr>
          <w:lang w:bidi="ar-SA"/>
        </w:rPr>
        <w:t>Table 1</w:t>
      </w:r>
      <w:r>
        <w:rPr>
          <w:lang w:bidi="ar-SA"/>
        </w:rPr>
        <w:t xml:space="preserve"> below shows the specification proposed by FSANZ, for inclusion in Schedule 3 of the Code.</w:t>
      </w:r>
    </w:p>
    <w:p w14:paraId="51083E2B" w14:textId="77777777" w:rsidR="00533345" w:rsidRDefault="00533345" w:rsidP="00533345">
      <w:pPr>
        <w:rPr>
          <w:lang w:bidi="ar-SA"/>
        </w:rPr>
      </w:pPr>
    </w:p>
    <w:p w14:paraId="4445D8A7" w14:textId="77777777" w:rsidR="00533345" w:rsidRDefault="00533345" w:rsidP="00533345">
      <w:pPr>
        <w:rPr>
          <w:lang w:bidi="ar-SA"/>
        </w:rPr>
      </w:pPr>
      <w:r>
        <w:t xml:space="preserve">The specification parameters comprise physical appearance, purity, total </w:t>
      </w:r>
      <w:proofErr w:type="spellStart"/>
      <w:r>
        <w:t>bLf</w:t>
      </w:r>
      <w:proofErr w:type="spellEnd"/>
      <w:r>
        <w:t xml:space="preserve"> levels, moisture, ash, fat, and iron, as well as limits for potential chemical and microbiological impurities, and contaminants. Solubility is included as a parameter, as this indicates the degree of denaturation-induced insolubility (Wang et al 2017). </w:t>
      </w:r>
    </w:p>
    <w:p w14:paraId="46956120" w14:textId="77777777" w:rsidR="00533345" w:rsidRDefault="00533345" w:rsidP="00533345">
      <w:pPr>
        <w:rPr>
          <w:lang w:bidi="ar-SA"/>
        </w:rPr>
      </w:pPr>
    </w:p>
    <w:p w14:paraId="76A819DB" w14:textId="630564C5" w:rsidR="007B04FD" w:rsidRDefault="00533345" w:rsidP="007B04FD">
      <w:pPr>
        <w:keepLines/>
        <w:rPr>
          <w:rFonts w:cs="Arial"/>
          <w:sz w:val="16"/>
          <w:szCs w:val="16"/>
        </w:rPr>
      </w:pPr>
      <w:r w:rsidRPr="1C95CCE8">
        <w:rPr>
          <w:lang w:bidi="ar-SA"/>
        </w:rPr>
        <w:t xml:space="preserve">The </w:t>
      </w:r>
      <w:r w:rsidR="005975B1">
        <w:rPr>
          <w:lang w:bidi="ar-SA"/>
        </w:rPr>
        <w:t>A</w:t>
      </w:r>
      <w:r w:rsidR="005975B1" w:rsidRPr="1C95CCE8">
        <w:rPr>
          <w:lang w:bidi="ar-SA"/>
        </w:rPr>
        <w:t>pplicant</w:t>
      </w:r>
      <w:r w:rsidRPr="1C95CCE8">
        <w:rPr>
          <w:lang w:bidi="ar-SA"/>
        </w:rPr>
        <w:t xml:space="preserve"> has provided </w:t>
      </w:r>
      <w:r w:rsidR="00DE0CDB" w:rsidRPr="1C95CCE8">
        <w:rPr>
          <w:lang w:bidi="ar-SA"/>
        </w:rPr>
        <w:t xml:space="preserve">manufacturing specifications </w:t>
      </w:r>
      <w:r w:rsidR="00206616" w:rsidRPr="1C95CCE8">
        <w:rPr>
          <w:lang w:bidi="ar-SA"/>
        </w:rPr>
        <w:t xml:space="preserve">and testing methods </w:t>
      </w:r>
      <w:r w:rsidR="00DE0CDB" w:rsidRPr="1C95CCE8">
        <w:rPr>
          <w:lang w:bidi="ar-SA"/>
        </w:rPr>
        <w:t xml:space="preserve">for </w:t>
      </w:r>
      <w:r w:rsidR="00206616" w:rsidRPr="1C95CCE8">
        <w:rPr>
          <w:lang w:bidi="ar-SA"/>
        </w:rPr>
        <w:t xml:space="preserve">a number of parameters for </w:t>
      </w:r>
      <w:proofErr w:type="spellStart"/>
      <w:r w:rsidR="00DE0CDB" w:rsidRPr="1C95CCE8">
        <w:rPr>
          <w:lang w:bidi="ar-SA"/>
        </w:rPr>
        <w:t>bLf</w:t>
      </w:r>
      <w:proofErr w:type="spellEnd"/>
      <w:r w:rsidR="00DE0CDB" w:rsidRPr="1C95CCE8">
        <w:rPr>
          <w:lang w:bidi="ar-SA"/>
        </w:rPr>
        <w:t xml:space="preserve"> (</w:t>
      </w:r>
      <w:r w:rsidR="00B65DDE" w:rsidRPr="1C95CCE8">
        <w:rPr>
          <w:lang w:bidi="ar-SA"/>
        </w:rPr>
        <w:t>T</w:t>
      </w:r>
      <w:r w:rsidR="00DE0CDB" w:rsidRPr="1C95CCE8">
        <w:rPr>
          <w:lang w:bidi="ar-SA"/>
        </w:rPr>
        <w:t xml:space="preserve">able 2-8 of the </w:t>
      </w:r>
      <w:r w:rsidR="00BB0ADD">
        <w:rPr>
          <w:lang w:bidi="ar-SA"/>
        </w:rPr>
        <w:t>Application</w:t>
      </w:r>
      <w:r w:rsidR="00DE0CDB" w:rsidRPr="1C95CCE8">
        <w:rPr>
          <w:lang w:bidi="ar-SA"/>
        </w:rPr>
        <w:t>)</w:t>
      </w:r>
      <w:r w:rsidR="00206616" w:rsidRPr="1C95CCE8">
        <w:rPr>
          <w:lang w:bidi="ar-SA"/>
        </w:rPr>
        <w:t>. The applicant also provided</w:t>
      </w:r>
      <w:r w:rsidR="00DE0CDB" w:rsidRPr="1C95CCE8">
        <w:rPr>
          <w:lang w:bidi="ar-SA"/>
        </w:rPr>
        <w:t xml:space="preserve"> </w:t>
      </w:r>
      <w:r w:rsidRPr="1C95CCE8">
        <w:rPr>
          <w:lang w:bidi="ar-SA"/>
        </w:rPr>
        <w:t xml:space="preserve">analytical results for five non-consecutive batches, shown in </w:t>
      </w:r>
      <w:r w:rsidR="00B65DDE" w:rsidRPr="1C95CCE8">
        <w:rPr>
          <w:lang w:bidi="ar-SA"/>
        </w:rPr>
        <w:t>T</w:t>
      </w:r>
      <w:r w:rsidRPr="1C95CCE8">
        <w:rPr>
          <w:lang w:bidi="ar-SA"/>
        </w:rPr>
        <w:t xml:space="preserve">able 2-9 of the </w:t>
      </w:r>
      <w:r w:rsidR="00BB0ADD">
        <w:rPr>
          <w:lang w:bidi="ar-SA"/>
        </w:rPr>
        <w:t>Application</w:t>
      </w:r>
      <w:r w:rsidR="00B65DDE" w:rsidRPr="1C95CCE8">
        <w:rPr>
          <w:lang w:bidi="ar-SA"/>
        </w:rPr>
        <w:t xml:space="preserve">, confirming production of the </w:t>
      </w:r>
      <w:proofErr w:type="spellStart"/>
      <w:r w:rsidR="00B65DDE" w:rsidRPr="1C95CCE8">
        <w:rPr>
          <w:lang w:bidi="ar-SA"/>
        </w:rPr>
        <w:t>bLf</w:t>
      </w:r>
      <w:proofErr w:type="spellEnd"/>
      <w:r w:rsidR="00B65DDE" w:rsidRPr="1C95CCE8">
        <w:rPr>
          <w:lang w:bidi="ar-SA"/>
        </w:rPr>
        <w:t xml:space="preserve"> ingredient meets the manufacturing specification parameters</w:t>
      </w:r>
      <w:r w:rsidR="00DE0CDB" w:rsidRPr="1C95CCE8">
        <w:rPr>
          <w:lang w:bidi="ar-SA"/>
        </w:rPr>
        <w:t>.</w:t>
      </w:r>
      <w:r w:rsidR="007B04FD">
        <w:rPr>
          <w:rFonts w:cs="Arial"/>
          <w:sz w:val="16"/>
          <w:szCs w:val="16"/>
          <w:lang w:bidi="ar-SA"/>
        </w:rPr>
        <w:t xml:space="preserve"> </w:t>
      </w:r>
    </w:p>
    <w:p w14:paraId="2CED0FFD" w14:textId="29F4EEEE" w:rsidR="00B65DDE" w:rsidRDefault="00B65DDE" w:rsidP="00533345">
      <w:pPr>
        <w:rPr>
          <w:lang w:bidi="ar-SA"/>
        </w:rPr>
      </w:pPr>
    </w:p>
    <w:p w14:paraId="6BBBD606" w14:textId="37CF6168" w:rsidR="00533345" w:rsidRDefault="303DECD8" w:rsidP="00533345">
      <w:pPr>
        <w:rPr>
          <w:lang w:bidi="ar-SA"/>
        </w:rPr>
      </w:pPr>
      <w:r>
        <w:rPr>
          <w:lang w:bidi="ar-SA"/>
        </w:rPr>
        <w:t xml:space="preserve">FSANZ assessed the </w:t>
      </w:r>
      <w:r w:rsidR="181D653B" w:rsidRPr="77A44187">
        <w:rPr>
          <w:lang w:bidi="ar-SA"/>
        </w:rPr>
        <w:t>manufacturing specification</w:t>
      </w:r>
      <w:r w:rsidR="41FAA0F5" w:rsidRPr="77A44187">
        <w:rPr>
          <w:lang w:bidi="ar-SA"/>
        </w:rPr>
        <w:t xml:space="preserve"> and </w:t>
      </w:r>
      <w:r w:rsidR="181D653B" w:rsidRPr="77A44187">
        <w:rPr>
          <w:lang w:bidi="ar-SA"/>
        </w:rPr>
        <w:t>analytical</w:t>
      </w:r>
      <w:r>
        <w:rPr>
          <w:lang w:bidi="ar-SA"/>
        </w:rPr>
        <w:t xml:space="preserve"> results and has proposed the </w:t>
      </w:r>
      <w:r w:rsidRPr="008110CE">
        <w:t>specification in</w:t>
      </w:r>
      <w:r w:rsidR="00D43870">
        <w:t xml:space="preserve"> </w:t>
      </w:r>
      <w:r w:rsidR="00295EEE">
        <w:t>Table 1</w:t>
      </w:r>
      <w:r w:rsidR="00D43870">
        <w:t xml:space="preserve"> </w:t>
      </w:r>
      <w:r w:rsidRPr="008110CE">
        <w:t>for inclusion</w:t>
      </w:r>
      <w:r>
        <w:rPr>
          <w:lang w:bidi="ar-SA"/>
        </w:rPr>
        <w:t xml:space="preserve"> in Schedule 3 of the Code. The microbiological parameters are limited to safety parameters</w:t>
      </w:r>
      <w:r w:rsidR="41FAA0F5" w:rsidRPr="77A44187">
        <w:rPr>
          <w:lang w:bidi="ar-SA"/>
        </w:rPr>
        <w:t>.</w:t>
      </w:r>
      <w:r w:rsidR="181D653B" w:rsidRPr="77A44187">
        <w:rPr>
          <w:lang w:bidi="ar-SA"/>
        </w:rPr>
        <w:t xml:space="preserve"> </w:t>
      </w:r>
      <w:r w:rsidR="12337046" w:rsidRPr="3FCDAE29">
        <w:rPr>
          <w:lang w:bidi="ar-SA"/>
        </w:rPr>
        <w:t xml:space="preserve">Limits for heavy metals and arsenic are required, as the default values in S3—4 </w:t>
      </w:r>
      <w:r w:rsidR="181D653B" w:rsidRPr="77A44187">
        <w:rPr>
          <w:lang w:bidi="ar-SA"/>
        </w:rPr>
        <w:t xml:space="preserve">for substances </w:t>
      </w:r>
      <w:r w:rsidR="12337046" w:rsidRPr="3FCDAE29">
        <w:rPr>
          <w:lang w:bidi="ar-SA"/>
        </w:rPr>
        <w:t xml:space="preserve">are not consistent with the </w:t>
      </w:r>
      <w:r w:rsidR="007638B5">
        <w:rPr>
          <w:lang w:bidi="ar-SA"/>
        </w:rPr>
        <w:t>A</w:t>
      </w:r>
      <w:r w:rsidR="007638B5" w:rsidRPr="3FCDAE29">
        <w:rPr>
          <w:lang w:bidi="ar-SA"/>
        </w:rPr>
        <w:t>pplicant’s</w:t>
      </w:r>
      <w:r w:rsidR="12337046" w:rsidRPr="3FCDAE29">
        <w:rPr>
          <w:lang w:bidi="ar-SA"/>
        </w:rPr>
        <w:t xml:space="preserve"> specification values</w:t>
      </w:r>
      <w:r w:rsidR="181D653B" w:rsidRPr="77A44187">
        <w:rPr>
          <w:lang w:bidi="ar-SA"/>
        </w:rPr>
        <w:t xml:space="preserve"> for the </w:t>
      </w:r>
      <w:proofErr w:type="spellStart"/>
      <w:r w:rsidR="181D653B" w:rsidRPr="77A44187">
        <w:rPr>
          <w:lang w:bidi="ar-SA"/>
        </w:rPr>
        <w:t>bLf</w:t>
      </w:r>
      <w:proofErr w:type="spellEnd"/>
      <w:r w:rsidR="181D653B" w:rsidRPr="77A44187">
        <w:rPr>
          <w:lang w:bidi="ar-SA"/>
        </w:rPr>
        <w:t xml:space="preserve"> ingredient</w:t>
      </w:r>
      <w:r w:rsidR="12337046" w:rsidRPr="3FCDAE29">
        <w:rPr>
          <w:lang w:bidi="ar-SA"/>
        </w:rPr>
        <w:t xml:space="preserve">. </w:t>
      </w:r>
    </w:p>
    <w:p w14:paraId="200E965F" w14:textId="77777777" w:rsidR="00533345" w:rsidRPr="00C52CBE" w:rsidRDefault="00533345" w:rsidP="00533345">
      <w:pPr>
        <w:rPr>
          <w:lang w:eastAsia="en-AU" w:bidi="ar-SA"/>
        </w:rPr>
      </w:pPr>
    </w:p>
    <w:p w14:paraId="01C12ED8" w14:textId="77777777" w:rsidR="00D43870" w:rsidRDefault="00D43870" w:rsidP="00D43870">
      <w:pPr>
        <w:pStyle w:val="FSTableTitle"/>
      </w:pPr>
    </w:p>
    <w:p w14:paraId="7A18CA58" w14:textId="77777777" w:rsidR="00D43870" w:rsidRDefault="00D43870" w:rsidP="00D43870">
      <w:pPr>
        <w:pStyle w:val="FSTableTitle"/>
      </w:pPr>
    </w:p>
    <w:p w14:paraId="36CB39AE" w14:textId="77777777" w:rsidR="00D43870" w:rsidRDefault="00D43870" w:rsidP="00D43870">
      <w:pPr>
        <w:pStyle w:val="FSTableTitle"/>
      </w:pPr>
    </w:p>
    <w:p w14:paraId="55A97706" w14:textId="77777777" w:rsidR="00D43870" w:rsidRDefault="00D43870" w:rsidP="00D43870">
      <w:pPr>
        <w:pStyle w:val="FSTableTitle"/>
      </w:pPr>
    </w:p>
    <w:p w14:paraId="20AF696A" w14:textId="77777777" w:rsidR="00D43870" w:rsidRDefault="00D43870" w:rsidP="00D43870">
      <w:pPr>
        <w:pStyle w:val="FSTableTitle"/>
      </w:pPr>
    </w:p>
    <w:p w14:paraId="363E6CB5" w14:textId="77777777" w:rsidR="00D43870" w:rsidRDefault="00D43870" w:rsidP="00D43870">
      <w:pPr>
        <w:pStyle w:val="FSTableTitle"/>
      </w:pPr>
    </w:p>
    <w:p w14:paraId="282CFC17" w14:textId="77777777" w:rsidR="00D43870" w:rsidRDefault="00D43870" w:rsidP="00D43870">
      <w:pPr>
        <w:pStyle w:val="FSTableTitle"/>
      </w:pPr>
    </w:p>
    <w:p w14:paraId="1F94B420" w14:textId="77777777" w:rsidR="00D43870" w:rsidRDefault="00D43870" w:rsidP="00D43870">
      <w:pPr>
        <w:pStyle w:val="FSTableTitle"/>
      </w:pPr>
    </w:p>
    <w:p w14:paraId="6B07C150" w14:textId="77777777" w:rsidR="00D43870" w:rsidRDefault="00D43870" w:rsidP="00D43870">
      <w:pPr>
        <w:pStyle w:val="FSTableTitle"/>
      </w:pPr>
    </w:p>
    <w:p w14:paraId="6694FF2E" w14:textId="77777777" w:rsidR="00D43870" w:rsidRDefault="00D43870" w:rsidP="00D43870">
      <w:pPr>
        <w:pStyle w:val="FSTableTitle"/>
      </w:pPr>
    </w:p>
    <w:p w14:paraId="277F05BF" w14:textId="23900177" w:rsidR="009010A4" w:rsidRDefault="00D43870" w:rsidP="00D43870">
      <w:pPr>
        <w:pStyle w:val="FSTableTitle"/>
      </w:pPr>
      <w:r>
        <w:t xml:space="preserve">Table 1 </w:t>
      </w:r>
      <w:r w:rsidRPr="009010A4">
        <w:t xml:space="preserve">Proposed specification parameters for the </w:t>
      </w:r>
      <w:proofErr w:type="spellStart"/>
      <w:r w:rsidRPr="009010A4">
        <w:t>bLf</w:t>
      </w:r>
      <w:proofErr w:type="spellEnd"/>
      <w:r w:rsidRPr="009010A4">
        <w:t xml:space="preserve"> ingredient</w:t>
      </w:r>
    </w:p>
    <w:p w14:paraId="69A9284C" w14:textId="77777777" w:rsidR="00D43870" w:rsidRPr="009010A4" w:rsidRDefault="00D43870" w:rsidP="00A81FCA">
      <w:pPr>
        <w:keepNext/>
        <w:keepLines/>
        <w:rPr>
          <w:b/>
        </w:rPr>
      </w:pPr>
    </w:p>
    <w:tbl>
      <w:tblPr>
        <w:tblW w:w="4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2956"/>
        <w:gridCol w:w="1667"/>
      </w:tblGrid>
      <w:tr w:rsidR="00CB11A2" w:rsidRPr="00F14802" w14:paraId="058B3C3B" w14:textId="77777777" w:rsidTr="00524B8D">
        <w:tc>
          <w:tcPr>
            <w:tcW w:w="2033" w:type="pct"/>
            <w:tcBorders>
              <w:bottom w:val="single" w:sz="4" w:space="0" w:color="auto"/>
            </w:tcBorders>
            <w:shd w:val="clear" w:color="auto" w:fill="616571"/>
          </w:tcPr>
          <w:p w14:paraId="525E9E44" w14:textId="77777777" w:rsidR="00533345" w:rsidRPr="00524B8D" w:rsidRDefault="00533345" w:rsidP="00A81FCA">
            <w:pPr>
              <w:pStyle w:val="FSTableHeading"/>
              <w:keepNext/>
              <w:keepLines/>
              <w:rPr>
                <w:color w:val="FFFFFF" w:themeColor="background1"/>
              </w:rPr>
            </w:pPr>
            <w:r w:rsidRPr="00524B8D">
              <w:rPr>
                <w:color w:val="FFFFFF" w:themeColor="background1"/>
              </w:rPr>
              <w:t>Physical and Chemical Properties</w:t>
            </w:r>
          </w:p>
        </w:tc>
        <w:tc>
          <w:tcPr>
            <w:tcW w:w="1897" w:type="pct"/>
            <w:tcBorders>
              <w:bottom w:val="single" w:sz="4" w:space="0" w:color="auto"/>
            </w:tcBorders>
            <w:shd w:val="clear" w:color="auto" w:fill="616571"/>
          </w:tcPr>
          <w:p w14:paraId="12EA6B9A" w14:textId="77777777" w:rsidR="00533345" w:rsidRPr="00524B8D" w:rsidRDefault="00533345" w:rsidP="00A81FCA">
            <w:pPr>
              <w:pStyle w:val="FSTableHeading"/>
              <w:keepNext/>
              <w:keepLines/>
              <w:rPr>
                <w:color w:val="FFFFFF" w:themeColor="background1"/>
              </w:rPr>
            </w:pPr>
            <w:r w:rsidRPr="00524B8D">
              <w:rPr>
                <w:color w:val="FFFFFF" w:themeColor="background1"/>
              </w:rPr>
              <w:t>Specification</w:t>
            </w:r>
          </w:p>
        </w:tc>
        <w:tc>
          <w:tcPr>
            <w:tcW w:w="1070" w:type="pct"/>
            <w:tcBorders>
              <w:bottom w:val="single" w:sz="4" w:space="0" w:color="auto"/>
            </w:tcBorders>
            <w:shd w:val="clear" w:color="auto" w:fill="616571"/>
          </w:tcPr>
          <w:p w14:paraId="462E9EB4" w14:textId="77777777" w:rsidR="00533345" w:rsidRPr="00524B8D" w:rsidRDefault="00533345" w:rsidP="00A81FCA">
            <w:pPr>
              <w:pStyle w:val="FSTableHeading"/>
              <w:keepNext/>
              <w:keepLines/>
              <w:rPr>
                <w:color w:val="FFFFFF" w:themeColor="background1"/>
              </w:rPr>
            </w:pPr>
            <w:r w:rsidRPr="00524B8D">
              <w:rPr>
                <w:color w:val="FFFFFF" w:themeColor="background1"/>
              </w:rPr>
              <w:t>Unit</w:t>
            </w:r>
          </w:p>
        </w:tc>
      </w:tr>
      <w:tr w:rsidR="00CB11A2" w:rsidRPr="00F14802" w14:paraId="01066BA1" w14:textId="77777777" w:rsidTr="00524B8D">
        <w:tc>
          <w:tcPr>
            <w:tcW w:w="2033" w:type="pct"/>
            <w:shd w:val="clear" w:color="auto" w:fill="ECECEC"/>
          </w:tcPr>
          <w:p w14:paraId="499258EF" w14:textId="77777777" w:rsidR="00533345" w:rsidRPr="0032504A" w:rsidRDefault="00533345" w:rsidP="00A81FCA">
            <w:pPr>
              <w:pStyle w:val="FSTableText"/>
              <w:keepNext/>
              <w:keepLines/>
            </w:pPr>
            <w:r>
              <w:t>Name</w:t>
            </w:r>
          </w:p>
        </w:tc>
        <w:tc>
          <w:tcPr>
            <w:tcW w:w="1897" w:type="pct"/>
            <w:shd w:val="clear" w:color="auto" w:fill="ECECEC"/>
          </w:tcPr>
          <w:p w14:paraId="0E6A96D4" w14:textId="77777777" w:rsidR="00533345" w:rsidRPr="0032504A" w:rsidRDefault="00533345" w:rsidP="00A81FCA">
            <w:pPr>
              <w:pStyle w:val="FSTableText"/>
              <w:keepNext/>
              <w:keepLines/>
            </w:pPr>
            <w:r w:rsidRPr="0032504A">
              <w:t>Bovine lactoferrin</w:t>
            </w:r>
          </w:p>
        </w:tc>
        <w:tc>
          <w:tcPr>
            <w:tcW w:w="1070" w:type="pct"/>
            <w:shd w:val="clear" w:color="auto" w:fill="ECECEC"/>
          </w:tcPr>
          <w:p w14:paraId="2A28F9DD" w14:textId="77777777" w:rsidR="00533345" w:rsidRDefault="00533345" w:rsidP="00A81FCA">
            <w:pPr>
              <w:pStyle w:val="FSTableText"/>
              <w:keepNext/>
              <w:keepLines/>
              <w:rPr>
                <w:b/>
              </w:rPr>
            </w:pPr>
          </w:p>
        </w:tc>
      </w:tr>
      <w:tr w:rsidR="00CB11A2" w:rsidRPr="00F14802" w14:paraId="3DA7FE66" w14:textId="77777777" w:rsidTr="00524B8D">
        <w:tc>
          <w:tcPr>
            <w:tcW w:w="2033" w:type="pct"/>
            <w:tcBorders>
              <w:bottom w:val="single" w:sz="4" w:space="0" w:color="auto"/>
            </w:tcBorders>
          </w:tcPr>
          <w:p w14:paraId="6E5BB8E1" w14:textId="77777777" w:rsidR="00533345" w:rsidRDefault="00533345" w:rsidP="00A81FCA">
            <w:pPr>
              <w:pStyle w:val="FSTableText"/>
              <w:keepNext/>
              <w:keepLines/>
            </w:pPr>
            <w:r>
              <w:t>Molecular formula</w:t>
            </w:r>
          </w:p>
        </w:tc>
        <w:tc>
          <w:tcPr>
            <w:tcW w:w="1897" w:type="pct"/>
            <w:tcBorders>
              <w:bottom w:val="single" w:sz="4" w:space="0" w:color="auto"/>
            </w:tcBorders>
          </w:tcPr>
          <w:p w14:paraId="4FD09530" w14:textId="77777777" w:rsidR="00533345" w:rsidRPr="0032504A" w:rsidRDefault="00533345" w:rsidP="00A81FCA">
            <w:pPr>
              <w:pStyle w:val="FSTableText"/>
              <w:keepNext/>
              <w:keepLines/>
            </w:pPr>
            <w:r w:rsidRPr="008A5D08">
              <w:rPr>
                <w:szCs w:val="22"/>
              </w:rPr>
              <w:t>C</w:t>
            </w:r>
            <w:r w:rsidRPr="00871E7E">
              <w:rPr>
                <w:szCs w:val="22"/>
                <w:vertAlign w:val="subscript"/>
              </w:rPr>
              <w:t>141</w:t>
            </w:r>
            <w:r w:rsidRPr="008A5D08">
              <w:rPr>
                <w:szCs w:val="22"/>
              </w:rPr>
              <w:t>H</w:t>
            </w:r>
            <w:r w:rsidRPr="00871E7E">
              <w:rPr>
                <w:szCs w:val="22"/>
                <w:vertAlign w:val="subscript"/>
              </w:rPr>
              <w:t>224</w:t>
            </w:r>
            <w:r w:rsidRPr="008A5D08">
              <w:rPr>
                <w:szCs w:val="22"/>
              </w:rPr>
              <w:t>N</w:t>
            </w:r>
            <w:r w:rsidRPr="00871E7E">
              <w:rPr>
                <w:szCs w:val="22"/>
                <w:vertAlign w:val="subscript"/>
              </w:rPr>
              <w:t>46</w:t>
            </w:r>
            <w:r w:rsidRPr="008A5D08">
              <w:rPr>
                <w:szCs w:val="22"/>
              </w:rPr>
              <w:t>O</w:t>
            </w:r>
            <w:r w:rsidRPr="00871E7E">
              <w:rPr>
                <w:szCs w:val="22"/>
                <w:vertAlign w:val="subscript"/>
              </w:rPr>
              <w:t>29</w:t>
            </w:r>
            <w:r w:rsidRPr="008A5D08">
              <w:rPr>
                <w:szCs w:val="22"/>
              </w:rPr>
              <w:t>S</w:t>
            </w:r>
            <w:r w:rsidRPr="00871E7E">
              <w:rPr>
                <w:szCs w:val="22"/>
                <w:vertAlign w:val="subscript"/>
              </w:rPr>
              <w:t>3</w:t>
            </w:r>
          </w:p>
        </w:tc>
        <w:tc>
          <w:tcPr>
            <w:tcW w:w="1070" w:type="pct"/>
            <w:tcBorders>
              <w:bottom w:val="single" w:sz="4" w:space="0" w:color="auto"/>
            </w:tcBorders>
          </w:tcPr>
          <w:p w14:paraId="0FF824C9" w14:textId="77777777" w:rsidR="00533345" w:rsidRDefault="00533345" w:rsidP="00A81FCA">
            <w:pPr>
              <w:pStyle w:val="FSTableText"/>
              <w:keepNext/>
              <w:keepLines/>
              <w:rPr>
                <w:b/>
              </w:rPr>
            </w:pPr>
          </w:p>
        </w:tc>
      </w:tr>
      <w:tr w:rsidR="00CB11A2" w:rsidRPr="00F14802" w14:paraId="5FD0FBBB" w14:textId="77777777" w:rsidTr="00524B8D">
        <w:tc>
          <w:tcPr>
            <w:tcW w:w="2033" w:type="pct"/>
            <w:shd w:val="clear" w:color="auto" w:fill="ECECEC"/>
          </w:tcPr>
          <w:p w14:paraId="70D75E8D" w14:textId="77777777" w:rsidR="00533345" w:rsidRPr="00871E7E" w:rsidRDefault="00533345" w:rsidP="00A81FCA">
            <w:pPr>
              <w:pStyle w:val="FSTableText"/>
              <w:keepNext/>
              <w:keepLines/>
            </w:pPr>
            <w:r w:rsidRPr="00871E7E">
              <w:t>CAS number</w:t>
            </w:r>
          </w:p>
        </w:tc>
        <w:tc>
          <w:tcPr>
            <w:tcW w:w="1897" w:type="pct"/>
            <w:shd w:val="clear" w:color="auto" w:fill="ECECEC"/>
          </w:tcPr>
          <w:p w14:paraId="11533CB7" w14:textId="77777777" w:rsidR="00533345" w:rsidRPr="00871E7E" w:rsidRDefault="00533345" w:rsidP="00A81FCA">
            <w:pPr>
              <w:pStyle w:val="FSTableText"/>
              <w:keepNext/>
              <w:keepLines/>
              <w:rPr>
                <w:lang w:eastAsia="en-GB"/>
              </w:rPr>
            </w:pPr>
            <w:r w:rsidRPr="00871E7E">
              <w:t>146897-68-9</w:t>
            </w:r>
          </w:p>
          <w:p w14:paraId="414CE4C3" w14:textId="77777777" w:rsidR="00533345" w:rsidRPr="00871E7E" w:rsidRDefault="00533345" w:rsidP="00A81FCA">
            <w:pPr>
              <w:pStyle w:val="FSTableText"/>
              <w:keepNext/>
              <w:keepLines/>
            </w:pPr>
          </w:p>
        </w:tc>
        <w:tc>
          <w:tcPr>
            <w:tcW w:w="1070" w:type="pct"/>
            <w:shd w:val="clear" w:color="auto" w:fill="ECECEC"/>
          </w:tcPr>
          <w:p w14:paraId="3DF0F417" w14:textId="77777777" w:rsidR="00533345" w:rsidRDefault="00533345" w:rsidP="00A81FCA">
            <w:pPr>
              <w:pStyle w:val="FSTableText"/>
              <w:keepNext/>
              <w:keepLines/>
              <w:rPr>
                <w:b/>
              </w:rPr>
            </w:pPr>
          </w:p>
        </w:tc>
      </w:tr>
      <w:tr w:rsidR="00CB11A2" w:rsidRPr="00F14802" w14:paraId="3690F437" w14:textId="77777777" w:rsidTr="00524B8D">
        <w:tc>
          <w:tcPr>
            <w:tcW w:w="2033" w:type="pct"/>
            <w:tcBorders>
              <w:bottom w:val="single" w:sz="4" w:space="0" w:color="auto"/>
            </w:tcBorders>
          </w:tcPr>
          <w:p w14:paraId="6F562BEB" w14:textId="77777777" w:rsidR="00533345" w:rsidRPr="00F14802" w:rsidRDefault="00533345" w:rsidP="00A81FCA">
            <w:pPr>
              <w:pStyle w:val="FSTableText"/>
              <w:keepNext/>
              <w:keepLines/>
            </w:pPr>
            <w:r w:rsidRPr="00F14802">
              <w:t>Description</w:t>
            </w:r>
          </w:p>
        </w:tc>
        <w:tc>
          <w:tcPr>
            <w:tcW w:w="1897" w:type="pct"/>
            <w:tcBorders>
              <w:bottom w:val="single" w:sz="4" w:space="0" w:color="auto"/>
            </w:tcBorders>
          </w:tcPr>
          <w:p w14:paraId="57DFC14B" w14:textId="77777777" w:rsidR="00533345" w:rsidRPr="00F14802" w:rsidRDefault="00533345" w:rsidP="00A81FCA">
            <w:pPr>
              <w:pStyle w:val="FSTableText"/>
              <w:keepNext/>
              <w:keepLines/>
            </w:pPr>
            <w:r>
              <w:t>Pink to reddish brown coloured, free-flowing powder</w:t>
            </w:r>
          </w:p>
        </w:tc>
        <w:tc>
          <w:tcPr>
            <w:tcW w:w="1070" w:type="pct"/>
            <w:tcBorders>
              <w:bottom w:val="single" w:sz="4" w:space="0" w:color="auto"/>
            </w:tcBorders>
          </w:tcPr>
          <w:p w14:paraId="3E073BE1" w14:textId="77777777" w:rsidR="00533345" w:rsidRPr="00F14802" w:rsidRDefault="00533345" w:rsidP="00A81FCA">
            <w:pPr>
              <w:pStyle w:val="FSTableText"/>
              <w:keepNext/>
              <w:keepLines/>
            </w:pPr>
            <w:r>
              <w:t>-</w:t>
            </w:r>
          </w:p>
        </w:tc>
      </w:tr>
      <w:tr w:rsidR="00CB11A2" w:rsidRPr="00F14802" w14:paraId="7AC683B7" w14:textId="77777777" w:rsidTr="00524B8D">
        <w:tc>
          <w:tcPr>
            <w:tcW w:w="2033" w:type="pct"/>
            <w:shd w:val="clear" w:color="auto" w:fill="ECECEC"/>
          </w:tcPr>
          <w:p w14:paraId="71F5B4C6" w14:textId="77777777" w:rsidR="00533345" w:rsidRPr="00F14802" w:rsidRDefault="00533345" w:rsidP="00A81FCA">
            <w:pPr>
              <w:pStyle w:val="FSTableText"/>
              <w:keepNext/>
              <w:keepLines/>
            </w:pPr>
            <w:r>
              <w:t>Protein (N x 6.38)</w:t>
            </w:r>
          </w:p>
        </w:tc>
        <w:tc>
          <w:tcPr>
            <w:tcW w:w="1897" w:type="pct"/>
            <w:shd w:val="clear" w:color="auto" w:fill="ECECEC"/>
          </w:tcPr>
          <w:p w14:paraId="7A25051D" w14:textId="6B3C3F78" w:rsidR="00533345" w:rsidRDefault="00533345" w:rsidP="00A81FCA">
            <w:pPr>
              <w:pStyle w:val="FSTableText"/>
              <w:keepNext/>
              <w:keepLines/>
            </w:pPr>
            <w:r>
              <w:rPr>
                <w:iCs/>
                <w:szCs w:val="22"/>
                <w:lang w:eastAsia="en-GB" w:bidi="ar-SA"/>
              </w:rPr>
              <w:t>&gt; 95</w:t>
            </w:r>
            <w:r w:rsidR="007811BB">
              <w:rPr>
                <w:iCs/>
                <w:szCs w:val="22"/>
                <w:lang w:eastAsia="en-GB" w:bidi="ar-SA"/>
              </w:rPr>
              <w:t>.0</w:t>
            </w:r>
            <w:r>
              <w:rPr>
                <w:iCs/>
                <w:szCs w:val="22"/>
                <w:lang w:eastAsia="en-GB" w:bidi="ar-SA"/>
              </w:rPr>
              <w:t>%</w:t>
            </w:r>
          </w:p>
        </w:tc>
        <w:tc>
          <w:tcPr>
            <w:tcW w:w="1070" w:type="pct"/>
            <w:shd w:val="clear" w:color="auto" w:fill="ECECEC"/>
          </w:tcPr>
          <w:p w14:paraId="79422D08" w14:textId="015BC3D3" w:rsidR="00533345" w:rsidRDefault="00533345" w:rsidP="00A81FCA">
            <w:pPr>
              <w:pStyle w:val="FSTableText"/>
              <w:keepNext/>
              <w:keepLines/>
            </w:pPr>
          </w:p>
        </w:tc>
      </w:tr>
      <w:tr w:rsidR="00CB11A2" w:rsidRPr="00F14802" w14:paraId="7B807652" w14:textId="77777777" w:rsidTr="00524B8D">
        <w:tc>
          <w:tcPr>
            <w:tcW w:w="2033" w:type="pct"/>
            <w:tcBorders>
              <w:bottom w:val="single" w:sz="4" w:space="0" w:color="auto"/>
            </w:tcBorders>
          </w:tcPr>
          <w:p w14:paraId="2CB7EE68" w14:textId="77777777" w:rsidR="00533345" w:rsidRDefault="00533345" w:rsidP="00A81FCA">
            <w:pPr>
              <w:pStyle w:val="FSTableText"/>
              <w:keepNext/>
              <w:keepLines/>
            </w:pPr>
            <w:proofErr w:type="spellStart"/>
            <w:r>
              <w:t>bLf</w:t>
            </w:r>
            <w:proofErr w:type="spellEnd"/>
            <w:r>
              <w:t xml:space="preserve"> (purity)(on a protein basis)</w:t>
            </w:r>
          </w:p>
        </w:tc>
        <w:tc>
          <w:tcPr>
            <w:tcW w:w="1897" w:type="pct"/>
            <w:tcBorders>
              <w:bottom w:val="single" w:sz="4" w:space="0" w:color="auto"/>
            </w:tcBorders>
          </w:tcPr>
          <w:p w14:paraId="2741C70D" w14:textId="2021A1F2" w:rsidR="00533345" w:rsidRDefault="00533345" w:rsidP="00A81FCA">
            <w:pPr>
              <w:pStyle w:val="FSTableText"/>
              <w:keepNext/>
              <w:keepLines/>
              <w:rPr>
                <w:iCs/>
                <w:szCs w:val="22"/>
                <w:lang w:eastAsia="en-GB" w:bidi="ar-SA"/>
              </w:rPr>
            </w:pPr>
            <w:r>
              <w:rPr>
                <w:iCs/>
                <w:szCs w:val="22"/>
                <w:lang w:eastAsia="en-GB" w:bidi="ar-SA"/>
              </w:rPr>
              <w:t>&gt;95</w:t>
            </w:r>
            <w:r w:rsidR="007811BB">
              <w:rPr>
                <w:iCs/>
                <w:szCs w:val="22"/>
                <w:lang w:eastAsia="en-GB" w:bidi="ar-SA"/>
              </w:rPr>
              <w:t>.0</w:t>
            </w:r>
            <w:r>
              <w:rPr>
                <w:iCs/>
                <w:szCs w:val="22"/>
                <w:lang w:eastAsia="en-GB" w:bidi="ar-SA"/>
              </w:rPr>
              <w:t>%</w:t>
            </w:r>
          </w:p>
        </w:tc>
        <w:tc>
          <w:tcPr>
            <w:tcW w:w="1070" w:type="pct"/>
            <w:tcBorders>
              <w:bottom w:val="single" w:sz="4" w:space="0" w:color="auto"/>
            </w:tcBorders>
          </w:tcPr>
          <w:p w14:paraId="217E0B33" w14:textId="3874386A" w:rsidR="00533345" w:rsidRDefault="00533345" w:rsidP="00A81FCA">
            <w:pPr>
              <w:pStyle w:val="FSTableText"/>
              <w:keepNext/>
              <w:keepLines/>
            </w:pPr>
          </w:p>
        </w:tc>
      </w:tr>
      <w:tr w:rsidR="00CB11A2" w:rsidRPr="00F14802" w14:paraId="625C65C1" w14:textId="77777777" w:rsidTr="00524B8D">
        <w:tc>
          <w:tcPr>
            <w:tcW w:w="2033" w:type="pct"/>
            <w:shd w:val="clear" w:color="auto" w:fill="ECECEC"/>
          </w:tcPr>
          <w:p w14:paraId="0A481CFB" w14:textId="77777777" w:rsidR="00533345" w:rsidRPr="0061431E" w:rsidRDefault="00533345" w:rsidP="00A81FCA">
            <w:pPr>
              <w:pStyle w:val="FSTableText"/>
              <w:keepNext/>
              <w:keepLines/>
            </w:pPr>
            <w:r w:rsidRPr="0061431E">
              <w:t>Moisture</w:t>
            </w:r>
          </w:p>
        </w:tc>
        <w:tc>
          <w:tcPr>
            <w:tcW w:w="1897" w:type="pct"/>
            <w:shd w:val="clear" w:color="auto" w:fill="ECECEC"/>
          </w:tcPr>
          <w:p w14:paraId="0B8C7FF6" w14:textId="0D44DC87" w:rsidR="00533345" w:rsidRPr="007811BB" w:rsidRDefault="00533345" w:rsidP="00A81FCA">
            <w:pPr>
              <w:pStyle w:val="FSTableText"/>
              <w:keepNext/>
              <w:keepLines/>
            </w:pPr>
            <w:r w:rsidRPr="007811BB">
              <w:t>&lt; 4.5</w:t>
            </w:r>
          </w:p>
        </w:tc>
        <w:tc>
          <w:tcPr>
            <w:tcW w:w="1070" w:type="pct"/>
            <w:shd w:val="clear" w:color="auto" w:fill="ECECEC"/>
          </w:tcPr>
          <w:p w14:paraId="2815AB61" w14:textId="3C96E20B" w:rsidR="00533345" w:rsidRPr="007811BB" w:rsidRDefault="007811BB" w:rsidP="00A81FCA">
            <w:pPr>
              <w:pStyle w:val="FSTableText"/>
              <w:keepNext/>
              <w:keepLines/>
            </w:pPr>
            <w:r w:rsidRPr="007811BB">
              <w:t>g/100g</w:t>
            </w:r>
          </w:p>
        </w:tc>
      </w:tr>
      <w:tr w:rsidR="00CB11A2" w:rsidRPr="00F14802" w14:paraId="09328BB3" w14:textId="77777777" w:rsidTr="00524B8D">
        <w:tc>
          <w:tcPr>
            <w:tcW w:w="2033" w:type="pct"/>
            <w:tcBorders>
              <w:bottom w:val="single" w:sz="4" w:space="0" w:color="auto"/>
            </w:tcBorders>
          </w:tcPr>
          <w:p w14:paraId="0DB87BD3" w14:textId="77777777" w:rsidR="00533345" w:rsidRDefault="00533345" w:rsidP="00A81FCA">
            <w:pPr>
              <w:pStyle w:val="FSTableText"/>
              <w:keepNext/>
              <w:keepLines/>
            </w:pPr>
            <w:r>
              <w:t>Ash</w:t>
            </w:r>
          </w:p>
        </w:tc>
        <w:tc>
          <w:tcPr>
            <w:tcW w:w="1897" w:type="pct"/>
            <w:tcBorders>
              <w:bottom w:val="single" w:sz="4" w:space="0" w:color="auto"/>
            </w:tcBorders>
          </w:tcPr>
          <w:p w14:paraId="797317E7" w14:textId="553590CB" w:rsidR="00533345" w:rsidRPr="007811BB" w:rsidRDefault="00533345" w:rsidP="00A81FCA">
            <w:pPr>
              <w:pStyle w:val="FSTableText"/>
              <w:keepNext/>
              <w:keepLines/>
            </w:pPr>
            <w:r w:rsidRPr="007811BB">
              <w:t>≤1.3</w:t>
            </w:r>
          </w:p>
        </w:tc>
        <w:tc>
          <w:tcPr>
            <w:tcW w:w="1070" w:type="pct"/>
            <w:tcBorders>
              <w:bottom w:val="single" w:sz="4" w:space="0" w:color="auto"/>
            </w:tcBorders>
          </w:tcPr>
          <w:p w14:paraId="4F68F958" w14:textId="77777777" w:rsidR="00533345" w:rsidRPr="007811BB" w:rsidRDefault="007811BB" w:rsidP="00A81FCA">
            <w:pPr>
              <w:pStyle w:val="FSTableText"/>
              <w:keepNext/>
              <w:keepLines/>
            </w:pPr>
            <w:r w:rsidRPr="007811BB">
              <w:t>g/100g</w:t>
            </w:r>
          </w:p>
        </w:tc>
      </w:tr>
      <w:tr w:rsidR="00CB11A2" w:rsidRPr="00F14802" w14:paraId="1106B209" w14:textId="77777777" w:rsidTr="00524B8D">
        <w:tc>
          <w:tcPr>
            <w:tcW w:w="2033" w:type="pct"/>
            <w:shd w:val="clear" w:color="auto" w:fill="ECECEC"/>
          </w:tcPr>
          <w:p w14:paraId="732606A0" w14:textId="2D403C84" w:rsidR="00533345" w:rsidRDefault="00214DF0" w:rsidP="00A81FCA">
            <w:pPr>
              <w:pStyle w:val="FSTableText"/>
              <w:keepNext/>
              <w:keepLines/>
            </w:pPr>
            <w:r>
              <w:t>Fat</w:t>
            </w:r>
          </w:p>
        </w:tc>
        <w:tc>
          <w:tcPr>
            <w:tcW w:w="1897" w:type="pct"/>
            <w:shd w:val="clear" w:color="auto" w:fill="ECECEC"/>
          </w:tcPr>
          <w:p w14:paraId="14D91599" w14:textId="77777777" w:rsidR="00533345" w:rsidRDefault="00533345" w:rsidP="00A81FCA">
            <w:pPr>
              <w:pStyle w:val="FSTableText"/>
              <w:keepNext/>
              <w:keepLines/>
            </w:pPr>
            <w:r>
              <w:t>≤1</w:t>
            </w:r>
          </w:p>
        </w:tc>
        <w:tc>
          <w:tcPr>
            <w:tcW w:w="1070" w:type="pct"/>
            <w:shd w:val="clear" w:color="auto" w:fill="ECECEC"/>
          </w:tcPr>
          <w:p w14:paraId="671E5098" w14:textId="77777777" w:rsidR="00533345" w:rsidRDefault="00533345" w:rsidP="00A81FCA">
            <w:pPr>
              <w:pStyle w:val="FSTableText"/>
              <w:keepNext/>
              <w:keepLines/>
            </w:pPr>
            <w:r>
              <w:t>g/100g</w:t>
            </w:r>
          </w:p>
        </w:tc>
      </w:tr>
      <w:tr w:rsidR="00CB11A2" w:rsidRPr="00F14802" w14:paraId="1F92D4BE" w14:textId="77777777" w:rsidTr="00524B8D">
        <w:tc>
          <w:tcPr>
            <w:tcW w:w="2033" w:type="pct"/>
            <w:tcBorders>
              <w:bottom w:val="single" w:sz="4" w:space="0" w:color="auto"/>
            </w:tcBorders>
          </w:tcPr>
          <w:p w14:paraId="48E8BC71" w14:textId="145E7237" w:rsidR="00533345" w:rsidRDefault="00214DF0" w:rsidP="00A81FCA">
            <w:pPr>
              <w:pStyle w:val="FSTableText"/>
              <w:keepNext/>
              <w:keepLines/>
            </w:pPr>
            <w:r>
              <w:t>Iron</w:t>
            </w:r>
          </w:p>
        </w:tc>
        <w:tc>
          <w:tcPr>
            <w:tcW w:w="1897" w:type="pct"/>
            <w:tcBorders>
              <w:bottom w:val="single" w:sz="4" w:space="0" w:color="auto"/>
            </w:tcBorders>
          </w:tcPr>
          <w:p w14:paraId="2392053B" w14:textId="77777777" w:rsidR="00533345" w:rsidRDefault="00533345" w:rsidP="00A81FCA">
            <w:pPr>
              <w:pStyle w:val="FSTableText"/>
              <w:keepNext/>
              <w:keepLines/>
            </w:pPr>
            <w:r>
              <w:t xml:space="preserve">≤15 </w:t>
            </w:r>
          </w:p>
        </w:tc>
        <w:tc>
          <w:tcPr>
            <w:tcW w:w="1070" w:type="pct"/>
            <w:tcBorders>
              <w:bottom w:val="single" w:sz="4" w:space="0" w:color="auto"/>
            </w:tcBorders>
          </w:tcPr>
          <w:p w14:paraId="33DF7B88" w14:textId="77777777" w:rsidR="00533345" w:rsidRDefault="00533345" w:rsidP="00A81FCA">
            <w:pPr>
              <w:pStyle w:val="FSTableText"/>
              <w:keepNext/>
              <w:keepLines/>
            </w:pPr>
            <w:r>
              <w:t>mg/100g</w:t>
            </w:r>
          </w:p>
        </w:tc>
      </w:tr>
      <w:tr w:rsidR="00CB11A2" w:rsidRPr="00F14802" w14:paraId="6493724D" w14:textId="77777777" w:rsidTr="00524B8D">
        <w:tc>
          <w:tcPr>
            <w:tcW w:w="2033" w:type="pct"/>
            <w:shd w:val="clear" w:color="auto" w:fill="ECECEC"/>
          </w:tcPr>
          <w:p w14:paraId="5EF849AC" w14:textId="77777777" w:rsidR="00533345" w:rsidRDefault="00533345" w:rsidP="00A81FCA">
            <w:pPr>
              <w:pStyle w:val="FSTableText"/>
              <w:keepNext/>
              <w:keepLines/>
            </w:pPr>
            <w:r>
              <w:t>pH (10% solution)</w:t>
            </w:r>
          </w:p>
        </w:tc>
        <w:tc>
          <w:tcPr>
            <w:tcW w:w="1897" w:type="pct"/>
            <w:shd w:val="clear" w:color="auto" w:fill="ECECEC"/>
          </w:tcPr>
          <w:p w14:paraId="762F44B7" w14:textId="77777777" w:rsidR="00533345" w:rsidRDefault="00533345" w:rsidP="00A81FCA">
            <w:pPr>
              <w:pStyle w:val="FSTableText"/>
              <w:keepNext/>
              <w:keepLines/>
            </w:pPr>
            <w:r>
              <w:t>5.2 – 7.2</w:t>
            </w:r>
          </w:p>
        </w:tc>
        <w:tc>
          <w:tcPr>
            <w:tcW w:w="1070" w:type="pct"/>
            <w:shd w:val="clear" w:color="auto" w:fill="ECECEC"/>
          </w:tcPr>
          <w:p w14:paraId="0E6C1CA4" w14:textId="77777777" w:rsidR="00533345" w:rsidRDefault="00533345" w:rsidP="00A81FCA">
            <w:pPr>
              <w:pStyle w:val="FSTableText"/>
              <w:keepNext/>
              <w:keepLines/>
            </w:pPr>
          </w:p>
        </w:tc>
      </w:tr>
      <w:tr w:rsidR="00CB11A2" w:rsidRPr="00F14802" w14:paraId="06777597" w14:textId="77777777" w:rsidTr="00524B8D">
        <w:tc>
          <w:tcPr>
            <w:tcW w:w="2033" w:type="pct"/>
            <w:tcBorders>
              <w:bottom w:val="single" w:sz="4" w:space="0" w:color="auto"/>
            </w:tcBorders>
          </w:tcPr>
          <w:p w14:paraId="0794F30E" w14:textId="77777777" w:rsidR="00533345" w:rsidRDefault="00533345" w:rsidP="00A81FCA">
            <w:pPr>
              <w:pStyle w:val="FSTableText"/>
              <w:keepNext/>
              <w:keepLines/>
            </w:pPr>
            <w:r>
              <w:t>Solubility transmittance (2% solution, 20°C)</w:t>
            </w:r>
          </w:p>
        </w:tc>
        <w:tc>
          <w:tcPr>
            <w:tcW w:w="1897" w:type="pct"/>
            <w:tcBorders>
              <w:bottom w:val="single" w:sz="4" w:space="0" w:color="auto"/>
            </w:tcBorders>
          </w:tcPr>
          <w:p w14:paraId="783D15F5" w14:textId="77777777" w:rsidR="00533345" w:rsidRDefault="00533345" w:rsidP="00A81FCA">
            <w:pPr>
              <w:pStyle w:val="FSTableText"/>
              <w:keepNext/>
              <w:keepLines/>
            </w:pPr>
            <w:r>
              <w:t>transparent</w:t>
            </w:r>
          </w:p>
        </w:tc>
        <w:tc>
          <w:tcPr>
            <w:tcW w:w="1070" w:type="pct"/>
            <w:tcBorders>
              <w:bottom w:val="single" w:sz="4" w:space="0" w:color="auto"/>
            </w:tcBorders>
          </w:tcPr>
          <w:p w14:paraId="5A8048D8" w14:textId="77777777" w:rsidR="00533345" w:rsidRDefault="00533345" w:rsidP="00A81FCA">
            <w:pPr>
              <w:pStyle w:val="FSTableText"/>
              <w:keepNext/>
              <w:keepLines/>
            </w:pPr>
          </w:p>
        </w:tc>
      </w:tr>
      <w:tr w:rsidR="00CB11A2" w:rsidRPr="00F14802" w14:paraId="6358A4FD" w14:textId="77777777" w:rsidTr="00524B8D">
        <w:tc>
          <w:tcPr>
            <w:tcW w:w="2033" w:type="pct"/>
            <w:tcBorders>
              <w:bottom w:val="single" w:sz="4" w:space="0" w:color="auto"/>
            </w:tcBorders>
            <w:shd w:val="clear" w:color="auto" w:fill="616571"/>
          </w:tcPr>
          <w:p w14:paraId="2FE6E3A5" w14:textId="1E6CF89D" w:rsidR="00533345" w:rsidRPr="00524B8D" w:rsidRDefault="00533345" w:rsidP="00A81FCA">
            <w:pPr>
              <w:pStyle w:val="FSTableHeading"/>
              <w:keepNext/>
              <w:keepLines/>
              <w:rPr>
                <w:color w:val="FFFFFF" w:themeColor="background1"/>
              </w:rPr>
            </w:pPr>
            <w:r w:rsidRPr="00524B8D">
              <w:rPr>
                <w:color w:val="FFFFFF" w:themeColor="background1"/>
              </w:rPr>
              <w:t>Microbiological Properties</w:t>
            </w:r>
          </w:p>
        </w:tc>
        <w:tc>
          <w:tcPr>
            <w:tcW w:w="1897" w:type="pct"/>
            <w:tcBorders>
              <w:bottom w:val="single" w:sz="4" w:space="0" w:color="auto"/>
            </w:tcBorders>
            <w:shd w:val="clear" w:color="auto" w:fill="616571"/>
          </w:tcPr>
          <w:p w14:paraId="47B7F6D9" w14:textId="77777777" w:rsidR="00533345" w:rsidRPr="00524B8D" w:rsidRDefault="00533345" w:rsidP="00A81FCA">
            <w:pPr>
              <w:keepNext/>
              <w:keepLines/>
              <w:rPr>
                <w:color w:val="FFFFFF" w:themeColor="background1"/>
              </w:rPr>
            </w:pPr>
          </w:p>
        </w:tc>
        <w:tc>
          <w:tcPr>
            <w:tcW w:w="1070" w:type="pct"/>
            <w:tcBorders>
              <w:bottom w:val="single" w:sz="4" w:space="0" w:color="auto"/>
            </w:tcBorders>
            <w:shd w:val="clear" w:color="auto" w:fill="616571"/>
          </w:tcPr>
          <w:p w14:paraId="7785CEBA" w14:textId="77777777" w:rsidR="00533345" w:rsidRPr="00524B8D" w:rsidRDefault="00533345" w:rsidP="00A81FCA">
            <w:pPr>
              <w:keepNext/>
              <w:keepLines/>
              <w:rPr>
                <w:color w:val="FFFFFF" w:themeColor="background1"/>
              </w:rPr>
            </w:pPr>
          </w:p>
        </w:tc>
      </w:tr>
      <w:tr w:rsidR="00CB11A2" w:rsidRPr="00F14802" w14:paraId="5C4267CB" w14:textId="77777777" w:rsidTr="00524B8D">
        <w:tc>
          <w:tcPr>
            <w:tcW w:w="2033" w:type="pct"/>
            <w:shd w:val="clear" w:color="auto" w:fill="ECECEC"/>
          </w:tcPr>
          <w:p w14:paraId="13CFC144" w14:textId="0E1CFAC6" w:rsidR="00533345" w:rsidRPr="00FD5FB0" w:rsidRDefault="00533345" w:rsidP="00A81FCA">
            <w:pPr>
              <w:pStyle w:val="FSTableText"/>
              <w:keepNext/>
              <w:keepLines/>
            </w:pPr>
            <w:r w:rsidRPr="002D2918">
              <w:rPr>
                <w:i/>
              </w:rPr>
              <w:t>Salmonella</w:t>
            </w:r>
            <w:r w:rsidRPr="00FD5FB0">
              <w:t xml:space="preserve"> </w:t>
            </w:r>
            <w:proofErr w:type="spellStart"/>
            <w:r w:rsidRPr="00FD5FB0">
              <w:t>spp</w:t>
            </w:r>
            <w:proofErr w:type="spellEnd"/>
          </w:p>
        </w:tc>
        <w:tc>
          <w:tcPr>
            <w:tcW w:w="1897" w:type="pct"/>
            <w:shd w:val="clear" w:color="auto" w:fill="ECECEC"/>
          </w:tcPr>
          <w:p w14:paraId="24361064" w14:textId="1F204EA7" w:rsidR="00533345" w:rsidRPr="0032504A" w:rsidRDefault="00B65DDE" w:rsidP="00A81FCA">
            <w:pPr>
              <w:pStyle w:val="FSTableText"/>
              <w:keepNext/>
              <w:keepLines/>
            </w:pPr>
            <w:r>
              <w:t>absent</w:t>
            </w:r>
          </w:p>
        </w:tc>
        <w:tc>
          <w:tcPr>
            <w:tcW w:w="1070" w:type="pct"/>
            <w:shd w:val="clear" w:color="auto" w:fill="ECECEC"/>
          </w:tcPr>
          <w:p w14:paraId="491F9921" w14:textId="06EE8F67" w:rsidR="00533345" w:rsidRPr="0032504A" w:rsidRDefault="0CC03503" w:rsidP="00A81FCA">
            <w:pPr>
              <w:pStyle w:val="FSTableText"/>
              <w:keepNext/>
              <w:keepLines/>
            </w:pPr>
            <w:r>
              <w:t xml:space="preserve">per </w:t>
            </w:r>
            <w:r w:rsidR="472C37FB">
              <w:t>25 g</w:t>
            </w:r>
          </w:p>
        </w:tc>
      </w:tr>
      <w:tr w:rsidR="00CB11A2" w:rsidRPr="00F14802" w14:paraId="746EA4D5" w14:textId="77777777" w:rsidTr="00524B8D">
        <w:tc>
          <w:tcPr>
            <w:tcW w:w="2033" w:type="pct"/>
            <w:tcBorders>
              <w:bottom w:val="single" w:sz="4" w:space="0" w:color="auto"/>
            </w:tcBorders>
          </w:tcPr>
          <w:p w14:paraId="7A94CAA8" w14:textId="77777777" w:rsidR="00533345" w:rsidRPr="002D2918" w:rsidRDefault="00533345" w:rsidP="00A81FCA">
            <w:pPr>
              <w:pStyle w:val="FSTableText"/>
              <w:keepNext/>
              <w:keepLines/>
              <w:rPr>
                <w:i/>
              </w:rPr>
            </w:pPr>
            <w:r w:rsidRPr="002D2918">
              <w:rPr>
                <w:i/>
              </w:rPr>
              <w:t>Listeria monocytogenes</w:t>
            </w:r>
          </w:p>
        </w:tc>
        <w:tc>
          <w:tcPr>
            <w:tcW w:w="1897" w:type="pct"/>
            <w:tcBorders>
              <w:bottom w:val="single" w:sz="4" w:space="0" w:color="auto"/>
            </w:tcBorders>
          </w:tcPr>
          <w:p w14:paraId="392F8F29" w14:textId="47CE3975" w:rsidR="00533345" w:rsidRPr="0032504A" w:rsidRDefault="00B65DDE" w:rsidP="00A81FCA">
            <w:pPr>
              <w:pStyle w:val="FSTableText"/>
              <w:keepNext/>
              <w:keepLines/>
            </w:pPr>
            <w:r>
              <w:t>absent</w:t>
            </w:r>
          </w:p>
        </w:tc>
        <w:tc>
          <w:tcPr>
            <w:tcW w:w="1070" w:type="pct"/>
            <w:tcBorders>
              <w:bottom w:val="single" w:sz="4" w:space="0" w:color="auto"/>
            </w:tcBorders>
          </w:tcPr>
          <w:p w14:paraId="7093E2BF" w14:textId="090014A0" w:rsidR="00533345" w:rsidRPr="0032504A" w:rsidRDefault="0CC03503" w:rsidP="00A81FCA">
            <w:pPr>
              <w:pStyle w:val="FSTableText"/>
              <w:keepNext/>
              <w:keepLines/>
            </w:pPr>
            <w:r>
              <w:t xml:space="preserve">per </w:t>
            </w:r>
            <w:r w:rsidR="472C37FB">
              <w:t>25 g</w:t>
            </w:r>
          </w:p>
        </w:tc>
      </w:tr>
      <w:tr w:rsidR="00CB11A2" w:rsidRPr="00F14802" w14:paraId="3206A361" w14:textId="77777777" w:rsidTr="006130E9">
        <w:tc>
          <w:tcPr>
            <w:tcW w:w="2033" w:type="pct"/>
            <w:tcBorders>
              <w:bottom w:val="single" w:sz="4" w:space="0" w:color="auto"/>
            </w:tcBorders>
            <w:shd w:val="clear" w:color="auto" w:fill="ECECEC"/>
          </w:tcPr>
          <w:p w14:paraId="1C7FA4FF" w14:textId="77777777" w:rsidR="00533345" w:rsidRPr="00FD5FB0" w:rsidRDefault="00533345" w:rsidP="00A81FCA">
            <w:pPr>
              <w:pStyle w:val="FSTableText"/>
              <w:keepNext/>
              <w:keepLines/>
              <w:rPr>
                <w:iCs/>
              </w:rPr>
            </w:pPr>
            <w:proofErr w:type="spellStart"/>
            <w:r w:rsidRPr="002D2918">
              <w:rPr>
                <w:i/>
                <w:iCs/>
              </w:rPr>
              <w:t>Cronobacter</w:t>
            </w:r>
            <w:proofErr w:type="spellEnd"/>
            <w:r w:rsidRPr="1C95CCE8">
              <w:rPr>
                <w:iCs/>
              </w:rPr>
              <w:t xml:space="preserve"> spp.</w:t>
            </w:r>
          </w:p>
        </w:tc>
        <w:tc>
          <w:tcPr>
            <w:tcW w:w="1897" w:type="pct"/>
            <w:tcBorders>
              <w:bottom w:val="single" w:sz="4" w:space="0" w:color="auto"/>
            </w:tcBorders>
            <w:shd w:val="clear" w:color="auto" w:fill="ECECEC"/>
          </w:tcPr>
          <w:p w14:paraId="67E97C3D" w14:textId="4771177C" w:rsidR="00533345" w:rsidRDefault="00B65DDE" w:rsidP="00A81FCA">
            <w:pPr>
              <w:pStyle w:val="FSTableText"/>
              <w:keepNext/>
              <w:keepLines/>
            </w:pPr>
            <w:r>
              <w:t>absent</w:t>
            </w:r>
          </w:p>
        </w:tc>
        <w:tc>
          <w:tcPr>
            <w:tcW w:w="1070" w:type="pct"/>
            <w:tcBorders>
              <w:bottom w:val="single" w:sz="4" w:space="0" w:color="auto"/>
            </w:tcBorders>
            <w:shd w:val="clear" w:color="auto" w:fill="ECECEC"/>
          </w:tcPr>
          <w:p w14:paraId="03501372" w14:textId="6323E60F" w:rsidR="00533345" w:rsidRDefault="17A80193" w:rsidP="00A81FCA">
            <w:pPr>
              <w:pStyle w:val="FSTableText"/>
              <w:keepNext/>
              <w:keepLines/>
            </w:pPr>
            <w:r>
              <w:t>p</w:t>
            </w:r>
            <w:r w:rsidR="0CC03503">
              <w:t xml:space="preserve">er </w:t>
            </w:r>
            <w:r w:rsidR="303DECD8">
              <w:t xml:space="preserve">10 </w:t>
            </w:r>
            <w:r w:rsidR="472C37FB">
              <w:t>g</w:t>
            </w:r>
          </w:p>
        </w:tc>
      </w:tr>
      <w:tr w:rsidR="00CB11A2" w:rsidRPr="00F14802" w14:paraId="00344A00" w14:textId="77777777" w:rsidTr="006130E9">
        <w:tc>
          <w:tcPr>
            <w:tcW w:w="2033" w:type="pct"/>
            <w:tcBorders>
              <w:bottom w:val="single" w:sz="4" w:space="0" w:color="auto"/>
            </w:tcBorders>
            <w:shd w:val="clear" w:color="auto" w:fill="616571"/>
          </w:tcPr>
          <w:p w14:paraId="417EC3F5" w14:textId="27F61E7A" w:rsidR="00533345" w:rsidRPr="006130E9" w:rsidRDefault="00533345" w:rsidP="00A81FCA">
            <w:pPr>
              <w:pStyle w:val="FSTableHeading"/>
              <w:keepNext/>
              <w:keepLines/>
              <w:rPr>
                <w:color w:val="FFFFFF" w:themeColor="background1"/>
              </w:rPr>
            </w:pPr>
            <w:r w:rsidRPr="006130E9">
              <w:rPr>
                <w:color w:val="FFFFFF" w:themeColor="background1"/>
              </w:rPr>
              <w:t>Contaminants</w:t>
            </w:r>
          </w:p>
        </w:tc>
        <w:tc>
          <w:tcPr>
            <w:tcW w:w="1897" w:type="pct"/>
            <w:tcBorders>
              <w:bottom w:val="single" w:sz="4" w:space="0" w:color="auto"/>
            </w:tcBorders>
            <w:shd w:val="clear" w:color="auto" w:fill="616571"/>
          </w:tcPr>
          <w:p w14:paraId="37306200" w14:textId="77777777" w:rsidR="00533345" w:rsidRPr="006130E9" w:rsidRDefault="00533345" w:rsidP="00A81FCA">
            <w:pPr>
              <w:keepNext/>
              <w:keepLines/>
              <w:rPr>
                <w:color w:val="FFFFFF" w:themeColor="background1"/>
              </w:rPr>
            </w:pPr>
          </w:p>
        </w:tc>
        <w:tc>
          <w:tcPr>
            <w:tcW w:w="1070" w:type="pct"/>
            <w:tcBorders>
              <w:bottom w:val="single" w:sz="4" w:space="0" w:color="auto"/>
            </w:tcBorders>
            <w:shd w:val="clear" w:color="auto" w:fill="616571"/>
          </w:tcPr>
          <w:p w14:paraId="562C653A" w14:textId="77777777" w:rsidR="00533345" w:rsidRPr="006130E9" w:rsidRDefault="00533345" w:rsidP="00A81FCA">
            <w:pPr>
              <w:keepNext/>
              <w:keepLines/>
              <w:rPr>
                <w:color w:val="FFFFFF" w:themeColor="background1"/>
              </w:rPr>
            </w:pPr>
          </w:p>
        </w:tc>
      </w:tr>
      <w:tr w:rsidR="00CB11A2" w:rsidRPr="00F14802" w14:paraId="78FCE754" w14:textId="77777777" w:rsidTr="00524B8D">
        <w:tc>
          <w:tcPr>
            <w:tcW w:w="2033" w:type="pct"/>
            <w:shd w:val="clear" w:color="auto" w:fill="ECECEC"/>
          </w:tcPr>
          <w:p w14:paraId="71079300" w14:textId="77777777" w:rsidR="00533345" w:rsidRPr="00D63AF8" w:rsidRDefault="00533345" w:rsidP="00A81FCA">
            <w:pPr>
              <w:pStyle w:val="FSTableText"/>
              <w:keepNext/>
              <w:keepLines/>
            </w:pPr>
            <w:r>
              <w:t>Lead</w:t>
            </w:r>
          </w:p>
        </w:tc>
        <w:tc>
          <w:tcPr>
            <w:tcW w:w="1897" w:type="pct"/>
            <w:shd w:val="clear" w:color="auto" w:fill="ECECEC"/>
          </w:tcPr>
          <w:p w14:paraId="4A9F5F43" w14:textId="77777777" w:rsidR="00533345" w:rsidRDefault="00533345" w:rsidP="00A81FCA">
            <w:pPr>
              <w:pStyle w:val="FSTableText"/>
              <w:keepNext/>
              <w:keepLines/>
            </w:pPr>
            <w:r>
              <w:t>≤ 0.02</w:t>
            </w:r>
          </w:p>
        </w:tc>
        <w:tc>
          <w:tcPr>
            <w:tcW w:w="1070" w:type="pct"/>
            <w:shd w:val="clear" w:color="auto" w:fill="ECECEC"/>
          </w:tcPr>
          <w:p w14:paraId="5F1663BB" w14:textId="77777777" w:rsidR="00533345" w:rsidRDefault="00533345" w:rsidP="00A81FCA">
            <w:pPr>
              <w:pStyle w:val="FSTableText"/>
              <w:keepNext/>
              <w:keepLines/>
            </w:pPr>
            <w:r>
              <w:t>mg/kg</w:t>
            </w:r>
          </w:p>
        </w:tc>
      </w:tr>
      <w:tr w:rsidR="00CB11A2" w:rsidRPr="00F14802" w14:paraId="1409A6CA" w14:textId="77777777" w:rsidTr="00524B8D">
        <w:tc>
          <w:tcPr>
            <w:tcW w:w="2033" w:type="pct"/>
            <w:tcBorders>
              <w:bottom w:val="single" w:sz="4" w:space="0" w:color="auto"/>
            </w:tcBorders>
          </w:tcPr>
          <w:p w14:paraId="19437F06" w14:textId="77777777" w:rsidR="00533345" w:rsidRDefault="00533345" w:rsidP="00A81FCA">
            <w:pPr>
              <w:pStyle w:val="FSTableText"/>
              <w:keepNext/>
              <w:keepLines/>
            </w:pPr>
            <w:r>
              <w:t>Cadmium</w:t>
            </w:r>
          </w:p>
        </w:tc>
        <w:tc>
          <w:tcPr>
            <w:tcW w:w="1897" w:type="pct"/>
            <w:tcBorders>
              <w:bottom w:val="single" w:sz="4" w:space="0" w:color="auto"/>
            </w:tcBorders>
          </w:tcPr>
          <w:p w14:paraId="4D6CC63F" w14:textId="77777777" w:rsidR="00533345" w:rsidRDefault="00533345" w:rsidP="00A81FCA">
            <w:pPr>
              <w:pStyle w:val="FSTableText"/>
              <w:keepNext/>
              <w:keepLines/>
            </w:pPr>
            <w:r>
              <w:t>≤0.10</w:t>
            </w:r>
          </w:p>
        </w:tc>
        <w:tc>
          <w:tcPr>
            <w:tcW w:w="1070" w:type="pct"/>
            <w:tcBorders>
              <w:bottom w:val="single" w:sz="4" w:space="0" w:color="auto"/>
            </w:tcBorders>
          </w:tcPr>
          <w:p w14:paraId="60FE3A26" w14:textId="77777777" w:rsidR="00533345" w:rsidRDefault="00533345" w:rsidP="00A81FCA">
            <w:pPr>
              <w:pStyle w:val="FSTableText"/>
              <w:keepNext/>
              <w:keepLines/>
            </w:pPr>
            <w:r>
              <w:t>mg/kg</w:t>
            </w:r>
          </w:p>
        </w:tc>
      </w:tr>
      <w:tr w:rsidR="00CB11A2" w:rsidRPr="00F14802" w14:paraId="0262086D" w14:textId="77777777" w:rsidTr="00524B8D">
        <w:tc>
          <w:tcPr>
            <w:tcW w:w="2033" w:type="pct"/>
            <w:shd w:val="clear" w:color="auto" w:fill="ECECEC"/>
          </w:tcPr>
          <w:p w14:paraId="515044D6" w14:textId="77777777" w:rsidR="00533345" w:rsidRDefault="00533345" w:rsidP="00A81FCA">
            <w:pPr>
              <w:pStyle w:val="FSTableText"/>
              <w:keepNext/>
              <w:keepLines/>
            </w:pPr>
            <w:r>
              <w:t>Mercury</w:t>
            </w:r>
          </w:p>
        </w:tc>
        <w:tc>
          <w:tcPr>
            <w:tcW w:w="1897" w:type="pct"/>
            <w:shd w:val="clear" w:color="auto" w:fill="ECECEC"/>
          </w:tcPr>
          <w:p w14:paraId="0F6D9B17" w14:textId="77777777" w:rsidR="00533345" w:rsidRDefault="00533345" w:rsidP="00A81FCA">
            <w:pPr>
              <w:pStyle w:val="FSTableText"/>
              <w:keepNext/>
              <w:keepLines/>
            </w:pPr>
            <w:r>
              <w:t>≤0.10</w:t>
            </w:r>
          </w:p>
        </w:tc>
        <w:tc>
          <w:tcPr>
            <w:tcW w:w="1070" w:type="pct"/>
            <w:shd w:val="clear" w:color="auto" w:fill="ECECEC"/>
          </w:tcPr>
          <w:p w14:paraId="7AE3708F" w14:textId="77777777" w:rsidR="00533345" w:rsidRDefault="00533345" w:rsidP="00A81FCA">
            <w:pPr>
              <w:pStyle w:val="FSTableText"/>
              <w:keepNext/>
              <w:keepLines/>
            </w:pPr>
            <w:r>
              <w:t>mg/kg</w:t>
            </w:r>
          </w:p>
        </w:tc>
      </w:tr>
      <w:tr w:rsidR="00CB11A2" w:rsidRPr="00F14802" w14:paraId="117B112B" w14:textId="77777777" w:rsidTr="00524B8D">
        <w:tc>
          <w:tcPr>
            <w:tcW w:w="2033" w:type="pct"/>
            <w:tcBorders>
              <w:bottom w:val="single" w:sz="4" w:space="0" w:color="auto"/>
            </w:tcBorders>
          </w:tcPr>
          <w:p w14:paraId="05E9F56C" w14:textId="77777777" w:rsidR="00533345" w:rsidRDefault="00533345" w:rsidP="00A81FCA">
            <w:pPr>
              <w:pStyle w:val="FSTableText"/>
              <w:keepNext/>
              <w:keepLines/>
            </w:pPr>
            <w:r>
              <w:t>Arsenic</w:t>
            </w:r>
          </w:p>
        </w:tc>
        <w:tc>
          <w:tcPr>
            <w:tcW w:w="1897" w:type="pct"/>
            <w:tcBorders>
              <w:bottom w:val="single" w:sz="4" w:space="0" w:color="auto"/>
            </w:tcBorders>
          </w:tcPr>
          <w:p w14:paraId="7B78F013" w14:textId="77777777" w:rsidR="00533345" w:rsidRDefault="00533345" w:rsidP="00A81FCA">
            <w:pPr>
              <w:pStyle w:val="FSTableText"/>
              <w:keepNext/>
              <w:keepLines/>
            </w:pPr>
            <w:r>
              <w:t>≤0.02</w:t>
            </w:r>
          </w:p>
        </w:tc>
        <w:tc>
          <w:tcPr>
            <w:tcW w:w="1070" w:type="pct"/>
            <w:tcBorders>
              <w:bottom w:val="single" w:sz="4" w:space="0" w:color="auto"/>
            </w:tcBorders>
          </w:tcPr>
          <w:p w14:paraId="699EF071" w14:textId="77777777" w:rsidR="00533345" w:rsidRDefault="00533345" w:rsidP="00A81FCA">
            <w:pPr>
              <w:pStyle w:val="FSTableText"/>
              <w:keepNext/>
              <w:keepLines/>
            </w:pPr>
            <w:r>
              <w:t>mg/kg</w:t>
            </w:r>
          </w:p>
        </w:tc>
      </w:tr>
      <w:tr w:rsidR="00CB11A2" w:rsidRPr="00F14802" w:rsidDel="00B65DDE" w14:paraId="31EDD065" w14:textId="3E76599D" w:rsidTr="00524B8D">
        <w:tc>
          <w:tcPr>
            <w:tcW w:w="2033" w:type="pct"/>
            <w:shd w:val="clear" w:color="auto" w:fill="ECECEC"/>
          </w:tcPr>
          <w:p w14:paraId="394E6A99" w14:textId="53CE2E89" w:rsidR="00533345" w:rsidRPr="00C879F5" w:rsidDel="00B65DDE" w:rsidRDefault="00533345" w:rsidP="00A81FCA">
            <w:pPr>
              <w:pStyle w:val="FSTableText"/>
              <w:keepNext/>
              <w:keepLines/>
            </w:pPr>
            <w:r w:rsidRPr="00C879F5" w:rsidDel="00B65DDE">
              <w:t>Melamine</w:t>
            </w:r>
          </w:p>
        </w:tc>
        <w:tc>
          <w:tcPr>
            <w:tcW w:w="1897" w:type="pct"/>
            <w:shd w:val="clear" w:color="auto" w:fill="ECECEC"/>
          </w:tcPr>
          <w:p w14:paraId="105C5078" w14:textId="27DC1D9B" w:rsidR="00533345" w:rsidDel="00B65DDE" w:rsidRDefault="00533345" w:rsidP="00A81FCA">
            <w:pPr>
              <w:pStyle w:val="FSTableText"/>
              <w:keepNext/>
              <w:keepLines/>
            </w:pPr>
            <w:r w:rsidDel="00B65DDE">
              <w:t>Not detected</w:t>
            </w:r>
          </w:p>
        </w:tc>
        <w:tc>
          <w:tcPr>
            <w:tcW w:w="1070" w:type="pct"/>
            <w:shd w:val="clear" w:color="auto" w:fill="ECECEC"/>
          </w:tcPr>
          <w:p w14:paraId="4087B9C0" w14:textId="426882FF" w:rsidR="00533345" w:rsidDel="00B65DDE" w:rsidRDefault="00533345" w:rsidP="00A81FCA">
            <w:pPr>
              <w:pStyle w:val="FSTableText"/>
              <w:keepNext/>
              <w:keepLines/>
            </w:pPr>
          </w:p>
        </w:tc>
      </w:tr>
      <w:tr w:rsidR="00CB11A2" w:rsidRPr="00F14802" w:rsidDel="00B65DDE" w14:paraId="27388250" w14:textId="6E0822D6" w:rsidTr="00524B8D">
        <w:tc>
          <w:tcPr>
            <w:tcW w:w="2033" w:type="pct"/>
            <w:tcBorders>
              <w:bottom w:val="single" w:sz="4" w:space="0" w:color="auto"/>
            </w:tcBorders>
          </w:tcPr>
          <w:p w14:paraId="0B607DC6" w14:textId="06506ECB" w:rsidR="00533345" w:rsidRPr="00C879F5" w:rsidDel="00B65DDE" w:rsidRDefault="00E96AD3" w:rsidP="00A81FCA">
            <w:pPr>
              <w:pStyle w:val="FSTableText"/>
              <w:keepNext/>
              <w:keepLines/>
            </w:pPr>
            <w:r>
              <w:t>A</w:t>
            </w:r>
            <w:r w:rsidRPr="00C879F5" w:rsidDel="00B65DDE">
              <w:t>luminium</w:t>
            </w:r>
          </w:p>
        </w:tc>
        <w:tc>
          <w:tcPr>
            <w:tcW w:w="1897" w:type="pct"/>
            <w:tcBorders>
              <w:bottom w:val="single" w:sz="4" w:space="0" w:color="auto"/>
            </w:tcBorders>
          </w:tcPr>
          <w:p w14:paraId="0FC5C88F" w14:textId="2C46A694" w:rsidR="00533345" w:rsidDel="00B65DDE" w:rsidRDefault="00533345" w:rsidP="00A81FCA">
            <w:pPr>
              <w:pStyle w:val="FSTableText"/>
              <w:keepNext/>
              <w:keepLines/>
            </w:pPr>
            <w:r w:rsidDel="00B65DDE">
              <w:t>≤4.8</w:t>
            </w:r>
          </w:p>
        </w:tc>
        <w:tc>
          <w:tcPr>
            <w:tcW w:w="1070" w:type="pct"/>
            <w:tcBorders>
              <w:bottom w:val="single" w:sz="4" w:space="0" w:color="auto"/>
            </w:tcBorders>
          </w:tcPr>
          <w:p w14:paraId="31ABCF32" w14:textId="2D7148F1" w:rsidR="00533345" w:rsidDel="00B65DDE" w:rsidRDefault="00533345" w:rsidP="00A81FCA">
            <w:pPr>
              <w:pStyle w:val="FSTableText"/>
              <w:keepNext/>
              <w:keepLines/>
            </w:pPr>
            <w:r w:rsidDel="00B65DDE">
              <w:t>mg/kg</w:t>
            </w:r>
          </w:p>
        </w:tc>
      </w:tr>
      <w:tr w:rsidR="00CB11A2" w:rsidRPr="00F14802" w:rsidDel="00B65DDE" w14:paraId="5D299AB6" w14:textId="6E467A5A" w:rsidTr="00524B8D">
        <w:tc>
          <w:tcPr>
            <w:tcW w:w="2033" w:type="pct"/>
            <w:shd w:val="clear" w:color="auto" w:fill="ECECEC"/>
          </w:tcPr>
          <w:p w14:paraId="3DEC060A" w14:textId="492D4B0D" w:rsidR="00533345" w:rsidRPr="00C879F5" w:rsidDel="00B65DDE" w:rsidRDefault="00533345" w:rsidP="00A81FCA">
            <w:pPr>
              <w:pStyle w:val="FSTableText"/>
              <w:keepNext/>
              <w:keepLines/>
            </w:pPr>
            <w:r w:rsidRPr="00C879F5" w:rsidDel="00B65DDE">
              <w:t>Aflatoxin M1</w:t>
            </w:r>
          </w:p>
        </w:tc>
        <w:tc>
          <w:tcPr>
            <w:tcW w:w="1897" w:type="pct"/>
            <w:shd w:val="clear" w:color="auto" w:fill="ECECEC"/>
          </w:tcPr>
          <w:p w14:paraId="22B07258" w14:textId="69A50D5C" w:rsidR="00533345" w:rsidDel="00B65DDE" w:rsidRDefault="00533345" w:rsidP="00A81FCA">
            <w:pPr>
              <w:pStyle w:val="FSTableText"/>
              <w:keepNext/>
              <w:keepLines/>
            </w:pPr>
            <w:r w:rsidDel="00B65DDE">
              <w:t>≤0.05</w:t>
            </w:r>
          </w:p>
        </w:tc>
        <w:tc>
          <w:tcPr>
            <w:tcW w:w="1070" w:type="pct"/>
            <w:shd w:val="clear" w:color="auto" w:fill="ECECEC"/>
          </w:tcPr>
          <w:p w14:paraId="661F6319" w14:textId="68FDDE4F" w:rsidR="00533345" w:rsidDel="00B65DDE" w:rsidRDefault="00533345" w:rsidP="00A81FCA">
            <w:pPr>
              <w:pStyle w:val="FSTableText"/>
              <w:keepNext/>
              <w:keepLines/>
            </w:pPr>
            <w:r w:rsidDel="00B65DDE">
              <w:t>µg/kg</w:t>
            </w:r>
          </w:p>
        </w:tc>
      </w:tr>
      <w:tr w:rsidR="00CB11A2" w:rsidRPr="00F14802" w:rsidDel="00B65DDE" w14:paraId="3623E782" w14:textId="5B249DBE" w:rsidTr="00524B8D">
        <w:tc>
          <w:tcPr>
            <w:tcW w:w="2033" w:type="pct"/>
            <w:tcBorders>
              <w:bottom w:val="single" w:sz="4" w:space="0" w:color="auto"/>
            </w:tcBorders>
          </w:tcPr>
          <w:p w14:paraId="20210FC9" w14:textId="20D0BFFD" w:rsidR="00533345" w:rsidRPr="00C879F5" w:rsidDel="00B65DDE" w:rsidRDefault="00533345" w:rsidP="00A81FCA">
            <w:pPr>
              <w:pStyle w:val="FSTableText"/>
              <w:keepNext/>
              <w:keepLines/>
            </w:pPr>
            <w:r w:rsidRPr="00C879F5" w:rsidDel="00B65DDE">
              <w:t>Nitrate</w:t>
            </w:r>
          </w:p>
        </w:tc>
        <w:tc>
          <w:tcPr>
            <w:tcW w:w="1897" w:type="pct"/>
            <w:tcBorders>
              <w:bottom w:val="single" w:sz="4" w:space="0" w:color="auto"/>
            </w:tcBorders>
          </w:tcPr>
          <w:p w14:paraId="2F67596D" w14:textId="036218F7" w:rsidR="00533345" w:rsidDel="00B65DDE" w:rsidRDefault="00533345" w:rsidP="00A81FCA">
            <w:pPr>
              <w:pStyle w:val="FSTableText"/>
              <w:keepNext/>
              <w:keepLines/>
            </w:pPr>
            <w:r w:rsidDel="00B65DDE">
              <w:t>≤50</w:t>
            </w:r>
          </w:p>
        </w:tc>
        <w:tc>
          <w:tcPr>
            <w:tcW w:w="1070" w:type="pct"/>
            <w:tcBorders>
              <w:bottom w:val="single" w:sz="4" w:space="0" w:color="auto"/>
            </w:tcBorders>
          </w:tcPr>
          <w:p w14:paraId="2ADE8869" w14:textId="65647D37" w:rsidR="00533345" w:rsidDel="00B65DDE" w:rsidRDefault="00533345" w:rsidP="00A81FCA">
            <w:pPr>
              <w:pStyle w:val="FSTableText"/>
              <w:keepNext/>
              <w:keepLines/>
            </w:pPr>
            <w:r w:rsidDel="00B65DDE">
              <w:t>mg/kg</w:t>
            </w:r>
          </w:p>
        </w:tc>
      </w:tr>
      <w:tr w:rsidR="00CB11A2" w:rsidRPr="00F14802" w:rsidDel="00B65DDE" w14:paraId="67EAAABB" w14:textId="6ABAB493" w:rsidTr="00524B8D">
        <w:tc>
          <w:tcPr>
            <w:tcW w:w="2033" w:type="pct"/>
            <w:shd w:val="clear" w:color="auto" w:fill="ECECEC"/>
          </w:tcPr>
          <w:p w14:paraId="1A752505" w14:textId="26C4580B" w:rsidR="00533345" w:rsidRPr="00C879F5" w:rsidDel="00B65DDE" w:rsidRDefault="00533345" w:rsidP="00A81FCA">
            <w:pPr>
              <w:pStyle w:val="FSTableText"/>
              <w:keepNext/>
              <w:keepLines/>
            </w:pPr>
            <w:r w:rsidRPr="00C879F5" w:rsidDel="00B65DDE">
              <w:t>Nitrite</w:t>
            </w:r>
          </w:p>
        </w:tc>
        <w:tc>
          <w:tcPr>
            <w:tcW w:w="1897" w:type="pct"/>
            <w:shd w:val="clear" w:color="auto" w:fill="ECECEC"/>
          </w:tcPr>
          <w:p w14:paraId="1B19EC89" w14:textId="5572658D" w:rsidR="00533345" w:rsidDel="00B65DDE" w:rsidRDefault="00533345" w:rsidP="00A81FCA">
            <w:pPr>
              <w:pStyle w:val="FSTableText"/>
              <w:keepNext/>
              <w:keepLines/>
            </w:pPr>
            <w:r w:rsidDel="00B65DDE">
              <w:t>≤2.0</w:t>
            </w:r>
          </w:p>
        </w:tc>
        <w:tc>
          <w:tcPr>
            <w:tcW w:w="1070" w:type="pct"/>
            <w:shd w:val="clear" w:color="auto" w:fill="ECECEC"/>
          </w:tcPr>
          <w:p w14:paraId="4C9414B1" w14:textId="20AEBDF9" w:rsidR="00533345" w:rsidDel="00B65DDE" w:rsidRDefault="00533345" w:rsidP="00A81FCA">
            <w:pPr>
              <w:pStyle w:val="FSTableText"/>
              <w:keepNext/>
              <w:keepLines/>
            </w:pPr>
            <w:r w:rsidDel="00B65DDE">
              <w:t>mg/kg</w:t>
            </w:r>
          </w:p>
        </w:tc>
      </w:tr>
    </w:tbl>
    <w:p w14:paraId="05A5B034" w14:textId="38A70475" w:rsidR="1C95CCE8" w:rsidRDefault="1C95CCE8" w:rsidP="1C95CCE8">
      <w:pPr>
        <w:rPr>
          <w:szCs w:val="22"/>
        </w:rPr>
      </w:pPr>
    </w:p>
    <w:p w14:paraId="421B0455" w14:textId="172E220F" w:rsidR="00080571" w:rsidRDefault="5729C0FD" w:rsidP="007F2716">
      <w:pPr>
        <w:rPr>
          <w:lang w:eastAsia="en-AU"/>
        </w:rPr>
      </w:pPr>
      <w:r>
        <w:t>IFP</w:t>
      </w:r>
      <w:r w:rsidR="492EA2BE">
        <w:t xml:space="preserve"> are required to comply with the microbiological and contaminant limits set in the Code</w:t>
      </w:r>
      <w:r w:rsidR="2B4471BC">
        <w:t>. M</w:t>
      </w:r>
      <w:r w:rsidR="69427880">
        <w:t xml:space="preserve">anufacturers may </w:t>
      </w:r>
      <w:r w:rsidR="2B4471BC">
        <w:t>also</w:t>
      </w:r>
      <w:r w:rsidR="69427880">
        <w:t xml:space="preserve"> refer to FSANZ’s </w:t>
      </w:r>
      <w:hyperlink r:id="rId20" w:history="1">
        <w:r w:rsidR="000F22F7" w:rsidRPr="000F22F7">
          <w:rPr>
            <w:rStyle w:val="Hyperlink"/>
            <w:lang w:eastAsia="en-AU"/>
          </w:rPr>
          <w:t>Compendium of Microbiological Criteria</w:t>
        </w:r>
        <w:r w:rsidR="7D48DA7B" w:rsidRPr="000F22F7">
          <w:rPr>
            <w:rStyle w:val="Hyperlink"/>
            <w:lang w:eastAsia="en-AU"/>
          </w:rPr>
          <w:t xml:space="preserve"> </w:t>
        </w:r>
        <w:r w:rsidR="7D48DA7B" w:rsidRPr="000F22F7">
          <w:rPr>
            <w:rStyle w:val="Hyperlink"/>
          </w:rPr>
          <w:t>for Food</w:t>
        </w:r>
      </w:hyperlink>
      <w:r w:rsidR="7D48DA7B">
        <w:t xml:space="preserve"> which provides guidance on appropriate process hygiene criteria for IFP.</w:t>
      </w:r>
      <w:r w:rsidR="7D48DA7B" w:rsidRPr="48784B51">
        <w:rPr>
          <w:lang w:eastAsia="en-AU"/>
        </w:rPr>
        <w:t xml:space="preserve"> </w:t>
      </w:r>
    </w:p>
    <w:p w14:paraId="16FBE326" w14:textId="21E6B26D" w:rsidR="00533345" w:rsidRDefault="00533345" w:rsidP="00733CE2">
      <w:pPr>
        <w:pStyle w:val="Heading2"/>
      </w:pPr>
      <w:bookmarkStart w:id="38" w:name="_Toc111626685"/>
      <w:bookmarkStart w:id="39" w:name="_Toc112914995"/>
      <w:bookmarkStart w:id="40" w:name="_Toc113523042"/>
      <w:r>
        <w:t>2.5</w:t>
      </w:r>
      <w:r>
        <w:tab/>
        <w:t>Analytical method of detection</w:t>
      </w:r>
      <w:bookmarkEnd w:id="38"/>
      <w:bookmarkEnd w:id="39"/>
      <w:bookmarkEnd w:id="40"/>
    </w:p>
    <w:p w14:paraId="63DFF2FD" w14:textId="5C3F43EA" w:rsidR="00533345" w:rsidRPr="001C5931" w:rsidRDefault="00533345" w:rsidP="00533345">
      <w:r>
        <w:rPr>
          <w:lang w:bidi="ar-SA"/>
        </w:rPr>
        <w:t xml:space="preserve">A method is described under section 2.2.7 of the </w:t>
      </w:r>
      <w:r w:rsidR="00BB0ADD">
        <w:rPr>
          <w:lang w:bidi="ar-SA"/>
        </w:rPr>
        <w:t>Application</w:t>
      </w:r>
      <w:r w:rsidRPr="544FA2B4">
        <w:rPr>
          <w:lang w:bidi="ar-SA"/>
        </w:rPr>
        <w:t>.</w:t>
      </w:r>
      <w:r>
        <w:rPr>
          <w:lang w:bidi="ar-SA"/>
        </w:rPr>
        <w:t xml:space="preserve"> The method measures </w:t>
      </w:r>
      <w:proofErr w:type="spellStart"/>
      <w:r w:rsidRPr="544FA2B4">
        <w:rPr>
          <w:lang w:bidi="ar-SA"/>
        </w:rPr>
        <w:t>bL</w:t>
      </w:r>
      <w:r w:rsidR="28052738" w:rsidRPr="544FA2B4">
        <w:rPr>
          <w:lang w:bidi="ar-SA"/>
        </w:rPr>
        <w:t>f</w:t>
      </w:r>
      <w:proofErr w:type="spellEnd"/>
      <w:r>
        <w:rPr>
          <w:lang w:bidi="ar-SA"/>
        </w:rPr>
        <w:t xml:space="preserve"> content and purity</w:t>
      </w:r>
      <w:r w:rsidRPr="001C5931">
        <w:rPr>
          <w:lang w:bidi="ar-SA"/>
        </w:rPr>
        <w:t xml:space="preserve">. </w:t>
      </w:r>
      <w:r>
        <w:rPr>
          <w:lang w:bidi="ar-SA"/>
        </w:rPr>
        <w:t>A</w:t>
      </w:r>
      <w:r w:rsidRPr="001C5931">
        <w:rPr>
          <w:lang w:bidi="ar-SA"/>
        </w:rPr>
        <w:t>ddi</w:t>
      </w:r>
      <w:r>
        <w:rPr>
          <w:lang w:bidi="ar-SA"/>
        </w:rPr>
        <w:t>tional information was provided as CCI.</w:t>
      </w:r>
    </w:p>
    <w:p w14:paraId="3F0DEE89" w14:textId="5FD4704B" w:rsidR="00533345" w:rsidRDefault="00533345" w:rsidP="00733CE2">
      <w:pPr>
        <w:pStyle w:val="Heading2"/>
      </w:pPr>
      <w:bookmarkStart w:id="41" w:name="_Toc111626686"/>
      <w:bookmarkStart w:id="42" w:name="_Toc112914996"/>
      <w:bookmarkStart w:id="43" w:name="_Toc113523043"/>
      <w:r>
        <w:t>2.6</w:t>
      </w:r>
      <w:r>
        <w:tab/>
        <w:t>Food Technology conclusion</w:t>
      </w:r>
      <w:bookmarkEnd w:id="41"/>
      <w:bookmarkEnd w:id="42"/>
      <w:bookmarkEnd w:id="43"/>
    </w:p>
    <w:p w14:paraId="64206245" w14:textId="3EE9082A" w:rsidR="00533345" w:rsidRDefault="00533345" w:rsidP="00533345">
      <w:pPr>
        <w:rPr>
          <w:lang w:bidi="ar-SA"/>
        </w:rPr>
      </w:pPr>
      <w:r>
        <w:rPr>
          <w:lang w:eastAsia="en-AU" w:bidi="ar-SA"/>
        </w:rPr>
        <w:t xml:space="preserve">The food technology assessment concludes that the data demonstrates that </w:t>
      </w:r>
      <w:proofErr w:type="spellStart"/>
      <w:r>
        <w:rPr>
          <w:lang w:eastAsia="en-AU" w:bidi="ar-SA"/>
        </w:rPr>
        <w:t>bLf</w:t>
      </w:r>
      <w:proofErr w:type="spellEnd"/>
      <w:r>
        <w:rPr>
          <w:lang w:bidi="ar-SA"/>
        </w:rPr>
        <w:t xml:space="preserve"> is sufficiently characterised, and stable in </w:t>
      </w:r>
      <w:r w:rsidR="003930E5">
        <w:rPr>
          <w:lang w:bidi="ar-SA"/>
        </w:rPr>
        <w:t>IFP</w:t>
      </w:r>
      <w:r>
        <w:rPr>
          <w:lang w:bidi="ar-SA"/>
        </w:rPr>
        <w:t xml:space="preserve">. </w:t>
      </w:r>
    </w:p>
    <w:p w14:paraId="4966E4AE" w14:textId="77777777" w:rsidR="00533345" w:rsidRDefault="00533345" w:rsidP="00533345">
      <w:pPr>
        <w:rPr>
          <w:lang w:bidi="ar-SA"/>
        </w:rPr>
      </w:pPr>
    </w:p>
    <w:p w14:paraId="0B5FCB78" w14:textId="77777777" w:rsidR="00533345" w:rsidRPr="00890C58" w:rsidRDefault="00533345" w:rsidP="00533345">
      <w:pPr>
        <w:rPr>
          <w:lang w:eastAsia="en-AU" w:bidi="ar-SA"/>
        </w:rPr>
      </w:pPr>
      <w:r>
        <w:rPr>
          <w:lang w:bidi="ar-SA"/>
        </w:rPr>
        <w:t xml:space="preserve">Specifications have been proposed for inclusion in Schedule 3 of the Code. </w:t>
      </w:r>
    </w:p>
    <w:p w14:paraId="578D29D6" w14:textId="655DF645" w:rsidR="00F81217" w:rsidRDefault="00F81217" w:rsidP="00F81217">
      <w:pPr>
        <w:pStyle w:val="Heading1"/>
      </w:pPr>
      <w:bookmarkStart w:id="44" w:name="_Toc111626687"/>
      <w:bookmarkStart w:id="45" w:name="_Toc112914997"/>
      <w:bookmarkStart w:id="46" w:name="_Toc113523044"/>
      <w:r>
        <w:lastRenderedPageBreak/>
        <w:t>3</w:t>
      </w:r>
      <w:r>
        <w:tab/>
        <w:t>Safety assessment</w:t>
      </w:r>
      <w:bookmarkEnd w:id="44"/>
      <w:bookmarkEnd w:id="45"/>
      <w:bookmarkEnd w:id="46"/>
    </w:p>
    <w:p w14:paraId="60BDB066" w14:textId="1DA19846" w:rsidR="00F81217" w:rsidRDefault="00F81217" w:rsidP="00733CE2">
      <w:pPr>
        <w:pStyle w:val="Heading2"/>
      </w:pPr>
      <w:bookmarkStart w:id="47" w:name="_Toc111626688"/>
      <w:bookmarkStart w:id="48" w:name="_Toc112914998"/>
      <w:bookmarkStart w:id="49" w:name="_Toc113523045"/>
      <w:r>
        <w:t>3.1</w:t>
      </w:r>
      <w:r>
        <w:tab/>
        <w:t>Toxicology assessment</w:t>
      </w:r>
      <w:bookmarkEnd w:id="47"/>
      <w:bookmarkEnd w:id="48"/>
      <w:bookmarkEnd w:id="49"/>
    </w:p>
    <w:p w14:paraId="5B5B88EE" w14:textId="124CA593" w:rsidR="00F81217" w:rsidRDefault="009C312B" w:rsidP="006406E3">
      <w:pPr>
        <w:pStyle w:val="Heading3"/>
      </w:pPr>
      <w:bookmarkStart w:id="50" w:name="_Toc111626689"/>
      <w:bookmarkStart w:id="51" w:name="_Toc112914999"/>
      <w:bookmarkStart w:id="52" w:name="_Toc113523046"/>
      <w:r>
        <w:t>3.1.1</w:t>
      </w:r>
      <w:r>
        <w:tab/>
      </w:r>
      <w:r w:rsidR="00801BD1">
        <w:t>Absorption, distribution, metabolism and excretion studies</w:t>
      </w:r>
      <w:bookmarkEnd w:id="50"/>
      <w:bookmarkEnd w:id="51"/>
      <w:bookmarkEnd w:id="52"/>
    </w:p>
    <w:p w14:paraId="7B9AC658" w14:textId="08E13492" w:rsidR="00D72A59" w:rsidRDefault="00D72A59" w:rsidP="0011134F">
      <w:pPr>
        <w:pStyle w:val="Heading4"/>
      </w:pPr>
      <w:r>
        <w:t>In vitro studies</w:t>
      </w:r>
    </w:p>
    <w:p w14:paraId="1A673382" w14:textId="3E82486F" w:rsidR="00371910" w:rsidRDefault="00371910" w:rsidP="00690206">
      <w:r>
        <w:rPr>
          <w:i/>
        </w:rPr>
        <w:t>In vitro</w:t>
      </w:r>
      <w:r w:rsidR="008A6C3D">
        <w:t xml:space="preserve"> digestibility studies suggest that </w:t>
      </w:r>
      <w:proofErr w:type="spellStart"/>
      <w:r w:rsidR="00244C12">
        <w:t>bLf</w:t>
      </w:r>
      <w:proofErr w:type="spellEnd"/>
      <w:r w:rsidR="00244C12">
        <w:t xml:space="preserve"> is hydrolysed </w:t>
      </w:r>
      <w:r w:rsidR="00D916B0">
        <w:t>in conditions mimicking the stomach and/or small intestine</w:t>
      </w:r>
      <w:r w:rsidR="00674BDA">
        <w:t xml:space="preserve">, with a small proportion remaining intact, depending on the pH and duration of </w:t>
      </w:r>
      <w:r w:rsidR="00C34657">
        <w:t>digestion (</w:t>
      </w:r>
      <w:r w:rsidR="00C34657" w:rsidRPr="00381A43">
        <w:t>Brock e</w:t>
      </w:r>
      <w:r w:rsidR="00E11413">
        <w:t>t al</w:t>
      </w:r>
      <w:r w:rsidR="008743DA">
        <w:t>.</w:t>
      </w:r>
      <w:r w:rsidR="00E11413">
        <w:t xml:space="preserve"> 1976; </w:t>
      </w:r>
      <w:proofErr w:type="spellStart"/>
      <w:r w:rsidR="00E11413">
        <w:t>L</w:t>
      </w:r>
      <w:r w:rsidR="00E11413">
        <w:rPr>
          <w:rFonts w:cs="Arial"/>
        </w:rPr>
        <w:t>ö</w:t>
      </w:r>
      <w:r w:rsidR="00C34657" w:rsidRPr="00381A43">
        <w:t>nnerdal</w:t>
      </w:r>
      <w:proofErr w:type="spellEnd"/>
      <w:r w:rsidR="00C34657" w:rsidRPr="00381A43">
        <w:t xml:space="preserve"> et al</w:t>
      </w:r>
      <w:r w:rsidR="008743DA">
        <w:t>.</w:t>
      </w:r>
      <w:r w:rsidR="00C34657" w:rsidRPr="00381A43">
        <w:t xml:space="preserve"> 2011; </w:t>
      </w:r>
      <w:r w:rsidR="00F042E2" w:rsidRPr="00381A43">
        <w:t>Grosvenor et al</w:t>
      </w:r>
      <w:r w:rsidR="008743DA">
        <w:t>.</w:t>
      </w:r>
      <w:r w:rsidR="00F042E2" w:rsidRPr="00381A43">
        <w:t xml:space="preserve"> 2014).</w:t>
      </w:r>
      <w:r w:rsidR="00F042E2">
        <w:t xml:space="preserve"> </w:t>
      </w:r>
      <w:r w:rsidR="003154A3">
        <w:t xml:space="preserve">Several </w:t>
      </w:r>
      <w:proofErr w:type="spellStart"/>
      <w:r w:rsidR="003154A3">
        <w:t>bLf</w:t>
      </w:r>
      <w:proofErr w:type="spellEnd"/>
      <w:r w:rsidR="003154A3">
        <w:t xml:space="preserve"> fragments have been detected </w:t>
      </w:r>
      <w:r w:rsidR="008913E9">
        <w:t xml:space="preserve">following digestion, including fragments of </w:t>
      </w:r>
      <w:r w:rsidR="00DC1382">
        <w:rPr>
          <w:rFonts w:cs="Arial"/>
        </w:rPr>
        <w:t>~</w:t>
      </w:r>
      <w:r w:rsidR="00DC1382">
        <w:t xml:space="preserve"> 52 </w:t>
      </w:r>
      <w:proofErr w:type="spellStart"/>
      <w:r w:rsidR="00DC1382">
        <w:t>kDa</w:t>
      </w:r>
      <w:proofErr w:type="spellEnd"/>
      <w:r w:rsidR="00DC1382">
        <w:t xml:space="preserve"> </w:t>
      </w:r>
      <w:r w:rsidR="00E11413">
        <w:t xml:space="preserve">and 32 </w:t>
      </w:r>
      <w:proofErr w:type="spellStart"/>
      <w:r w:rsidR="00E11413">
        <w:t>kDa</w:t>
      </w:r>
      <w:proofErr w:type="spellEnd"/>
      <w:r w:rsidR="00E11413">
        <w:t xml:space="preserve"> (Brock et al</w:t>
      </w:r>
      <w:r w:rsidR="008743DA">
        <w:t>.</w:t>
      </w:r>
      <w:r w:rsidR="00E11413">
        <w:t xml:space="preserve"> 1976; </w:t>
      </w:r>
      <w:proofErr w:type="spellStart"/>
      <w:r w:rsidR="00E11413">
        <w:t>L</w:t>
      </w:r>
      <w:r w:rsidR="00E11413">
        <w:rPr>
          <w:rFonts w:cs="Arial"/>
        </w:rPr>
        <w:t>ö</w:t>
      </w:r>
      <w:r w:rsidR="00DC1382">
        <w:t>nnerdal</w:t>
      </w:r>
      <w:proofErr w:type="spellEnd"/>
      <w:r w:rsidR="00DC1382">
        <w:t xml:space="preserve"> et al</w:t>
      </w:r>
      <w:r w:rsidR="008743DA">
        <w:t>.</w:t>
      </w:r>
      <w:r w:rsidR="00DC1382">
        <w:t xml:space="preserve"> 2011). </w:t>
      </w:r>
      <w:r w:rsidR="006F36B8">
        <w:t xml:space="preserve">One study reported that 6% </w:t>
      </w:r>
      <w:r w:rsidR="00FA2301">
        <w:t>intact</w:t>
      </w:r>
      <w:r w:rsidR="006F36B8">
        <w:t xml:space="preserve"> iron-</w:t>
      </w:r>
      <w:r w:rsidR="00FA2301">
        <w:t xml:space="preserve">saturated </w:t>
      </w:r>
      <w:proofErr w:type="spellStart"/>
      <w:r w:rsidR="00FA2301">
        <w:t>bLf</w:t>
      </w:r>
      <w:proofErr w:type="spellEnd"/>
      <w:r w:rsidR="00FA2301">
        <w:t xml:space="preserve"> and 4% intact iron-free </w:t>
      </w:r>
      <w:proofErr w:type="spellStart"/>
      <w:r w:rsidR="00FA2301">
        <w:t>bLf</w:t>
      </w:r>
      <w:proofErr w:type="spellEnd"/>
      <w:r w:rsidR="00FA2301">
        <w:t xml:space="preserve"> </w:t>
      </w:r>
      <w:r w:rsidR="00386F3A">
        <w:t>(</w:t>
      </w:r>
      <w:proofErr w:type="spellStart"/>
      <w:r w:rsidR="00386F3A">
        <w:t>apolactoferrin</w:t>
      </w:r>
      <w:proofErr w:type="spellEnd"/>
      <w:r w:rsidR="00386F3A">
        <w:t>)</w:t>
      </w:r>
      <w:r w:rsidR="00FA2301">
        <w:t xml:space="preserve"> remained after </w:t>
      </w:r>
      <w:r w:rsidR="00E20B70">
        <w:t>3 h digestion with trypsin (Brock et al</w:t>
      </w:r>
      <w:r w:rsidR="008743DA">
        <w:t>.</w:t>
      </w:r>
      <w:r w:rsidR="00E20B70">
        <w:t xml:space="preserve"> 1976), while another </w:t>
      </w:r>
      <w:r w:rsidR="00482862">
        <w:t xml:space="preserve">found that native </w:t>
      </w:r>
      <w:proofErr w:type="spellStart"/>
      <w:r w:rsidR="00482862">
        <w:t>bLf</w:t>
      </w:r>
      <w:proofErr w:type="spellEnd"/>
      <w:r w:rsidR="00482862">
        <w:t xml:space="preserve"> </w:t>
      </w:r>
      <w:r w:rsidR="0000121B">
        <w:t>(partially iron-saturated</w:t>
      </w:r>
      <w:r w:rsidR="00F01DCC">
        <w:t xml:space="preserve">) was more resistant to pepsin digestion at pH 4 than </w:t>
      </w:r>
      <w:r w:rsidR="00644DBF">
        <w:t xml:space="preserve">iron saturated </w:t>
      </w:r>
      <w:proofErr w:type="spellStart"/>
      <w:r w:rsidR="00644DBF">
        <w:t>bLf</w:t>
      </w:r>
      <w:proofErr w:type="spellEnd"/>
      <w:r w:rsidR="00694E78">
        <w:t>, but both were digested by pepsin at pH 2</w:t>
      </w:r>
      <w:r w:rsidR="00644DBF">
        <w:t xml:space="preserve"> (</w:t>
      </w:r>
      <w:proofErr w:type="spellStart"/>
      <w:r w:rsidR="00644DBF">
        <w:t>L</w:t>
      </w:r>
      <w:r w:rsidR="00E11413">
        <w:rPr>
          <w:rFonts w:cs="Arial"/>
        </w:rPr>
        <w:t>ö</w:t>
      </w:r>
      <w:r w:rsidR="00644DBF">
        <w:t>nnerdal</w:t>
      </w:r>
      <w:proofErr w:type="spellEnd"/>
      <w:r w:rsidR="00644DBF">
        <w:t xml:space="preserve"> et al</w:t>
      </w:r>
      <w:r w:rsidR="008743DA">
        <w:t>.</w:t>
      </w:r>
      <w:r w:rsidR="00644DBF">
        <w:t xml:space="preserve"> 2011)</w:t>
      </w:r>
      <w:r w:rsidR="00E20B70">
        <w:t xml:space="preserve">. </w:t>
      </w:r>
    </w:p>
    <w:p w14:paraId="0482938D" w14:textId="77777777" w:rsidR="00532EE3" w:rsidRDefault="00532EE3" w:rsidP="00690206"/>
    <w:p w14:paraId="7467D07F" w14:textId="30DF205B" w:rsidR="003E51DD" w:rsidRDefault="007B39BE" w:rsidP="003E51DD">
      <w:r>
        <w:t xml:space="preserve">Evidence suggests that </w:t>
      </w:r>
      <w:proofErr w:type="spellStart"/>
      <w:r w:rsidR="00E32FEA">
        <w:t>hLf</w:t>
      </w:r>
      <w:proofErr w:type="spellEnd"/>
      <w:r w:rsidR="00E32FEA">
        <w:t xml:space="preserve"> and </w:t>
      </w:r>
      <w:proofErr w:type="spellStart"/>
      <w:r w:rsidR="00E32FEA">
        <w:t>bLf</w:t>
      </w:r>
      <w:proofErr w:type="spellEnd"/>
      <w:r w:rsidR="00E32FEA">
        <w:t xml:space="preserve"> </w:t>
      </w:r>
      <w:r w:rsidR="00532EE3">
        <w:t>are</w:t>
      </w:r>
      <w:r w:rsidR="00E32FEA">
        <w:t xml:space="preserve"> more resistant to digestion in pre-term or </w:t>
      </w:r>
      <w:r w:rsidR="006E73BE">
        <w:t xml:space="preserve">neonatal infants compared to older infants. </w:t>
      </w:r>
      <w:r w:rsidR="0015173E">
        <w:t xml:space="preserve">In </w:t>
      </w:r>
      <w:r w:rsidR="00F90B72">
        <w:t>s</w:t>
      </w:r>
      <w:r w:rsidR="00F62867">
        <w:t xml:space="preserve">tudies using </w:t>
      </w:r>
      <w:r w:rsidR="00D120A9">
        <w:t>gastric fluid ob</w:t>
      </w:r>
      <w:r w:rsidR="00456F7D">
        <w:t>tained from preterm</w:t>
      </w:r>
      <w:r w:rsidR="00FE0D92">
        <w:t xml:space="preserve"> or neonatal</w:t>
      </w:r>
      <w:r w:rsidR="00456F7D">
        <w:t xml:space="preserve"> </w:t>
      </w:r>
      <w:r w:rsidR="00D120A9">
        <w:t xml:space="preserve">infants, </w:t>
      </w:r>
      <w:proofErr w:type="spellStart"/>
      <w:r w:rsidR="00F62867">
        <w:t>hLf</w:t>
      </w:r>
      <w:proofErr w:type="spellEnd"/>
      <w:r w:rsidR="00F62867">
        <w:t xml:space="preserve"> </w:t>
      </w:r>
      <w:r w:rsidR="00900013">
        <w:t>was</w:t>
      </w:r>
      <w:r w:rsidR="00944E10">
        <w:t xml:space="preserve"> resistant to digestion at pH values </w:t>
      </w:r>
      <w:r w:rsidR="006C40C7">
        <w:t xml:space="preserve">of 4 and above, and partially resistant at pH </w:t>
      </w:r>
      <w:r w:rsidR="00FC452B">
        <w:t>3.</w:t>
      </w:r>
      <w:r w:rsidR="00FC452B" w:rsidRPr="00331571">
        <w:t>5</w:t>
      </w:r>
      <w:r w:rsidR="00C0525C" w:rsidRPr="00331571">
        <w:t xml:space="preserve"> (Britton and </w:t>
      </w:r>
      <w:proofErr w:type="spellStart"/>
      <w:r w:rsidR="00C0525C" w:rsidRPr="00331571">
        <w:t>Koldovsk</w:t>
      </w:r>
      <w:r w:rsidR="00331571" w:rsidRPr="00331571">
        <w:rPr>
          <w:rFonts w:eastAsia="Arial" w:cs="Arial"/>
        </w:rPr>
        <w:t>ý</w:t>
      </w:r>
      <w:proofErr w:type="spellEnd"/>
      <w:r w:rsidR="00C0525C" w:rsidRPr="00331571">
        <w:t xml:space="preserve"> 1989; Chatterton et al</w:t>
      </w:r>
      <w:r w:rsidR="008743DA">
        <w:t>.</w:t>
      </w:r>
      <w:r w:rsidR="00C0525C" w:rsidRPr="00331571">
        <w:t xml:space="preserve"> 2004)</w:t>
      </w:r>
      <w:r w:rsidR="00F338C4" w:rsidRPr="00331571">
        <w:t>.</w:t>
      </w:r>
      <w:r w:rsidR="003E51DD" w:rsidRPr="00331571">
        <w:t xml:space="preserve"> The prevailing post</w:t>
      </w:r>
      <w:r w:rsidR="00CD3F99" w:rsidRPr="00331571">
        <w:t>prandial pH</w:t>
      </w:r>
      <w:r w:rsidR="003B2220">
        <w:t xml:space="preserve"> in </w:t>
      </w:r>
      <w:r w:rsidR="007442A3">
        <w:t xml:space="preserve">the </w:t>
      </w:r>
      <w:r w:rsidR="003B2220">
        <w:t xml:space="preserve">gastric fluid </w:t>
      </w:r>
      <w:r w:rsidR="007442A3">
        <w:t xml:space="preserve">samples </w:t>
      </w:r>
      <w:r w:rsidR="00ED5BD2">
        <w:t>collected</w:t>
      </w:r>
      <w:r w:rsidR="00CD3F99" w:rsidRPr="00331571">
        <w:t xml:space="preserve"> in the study by Britton and </w:t>
      </w:r>
      <w:proofErr w:type="spellStart"/>
      <w:r w:rsidR="00CD3F99" w:rsidRPr="00331571">
        <w:t>Koldovsky</w:t>
      </w:r>
      <w:proofErr w:type="spellEnd"/>
      <w:r w:rsidR="00CD3F99" w:rsidRPr="00331571">
        <w:t xml:space="preserve"> was 5.5 – 6, </w:t>
      </w:r>
      <w:r w:rsidR="00D36B6D" w:rsidRPr="00331571">
        <w:t xml:space="preserve">and there was negligible evidence of degradation </w:t>
      </w:r>
      <w:r w:rsidR="00E32A70">
        <w:t>in gastric fluid</w:t>
      </w:r>
      <w:r w:rsidR="007442A3">
        <w:t xml:space="preserve"> with</w:t>
      </w:r>
      <w:r w:rsidR="00E32A70" w:rsidRPr="00331571">
        <w:t xml:space="preserve"> </w:t>
      </w:r>
      <w:r w:rsidR="00D36B6D" w:rsidRPr="00331571">
        <w:t>pH</w:t>
      </w:r>
      <w:r w:rsidR="007442A3">
        <w:t xml:space="preserve"> of</w:t>
      </w:r>
      <w:r w:rsidR="00D36B6D" w:rsidRPr="00331571">
        <w:t xml:space="preserve"> 5.8.</w:t>
      </w:r>
      <w:r w:rsidR="00F338C4" w:rsidRPr="00331571">
        <w:t xml:space="preserve"> At pH 3.5, </w:t>
      </w:r>
      <w:proofErr w:type="spellStart"/>
      <w:r w:rsidR="00C0525C" w:rsidRPr="00331571">
        <w:t>hLf</w:t>
      </w:r>
      <w:proofErr w:type="spellEnd"/>
      <w:r w:rsidR="00C0525C" w:rsidRPr="00331571">
        <w:t xml:space="preserve"> </w:t>
      </w:r>
      <w:r w:rsidR="00C94382" w:rsidRPr="00331571">
        <w:t xml:space="preserve">degradation products of 34 and 42 </w:t>
      </w:r>
      <w:proofErr w:type="spellStart"/>
      <w:r w:rsidR="00C94382" w:rsidRPr="00331571">
        <w:t>kDa</w:t>
      </w:r>
      <w:proofErr w:type="spellEnd"/>
      <w:r w:rsidR="00C94382" w:rsidRPr="00331571">
        <w:t xml:space="preserve"> were observed in addition to residual intact</w:t>
      </w:r>
      <w:r w:rsidR="00C0525C" w:rsidRPr="00331571">
        <w:t xml:space="preserve"> </w:t>
      </w:r>
      <w:proofErr w:type="spellStart"/>
      <w:r w:rsidR="00250D21" w:rsidRPr="00331571">
        <w:t>hLf</w:t>
      </w:r>
      <w:proofErr w:type="spellEnd"/>
      <w:r w:rsidR="00C0525C" w:rsidRPr="00331571">
        <w:t xml:space="preserve"> (Britton and </w:t>
      </w:r>
      <w:proofErr w:type="spellStart"/>
      <w:r w:rsidR="00C0525C" w:rsidRPr="00331571">
        <w:t>Koldovsky</w:t>
      </w:r>
      <w:proofErr w:type="spellEnd"/>
      <w:r w:rsidR="00C0525C" w:rsidRPr="00331571">
        <w:t xml:space="preserve"> 1989). </w:t>
      </w:r>
      <w:r w:rsidR="00900013" w:rsidRPr="00331571">
        <w:t xml:space="preserve">Following incubation of bovine whey protein </w:t>
      </w:r>
      <w:r w:rsidR="00250D21" w:rsidRPr="00331571">
        <w:t>concentrate</w:t>
      </w:r>
      <w:r w:rsidR="00900013" w:rsidRPr="00331571">
        <w:t xml:space="preserve"> in gastric juice, </w:t>
      </w:r>
      <w:proofErr w:type="spellStart"/>
      <w:r w:rsidR="00900013" w:rsidRPr="00331571">
        <w:t>bLf</w:t>
      </w:r>
      <w:proofErr w:type="spellEnd"/>
      <w:r w:rsidR="00900013" w:rsidRPr="00331571">
        <w:t xml:space="preserve"> was not hydrolysed at pH 5 or 6.5, whereas hydrolysis was observed at lower pH values (Chatterton et al</w:t>
      </w:r>
      <w:r w:rsidR="008743DA">
        <w:t>.</w:t>
      </w:r>
      <w:r w:rsidR="00900013" w:rsidRPr="00331571">
        <w:t xml:space="preserve"> 2004).</w:t>
      </w:r>
      <w:r w:rsidR="00C0525C" w:rsidRPr="00331571">
        <w:t xml:space="preserve"> </w:t>
      </w:r>
      <w:r w:rsidR="003E51DD" w:rsidRPr="00331571">
        <w:t xml:space="preserve">Incubation of partially or completely iron-saturated </w:t>
      </w:r>
      <w:proofErr w:type="spellStart"/>
      <w:r w:rsidR="003E51DD" w:rsidRPr="00331571">
        <w:t>bLf</w:t>
      </w:r>
      <w:proofErr w:type="spellEnd"/>
      <w:r w:rsidR="003E51DD" w:rsidRPr="00331571">
        <w:t xml:space="preserve"> in gastric or duodenal secretions (pH not reported) obtained from 1 – 3 month old infants found no evidence of hydrolysis by gastric secretions and only partial hydrolysis by duodenal secretions (Spik et al</w:t>
      </w:r>
      <w:r w:rsidR="008743DA">
        <w:t>.</w:t>
      </w:r>
      <w:r w:rsidR="003E51DD" w:rsidRPr="00331571">
        <w:t xml:space="preserve"> 1982).</w:t>
      </w:r>
    </w:p>
    <w:p w14:paraId="24EFF889" w14:textId="497B86BF" w:rsidR="00833A5C" w:rsidRDefault="00833A5C" w:rsidP="00C1284B"/>
    <w:p w14:paraId="73CAB120" w14:textId="531BEDF5" w:rsidR="00A87376" w:rsidRDefault="003C1D5E" w:rsidP="00C1284B">
      <w:r>
        <w:t xml:space="preserve">Binding of </w:t>
      </w:r>
      <w:proofErr w:type="spellStart"/>
      <w:r>
        <w:t>bLf</w:t>
      </w:r>
      <w:proofErr w:type="spellEnd"/>
      <w:r w:rsidR="008444A1">
        <w:t xml:space="preserve"> to brush-border membrane vesicles (BBMVs) from the small intestine of human foetuses was very low compared with binding of </w:t>
      </w:r>
      <w:proofErr w:type="spellStart"/>
      <w:r w:rsidR="008444A1">
        <w:t>hLf</w:t>
      </w:r>
      <w:proofErr w:type="spellEnd"/>
      <w:r w:rsidR="008444A1">
        <w:t xml:space="preserve">. No inhibition of </w:t>
      </w:r>
      <w:proofErr w:type="spellStart"/>
      <w:r w:rsidR="008444A1">
        <w:t>hLf</w:t>
      </w:r>
      <w:proofErr w:type="spellEnd"/>
      <w:r w:rsidR="008444A1">
        <w:t xml:space="preserve"> binding to BBMVs was observed with excess </w:t>
      </w:r>
      <w:proofErr w:type="spellStart"/>
      <w:r w:rsidR="008444A1">
        <w:t>bLf</w:t>
      </w:r>
      <w:proofErr w:type="spellEnd"/>
      <w:r w:rsidR="008444A1">
        <w:t xml:space="preserve">, suggesting that </w:t>
      </w:r>
      <w:r w:rsidR="008444A1" w:rsidRPr="00C9739A">
        <w:t xml:space="preserve">the limited binding of </w:t>
      </w:r>
      <w:proofErr w:type="spellStart"/>
      <w:r w:rsidR="008444A1" w:rsidRPr="00C9739A">
        <w:t>bLf</w:t>
      </w:r>
      <w:proofErr w:type="spellEnd"/>
      <w:r w:rsidR="008444A1" w:rsidRPr="00C9739A">
        <w:t xml:space="preserve"> to BBMVs</w:t>
      </w:r>
      <w:r w:rsidR="00E60261">
        <w:t xml:space="preserve">, and </w:t>
      </w:r>
      <w:r w:rsidR="00CF52E5">
        <w:t>any subsequent</w:t>
      </w:r>
      <w:r w:rsidR="00E60261">
        <w:t xml:space="preserve"> absorption,</w:t>
      </w:r>
      <w:r w:rsidR="008444A1" w:rsidRPr="00C9739A">
        <w:t xml:space="preserve"> was likely to be non-specific rather than receptor-mediated (Kawakami and </w:t>
      </w:r>
      <w:proofErr w:type="spellStart"/>
      <w:r w:rsidR="008444A1" w:rsidRPr="00C9739A">
        <w:t>L</w:t>
      </w:r>
      <w:r w:rsidR="00C9739A" w:rsidRPr="00C9739A">
        <w:rPr>
          <w:rFonts w:cs="Arial"/>
        </w:rPr>
        <w:t>ö</w:t>
      </w:r>
      <w:r w:rsidR="008444A1" w:rsidRPr="00C9739A">
        <w:t>nnerdal</w:t>
      </w:r>
      <w:proofErr w:type="spellEnd"/>
      <w:r w:rsidR="008444A1" w:rsidRPr="00C9739A">
        <w:t xml:space="preserve"> 1991)</w:t>
      </w:r>
      <w:r w:rsidR="00ED44E9" w:rsidRPr="00C9739A">
        <w:t xml:space="preserve">. </w:t>
      </w:r>
      <w:r w:rsidR="0008715E" w:rsidRPr="00C9739A">
        <w:t xml:space="preserve">Species specificity of lactoferrin </w:t>
      </w:r>
      <w:r w:rsidR="00F37153" w:rsidRPr="00C9739A">
        <w:t>binding</w:t>
      </w:r>
      <w:r w:rsidR="0008715E" w:rsidRPr="00C9739A">
        <w:t xml:space="preserve"> to small intestine </w:t>
      </w:r>
      <w:r w:rsidR="0048622C" w:rsidRPr="00C9739A">
        <w:t xml:space="preserve">BBMVs from piglets has been reported, with no binding of </w:t>
      </w:r>
      <w:proofErr w:type="spellStart"/>
      <w:r w:rsidR="0048622C" w:rsidRPr="00C9739A">
        <w:t>bLf</w:t>
      </w:r>
      <w:proofErr w:type="spellEnd"/>
      <w:r w:rsidR="0048622C" w:rsidRPr="00C9739A">
        <w:t xml:space="preserve"> or </w:t>
      </w:r>
      <w:proofErr w:type="spellStart"/>
      <w:r w:rsidR="0048622C" w:rsidRPr="00C9739A">
        <w:t>hLf</w:t>
      </w:r>
      <w:proofErr w:type="spellEnd"/>
      <w:r w:rsidR="0048622C" w:rsidRPr="00C9739A">
        <w:t xml:space="preserve"> observed </w:t>
      </w:r>
      <w:r w:rsidR="009D03B1" w:rsidRPr="00C9739A">
        <w:t>(</w:t>
      </w:r>
      <w:proofErr w:type="spellStart"/>
      <w:r w:rsidR="00C9739A">
        <w:t>Gislason</w:t>
      </w:r>
      <w:proofErr w:type="spellEnd"/>
      <w:r w:rsidR="00C9739A">
        <w:t xml:space="preserve"> et al</w:t>
      </w:r>
      <w:r w:rsidR="008743DA">
        <w:t>.</w:t>
      </w:r>
      <w:r w:rsidR="00C9739A">
        <w:t xml:space="preserve"> 1993</w:t>
      </w:r>
      <w:r w:rsidR="009D03B1" w:rsidRPr="00C9739A">
        <w:t>)</w:t>
      </w:r>
      <w:r w:rsidR="0048622C" w:rsidRPr="00C9739A">
        <w:t>.</w:t>
      </w:r>
      <w:r w:rsidR="0048622C">
        <w:t xml:space="preserve"> </w:t>
      </w:r>
      <w:r w:rsidR="009924E5">
        <w:t xml:space="preserve">A study with the human intestinal epithelial cell line </w:t>
      </w:r>
      <w:proofErr w:type="spellStart"/>
      <w:r w:rsidR="009924E5">
        <w:t>Caco</w:t>
      </w:r>
      <w:proofErr w:type="spellEnd"/>
      <w:r w:rsidR="009924E5">
        <w:t xml:space="preserve"> 2 </w:t>
      </w:r>
      <w:r w:rsidR="00365F2C">
        <w:t xml:space="preserve">indicated </w:t>
      </w:r>
      <w:r w:rsidR="00F37153">
        <w:t xml:space="preserve">cell </w:t>
      </w:r>
      <w:r w:rsidR="00365F2C">
        <w:t>binding</w:t>
      </w:r>
      <w:r w:rsidR="00F37153">
        <w:t xml:space="preserve"> and uptake</w:t>
      </w:r>
      <w:r w:rsidR="00365F2C">
        <w:t xml:space="preserve"> of</w:t>
      </w:r>
      <w:r w:rsidR="006B6AE7">
        <w:t xml:space="preserve"> native and iron-saturated</w:t>
      </w:r>
      <w:r w:rsidR="00365F2C">
        <w:t xml:space="preserve"> </w:t>
      </w:r>
      <w:proofErr w:type="spellStart"/>
      <w:r w:rsidR="006B6AE7">
        <w:t>hLf</w:t>
      </w:r>
      <w:proofErr w:type="spellEnd"/>
      <w:r w:rsidR="006B6AE7">
        <w:t xml:space="preserve"> and </w:t>
      </w:r>
      <w:proofErr w:type="spellStart"/>
      <w:r w:rsidR="00365F2C">
        <w:t>bLf</w:t>
      </w:r>
      <w:proofErr w:type="spellEnd"/>
      <w:r w:rsidR="00F37153">
        <w:t>,</w:t>
      </w:r>
      <w:r w:rsidR="006B6AE7">
        <w:t xml:space="preserve"> although lower binding was observed for </w:t>
      </w:r>
      <w:proofErr w:type="spellStart"/>
      <w:r w:rsidR="006B6AE7">
        <w:t>bLf</w:t>
      </w:r>
      <w:proofErr w:type="spellEnd"/>
      <w:r w:rsidR="006B6AE7">
        <w:t xml:space="preserve"> compared with </w:t>
      </w:r>
      <w:proofErr w:type="spellStart"/>
      <w:r w:rsidR="006B6AE7">
        <w:t>hLf</w:t>
      </w:r>
      <w:proofErr w:type="spellEnd"/>
      <w:r w:rsidR="006B6AE7">
        <w:t xml:space="preserve">. The study authors concluded that </w:t>
      </w:r>
      <w:proofErr w:type="spellStart"/>
      <w:r w:rsidR="006B6AE7">
        <w:t>hLf</w:t>
      </w:r>
      <w:proofErr w:type="spellEnd"/>
      <w:r w:rsidR="006B6AE7">
        <w:t xml:space="preserve">, </w:t>
      </w:r>
      <w:proofErr w:type="spellStart"/>
      <w:r w:rsidR="006B6AE7">
        <w:t>bLf</w:t>
      </w:r>
      <w:proofErr w:type="spellEnd"/>
      <w:r w:rsidR="006B6AE7">
        <w:t xml:space="preserve"> and </w:t>
      </w:r>
      <w:proofErr w:type="spellStart"/>
      <w:r w:rsidR="006B6AE7">
        <w:t>CbLf</w:t>
      </w:r>
      <w:proofErr w:type="spellEnd"/>
      <w:r w:rsidR="006B6AE7">
        <w:t xml:space="preserve"> were all bound and taken up by Caco-2 cells</w:t>
      </w:r>
      <w:r w:rsidR="00C9739A">
        <w:t xml:space="preserve"> (</w:t>
      </w:r>
      <w:proofErr w:type="spellStart"/>
      <w:r w:rsidR="00C9739A">
        <w:t>L</w:t>
      </w:r>
      <w:r w:rsidR="00C9739A">
        <w:rPr>
          <w:rFonts w:cs="Arial"/>
        </w:rPr>
        <w:t>ö</w:t>
      </w:r>
      <w:r w:rsidR="00220159">
        <w:t>nnerdal</w:t>
      </w:r>
      <w:proofErr w:type="spellEnd"/>
      <w:r w:rsidR="00220159">
        <w:t xml:space="preserve"> et al</w:t>
      </w:r>
      <w:r w:rsidR="008743DA">
        <w:t>.</w:t>
      </w:r>
      <w:r w:rsidR="00220159">
        <w:t xml:space="preserve"> 2011)</w:t>
      </w:r>
      <w:r w:rsidR="006B6AE7">
        <w:t>.</w:t>
      </w:r>
    </w:p>
    <w:p w14:paraId="256E7BD6" w14:textId="6633A4EB" w:rsidR="00ED44E9" w:rsidRDefault="007075AE" w:rsidP="0011134F">
      <w:pPr>
        <w:pStyle w:val="Heading4"/>
      </w:pPr>
      <w:r>
        <w:t>Animal studies</w:t>
      </w:r>
    </w:p>
    <w:p w14:paraId="0CB07E61" w14:textId="598DAF90" w:rsidR="00DA5AA4" w:rsidRPr="00F14045" w:rsidRDefault="0046303B" w:rsidP="007E30B7">
      <w:r>
        <w:t>Low levels of intact lactoferrin were detected</w:t>
      </w:r>
      <w:r w:rsidR="006E6F92">
        <w:t xml:space="preserve"> by </w:t>
      </w:r>
      <w:r w:rsidR="00EA32EC">
        <w:t>enzyme-linked immunosorbent assay (</w:t>
      </w:r>
      <w:r w:rsidR="001E4E6F">
        <w:t>ELISA</w:t>
      </w:r>
      <w:r w:rsidR="00EA32EC">
        <w:t>)</w:t>
      </w:r>
      <w:r>
        <w:t xml:space="preserve"> in the stomach, intestine and peripheral blood of</w:t>
      </w:r>
      <w:r w:rsidR="0080063C">
        <w:t xml:space="preserve"> female BALB/c</w:t>
      </w:r>
      <w:r>
        <w:t xml:space="preserve"> mice</w:t>
      </w:r>
      <w:r w:rsidR="008E3D31">
        <w:t xml:space="preserve"> (age 10 – 15 weeks)</w:t>
      </w:r>
      <w:r>
        <w:t xml:space="preserve"> </w:t>
      </w:r>
      <w:r w:rsidR="0080063C">
        <w:t>prior to</w:t>
      </w:r>
      <w:r>
        <w:t xml:space="preserve"> administration of </w:t>
      </w:r>
      <w:proofErr w:type="spellStart"/>
      <w:r>
        <w:t>bL</w:t>
      </w:r>
      <w:r w:rsidR="5F108796">
        <w:t>f</w:t>
      </w:r>
      <w:proofErr w:type="spellEnd"/>
      <w:r>
        <w:t xml:space="preserve">, suggesting detection of endogenous mouse lactoferrin. Concentrations of intact lactoferrin in blood, liver, gall bladder, kidneys, spleen and brain were substantially </w:t>
      </w:r>
      <w:r w:rsidRPr="00F14045">
        <w:t xml:space="preserve">increased 10 – 20 minutes following </w:t>
      </w:r>
      <w:r w:rsidR="0006159E" w:rsidRPr="00F14045">
        <w:t xml:space="preserve">oral gavage </w:t>
      </w:r>
      <w:r w:rsidRPr="00F14045">
        <w:t xml:space="preserve">administration of </w:t>
      </w:r>
      <w:proofErr w:type="spellStart"/>
      <w:r w:rsidRPr="00F14045">
        <w:t>bLf</w:t>
      </w:r>
      <w:proofErr w:type="spellEnd"/>
      <w:r w:rsidR="00BC00BA">
        <w:t xml:space="preserve"> compared </w:t>
      </w:r>
      <w:r w:rsidR="00BD76B8">
        <w:t>with baseline levels</w:t>
      </w:r>
      <w:r w:rsidRPr="00F14045">
        <w:t xml:space="preserve">. The highest tissue concentrations were found in the liver. Serum and tissue </w:t>
      </w:r>
      <w:proofErr w:type="spellStart"/>
      <w:r w:rsidRPr="00F14045">
        <w:t>bLf</w:t>
      </w:r>
      <w:proofErr w:type="spellEnd"/>
      <w:r w:rsidRPr="00F14045">
        <w:t xml:space="preserve"> levels were approximately 50% lower in mice exposed</w:t>
      </w:r>
      <w:r w:rsidR="0006159E" w:rsidRPr="00F14045">
        <w:t xml:space="preserve"> daily for </w:t>
      </w:r>
      <w:r w:rsidR="00AB53FB" w:rsidRPr="00F14045">
        <w:t>4 weeks</w:t>
      </w:r>
      <w:r w:rsidRPr="00F14045">
        <w:t xml:space="preserve"> compared with those given only </w:t>
      </w:r>
      <w:r w:rsidR="00C821B2" w:rsidRPr="00F14045">
        <w:t>a</w:t>
      </w:r>
      <w:r w:rsidRPr="00F14045">
        <w:t xml:space="preserve"> single dose</w:t>
      </w:r>
      <w:r w:rsidR="00C24341" w:rsidRPr="00F14045">
        <w:t xml:space="preserve"> (Fischer et al</w:t>
      </w:r>
      <w:r w:rsidR="008743DA">
        <w:t>.</w:t>
      </w:r>
      <w:r w:rsidR="00C24341" w:rsidRPr="00F14045">
        <w:t xml:space="preserve"> 2007).</w:t>
      </w:r>
    </w:p>
    <w:p w14:paraId="49DA0A01" w14:textId="7B4CD1FE" w:rsidR="00661C3E" w:rsidRPr="00F14045" w:rsidRDefault="00661C3E" w:rsidP="007E30B7"/>
    <w:p w14:paraId="0ED0B13A" w14:textId="4C4626BF" w:rsidR="00037E58" w:rsidRPr="00F14045" w:rsidRDefault="00037E58" w:rsidP="007E30B7">
      <w:r w:rsidRPr="00F14045">
        <w:lastRenderedPageBreak/>
        <w:t xml:space="preserve">In </w:t>
      </w:r>
      <w:r w:rsidR="005B7EF8">
        <w:t xml:space="preserve">adult male </w:t>
      </w:r>
      <w:r w:rsidRPr="00F14045">
        <w:t xml:space="preserve">Wistar </w:t>
      </w:r>
      <w:proofErr w:type="spellStart"/>
      <w:r w:rsidRPr="00F14045">
        <w:t>Imamuchi</w:t>
      </w:r>
      <w:proofErr w:type="spellEnd"/>
      <w:r w:rsidRPr="00F14045">
        <w:t xml:space="preserve"> rats, </w:t>
      </w:r>
      <w:proofErr w:type="spellStart"/>
      <w:r w:rsidRPr="00F14045">
        <w:t>bLf</w:t>
      </w:r>
      <w:proofErr w:type="spellEnd"/>
      <w:r w:rsidRPr="00F14045">
        <w:t xml:space="preserve"> was detected in the thoracic lymph fluid following intraduodenal administration</w:t>
      </w:r>
      <w:r w:rsidR="005A752E" w:rsidRPr="00F14045">
        <w:t>.</w:t>
      </w:r>
      <w:r w:rsidR="005F0DB7" w:rsidRPr="00F14045">
        <w:t xml:space="preserve"> </w:t>
      </w:r>
      <w:r w:rsidR="00BC16C4" w:rsidRPr="00F14045">
        <w:t>Increased p</w:t>
      </w:r>
      <w:r w:rsidR="005F0DB7" w:rsidRPr="00F14045">
        <w:t xml:space="preserve">lasma </w:t>
      </w:r>
      <w:proofErr w:type="spellStart"/>
      <w:r w:rsidR="005F0DB7" w:rsidRPr="00F14045">
        <w:t>bLf</w:t>
      </w:r>
      <w:proofErr w:type="spellEnd"/>
      <w:r w:rsidR="005F0DB7" w:rsidRPr="00F14045">
        <w:t xml:space="preserve"> concentrations</w:t>
      </w:r>
      <w:r w:rsidR="00BC16C4" w:rsidRPr="00F14045">
        <w:t xml:space="preserve"> were not observed in rats from whom thoracic lymph</w:t>
      </w:r>
      <w:r w:rsidR="00893F25" w:rsidRPr="00F14045">
        <w:t xml:space="preserve"> fluid</w:t>
      </w:r>
      <w:r w:rsidR="00BC16C4" w:rsidRPr="00F14045">
        <w:t xml:space="preserve"> was collected, </w:t>
      </w:r>
      <w:r w:rsidR="00893F25" w:rsidRPr="00F14045">
        <w:t>but</w:t>
      </w:r>
      <w:r w:rsidR="00BC16C4" w:rsidRPr="00F14045">
        <w:t xml:space="preserve"> significantly</w:t>
      </w:r>
      <w:r w:rsidR="005F0DB7" w:rsidRPr="00F14045">
        <w:t xml:space="preserve"> increased </w:t>
      </w:r>
      <w:r w:rsidR="00BC16C4" w:rsidRPr="00F14045">
        <w:t xml:space="preserve">plasma concentrations were found </w:t>
      </w:r>
      <w:r w:rsidR="005F0DB7" w:rsidRPr="00F14045">
        <w:t>in rats whose thoracic lymph fluid was not</w:t>
      </w:r>
      <w:r w:rsidR="00BC16C4" w:rsidRPr="00F14045">
        <w:t xml:space="preserve"> collected</w:t>
      </w:r>
      <w:r w:rsidR="008165B2" w:rsidRPr="00F14045">
        <w:t xml:space="preserve">, suggesting </w:t>
      </w:r>
      <w:proofErr w:type="spellStart"/>
      <w:r w:rsidR="008165B2" w:rsidRPr="00F14045">
        <w:t>bLf</w:t>
      </w:r>
      <w:proofErr w:type="spellEnd"/>
      <w:r w:rsidR="008165B2" w:rsidRPr="00F14045">
        <w:t xml:space="preserve"> </w:t>
      </w:r>
      <w:r w:rsidR="0033598B" w:rsidRPr="00F14045">
        <w:t>wa</w:t>
      </w:r>
      <w:r w:rsidR="008165B2" w:rsidRPr="00F14045">
        <w:t>s transported into the circulation via the lymphatic pathway</w:t>
      </w:r>
      <w:r w:rsidR="00BC16C4" w:rsidRPr="00F14045">
        <w:t>.</w:t>
      </w:r>
      <w:r w:rsidR="005A752E" w:rsidRPr="00F14045">
        <w:t xml:space="preserve"> Binding of </w:t>
      </w:r>
      <w:proofErr w:type="spellStart"/>
      <w:r w:rsidR="005A752E" w:rsidRPr="00F14045">
        <w:t>bLf</w:t>
      </w:r>
      <w:proofErr w:type="spellEnd"/>
      <w:r w:rsidR="005A752E" w:rsidRPr="00F14045">
        <w:t xml:space="preserve"> to BBMVs in the small and </w:t>
      </w:r>
      <w:r w:rsidR="00BC00BA">
        <w:t xml:space="preserve">large </w:t>
      </w:r>
      <w:r w:rsidR="005A752E" w:rsidRPr="00F14045">
        <w:t xml:space="preserve">intestine was </w:t>
      </w:r>
      <w:r w:rsidR="00BC16C4" w:rsidRPr="00F14045">
        <w:t xml:space="preserve">also </w:t>
      </w:r>
      <w:r w:rsidR="005A752E" w:rsidRPr="00F14045">
        <w:t>observed, with a 2-fold higher</w:t>
      </w:r>
      <w:r w:rsidR="00B83F45">
        <w:t xml:space="preserve"> binding</w:t>
      </w:r>
      <w:r w:rsidR="005A752E" w:rsidRPr="00F14045">
        <w:t xml:space="preserve"> affinity</w:t>
      </w:r>
      <w:r w:rsidR="00B83F45">
        <w:t xml:space="preserve"> (</w:t>
      </w:r>
      <w:proofErr w:type="spellStart"/>
      <w:r w:rsidR="001C6ABB">
        <w:t>Kd</w:t>
      </w:r>
      <w:proofErr w:type="spellEnd"/>
      <w:r w:rsidR="001C6ABB">
        <w:t xml:space="preserve"> </w:t>
      </w:r>
      <w:r w:rsidR="007553DC">
        <w:t xml:space="preserve">23.8 </w:t>
      </w:r>
      <w:r w:rsidR="007553DC">
        <w:rPr>
          <w:rFonts w:cs="Arial"/>
        </w:rPr>
        <w:t>±</w:t>
      </w:r>
      <w:r w:rsidR="00922708">
        <w:rPr>
          <w:rFonts w:cs="Arial"/>
        </w:rPr>
        <w:t xml:space="preserve"> 2.8 versus 48.9 ±</w:t>
      </w:r>
      <w:r w:rsidR="004226F1">
        <w:rPr>
          <w:rFonts w:cs="Arial"/>
        </w:rPr>
        <w:t xml:space="preserve"> 4.8 µM, respectively)</w:t>
      </w:r>
      <w:r w:rsidR="005A752E" w:rsidRPr="00F14045">
        <w:t xml:space="preserve"> in the small intestine</w:t>
      </w:r>
      <w:r w:rsidR="00BC00BA">
        <w:t xml:space="preserve"> </w:t>
      </w:r>
      <w:r w:rsidR="00D23ACD">
        <w:t>compared</w:t>
      </w:r>
      <w:r w:rsidR="00BC00BA">
        <w:t xml:space="preserve"> to the large intestine</w:t>
      </w:r>
      <w:r w:rsidR="008165B2" w:rsidRPr="00F14045">
        <w:t xml:space="preserve"> </w:t>
      </w:r>
      <w:r w:rsidR="00F03472" w:rsidRPr="00F14045">
        <w:t>(Takeuchi et al</w:t>
      </w:r>
      <w:r w:rsidR="008743DA">
        <w:t>.</w:t>
      </w:r>
      <w:r w:rsidR="00F03472" w:rsidRPr="00F14045">
        <w:t xml:space="preserve"> 2004</w:t>
      </w:r>
      <w:r w:rsidR="008165B2" w:rsidRPr="00F14045">
        <w:t>)</w:t>
      </w:r>
      <w:r w:rsidR="005F0DB7" w:rsidRPr="00F14045">
        <w:t>.</w:t>
      </w:r>
    </w:p>
    <w:p w14:paraId="5B8F0229" w14:textId="77777777" w:rsidR="009C4FFD" w:rsidRPr="00F14045" w:rsidRDefault="009C4FFD" w:rsidP="007E30B7"/>
    <w:p w14:paraId="7D28A486" w14:textId="1FE44CDA" w:rsidR="009C4FFD" w:rsidRDefault="00CC4C2B" w:rsidP="007E30B7">
      <w:r w:rsidRPr="00F14045">
        <w:t xml:space="preserve">Intact </w:t>
      </w:r>
      <w:proofErr w:type="spellStart"/>
      <w:r w:rsidRPr="00F14045">
        <w:t>bLf</w:t>
      </w:r>
      <w:proofErr w:type="spellEnd"/>
      <w:r w:rsidRPr="00F14045">
        <w:t xml:space="preserve"> was not detected in the small intestine of</w:t>
      </w:r>
      <w:r w:rsidR="007734E5" w:rsidRPr="00F14045">
        <w:t xml:space="preserve"> adult</w:t>
      </w:r>
      <w:r w:rsidRPr="00F14045">
        <w:t xml:space="preserve"> F344Crj rats following oral gavage, but</w:t>
      </w:r>
      <w:r w:rsidR="00BC00BA">
        <w:t xml:space="preserve"> </w:t>
      </w:r>
      <w:proofErr w:type="spellStart"/>
      <w:r w:rsidR="00BC00BA">
        <w:t>bL</w:t>
      </w:r>
      <w:r w:rsidR="1515A28B">
        <w:t>f</w:t>
      </w:r>
      <w:proofErr w:type="spellEnd"/>
      <w:r w:rsidRPr="00F14045">
        <w:t xml:space="preserve"> fragments with molecular masses of 42, 36, 33 and 29 </w:t>
      </w:r>
      <w:proofErr w:type="spellStart"/>
      <w:r w:rsidRPr="00F14045">
        <w:t>kDa</w:t>
      </w:r>
      <w:proofErr w:type="spellEnd"/>
      <w:r w:rsidRPr="00F14045">
        <w:t xml:space="preserve"> were </w:t>
      </w:r>
      <w:r w:rsidR="00244E9F" w:rsidRPr="00F14045">
        <w:t xml:space="preserve">detected between 20 and 180 minutes following administration. </w:t>
      </w:r>
      <w:r w:rsidR="0071138E" w:rsidRPr="00F14045">
        <w:t xml:space="preserve">It was concluded that functional fragments </w:t>
      </w:r>
      <w:r w:rsidR="007734E5" w:rsidRPr="00F14045">
        <w:t xml:space="preserve">of </w:t>
      </w:r>
      <w:proofErr w:type="spellStart"/>
      <w:r w:rsidR="007734E5" w:rsidRPr="00F14045">
        <w:t>bLf</w:t>
      </w:r>
      <w:proofErr w:type="spellEnd"/>
      <w:r w:rsidR="007734E5" w:rsidRPr="00F14045">
        <w:t xml:space="preserve"> are resistant to proteolytic degradation in the gastrointestinal tract (</w:t>
      </w:r>
      <w:proofErr w:type="spellStart"/>
      <w:r w:rsidR="007734E5" w:rsidRPr="00F14045">
        <w:t>Kuwata</w:t>
      </w:r>
      <w:proofErr w:type="spellEnd"/>
      <w:r w:rsidR="007734E5" w:rsidRPr="00F14045">
        <w:t xml:space="preserve"> et al</w:t>
      </w:r>
      <w:r w:rsidR="008743DA">
        <w:t>.</w:t>
      </w:r>
      <w:r w:rsidR="007734E5" w:rsidRPr="00F14045">
        <w:t xml:space="preserve"> 2001).</w:t>
      </w:r>
      <w:r w:rsidR="007734E5">
        <w:t xml:space="preserve"> </w:t>
      </w:r>
    </w:p>
    <w:p w14:paraId="6B799DD9" w14:textId="77777777" w:rsidR="00DA5AA4" w:rsidRDefault="00DA5AA4" w:rsidP="007E30B7"/>
    <w:p w14:paraId="6FDC5981" w14:textId="63A4E469" w:rsidR="00014B03" w:rsidRPr="00CD08C0" w:rsidRDefault="00017EAE" w:rsidP="007E30B7">
      <w:r>
        <w:t>I</w:t>
      </w:r>
      <w:r w:rsidR="007F3698">
        <w:t>n suckling miniat</w:t>
      </w:r>
      <w:r w:rsidR="00425A77">
        <w:t>ure piglets</w:t>
      </w:r>
      <w:r>
        <w:t xml:space="preserve">, </w:t>
      </w:r>
      <w:r w:rsidR="00D336CF">
        <w:t xml:space="preserve">digestibility of </w:t>
      </w:r>
      <w:r w:rsidR="00F955D7" w:rsidRPr="00D336CF">
        <w:rPr>
          <w:vertAlign w:val="superscript"/>
        </w:rPr>
        <w:t>15</w:t>
      </w:r>
      <w:r w:rsidR="00F955D7">
        <w:t xml:space="preserve">N-labelled </w:t>
      </w:r>
      <w:proofErr w:type="spellStart"/>
      <w:r w:rsidR="00D336CF">
        <w:t>bLf</w:t>
      </w:r>
      <w:proofErr w:type="spellEnd"/>
      <w:r w:rsidR="00D336CF">
        <w:t xml:space="preserve"> in the stomach and small intestine was</w:t>
      </w:r>
      <w:r w:rsidR="005E76E7">
        <w:t xml:space="preserve"> 49.8 </w:t>
      </w:r>
      <w:r w:rsidR="005E76E7">
        <w:rPr>
          <w:rFonts w:cs="Arial"/>
        </w:rPr>
        <w:t>±</w:t>
      </w:r>
      <w:r w:rsidR="005E76E7">
        <w:t xml:space="preserve"> 4.85% and</w:t>
      </w:r>
      <w:r w:rsidR="00D336CF">
        <w:t xml:space="preserve"> </w:t>
      </w:r>
      <w:r w:rsidR="004F5275">
        <w:t xml:space="preserve">82.3 </w:t>
      </w:r>
      <w:r w:rsidR="004F5275">
        <w:rPr>
          <w:rFonts w:cs="Arial"/>
        </w:rPr>
        <w:t>±</w:t>
      </w:r>
      <w:r w:rsidR="004F5275">
        <w:t xml:space="preserve"> 4.8</w:t>
      </w:r>
      <w:r w:rsidR="005E76E7">
        <w:t>%, respectively, similar to that of porcine lactoferrin and substantially lower than that of bovine casein.</w:t>
      </w:r>
      <w:r w:rsidR="00F24CE1">
        <w:t xml:space="preserve"> Based on immunoblotting, </w:t>
      </w:r>
      <w:r w:rsidR="00EE5C58">
        <w:t xml:space="preserve">1.1% of </w:t>
      </w:r>
      <w:proofErr w:type="spellStart"/>
      <w:r w:rsidR="00EE5C58">
        <w:t>bLf</w:t>
      </w:r>
      <w:proofErr w:type="spellEnd"/>
      <w:r w:rsidR="00EE5C58">
        <w:t xml:space="preserve"> was intact </w:t>
      </w:r>
      <w:r w:rsidR="00425A77">
        <w:t xml:space="preserve">in the last third of the small intestine </w:t>
      </w:r>
      <w:r w:rsidR="00EE5C58">
        <w:t xml:space="preserve">and </w:t>
      </w:r>
      <w:r w:rsidR="0053082A">
        <w:t>3.4% was partially digested</w:t>
      </w:r>
      <w:r w:rsidR="0082426E">
        <w:t xml:space="preserve">, with a molecular weight of </w:t>
      </w:r>
      <w:r w:rsidR="0082426E">
        <w:rPr>
          <w:rFonts w:cs="Arial"/>
        </w:rPr>
        <w:t>~</w:t>
      </w:r>
      <w:r w:rsidR="0082426E" w:rsidRPr="00CD08C0">
        <w:t xml:space="preserve">40 </w:t>
      </w:r>
      <w:proofErr w:type="spellStart"/>
      <w:r w:rsidR="0082426E" w:rsidRPr="00CD08C0">
        <w:t>kDa</w:t>
      </w:r>
      <w:proofErr w:type="spellEnd"/>
      <w:r w:rsidR="0082426E" w:rsidRPr="00CD08C0">
        <w:t>.</w:t>
      </w:r>
      <w:r w:rsidR="0053082A" w:rsidRPr="00CD08C0">
        <w:t xml:space="preserve"> </w:t>
      </w:r>
      <w:r w:rsidR="00551DAA" w:rsidRPr="00CD08C0">
        <w:t xml:space="preserve">In adult pigs, digestibility of </w:t>
      </w:r>
      <w:proofErr w:type="spellStart"/>
      <w:r w:rsidR="00551DAA" w:rsidRPr="00CD08C0">
        <w:t>bLf</w:t>
      </w:r>
      <w:proofErr w:type="spellEnd"/>
      <w:r w:rsidR="00551DAA" w:rsidRPr="00CD08C0">
        <w:t xml:space="preserve"> was much higher and similar to </w:t>
      </w:r>
      <w:r w:rsidR="00C71522" w:rsidRPr="00CD08C0">
        <w:t>that of</w:t>
      </w:r>
      <w:r w:rsidR="00551DAA" w:rsidRPr="00CD08C0">
        <w:t xml:space="preserve"> bovine casein</w:t>
      </w:r>
      <w:r w:rsidR="00425A77" w:rsidRPr="00CD08C0">
        <w:t xml:space="preserve"> (Drescher et al</w:t>
      </w:r>
      <w:r w:rsidR="008743DA">
        <w:t>.</w:t>
      </w:r>
      <w:r w:rsidR="00425A77" w:rsidRPr="00CD08C0">
        <w:t xml:space="preserve"> 1999)</w:t>
      </w:r>
      <w:r w:rsidR="00551DAA" w:rsidRPr="00CD08C0">
        <w:t xml:space="preserve">. </w:t>
      </w:r>
    </w:p>
    <w:p w14:paraId="2D70065E" w14:textId="77777777" w:rsidR="00014B03" w:rsidRPr="00CD08C0" w:rsidRDefault="00014B03" w:rsidP="007E30B7"/>
    <w:p w14:paraId="1588D6AF" w14:textId="6DA78FEB" w:rsidR="00014B03" w:rsidRPr="00CD08C0" w:rsidRDefault="007873B4" w:rsidP="007E30B7">
      <w:proofErr w:type="spellStart"/>
      <w:r w:rsidRPr="00CD08C0">
        <w:t>bLf</w:t>
      </w:r>
      <w:proofErr w:type="spellEnd"/>
      <w:r w:rsidRPr="00CD08C0">
        <w:t xml:space="preserve"> has been detected in the serum of </w:t>
      </w:r>
      <w:r w:rsidR="007A69A2" w:rsidRPr="00CD08C0">
        <w:t xml:space="preserve">neonatal piglets </w:t>
      </w:r>
      <w:r w:rsidRPr="00CD08C0">
        <w:t>following oral gavage</w:t>
      </w:r>
      <w:r w:rsidR="003176E6" w:rsidRPr="00CD08C0">
        <w:t>, with pla</w:t>
      </w:r>
      <w:r w:rsidR="00E401AB" w:rsidRPr="00CD08C0">
        <w:t>s</w:t>
      </w:r>
      <w:r w:rsidR="003176E6" w:rsidRPr="00CD08C0">
        <w:t>ma concentrations peaking 2 h following administration</w:t>
      </w:r>
      <w:r w:rsidR="00BC346F" w:rsidRPr="00CD08C0">
        <w:t xml:space="preserve"> and declining thereafter</w:t>
      </w:r>
      <w:r w:rsidR="008E3210" w:rsidRPr="00CD08C0">
        <w:t xml:space="preserve"> (Harada et al</w:t>
      </w:r>
      <w:r w:rsidR="008743DA">
        <w:t>.</w:t>
      </w:r>
      <w:r w:rsidR="008E3210" w:rsidRPr="00CD08C0">
        <w:t xml:space="preserve"> 1999a, 1999b)</w:t>
      </w:r>
      <w:r w:rsidR="003176E6" w:rsidRPr="00CD08C0">
        <w:t xml:space="preserve">. </w:t>
      </w:r>
      <w:proofErr w:type="spellStart"/>
      <w:r w:rsidR="00FD7BB6" w:rsidRPr="00CD08C0">
        <w:t>bLf</w:t>
      </w:r>
      <w:proofErr w:type="spellEnd"/>
      <w:r w:rsidR="00FD7BB6" w:rsidRPr="00CD08C0">
        <w:t xml:space="preserve"> was also detected in bile </w:t>
      </w:r>
      <w:r w:rsidR="00D67540" w:rsidRPr="00CD08C0">
        <w:t xml:space="preserve">30 minutes after oral administration, peaking at 12 h. Intraduodenal administration of bile collected from orally exposed piglets </w:t>
      </w:r>
      <w:r w:rsidR="004D0C6C" w:rsidRPr="00CD08C0">
        <w:t xml:space="preserve">resulted in increased </w:t>
      </w:r>
      <w:proofErr w:type="spellStart"/>
      <w:r w:rsidR="004D0C6C" w:rsidRPr="00CD08C0">
        <w:t>bLf</w:t>
      </w:r>
      <w:proofErr w:type="spellEnd"/>
      <w:r w:rsidR="004D0C6C" w:rsidRPr="00CD08C0">
        <w:t xml:space="preserve"> concentrations in plasma, suggesting a potential for enterohepatic </w:t>
      </w:r>
      <w:r w:rsidR="00BC346F" w:rsidRPr="00CD08C0">
        <w:t>circulation.</w:t>
      </w:r>
      <w:r w:rsidR="00CA18D7" w:rsidRPr="00CD08C0">
        <w:t xml:space="preserve"> Immunohistochemistry suggested that </w:t>
      </w:r>
      <w:proofErr w:type="spellStart"/>
      <w:r w:rsidR="00CA18D7" w:rsidRPr="00CD08C0">
        <w:t>bLf</w:t>
      </w:r>
      <w:proofErr w:type="spellEnd"/>
      <w:r w:rsidR="00CA18D7" w:rsidRPr="00CD08C0">
        <w:t xml:space="preserve"> was transported by endocytosis via epithelial cells</w:t>
      </w:r>
      <w:r w:rsidR="008472E4" w:rsidRPr="00CD08C0">
        <w:t xml:space="preserve"> (Harada et al</w:t>
      </w:r>
      <w:r w:rsidR="008743DA">
        <w:t>.</w:t>
      </w:r>
      <w:r w:rsidR="008472E4" w:rsidRPr="00CD08C0">
        <w:t xml:space="preserve"> 1999a)</w:t>
      </w:r>
      <w:r w:rsidR="00CA18D7" w:rsidRPr="00CD08C0">
        <w:t>.</w:t>
      </w:r>
      <w:r w:rsidR="008472E4" w:rsidRPr="00CD08C0">
        <w:t xml:space="preserve"> Another study</w:t>
      </w:r>
      <w:r w:rsidR="00A73B48" w:rsidRPr="00CD08C0">
        <w:t xml:space="preserve"> found </w:t>
      </w:r>
      <w:proofErr w:type="spellStart"/>
      <w:r w:rsidR="00A73B48" w:rsidRPr="00CD08C0">
        <w:t>bLf</w:t>
      </w:r>
      <w:proofErr w:type="spellEnd"/>
      <w:r w:rsidR="00A73B48" w:rsidRPr="00CD08C0">
        <w:t xml:space="preserve"> in the serum and ce</w:t>
      </w:r>
      <w:r w:rsidR="008472E4" w:rsidRPr="00CD08C0">
        <w:t>rebrospinal fluid following administration into the intestinal lumen of neonatal piglets (Harada et al</w:t>
      </w:r>
      <w:r w:rsidR="008743DA">
        <w:t>.</w:t>
      </w:r>
      <w:r w:rsidR="008472E4" w:rsidRPr="00CD08C0">
        <w:t xml:space="preserve"> 2002). </w:t>
      </w:r>
      <w:r w:rsidR="00F84F37" w:rsidRPr="00CD08C0">
        <w:t xml:space="preserve">Based on immunohistochemistry of </w:t>
      </w:r>
      <w:r w:rsidR="00487580" w:rsidRPr="00CD08C0">
        <w:t>the small intestine, Kitagawa et al</w:t>
      </w:r>
      <w:r w:rsidR="008743DA">
        <w:t>.</w:t>
      </w:r>
      <w:r w:rsidR="00487580" w:rsidRPr="00CD08C0">
        <w:t xml:space="preserve"> (2003) concluded that </w:t>
      </w:r>
      <w:proofErr w:type="spellStart"/>
      <w:r w:rsidR="00487580" w:rsidRPr="00CD08C0">
        <w:t>bLf</w:t>
      </w:r>
      <w:proofErr w:type="spellEnd"/>
      <w:r w:rsidR="00487580" w:rsidRPr="00CD08C0">
        <w:t xml:space="preserve"> </w:t>
      </w:r>
      <w:r w:rsidR="009F67E4" w:rsidRPr="00CD08C0">
        <w:t xml:space="preserve">is </w:t>
      </w:r>
      <w:r w:rsidR="00487580" w:rsidRPr="00CD08C0">
        <w:t xml:space="preserve">predominantly transported to the systemic circulation via the lymphatics, with a smaller proportion transferred by the portal vein. </w:t>
      </w:r>
    </w:p>
    <w:p w14:paraId="71A7765F" w14:textId="77777777" w:rsidR="00014B03" w:rsidRPr="00CD08C0" w:rsidRDefault="00014B03" w:rsidP="007E30B7"/>
    <w:p w14:paraId="0D24A759" w14:textId="39F97D25" w:rsidR="00DA5AA4" w:rsidRDefault="00EC3AD7" w:rsidP="007E30B7">
      <w:r w:rsidRPr="00CD08C0">
        <w:t>F</w:t>
      </w:r>
      <w:r w:rsidR="000D39FE" w:rsidRPr="00CD08C0">
        <w:t>a</w:t>
      </w:r>
      <w:r w:rsidRPr="00CD08C0">
        <w:t xml:space="preserve">ecal excretion of </w:t>
      </w:r>
      <w:r w:rsidR="000D39FE" w:rsidRPr="00CD08C0">
        <w:t xml:space="preserve">intact </w:t>
      </w:r>
      <w:proofErr w:type="spellStart"/>
      <w:r w:rsidRPr="00CD08C0">
        <w:t>bLf</w:t>
      </w:r>
      <w:proofErr w:type="spellEnd"/>
      <w:r w:rsidRPr="00CD08C0">
        <w:t xml:space="preserve"> following dietary administration </w:t>
      </w:r>
      <w:r w:rsidR="00014B03" w:rsidRPr="00CD08C0">
        <w:t xml:space="preserve">to neonatal piglets </w:t>
      </w:r>
      <w:r w:rsidRPr="00CD08C0">
        <w:t xml:space="preserve">has </w:t>
      </w:r>
      <w:r w:rsidR="00014B03" w:rsidRPr="00CD08C0">
        <w:t xml:space="preserve">also </w:t>
      </w:r>
      <w:r w:rsidRPr="00CD08C0">
        <w:t xml:space="preserve">been reported </w:t>
      </w:r>
      <w:r w:rsidR="000D39FE" w:rsidRPr="00CD08C0">
        <w:t>(Reznikov et al</w:t>
      </w:r>
      <w:r w:rsidR="008743DA">
        <w:t>.</w:t>
      </w:r>
      <w:r w:rsidR="000D39FE" w:rsidRPr="00CD08C0">
        <w:t xml:space="preserve"> 2014).</w:t>
      </w:r>
    </w:p>
    <w:p w14:paraId="616E1D34" w14:textId="5FB6F812" w:rsidR="00EF6520" w:rsidRDefault="00EF6520" w:rsidP="0011134F">
      <w:pPr>
        <w:pStyle w:val="Heading4"/>
      </w:pPr>
      <w:r>
        <w:t>Studies in infants</w:t>
      </w:r>
    </w:p>
    <w:p w14:paraId="3C899662" w14:textId="100D50DD" w:rsidR="00F722A1" w:rsidRDefault="00F722A1" w:rsidP="00CB060A">
      <w:r>
        <w:t>Limited studies are available</w:t>
      </w:r>
      <w:r w:rsidR="00D919BA">
        <w:t xml:space="preserve"> in humans</w:t>
      </w:r>
      <w:r>
        <w:t xml:space="preserve"> investigating the </w:t>
      </w:r>
      <w:r w:rsidR="003F5830">
        <w:t>pharmacokinetics</w:t>
      </w:r>
      <w:r w:rsidR="00D57569">
        <w:t xml:space="preserve"> of </w:t>
      </w:r>
      <w:proofErr w:type="spellStart"/>
      <w:r w:rsidR="00D57569">
        <w:t>bLf</w:t>
      </w:r>
      <w:proofErr w:type="spellEnd"/>
      <w:r w:rsidR="00D57569">
        <w:t xml:space="preserve">, with the majority of studies focusing on </w:t>
      </w:r>
      <w:proofErr w:type="spellStart"/>
      <w:r w:rsidR="00D57569">
        <w:t>hLf</w:t>
      </w:r>
      <w:proofErr w:type="spellEnd"/>
      <w:r w:rsidR="00D57569">
        <w:t xml:space="preserve">. </w:t>
      </w:r>
    </w:p>
    <w:p w14:paraId="2B4B76F1" w14:textId="77777777" w:rsidR="00D57569" w:rsidRDefault="00D57569" w:rsidP="00CB060A"/>
    <w:p w14:paraId="6146F45D" w14:textId="2DB53F41" w:rsidR="001B38E2" w:rsidRPr="00A641F4" w:rsidRDefault="001B38E2" w:rsidP="00CB060A">
      <w:r>
        <w:t xml:space="preserve">A comparison of peptides present in human milk and gastric aspirates from three mother-infant dyads (term infants aged 4 – 12 days) found a range of peptides released from </w:t>
      </w:r>
      <w:proofErr w:type="spellStart"/>
      <w:r>
        <w:t>hLf</w:t>
      </w:r>
      <w:proofErr w:type="spellEnd"/>
      <w:r>
        <w:t xml:space="preserve"> in the gastric samples that were not present in the milk</w:t>
      </w:r>
      <w:r w:rsidR="00000BB3">
        <w:t>, suggesting</w:t>
      </w:r>
      <w:r>
        <w:t xml:space="preserve"> extensive proteolysis of </w:t>
      </w:r>
      <w:proofErr w:type="spellStart"/>
      <w:r>
        <w:t>hLf</w:t>
      </w:r>
      <w:proofErr w:type="spellEnd"/>
      <w:r>
        <w:t xml:space="preserve"> occurs in the term infant </w:t>
      </w:r>
      <w:r w:rsidRPr="00A641F4">
        <w:t>stomach (Dallas et al</w:t>
      </w:r>
      <w:r w:rsidR="008743DA">
        <w:t>.</w:t>
      </w:r>
      <w:r w:rsidRPr="00A641F4">
        <w:t xml:space="preserve"> 2014).</w:t>
      </w:r>
    </w:p>
    <w:p w14:paraId="1D64EC3E" w14:textId="77777777" w:rsidR="001B38E2" w:rsidRPr="00A641F4" w:rsidRDefault="001B38E2" w:rsidP="00CB060A"/>
    <w:p w14:paraId="07D86EE5" w14:textId="055B8AF8" w:rsidR="00D57569" w:rsidRPr="00A641F4" w:rsidRDefault="002A14C7" w:rsidP="00D57569">
      <w:r w:rsidRPr="00A641F4">
        <w:t>T</w:t>
      </w:r>
      <w:r w:rsidR="00D57569" w:rsidRPr="00A641F4">
        <w:t xml:space="preserve">he absorption and excretion of </w:t>
      </w:r>
      <w:proofErr w:type="spellStart"/>
      <w:r w:rsidR="00D57569" w:rsidRPr="00A641F4">
        <w:t>bLf</w:t>
      </w:r>
      <w:proofErr w:type="spellEnd"/>
      <w:r w:rsidR="00D57569" w:rsidRPr="00A641F4">
        <w:t xml:space="preserve"> by preterm infants was </w:t>
      </w:r>
      <w:r w:rsidRPr="00A641F4">
        <w:t xml:space="preserve">assessed by </w:t>
      </w:r>
      <w:proofErr w:type="spellStart"/>
      <w:r w:rsidR="003F5830" w:rsidRPr="00A641F4">
        <w:t>Itell</w:t>
      </w:r>
      <w:proofErr w:type="spellEnd"/>
      <w:r w:rsidR="003F5830" w:rsidRPr="00A641F4">
        <w:t xml:space="preserve"> et al</w:t>
      </w:r>
      <w:r w:rsidR="008743DA">
        <w:t>.</w:t>
      </w:r>
      <w:r w:rsidR="003F5830" w:rsidRPr="00A641F4">
        <w:t xml:space="preserve"> </w:t>
      </w:r>
      <w:r w:rsidRPr="00A641F4">
        <w:t>(</w:t>
      </w:r>
      <w:r w:rsidR="00D57569" w:rsidRPr="00A641F4">
        <w:t>2021). Very low birth weight (&lt;1500 g) infants (gestational age 24.1</w:t>
      </w:r>
      <w:r w:rsidR="00C63BDD">
        <w:t xml:space="preserve"> – </w:t>
      </w:r>
      <w:r w:rsidR="00D57569" w:rsidRPr="00A641F4">
        <w:t xml:space="preserve">34 weeks; starting from day 2-15 of life) were </w:t>
      </w:r>
      <w:r w:rsidR="00D52950" w:rsidRPr="00A641F4">
        <w:t>administered</w:t>
      </w:r>
      <w:r w:rsidR="00D57569" w:rsidRPr="00A641F4">
        <w:t xml:space="preserve"> 100 (n=10), 200 (n=10) or 300 (n=11) mg/kg </w:t>
      </w:r>
      <w:proofErr w:type="spellStart"/>
      <w:r w:rsidR="00D57569" w:rsidRPr="00A641F4">
        <w:t>bw</w:t>
      </w:r>
      <w:proofErr w:type="spellEnd"/>
      <w:r w:rsidR="00D57569" w:rsidRPr="00A641F4">
        <w:t xml:space="preserve">/day </w:t>
      </w:r>
      <w:proofErr w:type="spellStart"/>
      <w:r w:rsidR="00D57569" w:rsidRPr="00A641F4">
        <w:t>bLf</w:t>
      </w:r>
      <w:proofErr w:type="spellEnd"/>
      <w:r w:rsidR="00D57569" w:rsidRPr="00A641F4">
        <w:t xml:space="preserve"> enterally for 30 days. Infants were fed expressed or donor human milk during the study. Infant saliva, blood, urine and stool samples were collected prior to the first </w:t>
      </w:r>
      <w:proofErr w:type="spellStart"/>
      <w:r w:rsidR="00D57569" w:rsidRPr="00A641F4">
        <w:t>bLf</w:t>
      </w:r>
      <w:proofErr w:type="spellEnd"/>
      <w:r w:rsidR="00D57569" w:rsidRPr="00A641F4">
        <w:t xml:space="preserve"> supplement (study day 0), 22 days into supplementation (study day 22) and 7 days after the last administration of </w:t>
      </w:r>
      <w:proofErr w:type="spellStart"/>
      <w:r w:rsidR="00D57569" w:rsidRPr="00A641F4">
        <w:t>bLf</w:t>
      </w:r>
      <w:proofErr w:type="spellEnd"/>
      <w:r w:rsidR="00D57569" w:rsidRPr="00A641F4">
        <w:t xml:space="preserve"> (study day 37). Samples were assayed for </w:t>
      </w:r>
      <w:proofErr w:type="spellStart"/>
      <w:r w:rsidR="00D57569" w:rsidRPr="00A641F4">
        <w:t>bLf</w:t>
      </w:r>
      <w:proofErr w:type="spellEnd"/>
      <w:r w:rsidR="00D57569" w:rsidRPr="00A641F4">
        <w:t xml:space="preserve"> and </w:t>
      </w:r>
      <w:proofErr w:type="spellStart"/>
      <w:r w:rsidR="00D57569" w:rsidRPr="00A641F4">
        <w:t>hLf</w:t>
      </w:r>
      <w:proofErr w:type="spellEnd"/>
      <w:r w:rsidR="00D57569" w:rsidRPr="00A641F4">
        <w:t xml:space="preserve"> by ELISA. During treatment </w:t>
      </w:r>
      <w:proofErr w:type="spellStart"/>
      <w:r w:rsidR="00D57569" w:rsidRPr="00A641F4">
        <w:t>bLf</w:t>
      </w:r>
      <w:proofErr w:type="spellEnd"/>
      <w:r w:rsidR="00D57569" w:rsidRPr="00A641F4">
        <w:t xml:space="preserve"> was detected in the saliva, plasma, urine and stool. </w:t>
      </w:r>
      <w:proofErr w:type="spellStart"/>
      <w:r w:rsidR="00D57569" w:rsidRPr="00A641F4">
        <w:t>bLf</w:t>
      </w:r>
      <w:proofErr w:type="spellEnd"/>
      <w:r w:rsidR="00D57569" w:rsidRPr="00A641F4">
        <w:t xml:space="preserve"> levels did not vary significantly with dose, although a trend towards higher saliva and plasma levels at 200 and </w:t>
      </w:r>
      <w:r w:rsidR="00D57569" w:rsidRPr="00A641F4">
        <w:lastRenderedPageBreak/>
        <w:t xml:space="preserve">300 mg/kg </w:t>
      </w:r>
      <w:proofErr w:type="spellStart"/>
      <w:r w:rsidR="005639D8" w:rsidRPr="00A641F4">
        <w:t>bw</w:t>
      </w:r>
      <w:proofErr w:type="spellEnd"/>
      <w:r w:rsidR="005639D8" w:rsidRPr="00A641F4">
        <w:t xml:space="preserve">/day was observed on day 22. </w:t>
      </w:r>
      <w:r w:rsidR="00D57569" w:rsidRPr="00A641F4">
        <w:t xml:space="preserve">Levels of </w:t>
      </w:r>
      <w:proofErr w:type="spellStart"/>
      <w:r w:rsidR="00D57569" w:rsidRPr="00A641F4">
        <w:t>bLf</w:t>
      </w:r>
      <w:proofErr w:type="spellEnd"/>
      <w:r w:rsidR="00D57569" w:rsidRPr="00A641F4">
        <w:t xml:space="preserve"> in the saliva and stool began to decline within 12 h after dosing, and </w:t>
      </w:r>
      <w:proofErr w:type="spellStart"/>
      <w:r w:rsidR="00D57569" w:rsidRPr="00A641F4">
        <w:t>bLf</w:t>
      </w:r>
      <w:proofErr w:type="spellEnd"/>
      <w:r w:rsidR="00D57569" w:rsidRPr="00A641F4">
        <w:t xml:space="preserve"> was undetectable in all samples 1 week after treatment was terminated. The concentrations of </w:t>
      </w:r>
      <w:proofErr w:type="spellStart"/>
      <w:r w:rsidR="00D57569" w:rsidRPr="00A641F4">
        <w:t>hLf</w:t>
      </w:r>
      <w:proofErr w:type="spellEnd"/>
      <w:r w:rsidR="00D57569" w:rsidRPr="00A641F4">
        <w:t xml:space="preserve"> exceeded those of </w:t>
      </w:r>
      <w:proofErr w:type="spellStart"/>
      <w:r w:rsidR="00D57569" w:rsidRPr="00A641F4">
        <w:t>bLf</w:t>
      </w:r>
      <w:proofErr w:type="spellEnd"/>
      <w:r w:rsidR="00D57569" w:rsidRPr="00A641F4">
        <w:t xml:space="preserve"> across sample types and time points. </w:t>
      </w:r>
      <w:r w:rsidR="005D4875" w:rsidRPr="00A641F4">
        <w:t xml:space="preserve">The presence of intact </w:t>
      </w:r>
      <w:proofErr w:type="spellStart"/>
      <w:r w:rsidR="005D4875" w:rsidRPr="00A641F4">
        <w:t>bLf</w:t>
      </w:r>
      <w:proofErr w:type="spellEnd"/>
      <w:r w:rsidR="005D4875" w:rsidRPr="00A641F4">
        <w:t xml:space="preserve"> rather than immunologically reactive fragments was not confirmed in this study. </w:t>
      </w:r>
    </w:p>
    <w:p w14:paraId="28D0920B" w14:textId="77777777" w:rsidR="00DC0B33" w:rsidRPr="00A641F4" w:rsidRDefault="00DC0B33" w:rsidP="00D57569"/>
    <w:p w14:paraId="2F568B44" w14:textId="66CA3C1E" w:rsidR="00DC0B33" w:rsidRDefault="00DC0B33" w:rsidP="00D57569">
      <w:r w:rsidRPr="00A641F4">
        <w:t xml:space="preserve">Intact and fragmented </w:t>
      </w:r>
      <w:proofErr w:type="spellStart"/>
      <w:r w:rsidRPr="00A641F4">
        <w:t>hLf</w:t>
      </w:r>
      <w:proofErr w:type="spellEnd"/>
      <w:r w:rsidRPr="00A641F4">
        <w:t xml:space="preserve"> have been detected in the </w:t>
      </w:r>
      <w:r w:rsidR="00564CDA" w:rsidRPr="00A641F4">
        <w:t xml:space="preserve">urine of </w:t>
      </w:r>
      <w:r w:rsidR="00777B1A" w:rsidRPr="00A641F4">
        <w:t>infants fed human milk (Hutchens et al</w:t>
      </w:r>
      <w:r w:rsidR="008743DA">
        <w:t>.</w:t>
      </w:r>
      <w:r w:rsidR="00777B1A" w:rsidRPr="00A641F4">
        <w:t xml:space="preserve"> 1991a, 1991b, </w:t>
      </w:r>
      <w:r w:rsidR="00790535" w:rsidRPr="00A641F4">
        <w:t>Goldman et al</w:t>
      </w:r>
      <w:r w:rsidR="008743DA">
        <w:t>.</w:t>
      </w:r>
      <w:r w:rsidR="00790535" w:rsidRPr="00A641F4">
        <w:t xml:space="preserve"> 1990)</w:t>
      </w:r>
      <w:r w:rsidR="00777B1A" w:rsidRPr="00A641F4">
        <w:t>.</w:t>
      </w:r>
      <w:r w:rsidR="0074560C" w:rsidRPr="00A641F4">
        <w:t xml:space="preserve"> Hutchens et al</w:t>
      </w:r>
      <w:r w:rsidR="008743DA">
        <w:t>.</w:t>
      </w:r>
      <w:r w:rsidR="0074560C" w:rsidRPr="00A641F4">
        <w:t xml:space="preserve"> (1991b) detected intact </w:t>
      </w:r>
      <w:proofErr w:type="spellStart"/>
      <w:r w:rsidR="0074560C" w:rsidRPr="00A641F4">
        <w:t>hLf</w:t>
      </w:r>
      <w:proofErr w:type="spellEnd"/>
      <w:r w:rsidR="0074560C" w:rsidRPr="00A641F4">
        <w:t xml:space="preserve"> (78 </w:t>
      </w:r>
      <w:proofErr w:type="spellStart"/>
      <w:r w:rsidR="0074560C" w:rsidRPr="00A641F4">
        <w:t>kDa</w:t>
      </w:r>
      <w:proofErr w:type="spellEnd"/>
      <w:r w:rsidR="0074560C" w:rsidRPr="00A641F4">
        <w:t xml:space="preserve">) and </w:t>
      </w:r>
      <w:proofErr w:type="spellStart"/>
      <w:r w:rsidR="0074560C" w:rsidRPr="00A641F4">
        <w:t>hLf</w:t>
      </w:r>
      <w:proofErr w:type="spellEnd"/>
      <w:r w:rsidR="0074560C" w:rsidRPr="00A641F4">
        <w:t xml:space="preserve"> fragments (51 and 39 </w:t>
      </w:r>
      <w:proofErr w:type="spellStart"/>
      <w:r w:rsidR="0074560C" w:rsidRPr="00A641F4">
        <w:t>kDa</w:t>
      </w:r>
      <w:proofErr w:type="spellEnd"/>
      <w:r w:rsidR="0074560C" w:rsidRPr="00A641F4">
        <w:t xml:space="preserve">) while </w:t>
      </w:r>
      <w:r w:rsidR="00092376" w:rsidRPr="00A641F4">
        <w:t xml:space="preserve">intact </w:t>
      </w:r>
      <w:proofErr w:type="spellStart"/>
      <w:r w:rsidR="00092376" w:rsidRPr="00A641F4">
        <w:t>hLf</w:t>
      </w:r>
      <w:proofErr w:type="spellEnd"/>
      <w:r w:rsidR="00092376" w:rsidRPr="00A641F4">
        <w:t xml:space="preserve"> and a ‘nicked’ but apparently intact </w:t>
      </w:r>
      <w:proofErr w:type="spellStart"/>
      <w:r w:rsidR="00092376" w:rsidRPr="00A641F4">
        <w:t>hLf</w:t>
      </w:r>
      <w:proofErr w:type="spellEnd"/>
      <w:r w:rsidR="00092376" w:rsidRPr="00A641F4">
        <w:t xml:space="preserve"> (both 78 </w:t>
      </w:r>
      <w:proofErr w:type="spellStart"/>
      <w:r w:rsidR="00092376" w:rsidRPr="00A641F4">
        <w:t>kDa</w:t>
      </w:r>
      <w:proofErr w:type="spellEnd"/>
      <w:r w:rsidR="00092376" w:rsidRPr="00A641F4">
        <w:t xml:space="preserve">) have been detected in the urine in another study. The ‘nicked’ form was shown to comprise two fragments that were tightly associated </w:t>
      </w:r>
      <w:r w:rsidR="00092376" w:rsidRPr="00A641F4">
        <w:rPr>
          <w:i/>
        </w:rPr>
        <w:t>in vivo</w:t>
      </w:r>
      <w:r w:rsidR="00092376" w:rsidRPr="00A641F4">
        <w:t xml:space="preserve">. One fragment was identified as the N terminus of the N-lobe (residues 3 – 283), while the other started with serine 284 and included the </w:t>
      </w:r>
      <w:r w:rsidR="00092376" w:rsidRPr="00A641F4">
        <w:rPr>
          <w:rFonts w:cs="Arial"/>
        </w:rPr>
        <w:t>α</w:t>
      </w:r>
      <w:r w:rsidR="00092376" w:rsidRPr="00A641F4">
        <w:t>-helical structures at the C terminus of the N-lobe and the entire C-lobe (Hutchens et al</w:t>
      </w:r>
      <w:r w:rsidR="008743DA">
        <w:t>.</w:t>
      </w:r>
      <w:r w:rsidR="00092376" w:rsidRPr="00A641F4">
        <w:t xml:space="preserve"> 1991a).</w:t>
      </w:r>
      <w:r w:rsidR="00336A0F">
        <w:t xml:space="preserve"> The most prominent </w:t>
      </w:r>
      <w:proofErr w:type="spellStart"/>
      <w:r w:rsidR="00336A0F">
        <w:t>hLf</w:t>
      </w:r>
      <w:proofErr w:type="spellEnd"/>
      <w:r w:rsidR="00336A0F">
        <w:t xml:space="preserve"> fragments detected by Goldman et al</w:t>
      </w:r>
      <w:r w:rsidR="008743DA">
        <w:t>.</w:t>
      </w:r>
      <w:r w:rsidR="00336A0F">
        <w:t xml:space="preserve"> (1990) were of approximately 44, 38, 34 and 32 </w:t>
      </w:r>
      <w:proofErr w:type="spellStart"/>
      <w:r w:rsidR="00336A0F">
        <w:t>kDa</w:t>
      </w:r>
      <w:proofErr w:type="spellEnd"/>
      <w:r w:rsidR="00336A0F">
        <w:t xml:space="preserve">. These fragments were of a similar size to those produced by </w:t>
      </w:r>
      <w:r w:rsidR="00336A0F" w:rsidRPr="00336A0F">
        <w:rPr>
          <w:i/>
        </w:rPr>
        <w:t>in vitro</w:t>
      </w:r>
      <w:r w:rsidR="00336A0F">
        <w:t xml:space="preserve"> hydrolysis, suggesting they were produced by hydrolysis in the gastrointestinal tract. </w:t>
      </w:r>
    </w:p>
    <w:p w14:paraId="08EA14CD" w14:textId="466A62C3" w:rsidR="00D57569" w:rsidRDefault="00D57569" w:rsidP="00CB060A"/>
    <w:p w14:paraId="57D86136" w14:textId="563BD52C" w:rsidR="00AD2A35" w:rsidRPr="00A641F4" w:rsidRDefault="00AD2A35" w:rsidP="00AD2A35">
      <w:r>
        <w:t xml:space="preserve">Faecal samples from infants (age 3 days – 2 months) fed cow’s milk formula supplemented with partially or fully iron-saturated </w:t>
      </w:r>
      <w:proofErr w:type="spellStart"/>
      <w:r>
        <w:t>hLf</w:t>
      </w:r>
      <w:proofErr w:type="spellEnd"/>
      <w:r>
        <w:t xml:space="preserve"> or </w:t>
      </w:r>
      <w:proofErr w:type="spellStart"/>
      <w:r w:rsidRPr="00A641F4">
        <w:t>bLf</w:t>
      </w:r>
      <w:proofErr w:type="spellEnd"/>
      <w:r w:rsidRPr="00A641F4">
        <w:t xml:space="preserve"> were shown to contain intact </w:t>
      </w:r>
      <w:proofErr w:type="spellStart"/>
      <w:r w:rsidRPr="00A641F4">
        <w:t>hLf</w:t>
      </w:r>
      <w:proofErr w:type="spellEnd"/>
      <w:r w:rsidRPr="00A641F4">
        <w:t xml:space="preserve"> or </w:t>
      </w:r>
      <w:proofErr w:type="spellStart"/>
      <w:r w:rsidRPr="00A641F4">
        <w:t>bLf</w:t>
      </w:r>
      <w:proofErr w:type="spellEnd"/>
      <w:r w:rsidRPr="00A641F4">
        <w:t xml:space="preserve">, respectively. Protein bands of approximately 34 or 42 </w:t>
      </w:r>
      <w:proofErr w:type="spellStart"/>
      <w:r w:rsidRPr="00A641F4">
        <w:t>kDa</w:t>
      </w:r>
      <w:proofErr w:type="spellEnd"/>
      <w:r w:rsidRPr="00A641F4">
        <w:t xml:space="preserve"> were also detected in infants given </w:t>
      </w:r>
      <w:proofErr w:type="spellStart"/>
      <w:r w:rsidRPr="00A641F4">
        <w:t>hLf</w:t>
      </w:r>
      <w:proofErr w:type="spellEnd"/>
      <w:r w:rsidRPr="00A641F4">
        <w:t xml:space="preserve"> or </w:t>
      </w:r>
      <w:proofErr w:type="spellStart"/>
      <w:r>
        <w:t>bL</w:t>
      </w:r>
      <w:r w:rsidR="420796CD">
        <w:t>f</w:t>
      </w:r>
      <w:proofErr w:type="spellEnd"/>
      <w:r w:rsidRPr="00A641F4">
        <w:t xml:space="preserve">, respectively, suggesting partial hydrolysis had taken place. Both </w:t>
      </w:r>
      <w:proofErr w:type="spellStart"/>
      <w:r w:rsidRPr="00A641F4">
        <w:t>hLf</w:t>
      </w:r>
      <w:proofErr w:type="spellEnd"/>
      <w:r w:rsidRPr="00A641F4">
        <w:t xml:space="preserve"> and </w:t>
      </w:r>
      <w:proofErr w:type="spellStart"/>
      <w:r w:rsidRPr="00A641F4">
        <w:t>bLf</w:t>
      </w:r>
      <w:proofErr w:type="spellEnd"/>
      <w:r w:rsidRPr="00A641F4">
        <w:t xml:space="preserve"> isolated from faeces were shown to be able to bind iron</w:t>
      </w:r>
      <w:r w:rsidR="00365B3A" w:rsidRPr="00A641F4">
        <w:t xml:space="preserve"> (Spik et al</w:t>
      </w:r>
      <w:r w:rsidR="008743DA">
        <w:t>.</w:t>
      </w:r>
      <w:r w:rsidR="00365B3A" w:rsidRPr="00A641F4">
        <w:t xml:space="preserve"> 1982)</w:t>
      </w:r>
      <w:r w:rsidRPr="00A641F4">
        <w:t xml:space="preserve">. </w:t>
      </w:r>
    </w:p>
    <w:p w14:paraId="2431E786" w14:textId="77777777" w:rsidR="00AD2A35" w:rsidRPr="00A641F4" w:rsidRDefault="00AD2A35" w:rsidP="00AD2A35"/>
    <w:p w14:paraId="486B62D1" w14:textId="204FC6D8" w:rsidR="00CB060A" w:rsidRPr="00A641F4" w:rsidRDefault="00336A0F" w:rsidP="00DC566F">
      <w:r w:rsidRPr="00A641F4">
        <w:t xml:space="preserve">Several other studies have reported the presence of intact </w:t>
      </w:r>
      <w:proofErr w:type="spellStart"/>
      <w:r w:rsidRPr="00A641F4">
        <w:t>hLf</w:t>
      </w:r>
      <w:proofErr w:type="spellEnd"/>
      <w:r w:rsidRPr="00A641F4">
        <w:t xml:space="preserve"> in the faeces of breastfed infants (Davidson and </w:t>
      </w:r>
      <w:proofErr w:type="spellStart"/>
      <w:r w:rsidRPr="00A641F4">
        <w:t>L</w:t>
      </w:r>
      <w:r w:rsidR="00A641F4" w:rsidRPr="00A641F4">
        <w:rPr>
          <w:rFonts w:cs="Arial"/>
        </w:rPr>
        <w:t>ö</w:t>
      </w:r>
      <w:r w:rsidRPr="00A641F4">
        <w:t>nnerdal</w:t>
      </w:r>
      <w:proofErr w:type="spellEnd"/>
      <w:r w:rsidRPr="00A641F4">
        <w:t xml:space="preserve"> 1987; Goldman et al</w:t>
      </w:r>
      <w:r w:rsidR="008743DA">
        <w:t>.</w:t>
      </w:r>
      <w:r w:rsidRPr="00A641F4">
        <w:t xml:space="preserve"> 1990; </w:t>
      </w:r>
      <w:proofErr w:type="spellStart"/>
      <w:r w:rsidRPr="00A641F4">
        <w:t>Mastromarino</w:t>
      </w:r>
      <w:proofErr w:type="spellEnd"/>
      <w:r w:rsidRPr="00A641F4">
        <w:t xml:space="preserve"> et al</w:t>
      </w:r>
      <w:r w:rsidR="008743DA">
        <w:t>.</w:t>
      </w:r>
      <w:r w:rsidRPr="00A641F4">
        <w:t xml:space="preserve"> 2014). Goldman et al</w:t>
      </w:r>
      <w:r w:rsidR="008743DA">
        <w:t>.</w:t>
      </w:r>
      <w:r w:rsidRPr="00A641F4">
        <w:t xml:space="preserve"> also detected fragments of the same size as those detected in urine from the same infants. Faecal </w:t>
      </w:r>
      <w:proofErr w:type="spellStart"/>
      <w:r w:rsidRPr="00A641F4">
        <w:t>hLf</w:t>
      </w:r>
      <w:proofErr w:type="spellEnd"/>
      <w:r w:rsidRPr="00A641F4">
        <w:t xml:space="preserve"> concentrations in term infants were significantly higher at 1 month compared with the concentration in meconium at birth, and higher faecal </w:t>
      </w:r>
      <w:proofErr w:type="spellStart"/>
      <w:r w:rsidRPr="00A641F4">
        <w:t>hLf</w:t>
      </w:r>
      <w:proofErr w:type="spellEnd"/>
      <w:r w:rsidRPr="00A641F4">
        <w:t xml:space="preserve"> concentrations were observed in preterm infants compared with term infants at both time points (</w:t>
      </w:r>
      <w:proofErr w:type="spellStart"/>
      <w:r w:rsidRPr="00A641F4">
        <w:t>Mastromarino</w:t>
      </w:r>
      <w:proofErr w:type="spellEnd"/>
      <w:r w:rsidRPr="00A641F4">
        <w:t xml:space="preserve"> et al</w:t>
      </w:r>
      <w:r w:rsidR="008743DA">
        <w:t>.</w:t>
      </w:r>
      <w:r w:rsidRPr="00A641F4">
        <w:t xml:space="preserve"> 2014). Davidson and </w:t>
      </w:r>
      <w:proofErr w:type="spellStart"/>
      <w:r w:rsidRPr="00A641F4">
        <w:t>Lonnerdal</w:t>
      </w:r>
      <w:proofErr w:type="spellEnd"/>
      <w:r w:rsidRPr="00A641F4">
        <w:t xml:space="preserve"> reported that approximately 2 – 6%  of the </w:t>
      </w:r>
      <w:proofErr w:type="spellStart"/>
      <w:r w:rsidRPr="00A641F4">
        <w:t>hLf</w:t>
      </w:r>
      <w:proofErr w:type="spellEnd"/>
      <w:r w:rsidRPr="00A641F4">
        <w:t xml:space="preserve"> consumed was excreted </w:t>
      </w:r>
      <w:r w:rsidR="00CA0313" w:rsidRPr="00A641F4">
        <w:t xml:space="preserve">in the faeces of term infants </w:t>
      </w:r>
      <w:r w:rsidRPr="00A641F4">
        <w:t>during the first week of life, with the proportion slowly declining with age to 0.4 – 1.6% at age 3 – 4 months</w:t>
      </w:r>
      <w:r w:rsidR="00CA0313" w:rsidRPr="00A641F4">
        <w:t xml:space="preserve">. </w:t>
      </w:r>
    </w:p>
    <w:p w14:paraId="102ADB3C" w14:textId="77777777" w:rsidR="00CB060A" w:rsidRPr="00A641F4" w:rsidRDefault="00CB060A" w:rsidP="00DC566F"/>
    <w:p w14:paraId="7E4B49D4" w14:textId="4B72C88E" w:rsidR="00DC566F" w:rsidRDefault="00DC566F" w:rsidP="00DC566F">
      <w:r w:rsidRPr="00A641F4">
        <w:t xml:space="preserve">Intact </w:t>
      </w:r>
      <w:proofErr w:type="spellStart"/>
      <w:r w:rsidRPr="00A641F4">
        <w:t>hLf</w:t>
      </w:r>
      <w:proofErr w:type="spellEnd"/>
      <w:r w:rsidRPr="00A641F4">
        <w:t xml:space="preserve"> has been found in the faeces of breastfed infants. Approximately 2 – 6%  of the </w:t>
      </w:r>
      <w:proofErr w:type="spellStart"/>
      <w:r w:rsidRPr="00A641F4">
        <w:t>hLf</w:t>
      </w:r>
      <w:proofErr w:type="spellEnd"/>
      <w:r w:rsidRPr="00A641F4">
        <w:t xml:space="preserve"> consumed was excreted during the first week of life, with the proportion slowly declining with age to 0.4 – 1.6% at age 3 – 4 months (Davidson and </w:t>
      </w:r>
      <w:proofErr w:type="spellStart"/>
      <w:r w:rsidRPr="00A641F4">
        <w:t>L</w:t>
      </w:r>
      <w:r w:rsidR="00A641F4" w:rsidRPr="00A641F4">
        <w:rPr>
          <w:rFonts w:cs="Arial"/>
        </w:rPr>
        <w:t>ö</w:t>
      </w:r>
      <w:r w:rsidRPr="00A641F4">
        <w:t>nnerdal</w:t>
      </w:r>
      <w:proofErr w:type="spellEnd"/>
      <w:r w:rsidRPr="00A641F4">
        <w:t xml:space="preserve"> 1987).  </w:t>
      </w:r>
    </w:p>
    <w:p w14:paraId="295C48B9" w14:textId="63C66A6D" w:rsidR="00DC566F" w:rsidRDefault="002122F6" w:rsidP="002122F6">
      <w:pPr>
        <w:pStyle w:val="Heading4"/>
      </w:pPr>
      <w:r>
        <w:t>Summary</w:t>
      </w:r>
    </w:p>
    <w:p w14:paraId="3BAECA3D" w14:textId="267A3C77" w:rsidR="002122F6" w:rsidRDefault="00D70E3D" w:rsidP="00DC566F">
      <w:r>
        <w:t>The available evidence</w:t>
      </w:r>
      <w:r w:rsidR="0085550D">
        <w:t xml:space="preserve"> </w:t>
      </w:r>
      <w:r>
        <w:t xml:space="preserve">indicates that </w:t>
      </w:r>
      <w:proofErr w:type="spellStart"/>
      <w:r w:rsidR="0055688A">
        <w:t>bLf</w:t>
      </w:r>
      <w:proofErr w:type="spellEnd"/>
      <w:r w:rsidR="0055688A">
        <w:t xml:space="preserve"> is subject to partial hydrolysis in the stomach and small intestine, however</w:t>
      </w:r>
      <w:r>
        <w:t xml:space="preserve"> a proportion of </w:t>
      </w:r>
      <w:proofErr w:type="spellStart"/>
      <w:r>
        <w:t>bLf</w:t>
      </w:r>
      <w:proofErr w:type="spellEnd"/>
      <w:r>
        <w:t xml:space="preserve"> resist</w:t>
      </w:r>
      <w:r w:rsidR="000C0063">
        <w:t>s</w:t>
      </w:r>
      <w:r>
        <w:t xml:space="preserve"> digestion, persist</w:t>
      </w:r>
      <w:r w:rsidR="000C0063">
        <w:t>s</w:t>
      </w:r>
      <w:r>
        <w:t xml:space="preserve"> throughout the gastrointestinal tract</w:t>
      </w:r>
      <w:r w:rsidR="000C0063">
        <w:t xml:space="preserve"> and is excreted in the faeces. Some fragments produced by partial hydrolysis </w:t>
      </w:r>
      <w:r w:rsidR="0085550D">
        <w:t>also resist further digestion and are excreted in the faeces.</w:t>
      </w:r>
      <w:r w:rsidR="00734BBC">
        <w:t xml:space="preserve"> </w:t>
      </w:r>
      <w:r w:rsidR="00C92273" w:rsidRPr="00C92273">
        <w:rPr>
          <w:i/>
          <w:iCs/>
        </w:rPr>
        <w:t>In vitro</w:t>
      </w:r>
      <w:r w:rsidR="00C92273">
        <w:t xml:space="preserve"> studies</w:t>
      </w:r>
      <w:r w:rsidR="001F4EDE">
        <w:t>,</w:t>
      </w:r>
      <w:r w:rsidR="00C92273">
        <w:t xml:space="preserve"> as well as studies in experimental animals and pre-term or term infants</w:t>
      </w:r>
      <w:r w:rsidR="001F4EDE">
        <w:t>,</w:t>
      </w:r>
      <w:r w:rsidR="00C92273">
        <w:t xml:space="preserve"> suggest that </w:t>
      </w:r>
      <w:proofErr w:type="spellStart"/>
      <w:r w:rsidR="00C92273">
        <w:t>hLf</w:t>
      </w:r>
      <w:proofErr w:type="spellEnd"/>
      <w:r w:rsidR="00C92273">
        <w:t xml:space="preserve"> and </w:t>
      </w:r>
      <w:proofErr w:type="spellStart"/>
      <w:r w:rsidR="00C92273">
        <w:t>bLf</w:t>
      </w:r>
      <w:proofErr w:type="spellEnd"/>
      <w:r w:rsidR="00C92273">
        <w:t xml:space="preserve"> </w:t>
      </w:r>
      <w:r w:rsidR="001F4EDE">
        <w:t>are</w:t>
      </w:r>
      <w:r w:rsidR="00C92273">
        <w:t xml:space="preserve"> more resistant to digestion in pre-term or neonatal infants compared to older infants. </w:t>
      </w:r>
      <w:r w:rsidR="00115AB1">
        <w:t>Animal and infant studies have shown that a</w:t>
      </w:r>
      <w:r w:rsidR="00FA4760">
        <w:t xml:space="preserve"> small proportion of intact </w:t>
      </w:r>
      <w:proofErr w:type="spellStart"/>
      <w:r w:rsidR="00FA4760">
        <w:t>bLf</w:t>
      </w:r>
      <w:proofErr w:type="spellEnd"/>
      <w:r w:rsidR="00FA4760">
        <w:t xml:space="preserve"> and its fragments is absorbed</w:t>
      </w:r>
      <w:r w:rsidR="008A45E2">
        <w:t xml:space="preserve"> into the systemic circulation</w:t>
      </w:r>
      <w:r w:rsidR="00FA4760">
        <w:t xml:space="preserve"> and excreted via the urine. </w:t>
      </w:r>
      <w:r w:rsidR="008A45E2">
        <w:t xml:space="preserve">Experimental animal studies suggest that </w:t>
      </w:r>
      <w:r w:rsidR="00A5760D">
        <w:t xml:space="preserve">the primary route of absorption </w:t>
      </w:r>
      <w:r w:rsidR="008A45E2">
        <w:t xml:space="preserve">may be via </w:t>
      </w:r>
      <w:r w:rsidR="00A5760D">
        <w:t>the lymphatic system</w:t>
      </w:r>
      <w:r w:rsidR="00044F76">
        <w:t>,</w:t>
      </w:r>
      <w:r w:rsidR="00A5760D">
        <w:t xml:space="preserve"> </w:t>
      </w:r>
      <w:r w:rsidR="004C52F4">
        <w:t>while</w:t>
      </w:r>
      <w:r w:rsidR="00044F76">
        <w:t xml:space="preserve"> </w:t>
      </w:r>
      <w:r w:rsidR="00A5760D">
        <w:t xml:space="preserve">some </w:t>
      </w:r>
      <w:proofErr w:type="spellStart"/>
      <w:r w:rsidR="00A5760D">
        <w:t>bLf</w:t>
      </w:r>
      <w:proofErr w:type="spellEnd"/>
      <w:r w:rsidR="00A5760D">
        <w:t xml:space="preserve"> may also be excreted in the bile and subject to enterohepatic circulation. </w:t>
      </w:r>
    </w:p>
    <w:p w14:paraId="47827BD0" w14:textId="1F5CAFD4" w:rsidR="00730A77" w:rsidRDefault="00730A77" w:rsidP="006406E3">
      <w:pPr>
        <w:pStyle w:val="Heading3"/>
      </w:pPr>
      <w:bookmarkStart w:id="53" w:name="_Toc111626690"/>
      <w:bookmarkStart w:id="54" w:name="_Toc112915000"/>
      <w:bookmarkStart w:id="55" w:name="_Toc113523047"/>
      <w:r>
        <w:t>3.1.2</w:t>
      </w:r>
      <w:r>
        <w:tab/>
        <w:t>Toxicology studies</w:t>
      </w:r>
      <w:bookmarkEnd w:id="53"/>
      <w:bookmarkEnd w:id="54"/>
      <w:bookmarkEnd w:id="55"/>
    </w:p>
    <w:p w14:paraId="00FF841B" w14:textId="47B91120" w:rsidR="0021155D" w:rsidRDefault="00730A77" w:rsidP="00690206">
      <w:r>
        <w:t xml:space="preserve">The test item used in the key toxicology studies of </w:t>
      </w:r>
      <w:proofErr w:type="spellStart"/>
      <w:r>
        <w:t>bLf</w:t>
      </w:r>
      <w:proofErr w:type="spellEnd"/>
      <w:r>
        <w:t xml:space="preserve"> was </w:t>
      </w:r>
      <w:r w:rsidR="008B7513">
        <w:t xml:space="preserve">produced by Morinaga Milk Industry Co. Ltd. The </w:t>
      </w:r>
      <w:r w:rsidR="00695D50">
        <w:t>Applicant</w:t>
      </w:r>
      <w:r w:rsidR="008B7513">
        <w:t xml:space="preserve"> provided a comparison of </w:t>
      </w:r>
      <w:r w:rsidR="0021155D">
        <w:t xml:space="preserve">analytical data for five batches of </w:t>
      </w:r>
      <w:proofErr w:type="spellStart"/>
      <w:r w:rsidR="0021155D">
        <w:lastRenderedPageBreak/>
        <w:t>Synlait’s</w:t>
      </w:r>
      <w:proofErr w:type="spellEnd"/>
      <w:r w:rsidR="0021155D">
        <w:t xml:space="preserve"> </w:t>
      </w:r>
      <w:proofErr w:type="spellStart"/>
      <w:r w:rsidR="0021155D">
        <w:t>bLf</w:t>
      </w:r>
      <w:proofErr w:type="spellEnd"/>
      <w:r w:rsidR="0021155D">
        <w:t xml:space="preserve"> and six batches of Morinaga’s </w:t>
      </w:r>
      <w:proofErr w:type="spellStart"/>
      <w:r w:rsidR="0021155D">
        <w:t>bLf</w:t>
      </w:r>
      <w:proofErr w:type="spellEnd"/>
      <w:r w:rsidR="0021155D">
        <w:t xml:space="preserve">, demonstrating the similarity in composition of these substances. In addition, the GRAS notice for </w:t>
      </w:r>
      <w:proofErr w:type="spellStart"/>
      <w:r w:rsidR="0021155D">
        <w:t>Synlait’s</w:t>
      </w:r>
      <w:proofErr w:type="spellEnd"/>
      <w:r w:rsidR="0021155D">
        <w:t xml:space="preserve"> </w:t>
      </w:r>
      <w:proofErr w:type="spellStart"/>
      <w:r w:rsidR="0021155D">
        <w:t>bL</w:t>
      </w:r>
      <w:r w:rsidR="4C39B522">
        <w:t>f</w:t>
      </w:r>
      <w:proofErr w:type="spellEnd"/>
      <w:r w:rsidR="0021155D">
        <w:t xml:space="preserve"> (</w:t>
      </w:r>
      <w:r w:rsidR="0021155D" w:rsidRPr="00A641F4">
        <w:t>GRN669</w:t>
      </w:r>
      <w:r w:rsidR="00A641F4" w:rsidRPr="00A641F4">
        <w:t>, 2016</w:t>
      </w:r>
      <w:r w:rsidR="0021155D">
        <w:t xml:space="preserve">) includes a comparison of the specifications of </w:t>
      </w:r>
      <w:proofErr w:type="spellStart"/>
      <w:r w:rsidR="0021155D">
        <w:t>bLf</w:t>
      </w:r>
      <w:proofErr w:type="spellEnd"/>
      <w:r w:rsidR="0021155D">
        <w:t xml:space="preserve"> produced by </w:t>
      </w:r>
      <w:proofErr w:type="spellStart"/>
      <w:r w:rsidR="0021155D">
        <w:t>Synlait</w:t>
      </w:r>
      <w:proofErr w:type="spellEnd"/>
      <w:r w:rsidR="0021155D">
        <w:t xml:space="preserve"> and Morinaga, as well as the European specification for </w:t>
      </w:r>
      <w:proofErr w:type="spellStart"/>
      <w:r w:rsidR="0021155D">
        <w:t>bLf</w:t>
      </w:r>
      <w:proofErr w:type="spellEnd"/>
      <w:r w:rsidR="0021155D">
        <w:t xml:space="preserve">, further demonstrating the equivalence of these substances. </w:t>
      </w:r>
      <w:proofErr w:type="spellStart"/>
      <w:r w:rsidR="0021155D">
        <w:t>Synlait’s</w:t>
      </w:r>
      <w:proofErr w:type="spellEnd"/>
      <w:r w:rsidR="0021155D">
        <w:t xml:space="preserve"> </w:t>
      </w:r>
      <w:proofErr w:type="spellStart"/>
      <w:r w:rsidR="0021155D">
        <w:t>bLf</w:t>
      </w:r>
      <w:proofErr w:type="spellEnd"/>
      <w:r w:rsidR="0021155D">
        <w:t xml:space="preserve"> is spray dried where</w:t>
      </w:r>
      <w:r w:rsidR="00A641F4">
        <w:t>as Morinaga’s product</w:t>
      </w:r>
      <w:r w:rsidR="0021155D">
        <w:t xml:space="preserve"> is freeze dried, however this is not considered to be a significant difference, and the European specification for </w:t>
      </w:r>
      <w:proofErr w:type="spellStart"/>
      <w:r w:rsidR="0021155D">
        <w:t>bLf</w:t>
      </w:r>
      <w:proofErr w:type="spellEnd"/>
      <w:r w:rsidR="0021155D">
        <w:t xml:space="preserve"> indicates that both freeze-drying and spray-drying are permitted production technologies. </w:t>
      </w:r>
    </w:p>
    <w:p w14:paraId="4CADEA60" w14:textId="77777777" w:rsidR="0021155D" w:rsidRDefault="0021155D" w:rsidP="00690206"/>
    <w:p w14:paraId="41D22365" w14:textId="3224BFC1" w:rsidR="00730A77" w:rsidRDefault="0021155D" w:rsidP="00690206">
      <w:r>
        <w:t xml:space="preserve">Based on the </w:t>
      </w:r>
      <w:r w:rsidR="000A12D3">
        <w:t xml:space="preserve">available data, it is considered that the toxicology studies with Morinaga’s </w:t>
      </w:r>
      <w:proofErr w:type="spellStart"/>
      <w:r w:rsidR="000A12D3">
        <w:t>bLf</w:t>
      </w:r>
      <w:proofErr w:type="spellEnd"/>
      <w:r w:rsidR="000A12D3">
        <w:t xml:space="preserve"> are suitable for the safety assessment of </w:t>
      </w:r>
      <w:proofErr w:type="spellStart"/>
      <w:r w:rsidR="000A12D3">
        <w:t>bLf</w:t>
      </w:r>
      <w:proofErr w:type="spellEnd"/>
      <w:r w:rsidR="000A12D3">
        <w:t xml:space="preserve"> produced by </w:t>
      </w:r>
      <w:proofErr w:type="spellStart"/>
      <w:r w:rsidR="000A12D3">
        <w:t>Synlait</w:t>
      </w:r>
      <w:proofErr w:type="spellEnd"/>
      <w:r w:rsidR="000A12D3">
        <w:t xml:space="preserve">. </w:t>
      </w:r>
    </w:p>
    <w:p w14:paraId="256E5A59" w14:textId="22C94536" w:rsidR="00CB2CA4" w:rsidRDefault="00CB2CA4" w:rsidP="00CB2CA4">
      <w:pPr>
        <w:pStyle w:val="Heading4"/>
      </w:pPr>
      <w:r>
        <w:t>Acute and short-term</w:t>
      </w:r>
      <w:r w:rsidR="00E5122B">
        <w:t xml:space="preserve"> toxicity</w:t>
      </w:r>
    </w:p>
    <w:p w14:paraId="1FA0ABF6" w14:textId="76AE2D43" w:rsidR="00AE6EF7" w:rsidRDefault="00FA0BE9" w:rsidP="00690206">
      <w:r>
        <w:t xml:space="preserve">Limited details of unpublished acute </w:t>
      </w:r>
      <w:r w:rsidR="00AE6EF7">
        <w:t xml:space="preserve">and 4-week </w:t>
      </w:r>
      <w:r w:rsidR="0025756F">
        <w:t>toxicity studies</w:t>
      </w:r>
      <w:r w:rsidR="00E352F9">
        <w:t xml:space="preserve"> of </w:t>
      </w:r>
      <w:proofErr w:type="spellStart"/>
      <w:r w:rsidR="00E352F9">
        <w:t>bLf</w:t>
      </w:r>
      <w:proofErr w:type="spellEnd"/>
      <w:r w:rsidR="0025756F">
        <w:t>,</w:t>
      </w:r>
      <w:r>
        <w:t xml:space="preserve"> unavailable to FSANZ</w:t>
      </w:r>
      <w:r w:rsidR="0025756F">
        <w:t xml:space="preserve"> for review,</w:t>
      </w:r>
      <w:r>
        <w:t xml:space="preserve"> are provided in a </w:t>
      </w:r>
      <w:r w:rsidRPr="00F33BDA">
        <w:t>publication by Yamauchi et al</w:t>
      </w:r>
      <w:r w:rsidR="008743DA">
        <w:t>.</w:t>
      </w:r>
      <w:r w:rsidRPr="00F33BDA">
        <w:t xml:space="preserve"> (2000a) as well as in the GRAS notice for Morinaga’s </w:t>
      </w:r>
      <w:proofErr w:type="spellStart"/>
      <w:r w:rsidRPr="00F33BDA">
        <w:t>bLf</w:t>
      </w:r>
      <w:proofErr w:type="spellEnd"/>
      <w:r w:rsidRPr="00F33BDA">
        <w:t xml:space="preserve"> (GRN 465</w:t>
      </w:r>
      <w:r w:rsidR="00F7440C" w:rsidRPr="00F33BDA">
        <w:t>, 2013</w:t>
      </w:r>
      <w:r w:rsidRPr="00F33BDA">
        <w:t>).</w:t>
      </w:r>
      <w:r>
        <w:t xml:space="preserve"> </w:t>
      </w:r>
    </w:p>
    <w:p w14:paraId="6EB92D34" w14:textId="77777777" w:rsidR="00AE6EF7" w:rsidRDefault="00AE6EF7" w:rsidP="00690206"/>
    <w:p w14:paraId="0B6ED26A" w14:textId="14663A8A" w:rsidR="00CB2CA4" w:rsidRDefault="00AE6EF7" w:rsidP="00690206">
      <w:r>
        <w:t>In the acute toxicity study, m</w:t>
      </w:r>
      <w:r w:rsidR="00FA0BE9">
        <w:t xml:space="preserve">ale and female </w:t>
      </w:r>
      <w:proofErr w:type="spellStart"/>
      <w:r w:rsidR="00FA0BE9">
        <w:t>Crj</w:t>
      </w:r>
      <w:r>
        <w:t>:CD</w:t>
      </w:r>
      <w:proofErr w:type="spellEnd"/>
      <w:r>
        <w:t xml:space="preserve">(SD) SPF rats were administered single doses of 1000 or 2000 mg/kg </w:t>
      </w:r>
      <w:proofErr w:type="spellStart"/>
      <w:r>
        <w:t>bw</w:t>
      </w:r>
      <w:proofErr w:type="spellEnd"/>
      <w:r>
        <w:t xml:space="preserve"> standard </w:t>
      </w:r>
      <w:proofErr w:type="spellStart"/>
      <w:r>
        <w:t>bLf</w:t>
      </w:r>
      <w:proofErr w:type="spellEnd"/>
      <w:r>
        <w:t xml:space="preserve"> or iron-saturated </w:t>
      </w:r>
      <w:proofErr w:type="spellStart"/>
      <w:r>
        <w:t>bLf</w:t>
      </w:r>
      <w:proofErr w:type="spellEnd"/>
      <w:r>
        <w:t xml:space="preserve"> by oral gavage. Clinical signs were monitored for 14 days and body weights were measured periodically. At the end of the study animals were killed and organs were examined for any macroscopic abnormalities. No adverse effects were reported. </w:t>
      </w:r>
    </w:p>
    <w:p w14:paraId="76B1DECF" w14:textId="2341B42D" w:rsidR="00AE6EF7" w:rsidRDefault="00AE6EF7" w:rsidP="00690206"/>
    <w:p w14:paraId="2AA9F332" w14:textId="1144263F" w:rsidR="00AE6EF7" w:rsidRDefault="00AE6EF7" w:rsidP="00690206">
      <w:r>
        <w:t>In the 4-week study</w:t>
      </w:r>
      <w:r w:rsidR="0025756F">
        <w:t>,</w:t>
      </w:r>
      <w:r>
        <w:t xml:space="preserve"> </w:t>
      </w:r>
      <w:r w:rsidR="0025756F">
        <w:t xml:space="preserve">male and female Sprague Dawley rats (age 4 weeks) were administered 0, 200, 600 or 2000 mg/kg </w:t>
      </w:r>
      <w:proofErr w:type="spellStart"/>
      <w:r w:rsidR="0025756F">
        <w:t>bw</w:t>
      </w:r>
      <w:proofErr w:type="spellEnd"/>
      <w:r w:rsidR="0025756F">
        <w:t xml:space="preserve">/day </w:t>
      </w:r>
      <w:proofErr w:type="spellStart"/>
      <w:r w:rsidR="0025756F">
        <w:t>bLf</w:t>
      </w:r>
      <w:proofErr w:type="spellEnd"/>
      <w:r w:rsidR="0025756F">
        <w:t xml:space="preserve"> by oral gavage for 28 days. The vehicle control was water. The summary available states that there were no deaths and no treatment-related adverse effects on body weight, feed consumption, organ weight, ophthalmology, haematology, clinical chemistry, gross pathology and histopathology examinations. The no observed adverse effect level (NOAEL) in this study was reported to be 2000 mg/kg </w:t>
      </w:r>
      <w:proofErr w:type="spellStart"/>
      <w:r w:rsidR="0025756F">
        <w:t>bw</w:t>
      </w:r>
      <w:proofErr w:type="spellEnd"/>
      <w:r w:rsidR="0025756F">
        <w:t xml:space="preserve">/day, the highest dose tested. </w:t>
      </w:r>
    </w:p>
    <w:p w14:paraId="4BC26C0F" w14:textId="06E005FA" w:rsidR="008C2B05" w:rsidRDefault="008C2B05" w:rsidP="008C2B05">
      <w:pPr>
        <w:pStyle w:val="Heading5"/>
      </w:pPr>
      <w:r>
        <w:t>13-week repeated dose</w:t>
      </w:r>
      <w:r w:rsidR="00DD7E00">
        <w:t xml:space="preserve"> oral</w:t>
      </w:r>
      <w:r>
        <w:t xml:space="preserve"> toxicity study of </w:t>
      </w:r>
      <w:proofErr w:type="spellStart"/>
      <w:r>
        <w:t>bLf</w:t>
      </w:r>
      <w:proofErr w:type="spellEnd"/>
      <w:r>
        <w:t xml:space="preserve"> in rats (</w:t>
      </w:r>
      <w:r w:rsidRPr="00F33BDA">
        <w:t>Yamauchi et al</w:t>
      </w:r>
      <w:r w:rsidR="008743DA">
        <w:t>.</w:t>
      </w:r>
      <w:r w:rsidRPr="00F33BDA">
        <w:t xml:space="preserve"> 2000a</w:t>
      </w:r>
      <w:r>
        <w:t xml:space="preserve">) Regulatory status: </w:t>
      </w:r>
      <w:r w:rsidR="00456CFC">
        <w:t>N</w:t>
      </w:r>
      <w:r w:rsidR="00DA3B5A">
        <w:t>on-GLP;</w:t>
      </w:r>
      <w:r w:rsidR="00456CFC">
        <w:t xml:space="preserve"> Protocol </w:t>
      </w:r>
      <w:r w:rsidR="00CB456F">
        <w:t xml:space="preserve">broadly </w:t>
      </w:r>
      <w:r w:rsidR="00456CFC">
        <w:t>consistent with OECD Test Guideline 408</w:t>
      </w:r>
    </w:p>
    <w:p w14:paraId="05764CAF" w14:textId="58978490" w:rsidR="008C2B05" w:rsidRDefault="0005066B" w:rsidP="00690206">
      <w:r>
        <w:t xml:space="preserve">Sprague Dawley rats (age 6 weeks; 12/sex/group) were administered 0, 200, 600 or 2000 mg/kg </w:t>
      </w:r>
      <w:proofErr w:type="spellStart"/>
      <w:r>
        <w:t>bw</w:t>
      </w:r>
      <w:proofErr w:type="spellEnd"/>
      <w:r>
        <w:t xml:space="preserve">/day </w:t>
      </w:r>
      <w:proofErr w:type="spellStart"/>
      <w:r>
        <w:t>bLf</w:t>
      </w:r>
      <w:proofErr w:type="spellEnd"/>
      <w:r w:rsidR="00E5122B">
        <w:t xml:space="preserve"> (</w:t>
      </w:r>
      <w:r w:rsidR="00E53E0B">
        <w:t xml:space="preserve">Morinaga Milk Industry Co. Ltd; </w:t>
      </w:r>
      <w:r w:rsidR="00E5122B">
        <w:t>iron content 14.7 mg/100 g)</w:t>
      </w:r>
      <w:r>
        <w:t xml:space="preserve"> by oral gavage for 13 weeks. The vehicle control was water. Clinical signs were monitored daily, body weight and food consumption were recorded twice weekly. An ophthalmological examination was performed on 6 males and 6 females in each group in the final week of treatment. Urine samples were collected</w:t>
      </w:r>
      <w:r w:rsidR="0050700A">
        <w:t xml:space="preserve"> from all animals</w:t>
      </w:r>
      <w:r>
        <w:t xml:space="preserve"> in weeks 6 and 13. At the end of the study blood was collected</w:t>
      </w:r>
      <w:r w:rsidR="0050700A">
        <w:t xml:space="preserve"> from all animals</w:t>
      </w:r>
      <w:r>
        <w:t xml:space="preserve"> for haematology and clinical chemistry analysis, then animals were necropsied and examined for external abnormalities. Organs and tissues were subjected to gross examination, organs were weighed, and histopathological investigations were performed on organs and tissues from all animals in the control and high dose groups, any animals that died, and on the pancreas of male rats in the low and mid dose groups. </w:t>
      </w:r>
    </w:p>
    <w:p w14:paraId="4426194B" w14:textId="77777777" w:rsidR="00037D31" w:rsidRDefault="00037D31" w:rsidP="00690206"/>
    <w:p w14:paraId="1867AF5C" w14:textId="77777777" w:rsidR="00D8761C" w:rsidRDefault="00795A0A" w:rsidP="00690206">
      <w:r>
        <w:t xml:space="preserve">One male in the </w:t>
      </w:r>
      <w:r w:rsidR="003A5D27">
        <w:t>low</w:t>
      </w:r>
      <w:r>
        <w:t xml:space="preserve"> dose group died</w:t>
      </w:r>
      <w:r w:rsidR="003A5D27">
        <w:t xml:space="preserve"> in week 10</w:t>
      </w:r>
      <w:r>
        <w:t xml:space="preserve"> due to an intubation error</w:t>
      </w:r>
      <w:r w:rsidR="003A5D27">
        <w:t>. One female in the high dose group died in week 13</w:t>
      </w:r>
      <w:r w:rsidR="00C77E94">
        <w:t xml:space="preserve">, which was attributed to malignant lymphoma following gross and histopathological examination. </w:t>
      </w:r>
      <w:r w:rsidR="00F658E1">
        <w:t>There were no findings</w:t>
      </w:r>
      <w:r w:rsidR="00103064">
        <w:t xml:space="preserve"> in the histopathology or peripheral blood profile</w:t>
      </w:r>
      <w:r w:rsidR="00F658E1">
        <w:t xml:space="preserve"> indicative of lymphoma </w:t>
      </w:r>
      <w:r w:rsidR="00103064">
        <w:t>i</w:t>
      </w:r>
      <w:r w:rsidR="00575C3D">
        <w:t xml:space="preserve">n any of the other animals, so this death was not considered to be treatment-related. </w:t>
      </w:r>
    </w:p>
    <w:p w14:paraId="2C7D0704" w14:textId="77777777" w:rsidR="00D8761C" w:rsidRDefault="00D8761C" w:rsidP="00690206"/>
    <w:p w14:paraId="72CB445E" w14:textId="5D32A9F7" w:rsidR="00E5122B" w:rsidRDefault="00D8761C" w:rsidP="00690206">
      <w:r>
        <w:t xml:space="preserve">No treatment-related clinical signs were observed in any of the surviving animals, and there were no treatment-related adverse effects </w:t>
      </w:r>
      <w:r w:rsidR="00FD4EA1">
        <w:t xml:space="preserve">on body weight, </w:t>
      </w:r>
      <w:proofErr w:type="spellStart"/>
      <w:r w:rsidR="00FD4EA1">
        <w:t>ophthalomology</w:t>
      </w:r>
      <w:proofErr w:type="spellEnd"/>
      <w:r w:rsidR="00FD4EA1">
        <w:t xml:space="preserve">, haematology </w:t>
      </w:r>
      <w:r w:rsidR="00FD4EA1">
        <w:lastRenderedPageBreak/>
        <w:t xml:space="preserve">and clinical chemistry observations. </w:t>
      </w:r>
      <w:r w:rsidR="00A5157D">
        <w:t xml:space="preserve">Urinalysis indicated lower pH in high dose males and females compared with controls, </w:t>
      </w:r>
      <w:r w:rsidR="00BE0118">
        <w:t xml:space="preserve">but the degree of change was slight and there were no accompanying changes in other urinalysis parameters, clinical chemistry or kidney histopathology so this change was not considered to represent an adverse effect. </w:t>
      </w:r>
      <w:r w:rsidR="00E93E0E">
        <w:t xml:space="preserve">Absolute and relative (to </w:t>
      </w:r>
      <w:proofErr w:type="spellStart"/>
      <w:r w:rsidR="00E93E0E">
        <w:t>bw</w:t>
      </w:r>
      <w:proofErr w:type="spellEnd"/>
      <w:r w:rsidR="00E93E0E">
        <w:t xml:space="preserve">) thyroid weights were observed in high dose females, but this was considered incidental as </w:t>
      </w:r>
      <w:r w:rsidR="00B356A4">
        <w:t xml:space="preserve">the decrease was slight, observed in only one sex and not accompanied by correlated morphological changes. </w:t>
      </w:r>
      <w:r w:rsidR="00752518">
        <w:t xml:space="preserve">No other changes in absolute or relative organ weights were observed. No treatment-related adverse macroscopic or histopathologic changes were observed. </w:t>
      </w:r>
      <w:r w:rsidR="003C160E">
        <w:t>Slight or mild i</w:t>
      </w:r>
      <w:r w:rsidR="009E59DB">
        <w:t xml:space="preserve">slet </w:t>
      </w:r>
      <w:r w:rsidR="003C160E">
        <w:t>fibrosis in the pancreas was observed</w:t>
      </w:r>
      <w:r w:rsidR="00BE0118">
        <w:t xml:space="preserve"> </w:t>
      </w:r>
      <w:r w:rsidR="003C160E">
        <w:t xml:space="preserve">in 3/12 males in the control group and 7/12, 6/12 and 6/12 males in the 200, 600 and 2000 mg/kg </w:t>
      </w:r>
      <w:proofErr w:type="spellStart"/>
      <w:r w:rsidR="003C160E">
        <w:t>bw</w:t>
      </w:r>
      <w:proofErr w:type="spellEnd"/>
      <w:r w:rsidR="003C160E">
        <w:t xml:space="preserve">/day groups. However pancreatic islet fibrosis is known to be an age-related lesion in the male Sprague Dawley </w:t>
      </w:r>
      <w:r w:rsidR="003C160E" w:rsidRPr="002C098D">
        <w:t>rat, and the incidence in males of a similar age fed a standard diet has previously been reported as 14/20 and 7/15 in 18 and 20 week old rats, respectively (</w:t>
      </w:r>
      <w:proofErr w:type="spellStart"/>
      <w:r w:rsidR="003C160E" w:rsidRPr="002C098D">
        <w:t>Im</w:t>
      </w:r>
      <w:r w:rsidR="00F33BDA" w:rsidRPr="002C098D">
        <w:t>a</w:t>
      </w:r>
      <w:r w:rsidR="003C160E" w:rsidRPr="002C098D">
        <w:t>oka</w:t>
      </w:r>
      <w:proofErr w:type="spellEnd"/>
      <w:r w:rsidR="003C160E" w:rsidRPr="002C098D">
        <w:t xml:space="preserve"> et al 2007</w:t>
      </w:r>
      <w:r w:rsidR="00E5122B" w:rsidRPr="002C098D">
        <w:t xml:space="preserve">; </w:t>
      </w:r>
      <w:proofErr w:type="spellStart"/>
      <w:r w:rsidR="00E5122B" w:rsidRPr="002C098D">
        <w:t>Molon-Noblot</w:t>
      </w:r>
      <w:proofErr w:type="spellEnd"/>
      <w:r w:rsidR="00E5122B" w:rsidRPr="002C098D">
        <w:t xml:space="preserve"> et al 2001)</w:t>
      </w:r>
      <w:r w:rsidR="003C160E" w:rsidRPr="002C098D">
        <w:t>.</w:t>
      </w:r>
      <w:r w:rsidR="00E5122B" w:rsidRPr="002C098D">
        <w:t xml:space="preserve"> As a</w:t>
      </w:r>
      <w:r w:rsidR="00E5122B">
        <w:t xml:space="preserve"> result, the islet fibrosis was not considered to be treatment-related. </w:t>
      </w:r>
    </w:p>
    <w:p w14:paraId="2A0BDAB8" w14:textId="77777777" w:rsidR="00E5122B" w:rsidRDefault="00E5122B" w:rsidP="00690206"/>
    <w:p w14:paraId="6784D8D1" w14:textId="27790B18" w:rsidR="00E5122B" w:rsidRDefault="00E5122B" w:rsidP="00690206">
      <w:r>
        <w:t xml:space="preserve">It was concluded that the NOAEL in this study was 2000 mg/kg </w:t>
      </w:r>
      <w:proofErr w:type="spellStart"/>
      <w:r>
        <w:t>bw</w:t>
      </w:r>
      <w:proofErr w:type="spellEnd"/>
      <w:r>
        <w:t xml:space="preserve">/day, the highest dose tested. </w:t>
      </w:r>
    </w:p>
    <w:p w14:paraId="69AB554F" w14:textId="72F052DC" w:rsidR="00E352F9" w:rsidRDefault="00DD7E00" w:rsidP="00DD7E00">
      <w:pPr>
        <w:pStyle w:val="Heading5"/>
      </w:pPr>
      <w:r>
        <w:t>13-week repeated do</w:t>
      </w:r>
      <w:r w:rsidRPr="002C098D">
        <w:t xml:space="preserve">se oral toxicity study of milk basic protein containing </w:t>
      </w:r>
      <w:proofErr w:type="spellStart"/>
      <w:r w:rsidRPr="002C098D">
        <w:t>bLf</w:t>
      </w:r>
      <w:proofErr w:type="spellEnd"/>
      <w:r w:rsidRPr="002C098D">
        <w:t xml:space="preserve"> in rats (Kruger et al</w:t>
      </w:r>
      <w:r w:rsidR="008743DA">
        <w:t>.</w:t>
      </w:r>
      <w:r w:rsidRPr="002C098D">
        <w:t xml:space="preserve"> 2007) Regulatory</w:t>
      </w:r>
      <w:r>
        <w:t xml:space="preserve"> status: Non-GLP; conducted in accordance with Japanese Ministry of Health and Welfare guidelines</w:t>
      </w:r>
    </w:p>
    <w:p w14:paraId="54554786" w14:textId="6B405C63" w:rsidR="00DD7E00" w:rsidRDefault="009E2BB9" w:rsidP="00690206">
      <w:proofErr w:type="spellStart"/>
      <w:r>
        <w:t>Crj:CD</w:t>
      </w:r>
      <w:proofErr w:type="spellEnd"/>
      <w:r>
        <w:t xml:space="preserve">(SD) IGS rats (10/sex/group; age not reported) were administered milk basic protein (MBP) derived from pasteurised skimmed milk (54% </w:t>
      </w:r>
      <w:proofErr w:type="spellStart"/>
      <w:r>
        <w:t>bLf</w:t>
      </w:r>
      <w:proofErr w:type="spellEnd"/>
      <w:r>
        <w:t xml:space="preserve">; manufactured by Snow Brand Milk Products Co. Ltd., Japan) by oral gavage for 13 weeks. Doses administered were 0, 200 or 2000 mg/kg </w:t>
      </w:r>
      <w:proofErr w:type="spellStart"/>
      <w:r>
        <w:t>bw</w:t>
      </w:r>
      <w:proofErr w:type="spellEnd"/>
      <w:r>
        <w:t xml:space="preserve">/day MBP, equal to 0, 108 or 1080 mg/kg </w:t>
      </w:r>
      <w:proofErr w:type="spellStart"/>
      <w:r>
        <w:t>bw</w:t>
      </w:r>
      <w:proofErr w:type="spellEnd"/>
      <w:r>
        <w:t xml:space="preserve">/day </w:t>
      </w:r>
      <w:proofErr w:type="spellStart"/>
      <w:r>
        <w:t>bLf</w:t>
      </w:r>
      <w:proofErr w:type="spellEnd"/>
      <w:r>
        <w:t>, respectively. The vehicle control was water. Clinical signs were monitored daily and body weight and food consumption recorded regularly. Ophthalmologic examination was performed in week 13 and urine samples were collected for urinalysis. Blood was collected for haematology and clinical chemistry analysis prior to necropsy</w:t>
      </w:r>
      <w:r w:rsidR="00E75853">
        <w:t xml:space="preserve">. Gross observations were performed at necropsy and organ weights were recorded. Histopathological examinations were performed on all animals in the control and high dose groups. </w:t>
      </w:r>
    </w:p>
    <w:p w14:paraId="1F2543E5" w14:textId="20ECAB90" w:rsidR="00E75853" w:rsidRDefault="00E75853" w:rsidP="00690206"/>
    <w:p w14:paraId="327E65BE" w14:textId="327096FF" w:rsidR="00E75853" w:rsidRDefault="00E75853" w:rsidP="00690206">
      <w:r>
        <w:t>All animals survived to the end of the study and no adverse clinical signs were observed. There were no treatment-related adverse effects on body weight, body weight gain, feed consumption and feed efficiency, op</w:t>
      </w:r>
      <w:r w:rsidR="00F33BDA">
        <w:t>h</w:t>
      </w:r>
      <w:r>
        <w:t>tha</w:t>
      </w:r>
      <w:r w:rsidR="00F33BDA">
        <w:t>l</w:t>
      </w:r>
      <w:r>
        <w:t xml:space="preserve">mology, haematology, clinical chemistry or urinalysis parameters. No adverse treatment-related changes were observed at necropsy and there were no adverse effects on organ weights (absolute and relative) or histopathologic observations. </w:t>
      </w:r>
    </w:p>
    <w:p w14:paraId="4E0B67E1" w14:textId="7EDD2BCF" w:rsidR="00E75853" w:rsidRDefault="00E75853" w:rsidP="00690206"/>
    <w:p w14:paraId="2AC2447F" w14:textId="0C6C2920" w:rsidR="00E352F9" w:rsidRDefault="00E75853" w:rsidP="00690206">
      <w:r>
        <w:t xml:space="preserve">It was concluded that the NOAEL in this study was 2000 mg/kg </w:t>
      </w:r>
      <w:proofErr w:type="spellStart"/>
      <w:r>
        <w:t>bw</w:t>
      </w:r>
      <w:proofErr w:type="spellEnd"/>
      <w:r>
        <w:t xml:space="preserve">/day MBP, equal to 1080 mg/kg </w:t>
      </w:r>
      <w:proofErr w:type="spellStart"/>
      <w:r>
        <w:t>bw</w:t>
      </w:r>
      <w:proofErr w:type="spellEnd"/>
      <w:r>
        <w:t xml:space="preserve">/day </w:t>
      </w:r>
      <w:proofErr w:type="spellStart"/>
      <w:r>
        <w:t>bLf</w:t>
      </w:r>
      <w:proofErr w:type="spellEnd"/>
      <w:r>
        <w:t xml:space="preserve">. </w:t>
      </w:r>
    </w:p>
    <w:p w14:paraId="498281AF" w14:textId="0F69C195" w:rsidR="00E5122B" w:rsidRDefault="00E5122B" w:rsidP="00E5122B">
      <w:pPr>
        <w:pStyle w:val="Heading4"/>
      </w:pPr>
      <w:r>
        <w:t>Long-term toxicity and carcinogenicity</w:t>
      </w:r>
    </w:p>
    <w:p w14:paraId="4E330989" w14:textId="6D2059B3" w:rsidR="00037D31" w:rsidRDefault="00DA3B5A" w:rsidP="00DA3B5A">
      <w:pPr>
        <w:pStyle w:val="Heading5"/>
      </w:pPr>
      <w:r>
        <w:t xml:space="preserve">Chronic dietary toxicity study with </w:t>
      </w:r>
      <w:proofErr w:type="spellStart"/>
      <w:r>
        <w:t>bLf</w:t>
      </w:r>
      <w:proofErr w:type="spellEnd"/>
      <w:r>
        <w:t xml:space="preserve"> in </w:t>
      </w:r>
      <w:r w:rsidRPr="00F33BDA">
        <w:t>rats (</w:t>
      </w:r>
      <w:proofErr w:type="spellStart"/>
      <w:r w:rsidRPr="00F33BDA">
        <w:t>Tamano</w:t>
      </w:r>
      <w:proofErr w:type="spellEnd"/>
      <w:r w:rsidRPr="00F33BDA">
        <w:t xml:space="preserve"> et al</w:t>
      </w:r>
      <w:r w:rsidR="008743DA">
        <w:t>.</w:t>
      </w:r>
      <w:r w:rsidRPr="00F33BDA">
        <w:t xml:space="preserve"> 2008) Regulatory</w:t>
      </w:r>
      <w:r>
        <w:t xml:space="preserve"> status: Non-GLP, non-guideline</w:t>
      </w:r>
    </w:p>
    <w:p w14:paraId="05078C93" w14:textId="10EB69B7" w:rsidR="00DA3B5A" w:rsidRDefault="00C5620E" w:rsidP="00690206">
      <w:r>
        <w:t>A summary</w:t>
      </w:r>
      <w:r w:rsidR="00DA3B5A">
        <w:t xml:space="preserve"> of two chronic feeding studies with </w:t>
      </w:r>
      <w:proofErr w:type="spellStart"/>
      <w:r w:rsidR="00DA3B5A">
        <w:t>bLf</w:t>
      </w:r>
      <w:proofErr w:type="spellEnd"/>
      <w:r w:rsidR="00C74BCC">
        <w:t xml:space="preserve"> sourced from Morinaga Milk Industry Co. Ltd</w:t>
      </w:r>
      <w:r w:rsidR="00DA3B5A">
        <w:t xml:space="preserve"> </w:t>
      </w:r>
      <w:r>
        <w:t xml:space="preserve">is </w:t>
      </w:r>
      <w:r w:rsidR="00DA3B5A">
        <w:t xml:space="preserve">available in a publication by </w:t>
      </w:r>
      <w:proofErr w:type="spellStart"/>
      <w:r w:rsidR="00DA3B5A">
        <w:t>Tamano</w:t>
      </w:r>
      <w:proofErr w:type="spellEnd"/>
      <w:r w:rsidR="00DA3B5A">
        <w:t xml:space="preserve"> et al. </w:t>
      </w:r>
      <w:r w:rsidR="003A27B8">
        <w:t xml:space="preserve">These studies were not performed in accordance with </w:t>
      </w:r>
      <w:r w:rsidR="00471FD8">
        <w:t xml:space="preserve">OECD test guidelines </w:t>
      </w:r>
      <w:r w:rsidR="00363C41">
        <w:t>and only limited detail</w:t>
      </w:r>
      <w:r w:rsidR="009413CE">
        <w:t>s are reported</w:t>
      </w:r>
      <w:r w:rsidR="00C96392">
        <w:t xml:space="preserve">, so they are </w:t>
      </w:r>
      <w:r w:rsidR="002523D0">
        <w:t>of limited value</w:t>
      </w:r>
      <w:r w:rsidR="00C96392">
        <w:t xml:space="preserve"> for regulatory purposes</w:t>
      </w:r>
      <w:r w:rsidR="00E352F9">
        <w:t xml:space="preserve"> but have been summarised as supporting information</w:t>
      </w:r>
      <w:r w:rsidR="00C96392">
        <w:t xml:space="preserve">. </w:t>
      </w:r>
    </w:p>
    <w:p w14:paraId="3180FA4F" w14:textId="70BBB6AA" w:rsidR="00DA3B5A" w:rsidRDefault="00DA3B5A" w:rsidP="00690206"/>
    <w:p w14:paraId="495C1F86" w14:textId="4B5E39C4" w:rsidR="00A20659" w:rsidRDefault="00DA3B5A" w:rsidP="00690206">
      <w:r>
        <w:t xml:space="preserve">In experiment 1, </w:t>
      </w:r>
      <w:r w:rsidR="00C74BCC">
        <w:t>groups of 15 male F344/</w:t>
      </w:r>
      <w:proofErr w:type="spellStart"/>
      <w:r w:rsidR="00C74BCC">
        <w:t>DuCrj</w:t>
      </w:r>
      <w:proofErr w:type="spellEnd"/>
      <w:r w:rsidR="00C74BCC">
        <w:t xml:space="preserve"> rats (age 6 weeks) were given diet containing </w:t>
      </w:r>
      <w:r w:rsidR="00C74BCC">
        <w:lastRenderedPageBreak/>
        <w:t xml:space="preserve">0 or 0.2% </w:t>
      </w:r>
      <w:proofErr w:type="spellStart"/>
      <w:r w:rsidR="00C74BCC">
        <w:t>bLf</w:t>
      </w:r>
      <w:proofErr w:type="spellEnd"/>
      <w:r w:rsidR="00C74BCC">
        <w:t xml:space="preserve"> for 40 weeks. Clinical signs were monitored daily and body weight and feed consumption recorded at regular intervals. At the end of the study</w:t>
      </w:r>
      <w:r w:rsidR="001B2C36">
        <w:t>,</w:t>
      </w:r>
      <w:r w:rsidR="00C74BCC">
        <w:t xml:space="preserve"> blood samples were collected for analysis of the following clinical chemistry parameters: aspartate aminotransferase (AST), alanine aminotransferase (ALT), gamma-</w:t>
      </w:r>
      <w:proofErr w:type="spellStart"/>
      <w:r w:rsidR="00C74BCC">
        <w:t>glutamyltranspeptidase</w:t>
      </w:r>
      <w:proofErr w:type="spellEnd"/>
      <w:r w:rsidR="00C74BCC">
        <w:t xml:space="preserve"> (</w:t>
      </w:r>
      <w:r w:rsidR="00C74BCC">
        <w:rPr>
          <w:rFonts w:cs="Arial"/>
        </w:rPr>
        <w:t>γ</w:t>
      </w:r>
      <w:r w:rsidR="00C74BCC">
        <w:t>-GTP),</w:t>
      </w:r>
      <w:r w:rsidR="00332E47">
        <w:t xml:space="preserve"> alkaline phosphatase (ALP), blood urea nitrogen (BUN), </w:t>
      </w:r>
      <w:r w:rsidR="002817EC">
        <w:t>creatinine, glucose,</w:t>
      </w:r>
      <w:r w:rsidR="00C74BCC">
        <w:t xml:space="preserve"> total cholesterol, triglyceride, total protein, albumin and serum iron. Gross inspection for any lesions were made at autopsy and the liver, kidneys and spleen were weighed. In experiment 2, groups of 17-week old male and 11-week old female F344/</w:t>
      </w:r>
      <w:proofErr w:type="spellStart"/>
      <w:r w:rsidR="00C74BCC">
        <w:t>DuCrj</w:t>
      </w:r>
      <w:proofErr w:type="spellEnd"/>
      <w:r w:rsidR="00C74BCC">
        <w:t xml:space="preserve"> rats were fed diets containing 0, 0.02, 0.2, 2.0 or 5.0% </w:t>
      </w:r>
      <w:proofErr w:type="spellStart"/>
      <w:r w:rsidR="0012774D">
        <w:t>bLf</w:t>
      </w:r>
      <w:proofErr w:type="spellEnd"/>
      <w:r w:rsidR="0012774D">
        <w:t xml:space="preserve"> for 60 weeks in males and 65 weeks in females. The control and high dose groups comprised 25 rats/sex while the other groups comprised 10 rats/sex. Additional rats (10/sex/group) were fed diets containing 2.0% </w:t>
      </w:r>
      <w:proofErr w:type="spellStart"/>
      <w:r w:rsidR="0012774D">
        <w:t>bLf</w:t>
      </w:r>
      <w:proofErr w:type="spellEnd"/>
      <w:r w:rsidR="0012774D">
        <w:t xml:space="preserve"> </w:t>
      </w:r>
      <w:proofErr w:type="spellStart"/>
      <w:r w:rsidR="0012774D">
        <w:t>hydrosylate</w:t>
      </w:r>
      <w:proofErr w:type="spellEnd"/>
      <w:r w:rsidR="0012774D">
        <w:t xml:space="preserve"> generated by acid-pepsin hydrolysis or lactoferricin. Clinical signs, body weights and fee</w:t>
      </w:r>
      <w:r w:rsidR="00C5620E">
        <w:t>d consumpti</w:t>
      </w:r>
      <w:r w:rsidR="0012774D">
        <w:t>on were monitored. Gross examinations were performed at autopsy and liver, kidney, spleen, adrenal and pituitary weights recorded. A range of organs and tissues wer</w:t>
      </w:r>
      <w:r w:rsidR="00B123EA">
        <w:t xml:space="preserve">e examined </w:t>
      </w:r>
      <w:proofErr w:type="spellStart"/>
      <w:r w:rsidR="00B123EA">
        <w:t>histopathologically</w:t>
      </w:r>
      <w:proofErr w:type="spellEnd"/>
      <w:r w:rsidR="00B123EA">
        <w:t xml:space="preserve">. </w:t>
      </w:r>
    </w:p>
    <w:p w14:paraId="151698B1" w14:textId="77777777" w:rsidR="00B123EA" w:rsidRDefault="00B123EA" w:rsidP="00690206"/>
    <w:p w14:paraId="6C5B8E11" w14:textId="23C45796" w:rsidR="00DA3B5A" w:rsidRDefault="00B123EA" w:rsidP="00690206">
      <w:r>
        <w:t xml:space="preserve">In experiment 1, no </w:t>
      </w:r>
      <w:r w:rsidR="0022379F">
        <w:t xml:space="preserve">treatment related clinical signs or deaths or effects on body weight were </w:t>
      </w:r>
      <w:r w:rsidR="00684427">
        <w:t>observed</w:t>
      </w:r>
      <w:r w:rsidR="0022379F">
        <w:t xml:space="preserve">. </w:t>
      </w:r>
      <w:r w:rsidR="00684427">
        <w:t>The authors noted that s</w:t>
      </w:r>
      <w:r w:rsidR="00130AE5">
        <w:t>light but significantly decreased relative liver weights</w:t>
      </w:r>
      <w:r w:rsidR="00154959">
        <w:t xml:space="preserve"> (but not absolute weights)</w:t>
      </w:r>
      <w:r w:rsidR="003652D4">
        <w:t xml:space="preserve"> were found</w:t>
      </w:r>
      <w:r w:rsidR="008F2931">
        <w:t xml:space="preserve"> in the </w:t>
      </w:r>
      <w:proofErr w:type="spellStart"/>
      <w:r w:rsidR="008F2931">
        <w:t>bLf</w:t>
      </w:r>
      <w:proofErr w:type="spellEnd"/>
      <w:r w:rsidR="008F2931">
        <w:t>-treated grou</w:t>
      </w:r>
      <w:r w:rsidR="003652D4">
        <w:t xml:space="preserve">p, but </w:t>
      </w:r>
      <w:r w:rsidR="00684427">
        <w:t>additional details were not reported.</w:t>
      </w:r>
      <w:r w:rsidR="00154959">
        <w:t xml:space="preserve"> </w:t>
      </w:r>
      <w:r w:rsidR="008D340E">
        <w:t xml:space="preserve">AST, ALT, ALP, BUN and TG were </w:t>
      </w:r>
      <w:r w:rsidR="004A0191">
        <w:t xml:space="preserve">significantly lower in the 0.2% </w:t>
      </w:r>
      <w:proofErr w:type="spellStart"/>
      <w:r w:rsidR="004A0191">
        <w:t>bLf</w:t>
      </w:r>
      <w:proofErr w:type="spellEnd"/>
      <w:r w:rsidR="004A0191">
        <w:t xml:space="preserve"> group</w:t>
      </w:r>
      <w:r w:rsidR="000255C2">
        <w:t>.</w:t>
      </w:r>
      <w:r w:rsidR="00684427">
        <w:t xml:space="preserve"> </w:t>
      </w:r>
      <w:r w:rsidR="00154959">
        <w:t>No treatment-related macroscopic</w:t>
      </w:r>
      <w:r w:rsidR="006614B5">
        <w:t xml:space="preserve"> or histopathological</w:t>
      </w:r>
      <w:r w:rsidR="00154959">
        <w:t xml:space="preserve"> changes were observed. </w:t>
      </w:r>
    </w:p>
    <w:p w14:paraId="53A1C8DF" w14:textId="77777777" w:rsidR="00F86A8E" w:rsidRDefault="00F86A8E" w:rsidP="00690206"/>
    <w:p w14:paraId="6A35D52A" w14:textId="38001F86" w:rsidR="00F86A8E" w:rsidRDefault="00F86A8E" w:rsidP="00690206">
      <w:r>
        <w:t xml:space="preserve">In experiment 2, no treatment-related clinical signs or deaths were recorded. There were no treatment-related adverse effects on body weight, feed and water consumption, </w:t>
      </w:r>
      <w:r w:rsidR="006F5EF3">
        <w:t xml:space="preserve">organ weights, </w:t>
      </w:r>
      <w:r w:rsidR="00F705FE">
        <w:t xml:space="preserve">gross observations or histopathology. </w:t>
      </w:r>
    </w:p>
    <w:p w14:paraId="0FC461BF" w14:textId="77777777" w:rsidR="00126FD8" w:rsidRDefault="00126FD8" w:rsidP="00690206"/>
    <w:p w14:paraId="6D3A16A6" w14:textId="61E0BC9D" w:rsidR="00126FD8" w:rsidRDefault="00126FD8" w:rsidP="00690206">
      <w:r>
        <w:t xml:space="preserve">The study authors concluded that the NOAEL for </w:t>
      </w:r>
      <w:proofErr w:type="spellStart"/>
      <w:r>
        <w:t>bLf</w:t>
      </w:r>
      <w:proofErr w:type="spellEnd"/>
      <w:r>
        <w:t xml:space="preserve"> in these </w:t>
      </w:r>
      <w:r w:rsidR="00650A2C">
        <w:t xml:space="preserve">studies was 5.0% in the diet, </w:t>
      </w:r>
      <w:r w:rsidR="000F2662">
        <w:t xml:space="preserve">equivalent to </w:t>
      </w:r>
      <w:r w:rsidR="000F2662" w:rsidRPr="002C098D">
        <w:t xml:space="preserve">approximately 3000 mg/kg </w:t>
      </w:r>
      <w:proofErr w:type="spellStart"/>
      <w:r w:rsidR="000F2662" w:rsidRPr="002C098D">
        <w:t>bw</w:t>
      </w:r>
      <w:proofErr w:type="spellEnd"/>
      <w:r w:rsidR="000F2662" w:rsidRPr="002C098D">
        <w:t>/day (calculated by FSANZ based on default conversion factors [WHO 201</w:t>
      </w:r>
      <w:r w:rsidR="002C098D" w:rsidRPr="002C098D">
        <w:t>6</w:t>
      </w:r>
      <w:r w:rsidR="000F2662" w:rsidRPr="002C098D">
        <w:t>])</w:t>
      </w:r>
      <w:r w:rsidR="00650A2C" w:rsidRPr="002C098D">
        <w:t>.</w:t>
      </w:r>
    </w:p>
    <w:p w14:paraId="06CD3BD8" w14:textId="66A1FE46" w:rsidR="00275204" w:rsidRDefault="00275204" w:rsidP="00275204">
      <w:pPr>
        <w:pStyle w:val="Heading4"/>
      </w:pPr>
      <w:r>
        <w:t>Genotoxicity</w:t>
      </w:r>
    </w:p>
    <w:p w14:paraId="266DA75F" w14:textId="46329DD5" w:rsidR="00275204" w:rsidRDefault="007914C6" w:rsidP="00C734C7">
      <w:pPr>
        <w:pStyle w:val="Heading5"/>
      </w:pPr>
      <w:r>
        <w:t xml:space="preserve">Bacterial reverse mutation assay with </w:t>
      </w:r>
      <w:proofErr w:type="spellStart"/>
      <w:r>
        <w:t>bLf</w:t>
      </w:r>
      <w:proofErr w:type="spellEnd"/>
      <w:r>
        <w:t xml:space="preserve"> (</w:t>
      </w:r>
      <w:r w:rsidRPr="00F33BDA">
        <w:t>Yamauchi et al</w:t>
      </w:r>
      <w:r w:rsidR="008743DA">
        <w:t>.</w:t>
      </w:r>
      <w:r w:rsidRPr="00F33BDA">
        <w:t xml:space="preserve"> 2000b)</w:t>
      </w:r>
      <w:r>
        <w:t xml:space="preserve"> Regulatory status: non-GLP</w:t>
      </w:r>
      <w:r w:rsidR="00C734C7">
        <w:t>; Protocol consistent with OECD TG 471</w:t>
      </w:r>
    </w:p>
    <w:p w14:paraId="71C2A271" w14:textId="6C4C27F8" w:rsidR="00C734C7" w:rsidRDefault="00F61E88" w:rsidP="00690206">
      <w:pPr>
        <w:rPr>
          <w:lang w:val="en-AU" w:eastAsia="en-AU"/>
        </w:rPr>
      </w:pPr>
      <w:r>
        <w:t xml:space="preserve">The potential mutagenicity of </w:t>
      </w:r>
      <w:proofErr w:type="spellStart"/>
      <w:r>
        <w:t>bLf</w:t>
      </w:r>
      <w:proofErr w:type="spellEnd"/>
      <w:r>
        <w:t xml:space="preserve"> (</w:t>
      </w:r>
      <w:r w:rsidR="009A2438">
        <w:t>Morinaga Milk Industry Co. Ltd; iron content 14.7 mg/100 g</w:t>
      </w:r>
      <w:r w:rsidR="004C1941">
        <w:t>) in bacteria was assessed</w:t>
      </w:r>
      <w:r w:rsidR="00972650">
        <w:t xml:space="preserve"> in the presence and absence of metabolic activation (S9 mix)</w:t>
      </w:r>
      <w:r w:rsidR="004C1941">
        <w:t xml:space="preserve"> following the pre-incubation method.</w:t>
      </w:r>
      <w:r w:rsidR="009A2438">
        <w:t xml:space="preserve"> </w:t>
      </w:r>
      <w:r w:rsidR="00816C9B">
        <w:rPr>
          <w:lang w:val="en-AU" w:eastAsia="en-AU"/>
        </w:rPr>
        <w:t xml:space="preserve">Test systems for this assay were </w:t>
      </w:r>
      <w:r w:rsidR="00816C9B" w:rsidRPr="00811FCC">
        <w:rPr>
          <w:i/>
          <w:lang w:val="en-AU" w:eastAsia="en-AU"/>
        </w:rPr>
        <w:t>Salmonella</w:t>
      </w:r>
      <w:r w:rsidR="00816C9B" w:rsidRPr="00147714">
        <w:rPr>
          <w:i/>
          <w:lang w:val="en-AU" w:eastAsia="en-AU"/>
        </w:rPr>
        <w:t xml:space="preserve"> </w:t>
      </w:r>
      <w:r w:rsidR="00147714">
        <w:rPr>
          <w:iCs/>
          <w:lang w:val="en-AU" w:eastAsia="en-AU"/>
        </w:rPr>
        <w:t>T</w:t>
      </w:r>
      <w:r w:rsidR="00816C9B" w:rsidRPr="00147714">
        <w:rPr>
          <w:iCs/>
          <w:lang w:val="en-AU" w:eastAsia="en-AU"/>
        </w:rPr>
        <w:t>yphimurium</w:t>
      </w:r>
      <w:r w:rsidR="00816C9B" w:rsidRPr="00AD7551">
        <w:rPr>
          <w:lang w:val="en-AU" w:eastAsia="en-AU"/>
        </w:rPr>
        <w:t xml:space="preserve"> strains TA1535, TA100, TA1537 and TA98 and </w:t>
      </w:r>
      <w:r w:rsidR="00816C9B" w:rsidRPr="00AD7551">
        <w:rPr>
          <w:i/>
          <w:lang w:val="en-AU" w:eastAsia="en-AU"/>
        </w:rPr>
        <w:t>Escherichia coli</w:t>
      </w:r>
      <w:r w:rsidR="00816C9B" w:rsidRPr="00AD7551">
        <w:rPr>
          <w:lang w:val="en-AU" w:eastAsia="en-AU"/>
        </w:rPr>
        <w:t xml:space="preserve"> strain WP2 </w:t>
      </w:r>
      <w:proofErr w:type="spellStart"/>
      <w:r w:rsidR="00816C9B" w:rsidRPr="00AD7551">
        <w:rPr>
          <w:i/>
          <w:lang w:val="en-AU" w:eastAsia="en-AU"/>
        </w:rPr>
        <w:t>uvr</w:t>
      </w:r>
      <w:r w:rsidR="00816C9B" w:rsidRPr="00AD7551">
        <w:rPr>
          <w:lang w:val="en-AU" w:eastAsia="en-AU"/>
        </w:rPr>
        <w:t>A</w:t>
      </w:r>
      <w:proofErr w:type="spellEnd"/>
      <w:r w:rsidR="00816C9B" w:rsidRPr="00AD7551">
        <w:rPr>
          <w:lang w:val="en-AU" w:eastAsia="en-AU"/>
        </w:rPr>
        <w:t>.</w:t>
      </w:r>
      <w:r w:rsidR="00AD7551">
        <w:rPr>
          <w:lang w:val="en-AU" w:eastAsia="en-AU"/>
        </w:rPr>
        <w:t xml:space="preserve"> </w:t>
      </w:r>
      <w:r w:rsidR="00477A7D">
        <w:rPr>
          <w:lang w:val="en-AU" w:eastAsia="en-AU"/>
        </w:rPr>
        <w:t>Saline was used as th</w:t>
      </w:r>
      <w:r w:rsidR="00AD7551">
        <w:rPr>
          <w:lang w:val="en-AU" w:eastAsia="en-AU"/>
        </w:rPr>
        <w:t>e vehicle and negativ</w:t>
      </w:r>
      <w:r w:rsidR="00477A7D">
        <w:rPr>
          <w:lang w:val="en-AU" w:eastAsia="en-AU"/>
        </w:rPr>
        <w:t xml:space="preserve">e control. Positive controls in the absence of </w:t>
      </w:r>
      <w:r w:rsidR="00972650">
        <w:rPr>
          <w:lang w:val="en-AU" w:eastAsia="en-AU"/>
        </w:rPr>
        <w:t xml:space="preserve">S9 were sodium </w:t>
      </w:r>
      <w:proofErr w:type="spellStart"/>
      <w:r w:rsidR="00972650">
        <w:rPr>
          <w:lang w:val="en-AU" w:eastAsia="en-AU"/>
        </w:rPr>
        <w:t>azide</w:t>
      </w:r>
      <w:proofErr w:type="spellEnd"/>
      <w:r w:rsidR="00972650">
        <w:rPr>
          <w:lang w:val="en-AU" w:eastAsia="en-AU"/>
        </w:rPr>
        <w:t xml:space="preserve"> (</w:t>
      </w:r>
      <w:r w:rsidR="002A4F25">
        <w:rPr>
          <w:lang w:val="en-AU" w:eastAsia="en-AU"/>
        </w:rPr>
        <w:t xml:space="preserve">TA 1535), 9-aminoacridine (TA1537) and </w:t>
      </w:r>
      <w:proofErr w:type="spellStart"/>
      <w:r w:rsidR="007C5AAF">
        <w:rPr>
          <w:lang w:val="en-AU" w:eastAsia="en-AU"/>
        </w:rPr>
        <w:t>furfurylamide</w:t>
      </w:r>
      <w:proofErr w:type="spellEnd"/>
      <w:r w:rsidR="007C5AAF">
        <w:rPr>
          <w:lang w:val="en-AU" w:eastAsia="en-AU"/>
        </w:rPr>
        <w:t xml:space="preserve"> (TA100, </w:t>
      </w:r>
      <w:r w:rsidR="007C5AAF" w:rsidRPr="00AD7551">
        <w:rPr>
          <w:lang w:val="en-AU" w:eastAsia="en-AU"/>
        </w:rPr>
        <w:t xml:space="preserve">WP2 </w:t>
      </w:r>
      <w:proofErr w:type="spellStart"/>
      <w:r w:rsidR="007C5AAF" w:rsidRPr="00AD7551">
        <w:rPr>
          <w:i/>
          <w:lang w:val="en-AU" w:eastAsia="en-AU"/>
        </w:rPr>
        <w:t>uvr</w:t>
      </w:r>
      <w:r w:rsidR="007C5AAF" w:rsidRPr="00AD7551">
        <w:rPr>
          <w:lang w:val="en-AU" w:eastAsia="en-AU"/>
        </w:rPr>
        <w:t>A</w:t>
      </w:r>
      <w:proofErr w:type="spellEnd"/>
      <w:r w:rsidR="007C5AAF">
        <w:rPr>
          <w:lang w:val="en-AU" w:eastAsia="en-AU"/>
        </w:rPr>
        <w:t xml:space="preserve"> and </w:t>
      </w:r>
      <w:r w:rsidR="00327A8A">
        <w:rPr>
          <w:lang w:val="en-AU" w:eastAsia="en-AU"/>
        </w:rPr>
        <w:t xml:space="preserve">TA98). In the presence of S9 positive controls were benzo[a]pyrene </w:t>
      </w:r>
      <w:r w:rsidR="003736D6">
        <w:rPr>
          <w:lang w:val="en-AU" w:eastAsia="en-AU"/>
        </w:rPr>
        <w:t>(TA100, TA98 and TA1537) and 2-aminoanthracene (</w:t>
      </w:r>
      <w:r w:rsidR="0057740F">
        <w:rPr>
          <w:lang w:val="en-AU" w:eastAsia="en-AU"/>
        </w:rPr>
        <w:t xml:space="preserve">TA1535 and </w:t>
      </w:r>
      <w:r w:rsidR="0057740F" w:rsidRPr="00AD7551">
        <w:rPr>
          <w:lang w:val="en-AU" w:eastAsia="en-AU"/>
        </w:rPr>
        <w:t xml:space="preserve">WP2 </w:t>
      </w:r>
      <w:proofErr w:type="spellStart"/>
      <w:r w:rsidR="0057740F" w:rsidRPr="00AD7551">
        <w:rPr>
          <w:i/>
          <w:lang w:val="en-AU" w:eastAsia="en-AU"/>
        </w:rPr>
        <w:t>uvr</w:t>
      </w:r>
      <w:r w:rsidR="0057740F" w:rsidRPr="00AD7551">
        <w:rPr>
          <w:lang w:val="en-AU" w:eastAsia="en-AU"/>
        </w:rPr>
        <w:t>A</w:t>
      </w:r>
      <w:proofErr w:type="spellEnd"/>
      <w:r w:rsidR="0057740F">
        <w:rPr>
          <w:lang w:val="en-AU" w:eastAsia="en-AU"/>
        </w:rPr>
        <w:t>). Based on a dose range finding test concentrations ranging from 0.16 – 5.0 mg</w:t>
      </w:r>
      <w:r w:rsidR="001C7D52">
        <w:rPr>
          <w:lang w:val="en-AU" w:eastAsia="en-AU"/>
        </w:rPr>
        <w:t xml:space="preserve">/plate were tested. The positive and negative controls were plated in triplicate while duplicate plates were used for the test items. The assay was conducted twice. </w:t>
      </w:r>
    </w:p>
    <w:p w14:paraId="674B26E7" w14:textId="77777777" w:rsidR="007D6DF7" w:rsidRDefault="007D6DF7" w:rsidP="00690206"/>
    <w:p w14:paraId="55E2CD57" w14:textId="453BDC03" w:rsidR="007D6DF7" w:rsidRDefault="00076AC7" w:rsidP="00690206">
      <w:pPr>
        <w:rPr>
          <w:rFonts w:cs="Arial"/>
          <w:lang w:eastAsia="en-AU"/>
        </w:rPr>
      </w:pPr>
      <w:proofErr w:type="spellStart"/>
      <w:r>
        <w:t>bLf</w:t>
      </w:r>
      <w:proofErr w:type="spellEnd"/>
      <w:r>
        <w:t xml:space="preserve"> is reported to have antimicrobial properties but no evidence of growth inhibition was observed during the study. </w:t>
      </w:r>
      <w:r w:rsidRPr="00076AC7">
        <w:rPr>
          <w:rFonts w:cs="Arial"/>
          <w:lang w:eastAsia="en-AU"/>
        </w:rPr>
        <w:t>No significant increases in</w:t>
      </w:r>
      <w:r>
        <w:rPr>
          <w:rFonts w:cs="Arial"/>
          <w:lang w:eastAsia="en-AU"/>
        </w:rPr>
        <w:t xml:space="preserve"> the number of</w:t>
      </w:r>
      <w:r w:rsidRPr="00076AC7">
        <w:rPr>
          <w:rFonts w:cs="Arial"/>
          <w:lang w:eastAsia="en-AU"/>
        </w:rPr>
        <w:t xml:space="preserve"> revertant colonies were observed following exposure to </w:t>
      </w:r>
      <w:proofErr w:type="spellStart"/>
      <w:r w:rsidRPr="00076AC7">
        <w:rPr>
          <w:rFonts w:cs="Arial"/>
          <w:lang w:eastAsia="en-AU"/>
        </w:rPr>
        <w:t>bLf</w:t>
      </w:r>
      <w:proofErr w:type="spellEnd"/>
      <w:r w:rsidRPr="00076AC7">
        <w:rPr>
          <w:rFonts w:cs="Arial"/>
          <w:lang w:eastAsia="en-AU"/>
        </w:rPr>
        <w:t xml:space="preserve"> </w:t>
      </w:r>
      <w:r>
        <w:rPr>
          <w:rFonts w:cs="Arial"/>
          <w:lang w:eastAsia="en-AU"/>
        </w:rPr>
        <w:t>in the presence or absence of</w:t>
      </w:r>
      <w:r w:rsidRPr="00076AC7">
        <w:rPr>
          <w:rFonts w:cs="Arial"/>
          <w:lang w:eastAsia="en-AU"/>
        </w:rPr>
        <w:t xml:space="preserve"> S9 mix.</w:t>
      </w:r>
      <w:r>
        <w:rPr>
          <w:rFonts w:cs="Arial"/>
          <w:lang w:eastAsia="en-AU"/>
        </w:rPr>
        <w:t xml:space="preserve"> The vehicle and positive controls produced numbers of revertant colonies consistent with the laboratory’s historical control data, confirming the validity of the assay. </w:t>
      </w:r>
    </w:p>
    <w:p w14:paraId="78DEA24E" w14:textId="77777777" w:rsidR="00076AC7" w:rsidRDefault="00076AC7" w:rsidP="00690206">
      <w:pPr>
        <w:rPr>
          <w:rFonts w:cs="Arial"/>
          <w:lang w:eastAsia="en-AU"/>
        </w:rPr>
      </w:pPr>
    </w:p>
    <w:p w14:paraId="712FEF80" w14:textId="0A083814" w:rsidR="00730A77" w:rsidRDefault="00076AC7" w:rsidP="00690206">
      <w:r>
        <w:rPr>
          <w:rFonts w:cs="Arial"/>
          <w:lang w:eastAsia="en-AU"/>
        </w:rPr>
        <w:t xml:space="preserve">It was concluded that </w:t>
      </w:r>
      <w:proofErr w:type="spellStart"/>
      <w:r>
        <w:rPr>
          <w:rFonts w:cs="Arial"/>
          <w:lang w:eastAsia="en-AU"/>
        </w:rPr>
        <w:t>bLf</w:t>
      </w:r>
      <w:proofErr w:type="spellEnd"/>
      <w:r>
        <w:rPr>
          <w:rFonts w:cs="Arial"/>
          <w:lang w:eastAsia="en-AU"/>
        </w:rPr>
        <w:t xml:space="preserve"> was not </w:t>
      </w:r>
      <w:r w:rsidR="00F100FD">
        <w:rPr>
          <w:rFonts w:cs="Arial"/>
          <w:lang w:eastAsia="en-AU"/>
        </w:rPr>
        <w:t xml:space="preserve">mutagenic under the conditions of this assay. </w:t>
      </w:r>
    </w:p>
    <w:p w14:paraId="785C1681" w14:textId="33196AB0" w:rsidR="00062ED4" w:rsidRDefault="00062ED4" w:rsidP="00062ED4">
      <w:pPr>
        <w:pStyle w:val="Heading4"/>
        <w:rPr>
          <w:lang w:eastAsia="en-AU"/>
        </w:rPr>
      </w:pPr>
      <w:r>
        <w:rPr>
          <w:lang w:eastAsia="en-AU"/>
        </w:rPr>
        <w:lastRenderedPageBreak/>
        <w:t>Other studies</w:t>
      </w:r>
    </w:p>
    <w:p w14:paraId="711EBF72" w14:textId="69767C88" w:rsidR="00062ED4" w:rsidRDefault="00062ED4" w:rsidP="00062ED4">
      <w:pPr>
        <w:pStyle w:val="Heading5"/>
        <w:rPr>
          <w:lang w:eastAsia="en-AU"/>
        </w:rPr>
      </w:pPr>
      <w:r>
        <w:rPr>
          <w:lang w:eastAsia="en-AU"/>
        </w:rPr>
        <w:t xml:space="preserve">Behavioural effects of </w:t>
      </w:r>
      <w:proofErr w:type="spellStart"/>
      <w:r>
        <w:rPr>
          <w:lang w:eastAsia="en-AU"/>
        </w:rPr>
        <w:t>bLf</w:t>
      </w:r>
      <w:proofErr w:type="spellEnd"/>
      <w:r>
        <w:rPr>
          <w:lang w:eastAsia="en-AU"/>
        </w:rPr>
        <w:t xml:space="preserve"> during postnatal development of </w:t>
      </w:r>
      <w:r w:rsidRPr="002C098D">
        <w:rPr>
          <w:lang w:eastAsia="en-AU"/>
        </w:rPr>
        <w:t>rats (</w:t>
      </w:r>
      <w:proofErr w:type="spellStart"/>
      <w:r w:rsidRPr="002C098D">
        <w:rPr>
          <w:lang w:eastAsia="en-AU"/>
        </w:rPr>
        <w:t>Shumake</w:t>
      </w:r>
      <w:proofErr w:type="spellEnd"/>
      <w:r w:rsidRPr="002C098D">
        <w:rPr>
          <w:lang w:eastAsia="en-AU"/>
        </w:rPr>
        <w:t xml:space="preserve"> et al</w:t>
      </w:r>
      <w:r w:rsidR="008743DA">
        <w:rPr>
          <w:lang w:eastAsia="en-AU"/>
        </w:rPr>
        <w:t>.</w:t>
      </w:r>
      <w:r w:rsidRPr="002C098D">
        <w:rPr>
          <w:lang w:eastAsia="en-AU"/>
        </w:rPr>
        <w:t xml:space="preserve"> 2014;</w:t>
      </w:r>
      <w:r>
        <w:rPr>
          <w:lang w:eastAsia="en-AU"/>
        </w:rPr>
        <w:t xml:space="preserve"> Regulatory status: Non-GLP, non-guideline</w:t>
      </w:r>
    </w:p>
    <w:p w14:paraId="033B0CF7" w14:textId="77777777" w:rsidR="001C24C8" w:rsidRDefault="001D1A23" w:rsidP="00690206">
      <w:pPr>
        <w:rPr>
          <w:rFonts w:cs="Arial"/>
          <w:lang w:eastAsia="en-AU"/>
        </w:rPr>
      </w:pPr>
      <w:r>
        <w:rPr>
          <w:rFonts w:cs="Arial"/>
          <w:lang w:eastAsia="en-AU"/>
        </w:rPr>
        <w:t>The effect o</w:t>
      </w:r>
      <w:r w:rsidR="002B7BD2">
        <w:rPr>
          <w:rFonts w:cs="Arial"/>
          <w:lang w:eastAsia="en-AU"/>
        </w:rPr>
        <w:t xml:space="preserve">f oral administration of </w:t>
      </w:r>
      <w:proofErr w:type="spellStart"/>
      <w:r w:rsidR="002B7BD2">
        <w:rPr>
          <w:rFonts w:cs="Arial"/>
          <w:lang w:eastAsia="en-AU"/>
        </w:rPr>
        <w:t>bLf</w:t>
      </w:r>
      <w:proofErr w:type="spellEnd"/>
      <w:r w:rsidR="00D85FC0">
        <w:rPr>
          <w:rFonts w:cs="Arial"/>
          <w:lang w:eastAsia="en-AU"/>
        </w:rPr>
        <w:t xml:space="preserve"> (98% purity, iron content 120 mg/kg)</w:t>
      </w:r>
      <w:r w:rsidR="00740390">
        <w:rPr>
          <w:rFonts w:cs="Arial"/>
          <w:lang w:eastAsia="en-AU"/>
        </w:rPr>
        <w:t xml:space="preserve"> to Holtzman albino rats</w:t>
      </w:r>
      <w:r w:rsidR="003E4A26">
        <w:rPr>
          <w:rFonts w:cs="Arial"/>
          <w:lang w:eastAsia="en-AU"/>
        </w:rPr>
        <w:t xml:space="preserve"> during postnatal development</w:t>
      </w:r>
      <w:r w:rsidR="002B7BD2">
        <w:rPr>
          <w:rFonts w:cs="Arial"/>
          <w:lang w:eastAsia="en-AU"/>
        </w:rPr>
        <w:t xml:space="preserve"> </w:t>
      </w:r>
      <w:r w:rsidR="00DF4F85">
        <w:rPr>
          <w:rFonts w:cs="Arial"/>
          <w:lang w:eastAsia="en-AU"/>
        </w:rPr>
        <w:t xml:space="preserve">on behavioural responses to stress was assessed in two experiments. </w:t>
      </w:r>
    </w:p>
    <w:p w14:paraId="499BF922" w14:textId="77777777" w:rsidR="001C24C8" w:rsidRDefault="001C24C8" w:rsidP="00690206">
      <w:pPr>
        <w:rPr>
          <w:rFonts w:cs="Arial"/>
          <w:lang w:eastAsia="en-AU"/>
        </w:rPr>
      </w:pPr>
    </w:p>
    <w:p w14:paraId="3853D1E7" w14:textId="65D21AD1" w:rsidR="00062ED4" w:rsidRDefault="00DF4F85" w:rsidP="00681434">
      <w:pPr>
        <w:rPr>
          <w:rFonts w:cs="Arial"/>
          <w:lang w:eastAsia="en-AU"/>
        </w:rPr>
      </w:pPr>
      <w:r>
        <w:rPr>
          <w:rFonts w:cs="Arial"/>
          <w:lang w:eastAsia="en-AU"/>
        </w:rPr>
        <w:t>In</w:t>
      </w:r>
      <w:r w:rsidR="003E4A26">
        <w:rPr>
          <w:rFonts w:cs="Arial"/>
          <w:lang w:eastAsia="en-AU"/>
        </w:rPr>
        <w:t xml:space="preserve"> experiment 1, </w:t>
      </w:r>
      <w:r w:rsidR="002D3A53">
        <w:rPr>
          <w:rFonts w:cs="Arial"/>
          <w:lang w:eastAsia="en-AU"/>
        </w:rPr>
        <w:t xml:space="preserve">750 mg/kg </w:t>
      </w:r>
      <w:proofErr w:type="spellStart"/>
      <w:r w:rsidR="002D3A53">
        <w:rPr>
          <w:rFonts w:cs="Arial"/>
          <w:lang w:eastAsia="en-AU"/>
        </w:rPr>
        <w:t>bw</w:t>
      </w:r>
      <w:proofErr w:type="spellEnd"/>
      <w:r w:rsidR="002D3A53">
        <w:rPr>
          <w:rFonts w:cs="Arial"/>
          <w:lang w:eastAsia="en-AU"/>
        </w:rPr>
        <w:t xml:space="preserve">/day </w:t>
      </w:r>
      <w:proofErr w:type="spellStart"/>
      <w:r w:rsidR="002D3A53">
        <w:rPr>
          <w:rFonts w:cs="Arial"/>
          <w:lang w:eastAsia="en-AU"/>
        </w:rPr>
        <w:t>bLf</w:t>
      </w:r>
      <w:proofErr w:type="spellEnd"/>
      <w:r w:rsidR="002D3A53">
        <w:rPr>
          <w:rFonts w:cs="Arial"/>
          <w:lang w:eastAsia="en-AU"/>
        </w:rPr>
        <w:t xml:space="preserve"> was administered orally in the form of a vanilla</w:t>
      </w:r>
      <w:r w:rsidR="00740390">
        <w:rPr>
          <w:rFonts w:cs="Arial"/>
          <w:lang w:eastAsia="en-AU"/>
        </w:rPr>
        <w:t xml:space="preserve"> wafer paste </w:t>
      </w:r>
      <w:r w:rsidR="005E3202">
        <w:rPr>
          <w:rFonts w:cs="Arial"/>
          <w:lang w:eastAsia="en-AU"/>
        </w:rPr>
        <w:t xml:space="preserve">suspension </w:t>
      </w:r>
      <w:r w:rsidR="00740390">
        <w:rPr>
          <w:rFonts w:cs="Arial"/>
          <w:lang w:eastAsia="en-AU"/>
        </w:rPr>
        <w:t>in drinking water</w:t>
      </w:r>
      <w:r w:rsidR="005E3202">
        <w:rPr>
          <w:rFonts w:cs="Arial"/>
          <w:lang w:eastAsia="en-AU"/>
        </w:rPr>
        <w:t xml:space="preserve"> (10% </w:t>
      </w:r>
      <w:r w:rsidR="0031448C">
        <w:rPr>
          <w:rFonts w:cs="Arial"/>
          <w:lang w:eastAsia="en-AU"/>
        </w:rPr>
        <w:t xml:space="preserve">w/v </w:t>
      </w:r>
      <w:r w:rsidR="005E3202">
        <w:rPr>
          <w:rFonts w:cs="Arial"/>
          <w:lang w:eastAsia="en-AU"/>
        </w:rPr>
        <w:t xml:space="preserve">vanilla wafer, 10% </w:t>
      </w:r>
      <w:r w:rsidR="0031448C">
        <w:rPr>
          <w:rFonts w:cs="Arial"/>
          <w:lang w:eastAsia="en-AU"/>
        </w:rPr>
        <w:t xml:space="preserve">w/v </w:t>
      </w:r>
      <w:r w:rsidR="005E3202">
        <w:rPr>
          <w:rFonts w:cs="Arial"/>
          <w:lang w:eastAsia="en-AU"/>
        </w:rPr>
        <w:t>sucrose)</w:t>
      </w:r>
      <w:r w:rsidR="00740390">
        <w:rPr>
          <w:rFonts w:cs="Arial"/>
          <w:lang w:eastAsia="en-AU"/>
        </w:rPr>
        <w:t xml:space="preserve"> to rats from </w:t>
      </w:r>
      <w:r w:rsidR="00A74164">
        <w:rPr>
          <w:rFonts w:cs="Arial"/>
          <w:lang w:eastAsia="en-AU"/>
        </w:rPr>
        <w:t>postnatal day (PND) 16</w:t>
      </w:r>
      <w:r w:rsidR="00731975">
        <w:rPr>
          <w:rFonts w:cs="Arial"/>
          <w:lang w:eastAsia="en-AU"/>
        </w:rPr>
        <w:t xml:space="preserve"> for 18 days. </w:t>
      </w:r>
      <w:r w:rsidR="005B6E28">
        <w:rPr>
          <w:rFonts w:cs="Arial"/>
          <w:lang w:eastAsia="en-AU"/>
        </w:rPr>
        <w:t xml:space="preserve">Nine males and nine females were administered </w:t>
      </w:r>
      <w:proofErr w:type="spellStart"/>
      <w:r w:rsidR="005B6E28">
        <w:rPr>
          <w:rFonts w:cs="Arial"/>
          <w:lang w:eastAsia="en-AU"/>
        </w:rPr>
        <w:t>bLf</w:t>
      </w:r>
      <w:proofErr w:type="spellEnd"/>
      <w:r w:rsidR="005B6E28">
        <w:rPr>
          <w:rFonts w:cs="Arial"/>
          <w:lang w:eastAsia="en-AU"/>
        </w:rPr>
        <w:t xml:space="preserve"> </w:t>
      </w:r>
      <w:r w:rsidR="000950E9">
        <w:rPr>
          <w:rFonts w:cs="Arial"/>
          <w:lang w:eastAsia="en-AU"/>
        </w:rPr>
        <w:t xml:space="preserve">and 8 males and 8 females received the vehicle control. </w:t>
      </w:r>
      <w:r w:rsidR="00DB400B">
        <w:rPr>
          <w:rFonts w:cs="Arial"/>
          <w:lang w:eastAsia="en-AU"/>
        </w:rPr>
        <w:t xml:space="preserve">Following weaning on PND 23 </w:t>
      </w:r>
      <w:r w:rsidR="0003317A">
        <w:rPr>
          <w:rFonts w:cs="Arial"/>
          <w:lang w:eastAsia="en-AU"/>
        </w:rPr>
        <w:t xml:space="preserve">rats were assessed for general motor activity and performance in a range of </w:t>
      </w:r>
      <w:r w:rsidR="001C24C8">
        <w:rPr>
          <w:rFonts w:cs="Arial"/>
          <w:lang w:eastAsia="en-AU"/>
        </w:rPr>
        <w:t>behavioural tests</w:t>
      </w:r>
      <w:r w:rsidR="007D5150">
        <w:rPr>
          <w:rFonts w:cs="Arial"/>
          <w:lang w:eastAsia="en-AU"/>
        </w:rPr>
        <w:t xml:space="preserve"> over several days</w:t>
      </w:r>
      <w:r w:rsidR="001C24C8">
        <w:rPr>
          <w:rFonts w:cs="Arial"/>
          <w:lang w:eastAsia="en-AU"/>
        </w:rPr>
        <w:t xml:space="preserve">: </w:t>
      </w:r>
      <w:r w:rsidR="00681434" w:rsidRPr="00681434">
        <w:rPr>
          <w:rFonts w:cs="Arial"/>
          <w:lang w:eastAsia="en-AU"/>
        </w:rPr>
        <w:t>open field (forced exploration</w:t>
      </w:r>
      <w:r w:rsidR="00681434">
        <w:rPr>
          <w:rFonts w:cs="Arial"/>
          <w:lang w:eastAsia="en-AU"/>
        </w:rPr>
        <w:t xml:space="preserve"> </w:t>
      </w:r>
      <w:r w:rsidR="00681434" w:rsidRPr="00681434">
        <w:rPr>
          <w:rFonts w:cs="Arial"/>
          <w:lang w:eastAsia="en-AU"/>
        </w:rPr>
        <w:t>of risky environment), light–dark emergence</w:t>
      </w:r>
      <w:r w:rsidR="00681434">
        <w:rPr>
          <w:rFonts w:cs="Arial"/>
          <w:lang w:eastAsia="en-AU"/>
        </w:rPr>
        <w:t xml:space="preserve"> </w:t>
      </w:r>
      <w:r w:rsidR="00681434" w:rsidRPr="00681434">
        <w:rPr>
          <w:rFonts w:cs="Arial"/>
          <w:lang w:eastAsia="en-AU"/>
        </w:rPr>
        <w:t>(voluntary exploration of risky environment), baited</w:t>
      </w:r>
      <w:r w:rsidR="00681434">
        <w:rPr>
          <w:rFonts w:cs="Arial"/>
          <w:lang w:eastAsia="en-AU"/>
        </w:rPr>
        <w:t xml:space="preserve"> </w:t>
      </w:r>
      <w:proofErr w:type="spellStart"/>
      <w:r w:rsidR="00681434" w:rsidRPr="00681434">
        <w:rPr>
          <w:rFonts w:cs="Arial"/>
          <w:lang w:eastAsia="en-AU"/>
        </w:rPr>
        <w:t>holeboard</w:t>
      </w:r>
      <w:proofErr w:type="spellEnd"/>
      <w:r w:rsidR="00681434" w:rsidRPr="00681434">
        <w:rPr>
          <w:rFonts w:cs="Arial"/>
          <w:lang w:eastAsia="en-AU"/>
        </w:rPr>
        <w:t xml:space="preserve"> (working and reference memory), food</w:t>
      </w:r>
      <w:r w:rsidR="00681434">
        <w:rPr>
          <w:rFonts w:cs="Arial"/>
          <w:lang w:eastAsia="en-AU"/>
        </w:rPr>
        <w:t xml:space="preserve"> </w:t>
      </w:r>
      <w:r w:rsidR="00681434" w:rsidRPr="00681434">
        <w:rPr>
          <w:rFonts w:cs="Arial"/>
          <w:lang w:eastAsia="en-AU"/>
        </w:rPr>
        <w:t>neophobia (preference for familiar versus novel food),</w:t>
      </w:r>
      <w:r w:rsidR="00681434">
        <w:rPr>
          <w:rFonts w:cs="Arial"/>
          <w:lang w:eastAsia="en-AU"/>
        </w:rPr>
        <w:t xml:space="preserve"> f</w:t>
      </w:r>
      <w:r w:rsidR="00681434" w:rsidRPr="00681434">
        <w:rPr>
          <w:rFonts w:cs="Arial"/>
          <w:lang w:eastAsia="en-AU"/>
        </w:rPr>
        <w:t>orced swim (test for antidepressant efficacy), and</w:t>
      </w:r>
      <w:r w:rsidR="00376894">
        <w:rPr>
          <w:rFonts w:cs="Arial"/>
          <w:lang w:eastAsia="en-AU"/>
        </w:rPr>
        <w:t xml:space="preserve"> </w:t>
      </w:r>
      <w:r w:rsidR="00681434" w:rsidRPr="00681434">
        <w:rPr>
          <w:rFonts w:cs="Arial"/>
          <w:lang w:eastAsia="en-AU"/>
        </w:rPr>
        <w:t xml:space="preserve">shuttle-box escape (learning to escape </w:t>
      </w:r>
      <w:proofErr w:type="spellStart"/>
      <w:r w:rsidR="00681434" w:rsidRPr="00681434">
        <w:rPr>
          <w:rFonts w:cs="Arial"/>
          <w:lang w:eastAsia="en-AU"/>
        </w:rPr>
        <w:t>footshock</w:t>
      </w:r>
      <w:proofErr w:type="spellEnd"/>
      <w:r w:rsidR="00681434" w:rsidRPr="00681434">
        <w:rPr>
          <w:rFonts w:cs="Arial"/>
          <w:lang w:eastAsia="en-AU"/>
        </w:rPr>
        <w:t>).</w:t>
      </w:r>
    </w:p>
    <w:p w14:paraId="23CE9CFC" w14:textId="77777777" w:rsidR="0095041C" w:rsidRDefault="0095041C" w:rsidP="00681434"/>
    <w:p w14:paraId="69968F67" w14:textId="339E31A9" w:rsidR="0095041C" w:rsidRDefault="0095041C" w:rsidP="00681434">
      <w:r>
        <w:t xml:space="preserve">In experiment 2, </w:t>
      </w:r>
      <w:r w:rsidR="00205AEF">
        <w:t>0, 50</w:t>
      </w:r>
      <w:r w:rsidR="00424406">
        <w:t>0</w:t>
      </w:r>
      <w:r w:rsidR="00205AEF">
        <w:t xml:space="preserve">, 1000 or 2000 mg/kg </w:t>
      </w:r>
      <w:proofErr w:type="spellStart"/>
      <w:r w:rsidR="00205AEF">
        <w:t>bw</w:t>
      </w:r>
      <w:proofErr w:type="spellEnd"/>
      <w:r w:rsidR="00205AEF">
        <w:t xml:space="preserve">/day </w:t>
      </w:r>
      <w:proofErr w:type="spellStart"/>
      <w:r w:rsidR="00205AEF">
        <w:t>bLf</w:t>
      </w:r>
      <w:proofErr w:type="spellEnd"/>
      <w:r w:rsidR="00205AEF">
        <w:t xml:space="preserve"> </w:t>
      </w:r>
      <w:r w:rsidR="0048188E">
        <w:t>in the same vehicle was administered to rats (7-8 males and 6-7 females per group)</w:t>
      </w:r>
      <w:r w:rsidR="00871117">
        <w:t xml:space="preserve"> </w:t>
      </w:r>
      <w:r w:rsidR="008D4161">
        <w:t xml:space="preserve">from PND 16, with </w:t>
      </w:r>
      <w:proofErr w:type="spellStart"/>
      <w:r w:rsidR="008D4161">
        <w:t>bLf</w:t>
      </w:r>
      <w:proofErr w:type="spellEnd"/>
      <w:r w:rsidR="008D4161">
        <w:t xml:space="preserve"> administration continued for </w:t>
      </w:r>
      <w:r w:rsidR="008E30CD">
        <w:t>2 weeks after weaning on PND 23 (i.e. up to PND 37)</w:t>
      </w:r>
      <w:r w:rsidR="00871117">
        <w:t xml:space="preserve">. </w:t>
      </w:r>
      <w:r w:rsidR="00376894">
        <w:t xml:space="preserve">Behavioural testing began </w:t>
      </w:r>
      <w:r w:rsidR="00A23BE8">
        <w:t xml:space="preserve">on PND 37 and consisted of </w:t>
      </w:r>
      <w:r w:rsidR="00443408">
        <w:t xml:space="preserve">light-dark emergence, food neophobia, </w:t>
      </w:r>
      <w:r w:rsidR="00346112">
        <w:t>escape-swim test</w:t>
      </w:r>
      <w:r w:rsidR="00A31EDA">
        <w:t xml:space="preserve">, passive avoidance and shuttle-box escape. </w:t>
      </w:r>
    </w:p>
    <w:p w14:paraId="70A694F1" w14:textId="77777777" w:rsidR="00237534" w:rsidRDefault="00237534" w:rsidP="00681434"/>
    <w:p w14:paraId="0657C5A5" w14:textId="77777777" w:rsidR="009E3846" w:rsidRDefault="00237534" w:rsidP="009E3846">
      <w:r>
        <w:t xml:space="preserve">No adverse effects of </w:t>
      </w:r>
      <w:proofErr w:type="spellStart"/>
      <w:r>
        <w:t>bLf</w:t>
      </w:r>
      <w:proofErr w:type="spellEnd"/>
      <w:r>
        <w:t xml:space="preserve"> on general motor activity, behaviour and or learning were observed in either study. </w:t>
      </w:r>
      <w:r w:rsidR="001E3A57">
        <w:t xml:space="preserve">In experiment 1, </w:t>
      </w:r>
      <w:proofErr w:type="spellStart"/>
      <w:r w:rsidR="009E3846">
        <w:t>bLf</w:t>
      </w:r>
      <w:proofErr w:type="spellEnd"/>
      <w:r w:rsidR="009E3846">
        <w:t>-supplemented rats showed less exploration of the</w:t>
      </w:r>
    </w:p>
    <w:p w14:paraId="61840B19" w14:textId="535AD9DD" w:rsidR="00237534" w:rsidRDefault="009E3846" w:rsidP="009E3846">
      <w:r>
        <w:t xml:space="preserve">risky environment, greater preference for a familiar food odour, and faster escape responses. In experiment 2, </w:t>
      </w:r>
      <w:r w:rsidR="00651663">
        <w:t xml:space="preserve">males </w:t>
      </w:r>
      <w:r w:rsidR="00424406">
        <w:t xml:space="preserve">receiving 1000 or 2000 mg/kg </w:t>
      </w:r>
      <w:proofErr w:type="spellStart"/>
      <w:r w:rsidR="00424406">
        <w:t>bw</w:t>
      </w:r>
      <w:proofErr w:type="spellEnd"/>
      <w:r w:rsidR="00424406">
        <w:t xml:space="preserve">/day </w:t>
      </w:r>
      <w:proofErr w:type="spellStart"/>
      <w:r w:rsidR="00424406">
        <w:t>bLf</w:t>
      </w:r>
      <w:proofErr w:type="spellEnd"/>
      <w:r w:rsidR="00424406">
        <w:t xml:space="preserve"> mastered the water-escape task 20-25% sooner than those receiving the vehicle or 500 mg/kg </w:t>
      </w:r>
      <w:proofErr w:type="spellStart"/>
      <w:r w:rsidR="00424406">
        <w:t>bw</w:t>
      </w:r>
      <w:proofErr w:type="spellEnd"/>
      <w:r w:rsidR="00424406">
        <w:t xml:space="preserve">/day. </w:t>
      </w:r>
      <w:r w:rsidR="005442C0">
        <w:t xml:space="preserve">A similar effect was not observed in females. </w:t>
      </w:r>
    </w:p>
    <w:p w14:paraId="6B744753" w14:textId="77777777" w:rsidR="005442C0" w:rsidRDefault="005442C0" w:rsidP="009E3846"/>
    <w:p w14:paraId="2550D9CF" w14:textId="2958419F" w:rsidR="005442C0" w:rsidRDefault="005442C0" w:rsidP="009E3846">
      <w:r>
        <w:t xml:space="preserve">The study authors concluded that </w:t>
      </w:r>
      <w:proofErr w:type="spellStart"/>
      <w:r>
        <w:t>bLf</w:t>
      </w:r>
      <w:proofErr w:type="spellEnd"/>
      <w:r>
        <w:t xml:space="preserve"> supplementation during development may improve subsequent cognitive performance during stress</w:t>
      </w:r>
      <w:r w:rsidR="0031448C">
        <w:t xml:space="preserve"> in rats</w:t>
      </w:r>
      <w:r>
        <w:t xml:space="preserve">. </w:t>
      </w:r>
    </w:p>
    <w:p w14:paraId="0800B84E" w14:textId="4D4880D1" w:rsidR="00155066" w:rsidRDefault="00155066" w:rsidP="006406E3">
      <w:pPr>
        <w:pStyle w:val="Heading3"/>
      </w:pPr>
      <w:bookmarkStart w:id="56" w:name="_Toc111626691"/>
      <w:bookmarkStart w:id="57" w:name="_Toc112915001"/>
      <w:bookmarkStart w:id="58" w:name="_Toc113523048"/>
      <w:r>
        <w:t>3.1.3</w:t>
      </w:r>
      <w:r>
        <w:tab/>
        <w:t>Human</w:t>
      </w:r>
      <w:r w:rsidR="0052668A">
        <w:t xml:space="preserve"> tolerance</w:t>
      </w:r>
      <w:r>
        <w:t xml:space="preserve"> studies</w:t>
      </w:r>
      <w:bookmarkEnd w:id="56"/>
      <w:bookmarkEnd w:id="57"/>
      <w:bookmarkEnd w:id="58"/>
    </w:p>
    <w:p w14:paraId="03FDB09B" w14:textId="1FC5DF5D" w:rsidR="00155066" w:rsidRDefault="00375BDB" w:rsidP="009E3846">
      <w:r>
        <w:t xml:space="preserve">A number of studies of the </w:t>
      </w:r>
      <w:r w:rsidR="00524AB2">
        <w:t xml:space="preserve">administration of </w:t>
      </w:r>
      <w:proofErr w:type="spellStart"/>
      <w:r>
        <w:t>bLf</w:t>
      </w:r>
      <w:proofErr w:type="spellEnd"/>
      <w:r>
        <w:t xml:space="preserve"> </w:t>
      </w:r>
      <w:r w:rsidR="00524AB2">
        <w:t xml:space="preserve">to term, pre-term and/or very low birth weight infants </w:t>
      </w:r>
      <w:r>
        <w:t xml:space="preserve">include details of safety </w:t>
      </w:r>
      <w:r w:rsidR="00C20445">
        <w:t>and tolerance.</w:t>
      </w:r>
      <w:r w:rsidR="005B5A94">
        <w:t xml:space="preserve"> </w:t>
      </w:r>
      <w:proofErr w:type="spellStart"/>
      <w:r w:rsidR="005B5A94">
        <w:t>bLf</w:t>
      </w:r>
      <w:proofErr w:type="spellEnd"/>
      <w:r w:rsidR="005B5A94">
        <w:t xml:space="preserve"> was administered via IFP or directly to the infants.</w:t>
      </w:r>
      <w:r w:rsidR="00C20445">
        <w:t xml:space="preserve"> These studies are summarised i</w:t>
      </w:r>
      <w:r w:rsidR="00A550F2">
        <w:t xml:space="preserve">n Table </w:t>
      </w:r>
      <w:r w:rsidR="00870043">
        <w:t>2</w:t>
      </w:r>
      <w:r w:rsidR="00C20445">
        <w:t xml:space="preserve">. </w:t>
      </w:r>
      <w:r w:rsidR="00524AB2">
        <w:t xml:space="preserve">In these studies </w:t>
      </w:r>
      <w:proofErr w:type="spellStart"/>
      <w:r w:rsidR="00524AB2">
        <w:t>bLf</w:t>
      </w:r>
      <w:proofErr w:type="spellEnd"/>
      <w:r w:rsidR="00524AB2">
        <w:t xml:space="preserve"> was well tolerated with no adverse events related to treatment reported. </w:t>
      </w:r>
      <w:proofErr w:type="spellStart"/>
      <w:r w:rsidR="00CD734A">
        <w:t>bLf</w:t>
      </w:r>
      <w:proofErr w:type="spellEnd"/>
      <w:r w:rsidR="00CD734A">
        <w:t xml:space="preserve"> concentrations up to 1000 mg/L formula were tested in the studies in term infants</w:t>
      </w:r>
      <w:r w:rsidR="009E6894">
        <w:t>,</w:t>
      </w:r>
      <w:r w:rsidR="00CD734A">
        <w:t xml:space="preserve"> while the doses tested in preterm and very low birth weight infants</w:t>
      </w:r>
      <w:r w:rsidR="000D1F7C">
        <w:t xml:space="preserve"> ranged from 100 – 300 mg/kg </w:t>
      </w:r>
      <w:proofErr w:type="spellStart"/>
      <w:r w:rsidR="000D1F7C">
        <w:t>bw</w:t>
      </w:r>
      <w:proofErr w:type="spellEnd"/>
      <w:r w:rsidR="000D1F7C">
        <w:t>/day. These doses</w:t>
      </w:r>
      <w:r w:rsidR="00CD734A">
        <w:t xml:space="preserve"> were estimated as being equivalent to </w:t>
      </w:r>
      <w:proofErr w:type="spellStart"/>
      <w:r w:rsidR="00CD734A">
        <w:t>bLf</w:t>
      </w:r>
      <w:proofErr w:type="spellEnd"/>
      <w:r w:rsidR="00CD734A">
        <w:t xml:space="preserve"> concentrations ranging from 370 – </w:t>
      </w:r>
      <w:r w:rsidR="000E6AE6">
        <w:t>3704</w:t>
      </w:r>
      <w:r w:rsidR="00CD734A">
        <w:t xml:space="preserve"> mg/L.</w:t>
      </w:r>
    </w:p>
    <w:p w14:paraId="3C1A5C2F" w14:textId="36F959B1" w:rsidR="00524AB2" w:rsidRDefault="00524AB2" w:rsidP="009E3846"/>
    <w:p w14:paraId="6889BA6D" w14:textId="0DA67319" w:rsidR="00524AB2" w:rsidRDefault="00524AB2" w:rsidP="009E3846">
      <w:r>
        <w:t>In addition, a recent Cochrane review of the use of enteral</w:t>
      </w:r>
      <w:r w:rsidR="009D74A4">
        <w:t xml:space="preserve"> lactoferrin</w:t>
      </w:r>
      <w:r>
        <w:t xml:space="preserve"> supplementation</w:t>
      </w:r>
      <w:r w:rsidR="009D74A4">
        <w:t xml:space="preserve"> (human or bovine)</w:t>
      </w:r>
      <w:r>
        <w:t xml:space="preserve"> for prevention of sepsis and necrotizing enterocolitis in preterm infants found that no adverse eff</w:t>
      </w:r>
      <w:r w:rsidRPr="00FE2EE5">
        <w:t>ects were reported in 12 studies involving 5425 preterm babies (</w:t>
      </w:r>
      <w:proofErr w:type="spellStart"/>
      <w:r w:rsidRPr="00FE2EE5">
        <w:t>Pammi</w:t>
      </w:r>
      <w:proofErr w:type="spellEnd"/>
      <w:r w:rsidRPr="00FE2EE5">
        <w:t xml:space="preserve"> &amp; Gautham 202</w:t>
      </w:r>
      <w:r w:rsidR="00FE2EE5" w:rsidRPr="00FE2EE5">
        <w:t>0</w:t>
      </w:r>
      <w:r>
        <w:t xml:space="preserve">). </w:t>
      </w:r>
    </w:p>
    <w:p w14:paraId="209EB30B" w14:textId="42FDB9B1" w:rsidR="00155066" w:rsidRDefault="00155066" w:rsidP="009E3846"/>
    <w:p w14:paraId="4F6CC4C0" w14:textId="77777777" w:rsidR="004F206D" w:rsidRDefault="004F206D" w:rsidP="009E3846">
      <w:pPr>
        <w:sectPr w:rsidR="004F206D" w:rsidSect="0054272D">
          <w:pgSz w:w="11906" w:h="16838"/>
          <w:pgMar w:top="1418" w:right="1418" w:bottom="1418" w:left="1418" w:header="709" w:footer="709" w:gutter="0"/>
          <w:pgNumType w:start="1"/>
          <w:cols w:space="708"/>
          <w:docGrid w:linePitch="360"/>
        </w:sectPr>
      </w:pPr>
    </w:p>
    <w:p w14:paraId="72F7B59E" w14:textId="26A23B39" w:rsidR="002D2918" w:rsidRDefault="00A550F2" w:rsidP="00A550F2">
      <w:pPr>
        <w:pStyle w:val="FSTableTitle"/>
      </w:pPr>
      <w:r>
        <w:lastRenderedPageBreak/>
        <w:t xml:space="preserve">Table 2 Intervention studies reporting on safety and tolerance of </w:t>
      </w:r>
      <w:proofErr w:type="spellStart"/>
      <w:r>
        <w:t>bLf</w:t>
      </w:r>
      <w:proofErr w:type="spellEnd"/>
      <w:r>
        <w:t>-supplemented IFP in term and pre-term infants</w:t>
      </w:r>
    </w:p>
    <w:p w14:paraId="3C8697DD" w14:textId="77777777" w:rsidR="00A550F2" w:rsidRPr="002D2918" w:rsidRDefault="00A550F2" w:rsidP="002D2918"/>
    <w:tbl>
      <w:tblPr>
        <w:tblStyle w:val="TableGrid"/>
        <w:tblW w:w="15089" w:type="dxa"/>
        <w:tblLook w:val="04A0" w:firstRow="1" w:lastRow="0" w:firstColumn="1" w:lastColumn="0" w:noHBand="0" w:noVBand="1"/>
      </w:tblPr>
      <w:tblGrid>
        <w:gridCol w:w="1407"/>
        <w:gridCol w:w="1362"/>
        <w:gridCol w:w="1060"/>
        <w:gridCol w:w="1786"/>
        <w:gridCol w:w="1543"/>
        <w:gridCol w:w="2401"/>
        <w:gridCol w:w="5530"/>
      </w:tblGrid>
      <w:tr w:rsidR="00432B8A" w14:paraId="25AECE19" w14:textId="77777777" w:rsidTr="006130E9">
        <w:trPr>
          <w:tblHeader/>
        </w:trPr>
        <w:tc>
          <w:tcPr>
            <w:tcW w:w="1407" w:type="dxa"/>
            <w:shd w:val="clear" w:color="auto" w:fill="616571"/>
          </w:tcPr>
          <w:p w14:paraId="15A75889" w14:textId="4F864602" w:rsidR="00B06883" w:rsidRPr="006130E9" w:rsidRDefault="00B06883" w:rsidP="002D2918">
            <w:pPr>
              <w:pStyle w:val="FSTableHeading"/>
              <w:rPr>
                <w:color w:val="FFFFFF" w:themeColor="background1"/>
              </w:rPr>
            </w:pPr>
            <w:r w:rsidRPr="006130E9">
              <w:rPr>
                <w:color w:val="FFFFFF" w:themeColor="background1"/>
              </w:rPr>
              <w:t>Reference</w:t>
            </w:r>
          </w:p>
        </w:tc>
        <w:tc>
          <w:tcPr>
            <w:tcW w:w="1362" w:type="dxa"/>
            <w:shd w:val="clear" w:color="auto" w:fill="616571"/>
          </w:tcPr>
          <w:p w14:paraId="6CE5CB44" w14:textId="5B81E898" w:rsidR="00B06883" w:rsidRPr="006130E9" w:rsidRDefault="00B06883" w:rsidP="002D2918">
            <w:pPr>
              <w:pStyle w:val="FSTableHeading"/>
              <w:rPr>
                <w:color w:val="FFFFFF" w:themeColor="background1"/>
              </w:rPr>
            </w:pPr>
            <w:r w:rsidRPr="006130E9">
              <w:rPr>
                <w:color w:val="FFFFFF" w:themeColor="background1"/>
              </w:rPr>
              <w:t>Study design</w:t>
            </w:r>
          </w:p>
        </w:tc>
        <w:tc>
          <w:tcPr>
            <w:tcW w:w="1060" w:type="dxa"/>
            <w:shd w:val="clear" w:color="auto" w:fill="616571"/>
          </w:tcPr>
          <w:p w14:paraId="1AC7F83B" w14:textId="491605B5" w:rsidR="00B06883" w:rsidRPr="006130E9" w:rsidRDefault="00B06883" w:rsidP="002D2918">
            <w:pPr>
              <w:pStyle w:val="FSTableHeading"/>
              <w:rPr>
                <w:color w:val="FFFFFF" w:themeColor="background1"/>
              </w:rPr>
            </w:pPr>
            <w:r w:rsidRPr="006130E9">
              <w:rPr>
                <w:color w:val="FFFFFF" w:themeColor="background1"/>
              </w:rPr>
              <w:t>Country</w:t>
            </w:r>
          </w:p>
        </w:tc>
        <w:tc>
          <w:tcPr>
            <w:tcW w:w="1786" w:type="dxa"/>
            <w:shd w:val="clear" w:color="auto" w:fill="616571"/>
          </w:tcPr>
          <w:p w14:paraId="048AB9B1" w14:textId="033F5A9A" w:rsidR="00B06883" w:rsidRPr="006130E9" w:rsidRDefault="00B06883" w:rsidP="002D2918">
            <w:pPr>
              <w:pStyle w:val="FSTableHeading"/>
              <w:rPr>
                <w:color w:val="FFFFFF" w:themeColor="background1"/>
              </w:rPr>
            </w:pPr>
            <w:proofErr w:type="spellStart"/>
            <w:r w:rsidRPr="006130E9">
              <w:rPr>
                <w:color w:val="FFFFFF" w:themeColor="background1"/>
              </w:rPr>
              <w:t>bLf</w:t>
            </w:r>
            <w:proofErr w:type="spellEnd"/>
            <w:r w:rsidRPr="006130E9">
              <w:rPr>
                <w:color w:val="FFFFFF" w:themeColor="background1"/>
              </w:rPr>
              <w:t xml:space="preserve"> source</w:t>
            </w:r>
          </w:p>
        </w:tc>
        <w:tc>
          <w:tcPr>
            <w:tcW w:w="1543" w:type="dxa"/>
            <w:shd w:val="clear" w:color="auto" w:fill="616571"/>
          </w:tcPr>
          <w:p w14:paraId="59026F00" w14:textId="279C1FDD" w:rsidR="00B06883" w:rsidRPr="006130E9" w:rsidRDefault="00B06883" w:rsidP="002D2918">
            <w:pPr>
              <w:pStyle w:val="FSTableHeading"/>
              <w:rPr>
                <w:color w:val="FFFFFF" w:themeColor="background1"/>
              </w:rPr>
            </w:pPr>
            <w:r w:rsidRPr="006130E9">
              <w:rPr>
                <w:color w:val="FFFFFF" w:themeColor="background1"/>
              </w:rPr>
              <w:t>Study population</w:t>
            </w:r>
          </w:p>
        </w:tc>
        <w:tc>
          <w:tcPr>
            <w:tcW w:w="2401" w:type="dxa"/>
            <w:shd w:val="clear" w:color="auto" w:fill="616571"/>
          </w:tcPr>
          <w:p w14:paraId="4D693994" w14:textId="759E9BA8" w:rsidR="00B06883" w:rsidRPr="006130E9" w:rsidRDefault="00B06883" w:rsidP="002D2918">
            <w:pPr>
              <w:pStyle w:val="FSTableHeading"/>
              <w:rPr>
                <w:color w:val="FFFFFF" w:themeColor="background1"/>
              </w:rPr>
            </w:pPr>
            <w:r w:rsidRPr="006130E9">
              <w:rPr>
                <w:color w:val="FFFFFF" w:themeColor="background1"/>
              </w:rPr>
              <w:t>Study groups and intervention</w:t>
            </w:r>
          </w:p>
        </w:tc>
        <w:tc>
          <w:tcPr>
            <w:tcW w:w="5530" w:type="dxa"/>
            <w:shd w:val="clear" w:color="auto" w:fill="616571"/>
          </w:tcPr>
          <w:p w14:paraId="58D2AFCA" w14:textId="5A23CFC3" w:rsidR="00B06883" w:rsidRPr="006130E9" w:rsidRDefault="00B06883" w:rsidP="002D2918">
            <w:pPr>
              <w:pStyle w:val="FSTableHeading"/>
              <w:rPr>
                <w:color w:val="FFFFFF" w:themeColor="background1"/>
              </w:rPr>
            </w:pPr>
            <w:r w:rsidRPr="006130E9">
              <w:rPr>
                <w:color w:val="FFFFFF" w:themeColor="background1"/>
              </w:rPr>
              <w:t>Findings related to safety</w:t>
            </w:r>
          </w:p>
        </w:tc>
      </w:tr>
      <w:tr w:rsidR="00F7532B" w14:paraId="7264E834" w14:textId="77777777" w:rsidTr="00B5597F">
        <w:tc>
          <w:tcPr>
            <w:tcW w:w="15089" w:type="dxa"/>
            <w:gridSpan w:val="7"/>
            <w:tcBorders>
              <w:bottom w:val="single" w:sz="4" w:space="0" w:color="000000"/>
            </w:tcBorders>
            <w:shd w:val="clear" w:color="auto" w:fill="616571"/>
          </w:tcPr>
          <w:p w14:paraId="051E31B0" w14:textId="7AB45BFD" w:rsidR="00F7532B" w:rsidRPr="006130E9" w:rsidRDefault="00F7532B" w:rsidP="00F7532B">
            <w:pPr>
              <w:pStyle w:val="FSTableHeading"/>
              <w:rPr>
                <w:color w:val="FFFFFF" w:themeColor="background1"/>
              </w:rPr>
            </w:pPr>
            <w:r w:rsidRPr="006130E9">
              <w:rPr>
                <w:color w:val="FFFFFF" w:themeColor="background1"/>
              </w:rPr>
              <w:t>Studies in term infants</w:t>
            </w:r>
          </w:p>
        </w:tc>
      </w:tr>
      <w:tr w:rsidR="00432B8A" w14:paraId="4B17DF10" w14:textId="77777777" w:rsidTr="00B5597F">
        <w:tc>
          <w:tcPr>
            <w:tcW w:w="1407" w:type="dxa"/>
            <w:shd w:val="clear" w:color="auto" w:fill="ECECEC"/>
          </w:tcPr>
          <w:p w14:paraId="3E255645" w14:textId="5D37AED3" w:rsidR="00B06883" w:rsidRDefault="00B06883" w:rsidP="00B15747">
            <w:pPr>
              <w:pStyle w:val="FSTableText"/>
            </w:pPr>
            <w:proofErr w:type="spellStart"/>
            <w:r w:rsidRPr="008C5B1B">
              <w:t>Hernell</w:t>
            </w:r>
            <w:proofErr w:type="spellEnd"/>
            <w:r w:rsidRPr="008C5B1B">
              <w:t xml:space="preserve"> and </w:t>
            </w:r>
            <w:proofErr w:type="spellStart"/>
            <w:r w:rsidRPr="008C5B1B">
              <w:t>Lönnerdal</w:t>
            </w:r>
            <w:proofErr w:type="spellEnd"/>
            <w:r>
              <w:t xml:space="preserve"> (2002)</w:t>
            </w:r>
          </w:p>
        </w:tc>
        <w:tc>
          <w:tcPr>
            <w:tcW w:w="1362" w:type="dxa"/>
            <w:shd w:val="clear" w:color="auto" w:fill="ECECEC"/>
          </w:tcPr>
          <w:p w14:paraId="055FD928" w14:textId="201C195E" w:rsidR="00B06883" w:rsidRDefault="00B06883" w:rsidP="00B15747">
            <w:pPr>
              <w:pStyle w:val="FSTableText"/>
            </w:pPr>
            <w:r>
              <w:t>Single-blind intervention</w:t>
            </w:r>
          </w:p>
        </w:tc>
        <w:tc>
          <w:tcPr>
            <w:tcW w:w="1060" w:type="dxa"/>
            <w:shd w:val="clear" w:color="auto" w:fill="ECECEC"/>
          </w:tcPr>
          <w:p w14:paraId="69B2CA24" w14:textId="35EAA244" w:rsidR="00B06883" w:rsidRDefault="00B06883" w:rsidP="00B15747">
            <w:pPr>
              <w:pStyle w:val="FSTableText"/>
            </w:pPr>
            <w:r>
              <w:t>Sweden</w:t>
            </w:r>
          </w:p>
        </w:tc>
        <w:tc>
          <w:tcPr>
            <w:tcW w:w="1786" w:type="dxa"/>
            <w:shd w:val="clear" w:color="auto" w:fill="ECECEC"/>
          </w:tcPr>
          <w:p w14:paraId="775CFBCA" w14:textId="77777777" w:rsidR="00B06883" w:rsidRDefault="00B06883" w:rsidP="00B15747">
            <w:pPr>
              <w:pStyle w:val="FSTableText"/>
            </w:pPr>
            <w:r>
              <w:t>SMR, Sweden</w:t>
            </w:r>
          </w:p>
          <w:p w14:paraId="0B01B381" w14:textId="7B08859E" w:rsidR="00B06883" w:rsidRDefault="00B06883" w:rsidP="00B15747">
            <w:pPr>
              <w:pStyle w:val="FSTableText"/>
            </w:pPr>
            <w:proofErr w:type="spellStart"/>
            <w:r>
              <w:t>bLf</w:t>
            </w:r>
            <w:proofErr w:type="spellEnd"/>
            <w:r>
              <w:t xml:space="preserve"> was saturated with iron by researchers (1.24 mg/g protein)</w:t>
            </w:r>
          </w:p>
        </w:tc>
        <w:tc>
          <w:tcPr>
            <w:tcW w:w="1543" w:type="dxa"/>
            <w:shd w:val="clear" w:color="auto" w:fill="ECECEC"/>
          </w:tcPr>
          <w:p w14:paraId="5B5008F8" w14:textId="11D59EB8" w:rsidR="00B06883" w:rsidRDefault="00B06883" w:rsidP="00B15747">
            <w:pPr>
              <w:pStyle w:val="FSTableText"/>
            </w:pPr>
            <w:r>
              <w:t>Healthy term infants; age 4 ± 2 weeks</w:t>
            </w:r>
          </w:p>
        </w:tc>
        <w:tc>
          <w:tcPr>
            <w:tcW w:w="2401" w:type="dxa"/>
            <w:shd w:val="clear" w:color="auto" w:fill="ECECEC"/>
          </w:tcPr>
          <w:p w14:paraId="3391DD72" w14:textId="77777777" w:rsidR="00B06883" w:rsidRDefault="00B06883" w:rsidP="00B15747">
            <w:pPr>
              <w:pStyle w:val="FSTableText"/>
            </w:pPr>
            <w:r>
              <w:t>Breastfed infants (n=16)</w:t>
            </w:r>
          </w:p>
          <w:p w14:paraId="611194F2" w14:textId="595ED34B" w:rsidR="00B06883" w:rsidRDefault="00B06883" w:rsidP="00B15747">
            <w:pPr>
              <w:pStyle w:val="FSTableText"/>
            </w:pPr>
            <w:r>
              <w:t>Infant formula (IF) with 4 mg/L iron as FeSO</w:t>
            </w:r>
            <w:r w:rsidRPr="008A08C6">
              <w:rPr>
                <w:vertAlign w:val="subscript"/>
              </w:rPr>
              <w:t>4</w:t>
            </w:r>
            <w:r>
              <w:t xml:space="preserve"> (n=11)</w:t>
            </w:r>
          </w:p>
          <w:p w14:paraId="04919FA1" w14:textId="05C9F54A" w:rsidR="00B06883" w:rsidRDefault="00B06883" w:rsidP="00B15747">
            <w:pPr>
              <w:pStyle w:val="FSTableText"/>
            </w:pPr>
            <w:r>
              <w:t xml:space="preserve">IF with 1.8 mg Fe/L, 1.3 </w:t>
            </w:r>
            <w:r w:rsidR="008111EA">
              <w:t>m</w:t>
            </w:r>
            <w:r>
              <w:t xml:space="preserve">g from </w:t>
            </w:r>
            <w:proofErr w:type="spellStart"/>
            <w:r>
              <w:t>bLf</w:t>
            </w:r>
            <w:proofErr w:type="spellEnd"/>
            <w:r>
              <w:t xml:space="preserve"> + 0.5 mg as FeSO</w:t>
            </w:r>
            <w:r w:rsidRPr="00DC1824">
              <w:rPr>
                <w:vertAlign w:val="subscript"/>
              </w:rPr>
              <w:t>4</w:t>
            </w:r>
            <w:r w:rsidR="007B360E">
              <w:t xml:space="preserve">. </w:t>
            </w:r>
            <w:proofErr w:type="spellStart"/>
            <w:r w:rsidR="007B360E">
              <w:t>bLf</w:t>
            </w:r>
            <w:proofErr w:type="spellEnd"/>
            <w:r w:rsidR="007B360E">
              <w:t xml:space="preserve"> concentration 1000 mg/L</w:t>
            </w:r>
            <w:r>
              <w:t xml:space="preserve"> (n=10)</w:t>
            </w:r>
          </w:p>
          <w:p w14:paraId="1CBA3872" w14:textId="305F2264" w:rsidR="00B06883" w:rsidRDefault="00B06883" w:rsidP="00B15747">
            <w:pPr>
              <w:pStyle w:val="FSTableText"/>
            </w:pPr>
            <w:r>
              <w:t>IF with 2.2 mg Fe/L from FeSO</w:t>
            </w:r>
            <w:r w:rsidRPr="008A08C6">
              <w:rPr>
                <w:vertAlign w:val="subscript"/>
              </w:rPr>
              <w:t>4</w:t>
            </w:r>
            <w:r>
              <w:t xml:space="preserve"> + fortified with nucleotides as monophosphates (n=10)</w:t>
            </w:r>
          </w:p>
          <w:p w14:paraId="3CE44011" w14:textId="77777777" w:rsidR="00B06883" w:rsidRDefault="00B06883" w:rsidP="00B15747">
            <w:pPr>
              <w:pStyle w:val="FSTableText"/>
            </w:pPr>
            <w:r>
              <w:t>IF with 1.6 mg Fe/L as FeSO</w:t>
            </w:r>
            <w:r w:rsidRPr="008A08C6">
              <w:rPr>
                <w:vertAlign w:val="subscript"/>
              </w:rPr>
              <w:t>4</w:t>
            </w:r>
            <w:r>
              <w:t xml:space="preserve"> (n=12)</w:t>
            </w:r>
          </w:p>
          <w:p w14:paraId="13AF694B" w14:textId="77777777" w:rsidR="00A03096" w:rsidRDefault="00A03096" w:rsidP="00B15747">
            <w:pPr>
              <w:pStyle w:val="FSTableText"/>
            </w:pPr>
          </w:p>
          <w:p w14:paraId="2874F946" w14:textId="3F9019C5" w:rsidR="00A03096" w:rsidRDefault="00A03096" w:rsidP="00B15747">
            <w:pPr>
              <w:pStyle w:val="FSTableText"/>
            </w:pPr>
            <w:r>
              <w:t>Intervention duration: until 6 months of age</w:t>
            </w:r>
          </w:p>
        </w:tc>
        <w:tc>
          <w:tcPr>
            <w:tcW w:w="5530" w:type="dxa"/>
            <w:shd w:val="clear" w:color="auto" w:fill="ECECEC"/>
          </w:tcPr>
          <w:p w14:paraId="1E05B534" w14:textId="77777777" w:rsidR="00B06883" w:rsidRDefault="00B06883" w:rsidP="00B15747">
            <w:pPr>
              <w:pStyle w:val="FSTableText"/>
            </w:pPr>
            <w:r>
              <w:t xml:space="preserve">All formulas were well tolerated. </w:t>
            </w:r>
          </w:p>
          <w:p w14:paraId="0904BA0C" w14:textId="77777777" w:rsidR="00B06883" w:rsidRDefault="00B06883" w:rsidP="00B15747">
            <w:pPr>
              <w:pStyle w:val="FSTableText"/>
            </w:pPr>
          </w:p>
          <w:p w14:paraId="2A8BAA7A" w14:textId="052D5A4E" w:rsidR="00B06883" w:rsidRDefault="00B06883" w:rsidP="00DC1824">
            <w:pPr>
              <w:pStyle w:val="FSTableText"/>
            </w:pPr>
          </w:p>
        </w:tc>
      </w:tr>
      <w:tr w:rsidR="00432B8A" w14:paraId="698E12F0" w14:textId="77777777" w:rsidTr="00B5597F">
        <w:tc>
          <w:tcPr>
            <w:tcW w:w="1407" w:type="dxa"/>
            <w:tcBorders>
              <w:bottom w:val="single" w:sz="4" w:space="0" w:color="000000"/>
            </w:tcBorders>
          </w:tcPr>
          <w:p w14:paraId="6DD5535C" w14:textId="2A6E7C87" w:rsidR="00B06883" w:rsidRDefault="00B06883" w:rsidP="00B15747">
            <w:pPr>
              <w:pStyle w:val="FSTableText"/>
            </w:pPr>
            <w:r w:rsidRPr="008C5B1B">
              <w:t>King et al</w:t>
            </w:r>
            <w:r w:rsidR="008743DA">
              <w:t>.</w:t>
            </w:r>
            <w:r w:rsidRPr="008C5B1B">
              <w:t xml:space="preserve"> (2007)</w:t>
            </w:r>
          </w:p>
        </w:tc>
        <w:tc>
          <w:tcPr>
            <w:tcW w:w="1362" w:type="dxa"/>
            <w:tcBorders>
              <w:bottom w:val="single" w:sz="4" w:space="0" w:color="000000"/>
            </w:tcBorders>
          </w:tcPr>
          <w:p w14:paraId="07F1F118" w14:textId="51303376" w:rsidR="00B06883" w:rsidRDefault="00B06883" w:rsidP="00FC4C0A">
            <w:pPr>
              <w:pStyle w:val="FSTableText"/>
            </w:pPr>
            <w:r>
              <w:t>Double</w:t>
            </w:r>
            <w:r w:rsidR="00FC4C0A">
              <w:t>-</w:t>
            </w:r>
            <w:r>
              <w:t>blind, randomised controlled trial</w:t>
            </w:r>
          </w:p>
        </w:tc>
        <w:tc>
          <w:tcPr>
            <w:tcW w:w="1060" w:type="dxa"/>
            <w:tcBorders>
              <w:bottom w:val="single" w:sz="4" w:space="0" w:color="000000"/>
            </w:tcBorders>
          </w:tcPr>
          <w:p w14:paraId="116A6AB1" w14:textId="2CAD5709" w:rsidR="00B06883" w:rsidRDefault="00B06883" w:rsidP="00B15747">
            <w:pPr>
              <w:pStyle w:val="FSTableText"/>
            </w:pPr>
            <w:r>
              <w:t>USA</w:t>
            </w:r>
          </w:p>
        </w:tc>
        <w:tc>
          <w:tcPr>
            <w:tcW w:w="1786" w:type="dxa"/>
            <w:tcBorders>
              <w:bottom w:val="single" w:sz="4" w:space="0" w:color="000000"/>
            </w:tcBorders>
          </w:tcPr>
          <w:p w14:paraId="6AAA7C78" w14:textId="77777777" w:rsidR="00B06883" w:rsidRDefault="00B06883" w:rsidP="00B15747">
            <w:pPr>
              <w:pStyle w:val="FSTableText"/>
            </w:pPr>
            <w:r>
              <w:t>DMV International (Friesland Campina)</w:t>
            </w:r>
          </w:p>
          <w:p w14:paraId="3A8BBDF3" w14:textId="23A98D27" w:rsidR="00B06883" w:rsidRDefault="00B06883" w:rsidP="00B06883">
            <w:pPr>
              <w:pStyle w:val="FSTableText"/>
            </w:pPr>
            <w:r>
              <w:t xml:space="preserve">Iron content 0.120 mg/g </w:t>
            </w:r>
            <w:proofErr w:type="spellStart"/>
            <w:r>
              <w:t>bLf</w:t>
            </w:r>
            <w:proofErr w:type="spellEnd"/>
          </w:p>
        </w:tc>
        <w:tc>
          <w:tcPr>
            <w:tcW w:w="1543" w:type="dxa"/>
            <w:tcBorders>
              <w:bottom w:val="single" w:sz="4" w:space="0" w:color="000000"/>
            </w:tcBorders>
          </w:tcPr>
          <w:p w14:paraId="1E02EF37" w14:textId="5BA8DC97" w:rsidR="00B06883" w:rsidRDefault="00B06883" w:rsidP="00B15747">
            <w:pPr>
              <w:pStyle w:val="FSTableText"/>
            </w:pPr>
            <w:r>
              <w:t>Healthy formula-fed infants; ≥34 weeks gestation, ≤ 4 weeks of age</w:t>
            </w:r>
          </w:p>
        </w:tc>
        <w:tc>
          <w:tcPr>
            <w:tcW w:w="2401" w:type="dxa"/>
            <w:tcBorders>
              <w:bottom w:val="single" w:sz="4" w:space="0" w:color="000000"/>
            </w:tcBorders>
          </w:tcPr>
          <w:p w14:paraId="6405BA2F" w14:textId="2B23385F" w:rsidR="008F1616" w:rsidRDefault="00FC4C0A" w:rsidP="00B15747">
            <w:pPr>
              <w:pStyle w:val="FSTableText"/>
            </w:pPr>
            <w:r>
              <w:t>IF</w:t>
            </w:r>
            <w:r w:rsidR="00B06883">
              <w:t xml:space="preserve"> supplemented with </w:t>
            </w:r>
            <w:proofErr w:type="spellStart"/>
            <w:r w:rsidR="00B06883">
              <w:t>bLf</w:t>
            </w:r>
            <w:proofErr w:type="spellEnd"/>
            <w:r w:rsidR="00B06883">
              <w:t xml:space="preserve"> (850 mg/L; n=26)</w:t>
            </w:r>
          </w:p>
          <w:p w14:paraId="4E521516" w14:textId="77777777" w:rsidR="008F1616" w:rsidRDefault="008F1616" w:rsidP="00B15747">
            <w:pPr>
              <w:pStyle w:val="FSTableText"/>
            </w:pPr>
          </w:p>
          <w:p w14:paraId="7B04CBAF" w14:textId="2BF637CA" w:rsidR="00B06883" w:rsidRDefault="008F1616" w:rsidP="00B15747">
            <w:pPr>
              <w:pStyle w:val="FSTableText"/>
            </w:pPr>
            <w:r>
              <w:t xml:space="preserve">Control </w:t>
            </w:r>
            <w:r w:rsidR="00FC4C0A">
              <w:t>IF</w:t>
            </w:r>
            <w:r>
              <w:t xml:space="preserve"> (</w:t>
            </w:r>
            <w:proofErr w:type="spellStart"/>
            <w:r>
              <w:t>bLf</w:t>
            </w:r>
            <w:proofErr w:type="spellEnd"/>
            <w:r>
              <w:t xml:space="preserve"> content 102 mg/L; potentially denatured during formula production)</w:t>
            </w:r>
          </w:p>
          <w:p w14:paraId="1047BF64" w14:textId="77777777" w:rsidR="006C08BB" w:rsidRDefault="006C08BB" w:rsidP="00B15747">
            <w:pPr>
              <w:pStyle w:val="FSTableText"/>
            </w:pPr>
          </w:p>
          <w:p w14:paraId="719FE5F2" w14:textId="773D5777" w:rsidR="006C08BB" w:rsidRDefault="006C08BB" w:rsidP="00B15747">
            <w:pPr>
              <w:pStyle w:val="FSTableText"/>
            </w:pPr>
            <w:r>
              <w:t>Intervention duration: 12 months</w:t>
            </w:r>
          </w:p>
        </w:tc>
        <w:tc>
          <w:tcPr>
            <w:tcW w:w="5530" w:type="dxa"/>
            <w:tcBorders>
              <w:bottom w:val="single" w:sz="4" w:space="0" w:color="000000"/>
            </w:tcBorders>
          </w:tcPr>
          <w:p w14:paraId="7D918D63" w14:textId="5FA47FAB" w:rsidR="006C08BB" w:rsidRDefault="006C08BB" w:rsidP="00B15747">
            <w:pPr>
              <w:pStyle w:val="FSTableText"/>
            </w:pPr>
            <w:proofErr w:type="spellStart"/>
            <w:r>
              <w:t>bLf</w:t>
            </w:r>
            <w:proofErr w:type="spellEnd"/>
            <w:r>
              <w:t>-supplemented formula was well-tolerated.</w:t>
            </w:r>
          </w:p>
          <w:p w14:paraId="6840A98D" w14:textId="77777777" w:rsidR="006C08BB" w:rsidRDefault="006C08BB" w:rsidP="00B15747">
            <w:pPr>
              <w:pStyle w:val="FSTableText"/>
            </w:pPr>
          </w:p>
          <w:p w14:paraId="26F42A46" w14:textId="77777777" w:rsidR="006C08BB" w:rsidRDefault="006C08BB" w:rsidP="006C08BB">
            <w:pPr>
              <w:pStyle w:val="FSTableText"/>
            </w:pPr>
            <w:r>
              <w:t xml:space="preserve">Equal numbers of serious adverse events (hospitalisations) in </w:t>
            </w:r>
            <w:proofErr w:type="spellStart"/>
            <w:r>
              <w:t>bLf</w:t>
            </w:r>
            <w:proofErr w:type="spellEnd"/>
            <w:r>
              <w:t xml:space="preserve"> and control groups.</w:t>
            </w:r>
          </w:p>
          <w:p w14:paraId="4995526C" w14:textId="77777777" w:rsidR="006C08BB" w:rsidRDefault="006C08BB" w:rsidP="006C08BB">
            <w:pPr>
              <w:pStyle w:val="FSTableText"/>
            </w:pPr>
          </w:p>
          <w:p w14:paraId="1E45745F" w14:textId="660E1E3B" w:rsidR="00B06883" w:rsidRDefault="00B06883" w:rsidP="006C08BB">
            <w:pPr>
              <w:pStyle w:val="FSTableText"/>
            </w:pPr>
          </w:p>
        </w:tc>
      </w:tr>
      <w:tr w:rsidR="00432B8A" w14:paraId="7F64EC1A" w14:textId="77777777" w:rsidTr="00B5597F">
        <w:tc>
          <w:tcPr>
            <w:tcW w:w="1407" w:type="dxa"/>
            <w:shd w:val="clear" w:color="auto" w:fill="ECECEC"/>
          </w:tcPr>
          <w:p w14:paraId="0A796465" w14:textId="79EE0E6A" w:rsidR="00B06883" w:rsidRDefault="00FC4C0A" w:rsidP="00B15747">
            <w:pPr>
              <w:pStyle w:val="FSTableText"/>
            </w:pPr>
            <w:r w:rsidRPr="008C5B1B">
              <w:t>Johnston et al</w:t>
            </w:r>
            <w:r w:rsidR="008743DA">
              <w:t>.</w:t>
            </w:r>
            <w:r w:rsidRPr="008C5B1B">
              <w:t xml:space="preserve"> (2015)</w:t>
            </w:r>
          </w:p>
        </w:tc>
        <w:tc>
          <w:tcPr>
            <w:tcW w:w="1362" w:type="dxa"/>
            <w:shd w:val="clear" w:color="auto" w:fill="ECECEC"/>
          </w:tcPr>
          <w:p w14:paraId="0A595693" w14:textId="03277F83" w:rsidR="00B06883" w:rsidRDefault="00FC4C0A" w:rsidP="00B15747">
            <w:pPr>
              <w:pStyle w:val="FSTableText"/>
            </w:pPr>
            <w:r>
              <w:t>Multi-centre, double-blind randomised controlled trial</w:t>
            </w:r>
          </w:p>
        </w:tc>
        <w:tc>
          <w:tcPr>
            <w:tcW w:w="1060" w:type="dxa"/>
            <w:shd w:val="clear" w:color="auto" w:fill="ECECEC"/>
          </w:tcPr>
          <w:p w14:paraId="0CEBE4B5" w14:textId="0FDEB725" w:rsidR="00B06883" w:rsidRDefault="00FC4C0A" w:rsidP="00B15747">
            <w:pPr>
              <w:pStyle w:val="FSTableText"/>
            </w:pPr>
            <w:r>
              <w:t>USA</w:t>
            </w:r>
          </w:p>
        </w:tc>
        <w:tc>
          <w:tcPr>
            <w:tcW w:w="1786" w:type="dxa"/>
            <w:shd w:val="clear" w:color="auto" w:fill="ECECEC"/>
          </w:tcPr>
          <w:p w14:paraId="50B1A43B" w14:textId="1D1403DA" w:rsidR="00B06883" w:rsidRDefault="00FC4C0A" w:rsidP="00B15747">
            <w:pPr>
              <w:pStyle w:val="FSTableText"/>
            </w:pPr>
            <w:r>
              <w:t>DMV International (Friesland Campina)</w:t>
            </w:r>
          </w:p>
        </w:tc>
        <w:tc>
          <w:tcPr>
            <w:tcW w:w="1543" w:type="dxa"/>
            <w:shd w:val="clear" w:color="auto" w:fill="ECECEC"/>
          </w:tcPr>
          <w:p w14:paraId="49F65947" w14:textId="7AC4114A" w:rsidR="00B06883" w:rsidRDefault="00FC4C0A" w:rsidP="00B15747">
            <w:pPr>
              <w:pStyle w:val="FSTableText"/>
            </w:pPr>
            <w:r>
              <w:t>Healthy term infants 12-16 days old</w:t>
            </w:r>
          </w:p>
        </w:tc>
        <w:tc>
          <w:tcPr>
            <w:tcW w:w="2401" w:type="dxa"/>
            <w:shd w:val="clear" w:color="auto" w:fill="ECECEC"/>
          </w:tcPr>
          <w:p w14:paraId="5BBEB4AE" w14:textId="3207A3FF" w:rsidR="00FC4C0A" w:rsidRDefault="00FC4C0A" w:rsidP="00B15747">
            <w:pPr>
              <w:pStyle w:val="FSTableText"/>
            </w:pPr>
            <w:r>
              <w:t>Control IF (n=155)</w:t>
            </w:r>
          </w:p>
          <w:p w14:paraId="67B4B705" w14:textId="77777777" w:rsidR="00FC4C0A" w:rsidRDefault="00FC4C0A" w:rsidP="00B15747">
            <w:pPr>
              <w:pStyle w:val="FSTableText"/>
            </w:pPr>
          </w:p>
          <w:p w14:paraId="31884DD9" w14:textId="005FAFB8" w:rsidR="00FC4C0A" w:rsidRDefault="00FC4C0A" w:rsidP="00B15747">
            <w:pPr>
              <w:pStyle w:val="FSTableText"/>
            </w:pPr>
            <w:r>
              <w:t xml:space="preserve">IF containing </w:t>
            </w:r>
            <w:r w:rsidR="00535F2A">
              <w:t>600 m</w:t>
            </w:r>
            <w:r>
              <w:t xml:space="preserve">g/L </w:t>
            </w:r>
            <w:proofErr w:type="spellStart"/>
            <w:r>
              <w:t>bLf</w:t>
            </w:r>
            <w:proofErr w:type="spellEnd"/>
          </w:p>
          <w:p w14:paraId="0A6ED86C" w14:textId="77777777" w:rsidR="00FC4C0A" w:rsidRDefault="00FC4C0A" w:rsidP="00B15747">
            <w:pPr>
              <w:pStyle w:val="FSTableText"/>
            </w:pPr>
          </w:p>
          <w:p w14:paraId="78ED7513" w14:textId="04CE0B17" w:rsidR="00FC4C0A" w:rsidRDefault="00FC4C0A" w:rsidP="00B15747">
            <w:pPr>
              <w:pStyle w:val="FSTableText"/>
            </w:pPr>
            <w:r>
              <w:lastRenderedPageBreak/>
              <w:t xml:space="preserve">IF containing </w:t>
            </w:r>
            <w:r w:rsidR="00535F2A">
              <w:t>1000</w:t>
            </w:r>
            <w:r>
              <w:t xml:space="preserve"> </w:t>
            </w:r>
            <w:r w:rsidR="00535F2A">
              <w:t>m</w:t>
            </w:r>
            <w:r>
              <w:t xml:space="preserve">g/L </w:t>
            </w:r>
            <w:proofErr w:type="spellStart"/>
            <w:r>
              <w:t>bLf</w:t>
            </w:r>
            <w:proofErr w:type="spellEnd"/>
          </w:p>
          <w:p w14:paraId="7CD3C0CA" w14:textId="77777777" w:rsidR="00FC4C0A" w:rsidRDefault="00FC4C0A" w:rsidP="00B15747">
            <w:pPr>
              <w:pStyle w:val="FSTableText"/>
            </w:pPr>
          </w:p>
          <w:p w14:paraId="703CED0C" w14:textId="77777777" w:rsidR="00FC4C0A" w:rsidRDefault="00FC4C0A" w:rsidP="00FC4C0A">
            <w:pPr>
              <w:pStyle w:val="FSTableText"/>
            </w:pPr>
            <w:r>
              <w:t xml:space="preserve">Investigational formulas contained a prebiotic blend of polydextrose and </w:t>
            </w:r>
            <w:proofErr w:type="spellStart"/>
            <w:r>
              <w:t>galactooligosaccharides</w:t>
            </w:r>
            <w:proofErr w:type="spellEnd"/>
            <w:r>
              <w:t xml:space="preserve"> and reduced arachidonic acid compared with control.</w:t>
            </w:r>
          </w:p>
          <w:p w14:paraId="4ED53BF3" w14:textId="77777777" w:rsidR="00FC4C0A" w:rsidRDefault="00FC4C0A" w:rsidP="00FC4C0A">
            <w:pPr>
              <w:pStyle w:val="FSTableText"/>
            </w:pPr>
          </w:p>
          <w:p w14:paraId="0ACBDD93" w14:textId="0EA32B4B" w:rsidR="00B06883" w:rsidRDefault="00FC4C0A" w:rsidP="00FC4C0A">
            <w:pPr>
              <w:pStyle w:val="FSTableText"/>
            </w:pPr>
            <w:r>
              <w:t xml:space="preserve">Intervention </w:t>
            </w:r>
            <w:r w:rsidR="00D96930">
              <w:t>period</w:t>
            </w:r>
            <w:r>
              <w:t>: until 1 year of age</w:t>
            </w:r>
          </w:p>
        </w:tc>
        <w:tc>
          <w:tcPr>
            <w:tcW w:w="5530" w:type="dxa"/>
            <w:shd w:val="clear" w:color="auto" w:fill="ECECEC"/>
          </w:tcPr>
          <w:p w14:paraId="3B624910" w14:textId="55F6D89E" w:rsidR="00FC4C0A" w:rsidRDefault="009D5341" w:rsidP="00B15747">
            <w:pPr>
              <w:pStyle w:val="FSTableText"/>
            </w:pPr>
            <w:r>
              <w:lastRenderedPageBreak/>
              <w:t xml:space="preserve">Study formulas were well-tolerated. </w:t>
            </w:r>
            <w:r w:rsidR="00FC4C0A">
              <w:t xml:space="preserve">Parent-reported gassiness and fussiness </w:t>
            </w:r>
            <w:r>
              <w:t xml:space="preserve">were </w:t>
            </w:r>
            <w:r w:rsidR="00FC4C0A">
              <w:t>similar among groups.</w:t>
            </w:r>
          </w:p>
          <w:p w14:paraId="402AEF47" w14:textId="77777777" w:rsidR="00FC4C0A" w:rsidRDefault="00FC4C0A" w:rsidP="00B15747">
            <w:pPr>
              <w:pStyle w:val="FSTableText"/>
            </w:pPr>
          </w:p>
          <w:p w14:paraId="1617BAB7" w14:textId="77777777" w:rsidR="001279F5" w:rsidRDefault="001279F5" w:rsidP="00B15747">
            <w:pPr>
              <w:pStyle w:val="FSTableText"/>
            </w:pPr>
            <w:r>
              <w:t xml:space="preserve">Between days 30-180 the control group had more infants with a formed stool and fewer infants with an unformed or </w:t>
            </w:r>
            <w:r>
              <w:lastRenderedPageBreak/>
              <w:t xml:space="preserve">seedy stool consistency compared with </w:t>
            </w:r>
            <w:proofErr w:type="spellStart"/>
            <w:r>
              <w:t>bLf</w:t>
            </w:r>
            <w:proofErr w:type="spellEnd"/>
            <w:r>
              <w:t xml:space="preserve"> groups; no significant differences by day 275.</w:t>
            </w:r>
          </w:p>
          <w:p w14:paraId="0B9140DF" w14:textId="77777777" w:rsidR="001279F5" w:rsidRDefault="001279F5" w:rsidP="00B15747">
            <w:pPr>
              <w:pStyle w:val="FSTableText"/>
            </w:pPr>
          </w:p>
          <w:p w14:paraId="4563A6F2" w14:textId="77777777" w:rsidR="001279F5" w:rsidRDefault="001279F5" w:rsidP="00B15747">
            <w:pPr>
              <w:pStyle w:val="FSTableText"/>
            </w:pPr>
            <w:r>
              <w:t>No significant difference in formula discontinuation (related or unrelated to the study formula) between groups.</w:t>
            </w:r>
          </w:p>
          <w:p w14:paraId="67205FD8" w14:textId="77777777" w:rsidR="001279F5" w:rsidRDefault="001279F5" w:rsidP="00B15747">
            <w:pPr>
              <w:pStyle w:val="FSTableText"/>
            </w:pPr>
          </w:p>
          <w:p w14:paraId="77BA924B" w14:textId="77777777" w:rsidR="00B06883" w:rsidRDefault="009D5341" w:rsidP="00B15747">
            <w:pPr>
              <w:pStyle w:val="FSTableText"/>
            </w:pPr>
            <w:r>
              <w:t>No difference</w:t>
            </w:r>
            <w:r w:rsidR="001279F5">
              <w:t xml:space="preserve"> in the number of participants with at least 1 medically confirmed adverse event. </w:t>
            </w:r>
            <w:r>
              <w:t xml:space="preserve">The incidence of serious adverse events was similar between groups, and all but one in the control group were deemed unrelated to study formula. </w:t>
            </w:r>
          </w:p>
          <w:p w14:paraId="4A000FA4" w14:textId="355D17DF" w:rsidR="009D5341" w:rsidRDefault="009D5341" w:rsidP="009D5341">
            <w:pPr>
              <w:pStyle w:val="FSTableText"/>
            </w:pPr>
          </w:p>
        </w:tc>
      </w:tr>
      <w:tr w:rsidR="00F7532B" w14:paraId="69EC6DEE" w14:textId="77777777" w:rsidTr="00B5597F">
        <w:tc>
          <w:tcPr>
            <w:tcW w:w="1407" w:type="dxa"/>
            <w:tcBorders>
              <w:bottom w:val="single" w:sz="4" w:space="0" w:color="000000"/>
            </w:tcBorders>
          </w:tcPr>
          <w:p w14:paraId="0C811E21" w14:textId="1F48B931" w:rsidR="00F7532B" w:rsidRPr="008C5B1B" w:rsidRDefault="00F7532B" w:rsidP="00F7532B">
            <w:pPr>
              <w:pStyle w:val="FSTableText"/>
            </w:pPr>
            <w:r w:rsidRPr="008C5B1B">
              <w:lastRenderedPageBreak/>
              <w:t>Chen et al</w:t>
            </w:r>
            <w:r w:rsidR="008743DA">
              <w:t>.</w:t>
            </w:r>
            <w:r w:rsidRPr="008C5B1B">
              <w:t xml:space="preserve"> (2016)</w:t>
            </w:r>
          </w:p>
        </w:tc>
        <w:tc>
          <w:tcPr>
            <w:tcW w:w="1362" w:type="dxa"/>
            <w:tcBorders>
              <w:bottom w:val="single" w:sz="4" w:space="0" w:color="000000"/>
            </w:tcBorders>
          </w:tcPr>
          <w:p w14:paraId="506D96C7" w14:textId="64C26D03" w:rsidR="00F7532B" w:rsidRDefault="00F7532B" w:rsidP="00F7532B">
            <w:pPr>
              <w:pStyle w:val="FSTableText"/>
            </w:pPr>
            <w:r>
              <w:t>Multicentre, double-blind randomised controlled trial</w:t>
            </w:r>
          </w:p>
        </w:tc>
        <w:tc>
          <w:tcPr>
            <w:tcW w:w="1060" w:type="dxa"/>
            <w:tcBorders>
              <w:bottom w:val="single" w:sz="4" w:space="0" w:color="000000"/>
            </w:tcBorders>
          </w:tcPr>
          <w:p w14:paraId="173E3260" w14:textId="11DCF5AB" w:rsidR="00F7532B" w:rsidRDefault="00F7532B" w:rsidP="00F7532B">
            <w:pPr>
              <w:pStyle w:val="FSTableText"/>
            </w:pPr>
            <w:r>
              <w:t>China</w:t>
            </w:r>
          </w:p>
        </w:tc>
        <w:tc>
          <w:tcPr>
            <w:tcW w:w="1786" w:type="dxa"/>
            <w:tcBorders>
              <w:bottom w:val="single" w:sz="4" w:space="0" w:color="000000"/>
            </w:tcBorders>
          </w:tcPr>
          <w:p w14:paraId="481F5DCC" w14:textId="64C951F9" w:rsidR="00F7532B" w:rsidRDefault="00F7532B" w:rsidP="00F7532B">
            <w:pPr>
              <w:pStyle w:val="FSTableText"/>
            </w:pPr>
            <w:proofErr w:type="spellStart"/>
            <w:r>
              <w:t>bLf-fortifed</w:t>
            </w:r>
            <w:proofErr w:type="spellEnd"/>
            <w:r>
              <w:t xml:space="preserve"> formula produced by </w:t>
            </w:r>
            <w:proofErr w:type="spellStart"/>
            <w:r>
              <w:t>Beingmate</w:t>
            </w:r>
            <w:proofErr w:type="spellEnd"/>
            <w:r>
              <w:t xml:space="preserve"> Baby and Child Food Co.</w:t>
            </w:r>
          </w:p>
        </w:tc>
        <w:tc>
          <w:tcPr>
            <w:tcW w:w="1543" w:type="dxa"/>
            <w:tcBorders>
              <w:bottom w:val="single" w:sz="4" w:space="0" w:color="000000"/>
            </w:tcBorders>
          </w:tcPr>
          <w:p w14:paraId="765E3B8A" w14:textId="1A5AA7C8" w:rsidR="00F7532B" w:rsidRDefault="00F7532B" w:rsidP="00F7532B">
            <w:pPr>
              <w:pStyle w:val="FSTableText"/>
            </w:pPr>
            <w:r>
              <w:t>Healthy term infants aged 4-6 months</w:t>
            </w:r>
          </w:p>
        </w:tc>
        <w:tc>
          <w:tcPr>
            <w:tcW w:w="2401" w:type="dxa"/>
            <w:tcBorders>
              <w:bottom w:val="single" w:sz="4" w:space="0" w:color="000000"/>
            </w:tcBorders>
          </w:tcPr>
          <w:p w14:paraId="22E373D5" w14:textId="7EBBAB32" w:rsidR="00F7532B" w:rsidRDefault="00F7532B" w:rsidP="00F7532B">
            <w:pPr>
              <w:pStyle w:val="FSTableText"/>
            </w:pPr>
            <w:proofErr w:type="spellStart"/>
            <w:r>
              <w:t>bLf</w:t>
            </w:r>
            <w:proofErr w:type="spellEnd"/>
            <w:r>
              <w:t>-fortified infant formula (38</w:t>
            </w:r>
            <w:r w:rsidR="0014496A">
              <w:t>0</w:t>
            </w:r>
            <w:r>
              <w:t xml:space="preserve"> mg/</w:t>
            </w:r>
            <w:r w:rsidR="0014496A">
              <w:t>k</w:t>
            </w:r>
            <w:r>
              <w:t>g</w:t>
            </w:r>
            <w:r w:rsidR="00DC18F9">
              <w:t xml:space="preserve"> powder</w:t>
            </w:r>
            <w:r>
              <w:t>; n=115)</w:t>
            </w:r>
          </w:p>
          <w:p w14:paraId="0ADF737F" w14:textId="77777777" w:rsidR="00F7532B" w:rsidRDefault="00F7532B" w:rsidP="00F7532B">
            <w:pPr>
              <w:pStyle w:val="FSTableText"/>
            </w:pPr>
          </w:p>
          <w:p w14:paraId="395E7CB2" w14:textId="77777777" w:rsidR="00F7532B" w:rsidRDefault="00F7532B" w:rsidP="00F7532B">
            <w:pPr>
              <w:pStyle w:val="FSTableText"/>
            </w:pPr>
            <w:r>
              <w:t>Unfortified infant formula (n=98)</w:t>
            </w:r>
          </w:p>
          <w:p w14:paraId="78E27CEC" w14:textId="77777777" w:rsidR="00F7532B" w:rsidRDefault="00F7532B" w:rsidP="00F7532B">
            <w:pPr>
              <w:pStyle w:val="FSTableText"/>
            </w:pPr>
          </w:p>
          <w:p w14:paraId="23DF55C8" w14:textId="77777777" w:rsidR="00F7532B" w:rsidRDefault="00F7532B" w:rsidP="00F7532B">
            <w:pPr>
              <w:pStyle w:val="FSTableText"/>
            </w:pPr>
            <w:r>
              <w:t>Breastfed reference group (n=103)</w:t>
            </w:r>
          </w:p>
          <w:p w14:paraId="49EAB0CC" w14:textId="77777777" w:rsidR="00F7532B" w:rsidRDefault="00F7532B" w:rsidP="00F7532B">
            <w:pPr>
              <w:pStyle w:val="FSTableText"/>
            </w:pPr>
          </w:p>
          <w:p w14:paraId="181F1492" w14:textId="0062E206" w:rsidR="00F7532B" w:rsidRDefault="00F7532B" w:rsidP="00F7532B">
            <w:pPr>
              <w:pStyle w:val="FSTableText"/>
            </w:pPr>
            <w:r>
              <w:t xml:space="preserve">Intervention </w:t>
            </w:r>
            <w:r w:rsidR="00D96930">
              <w:t>duration</w:t>
            </w:r>
            <w:r>
              <w:t>: 3 months</w:t>
            </w:r>
          </w:p>
        </w:tc>
        <w:tc>
          <w:tcPr>
            <w:tcW w:w="5530" w:type="dxa"/>
            <w:tcBorders>
              <w:bottom w:val="single" w:sz="4" w:space="0" w:color="000000"/>
            </w:tcBorders>
          </w:tcPr>
          <w:p w14:paraId="7B64ED31" w14:textId="2B715153" w:rsidR="00F7532B" w:rsidRDefault="00F7532B" w:rsidP="00F7532B">
            <w:pPr>
              <w:pStyle w:val="FSTableText"/>
            </w:pPr>
            <w:r>
              <w:t xml:space="preserve">No adverse effects related to </w:t>
            </w:r>
            <w:proofErr w:type="spellStart"/>
            <w:r>
              <w:t>bLf</w:t>
            </w:r>
            <w:proofErr w:type="spellEnd"/>
            <w:r>
              <w:t xml:space="preserve"> reported.</w:t>
            </w:r>
          </w:p>
        </w:tc>
      </w:tr>
      <w:tr w:rsidR="00F7532B" w14:paraId="72CEB8A2" w14:textId="77777777" w:rsidTr="00B5597F">
        <w:tc>
          <w:tcPr>
            <w:tcW w:w="1407" w:type="dxa"/>
            <w:shd w:val="clear" w:color="auto" w:fill="ECECEC"/>
          </w:tcPr>
          <w:p w14:paraId="5DC2A65E" w14:textId="38032B60" w:rsidR="00F7532B" w:rsidRDefault="00CB4524" w:rsidP="00F7532B">
            <w:pPr>
              <w:pStyle w:val="FSTableText"/>
            </w:pPr>
            <w:r w:rsidRPr="008C5B1B">
              <w:t>Li</w:t>
            </w:r>
            <w:r w:rsidR="00F7532B" w:rsidRPr="008C5B1B">
              <w:t xml:space="preserve"> et al</w:t>
            </w:r>
            <w:r w:rsidR="008743DA">
              <w:t>.</w:t>
            </w:r>
            <w:r w:rsidR="00F7532B" w:rsidRPr="008C5B1B">
              <w:t xml:space="preserve"> (2019)</w:t>
            </w:r>
          </w:p>
        </w:tc>
        <w:tc>
          <w:tcPr>
            <w:tcW w:w="1362" w:type="dxa"/>
            <w:shd w:val="clear" w:color="auto" w:fill="ECECEC"/>
          </w:tcPr>
          <w:p w14:paraId="0E0C0484" w14:textId="3C5472AB" w:rsidR="00F7532B" w:rsidRDefault="00F7532B" w:rsidP="00F7532B">
            <w:pPr>
              <w:pStyle w:val="FSTableText"/>
            </w:pPr>
            <w:r>
              <w:t>Multi-centre, double-blind randomised controlled trial</w:t>
            </w:r>
          </w:p>
        </w:tc>
        <w:tc>
          <w:tcPr>
            <w:tcW w:w="1060" w:type="dxa"/>
            <w:shd w:val="clear" w:color="auto" w:fill="ECECEC"/>
          </w:tcPr>
          <w:p w14:paraId="2130D511" w14:textId="71CA0713" w:rsidR="00F7532B" w:rsidRDefault="00F7532B" w:rsidP="00F7532B">
            <w:pPr>
              <w:pStyle w:val="FSTableText"/>
            </w:pPr>
            <w:r>
              <w:t>China</w:t>
            </w:r>
          </w:p>
        </w:tc>
        <w:tc>
          <w:tcPr>
            <w:tcW w:w="1786" w:type="dxa"/>
            <w:shd w:val="clear" w:color="auto" w:fill="ECECEC"/>
          </w:tcPr>
          <w:p w14:paraId="696AA465" w14:textId="40E57F4B" w:rsidR="00F7532B" w:rsidRDefault="00F7532B" w:rsidP="00F7532B">
            <w:pPr>
              <w:pStyle w:val="FSTableText"/>
            </w:pPr>
            <w:r>
              <w:t>Friesland Campina DMV</w:t>
            </w:r>
          </w:p>
        </w:tc>
        <w:tc>
          <w:tcPr>
            <w:tcW w:w="1543" w:type="dxa"/>
            <w:shd w:val="clear" w:color="auto" w:fill="ECECEC"/>
          </w:tcPr>
          <w:p w14:paraId="3B31B1E0" w14:textId="6DEC9D18" w:rsidR="00F7532B" w:rsidRDefault="00F7532B" w:rsidP="00F7532B">
            <w:pPr>
              <w:pStyle w:val="FSTableText"/>
            </w:pPr>
            <w:r>
              <w:t>Healthy term infants age 10-14 days</w:t>
            </w:r>
          </w:p>
        </w:tc>
        <w:tc>
          <w:tcPr>
            <w:tcW w:w="2401" w:type="dxa"/>
            <w:shd w:val="clear" w:color="auto" w:fill="ECECEC"/>
          </w:tcPr>
          <w:p w14:paraId="2FDFF3C2" w14:textId="77777777" w:rsidR="00F7532B" w:rsidRDefault="00F7532B" w:rsidP="00F7532B">
            <w:pPr>
              <w:pStyle w:val="FSTableText"/>
            </w:pPr>
            <w:r>
              <w:t>Control IF (n=228)</w:t>
            </w:r>
          </w:p>
          <w:p w14:paraId="08256C83" w14:textId="77777777" w:rsidR="00F7532B" w:rsidRDefault="00F7532B" w:rsidP="00F7532B">
            <w:pPr>
              <w:pStyle w:val="FSTableText"/>
            </w:pPr>
          </w:p>
          <w:p w14:paraId="067647B3" w14:textId="470D2AB0" w:rsidR="00F7532B" w:rsidRDefault="00F7532B" w:rsidP="00F7532B">
            <w:pPr>
              <w:pStyle w:val="FSTableText"/>
            </w:pPr>
            <w:r>
              <w:t xml:space="preserve">IF + </w:t>
            </w:r>
            <w:r w:rsidR="007C6D39">
              <w:t>600</w:t>
            </w:r>
            <w:r>
              <w:t xml:space="preserve"> </w:t>
            </w:r>
            <w:r w:rsidR="007C6D39">
              <w:t>m</w:t>
            </w:r>
            <w:r>
              <w:t xml:space="preserve">g/L </w:t>
            </w:r>
            <w:proofErr w:type="spellStart"/>
            <w:r>
              <w:t>bLf</w:t>
            </w:r>
            <w:proofErr w:type="spellEnd"/>
            <w:r>
              <w:t xml:space="preserve"> + 5</w:t>
            </w:r>
            <w:r w:rsidR="007C6D39">
              <w:t>000 m</w:t>
            </w:r>
            <w:r>
              <w:t>g/L milk fat globule membrane</w:t>
            </w:r>
          </w:p>
          <w:p w14:paraId="2976A421" w14:textId="77777777" w:rsidR="00F7532B" w:rsidRDefault="00F7532B" w:rsidP="00F7532B">
            <w:pPr>
              <w:pStyle w:val="FSTableText"/>
            </w:pPr>
          </w:p>
          <w:p w14:paraId="7C81A986" w14:textId="16FCAB94" w:rsidR="00F7532B" w:rsidRDefault="00F7532B" w:rsidP="00F7532B">
            <w:pPr>
              <w:pStyle w:val="FSTableText"/>
            </w:pPr>
            <w:r>
              <w:t xml:space="preserve">Intervention </w:t>
            </w:r>
            <w:r w:rsidR="00D96930">
              <w:t>duration</w:t>
            </w:r>
            <w:r>
              <w:t>: 1 year</w:t>
            </w:r>
          </w:p>
        </w:tc>
        <w:tc>
          <w:tcPr>
            <w:tcW w:w="5530" w:type="dxa"/>
            <w:shd w:val="clear" w:color="auto" w:fill="ECECEC"/>
          </w:tcPr>
          <w:p w14:paraId="4DA2098E" w14:textId="77777777" w:rsidR="00F7532B" w:rsidRDefault="00F7532B" w:rsidP="00F7532B">
            <w:pPr>
              <w:pStyle w:val="FSTableText"/>
            </w:pPr>
            <w:r>
              <w:t xml:space="preserve">Fussiness and amount of gas similar between groups. </w:t>
            </w:r>
          </w:p>
          <w:p w14:paraId="165DF6EF" w14:textId="77777777" w:rsidR="00F7532B" w:rsidRDefault="00F7532B" w:rsidP="00F7532B">
            <w:pPr>
              <w:pStyle w:val="FSTableText"/>
            </w:pPr>
          </w:p>
          <w:p w14:paraId="38FFC3C5" w14:textId="77777777" w:rsidR="00F7532B" w:rsidRDefault="00F7532B" w:rsidP="00F7532B">
            <w:pPr>
              <w:pStyle w:val="FSTableText"/>
            </w:pPr>
            <w:r>
              <w:t xml:space="preserve">No differences in mean stool frequency or stool consistency. </w:t>
            </w:r>
          </w:p>
          <w:p w14:paraId="7A8066E1" w14:textId="77777777" w:rsidR="00F7532B" w:rsidRDefault="00F7532B" w:rsidP="00F7532B">
            <w:pPr>
              <w:pStyle w:val="FSTableText"/>
            </w:pPr>
          </w:p>
          <w:p w14:paraId="064F44D3" w14:textId="77777777" w:rsidR="00F7532B" w:rsidRDefault="00F7532B" w:rsidP="00F7532B">
            <w:pPr>
              <w:pStyle w:val="FSTableText"/>
            </w:pPr>
            <w:r>
              <w:t xml:space="preserve">No serious adverse events reported; no difference in the number of participants with at least one medically-confirmed adverse event. </w:t>
            </w:r>
          </w:p>
          <w:p w14:paraId="4737532C" w14:textId="77777777" w:rsidR="00F7532B" w:rsidRDefault="00F7532B" w:rsidP="00F7532B">
            <w:pPr>
              <w:pStyle w:val="FSTableText"/>
            </w:pPr>
          </w:p>
          <w:p w14:paraId="4D6D63A5" w14:textId="77777777" w:rsidR="00F7532B" w:rsidRDefault="00F7532B" w:rsidP="00F7532B">
            <w:pPr>
              <w:pStyle w:val="FSTableText"/>
            </w:pPr>
            <w:r>
              <w:t xml:space="preserve">Overall incidence of adverse events in the respiratory and gastrointestinal system was lower in the </w:t>
            </w:r>
            <w:proofErr w:type="spellStart"/>
            <w:r>
              <w:t>bLf</w:t>
            </w:r>
            <w:proofErr w:type="spellEnd"/>
            <w:r>
              <w:t xml:space="preserve"> group compared with controls; no other differences in adverse events reported. </w:t>
            </w:r>
          </w:p>
          <w:p w14:paraId="15518101" w14:textId="0455527A" w:rsidR="00F7532B" w:rsidRDefault="00F7532B" w:rsidP="00F7532B">
            <w:pPr>
              <w:pStyle w:val="FSTableText"/>
            </w:pPr>
            <w:r>
              <w:t xml:space="preserve"> </w:t>
            </w:r>
          </w:p>
        </w:tc>
      </w:tr>
      <w:tr w:rsidR="00F7532B" w14:paraId="1B9BE1E5" w14:textId="77777777" w:rsidTr="00B5597F">
        <w:tc>
          <w:tcPr>
            <w:tcW w:w="1407" w:type="dxa"/>
            <w:tcBorders>
              <w:bottom w:val="single" w:sz="4" w:space="0" w:color="000000"/>
            </w:tcBorders>
          </w:tcPr>
          <w:p w14:paraId="7F8E24AC" w14:textId="03523DF2" w:rsidR="00F7532B" w:rsidRDefault="00F7532B" w:rsidP="00F7532B">
            <w:pPr>
              <w:pStyle w:val="FSTableText"/>
            </w:pPr>
            <w:proofErr w:type="spellStart"/>
            <w:r w:rsidRPr="008C5B1B">
              <w:t>Björmsö</w:t>
            </w:r>
            <w:proofErr w:type="spellEnd"/>
            <w:r w:rsidRPr="008C5B1B">
              <w:t xml:space="preserve"> et al</w:t>
            </w:r>
            <w:r w:rsidR="008743DA">
              <w:t>.</w:t>
            </w:r>
            <w:r w:rsidRPr="008C5B1B">
              <w:t xml:space="preserve"> (2021)</w:t>
            </w:r>
          </w:p>
        </w:tc>
        <w:tc>
          <w:tcPr>
            <w:tcW w:w="1362" w:type="dxa"/>
            <w:tcBorders>
              <w:bottom w:val="single" w:sz="4" w:space="0" w:color="000000"/>
            </w:tcBorders>
          </w:tcPr>
          <w:p w14:paraId="7E92D9D0" w14:textId="45ADCF75" w:rsidR="00F7532B" w:rsidRDefault="00F7532B" w:rsidP="00F7532B">
            <w:pPr>
              <w:pStyle w:val="FSTableText"/>
            </w:pPr>
            <w:r>
              <w:t>Double-blind randomised controlled trial</w:t>
            </w:r>
          </w:p>
        </w:tc>
        <w:tc>
          <w:tcPr>
            <w:tcW w:w="1060" w:type="dxa"/>
            <w:tcBorders>
              <w:bottom w:val="single" w:sz="4" w:space="0" w:color="000000"/>
            </w:tcBorders>
          </w:tcPr>
          <w:p w14:paraId="29710A7C" w14:textId="21EF80EA" w:rsidR="00F7532B" w:rsidRDefault="00F7532B" w:rsidP="00F7532B">
            <w:pPr>
              <w:pStyle w:val="FSTableText"/>
            </w:pPr>
            <w:r>
              <w:t>Sweden</w:t>
            </w:r>
          </w:p>
        </w:tc>
        <w:tc>
          <w:tcPr>
            <w:tcW w:w="1786" w:type="dxa"/>
            <w:tcBorders>
              <w:bottom w:val="single" w:sz="4" w:space="0" w:color="000000"/>
            </w:tcBorders>
          </w:tcPr>
          <w:p w14:paraId="70ABF9BB" w14:textId="192F2489" w:rsidR="00F7532B" w:rsidRDefault="00F7532B" w:rsidP="00F7532B">
            <w:pPr>
              <w:pStyle w:val="FSTableText"/>
            </w:pPr>
            <w:r>
              <w:t>Hilmar Ingredients</w:t>
            </w:r>
          </w:p>
        </w:tc>
        <w:tc>
          <w:tcPr>
            <w:tcW w:w="1543" w:type="dxa"/>
            <w:tcBorders>
              <w:bottom w:val="single" w:sz="4" w:space="0" w:color="000000"/>
            </w:tcBorders>
          </w:tcPr>
          <w:p w14:paraId="10986E1A" w14:textId="09F0AE91" w:rsidR="00F7532B" w:rsidRDefault="00F7532B" w:rsidP="00F7532B">
            <w:pPr>
              <w:pStyle w:val="FSTableText"/>
            </w:pPr>
            <w:r>
              <w:t>Healthy term infants aged 6 ± 2 weeks.</w:t>
            </w:r>
          </w:p>
        </w:tc>
        <w:tc>
          <w:tcPr>
            <w:tcW w:w="2401" w:type="dxa"/>
            <w:tcBorders>
              <w:bottom w:val="single" w:sz="4" w:space="0" w:color="000000"/>
            </w:tcBorders>
          </w:tcPr>
          <w:p w14:paraId="0A2B8C74" w14:textId="77777777" w:rsidR="00F7532B" w:rsidRDefault="00F7532B" w:rsidP="00F7532B">
            <w:pPr>
              <w:pStyle w:val="FSTableText"/>
            </w:pPr>
            <w:r>
              <w:t>Breastfed reference group (n=72)</w:t>
            </w:r>
          </w:p>
          <w:p w14:paraId="72BCD2F5" w14:textId="77777777" w:rsidR="00F7532B" w:rsidRDefault="00F7532B" w:rsidP="00F7532B">
            <w:pPr>
              <w:pStyle w:val="FSTableText"/>
            </w:pPr>
          </w:p>
          <w:p w14:paraId="6353BBB7" w14:textId="77777777" w:rsidR="00F7532B" w:rsidRDefault="00F7532B" w:rsidP="00F7532B">
            <w:pPr>
              <w:pStyle w:val="FSTableText"/>
            </w:pPr>
            <w:r>
              <w:t xml:space="preserve">IF containing 2 mg/L iron, no </w:t>
            </w:r>
            <w:proofErr w:type="spellStart"/>
            <w:r>
              <w:t>bLf</w:t>
            </w:r>
            <w:proofErr w:type="spellEnd"/>
          </w:p>
          <w:p w14:paraId="215A0835" w14:textId="77777777" w:rsidR="00F7532B" w:rsidRDefault="00F7532B" w:rsidP="00F7532B">
            <w:pPr>
              <w:pStyle w:val="FSTableText"/>
            </w:pPr>
          </w:p>
          <w:p w14:paraId="08AEF540" w14:textId="66469D46" w:rsidR="00F7532B" w:rsidRDefault="00F7532B" w:rsidP="00F7532B">
            <w:pPr>
              <w:pStyle w:val="FSTableText"/>
            </w:pPr>
            <w:r>
              <w:t>IF containing 2 mg/L iron + 1</w:t>
            </w:r>
            <w:r w:rsidR="00544FD8">
              <w:t>000</w:t>
            </w:r>
            <w:r>
              <w:t xml:space="preserve"> </w:t>
            </w:r>
            <w:r w:rsidR="00544FD8">
              <w:t>m</w:t>
            </w:r>
            <w:r>
              <w:t xml:space="preserve">g/L </w:t>
            </w:r>
            <w:proofErr w:type="spellStart"/>
            <w:r>
              <w:t>bLf</w:t>
            </w:r>
            <w:proofErr w:type="spellEnd"/>
          </w:p>
          <w:p w14:paraId="577109FC" w14:textId="77777777" w:rsidR="00F7532B" w:rsidRDefault="00F7532B" w:rsidP="00F7532B">
            <w:pPr>
              <w:pStyle w:val="FSTableText"/>
            </w:pPr>
          </w:p>
          <w:p w14:paraId="4048ACDC" w14:textId="2EBEB00A" w:rsidR="00F7532B" w:rsidRDefault="00F7532B" w:rsidP="00F7532B">
            <w:pPr>
              <w:pStyle w:val="FSTableText"/>
            </w:pPr>
            <w:r>
              <w:t xml:space="preserve">IF containing 8 mg/L iron, no </w:t>
            </w:r>
            <w:proofErr w:type="spellStart"/>
            <w:r>
              <w:t>bLf</w:t>
            </w:r>
            <w:proofErr w:type="spellEnd"/>
            <w:r>
              <w:t xml:space="preserve"> (control formula)</w:t>
            </w:r>
          </w:p>
          <w:p w14:paraId="3997DB55" w14:textId="77777777" w:rsidR="00F7532B" w:rsidRDefault="00F7532B" w:rsidP="00F7532B">
            <w:pPr>
              <w:pStyle w:val="FSTableText"/>
            </w:pPr>
          </w:p>
          <w:p w14:paraId="42C495F7" w14:textId="4D9D3A97" w:rsidR="00F7532B" w:rsidRDefault="00F7532B" w:rsidP="00F7532B">
            <w:pPr>
              <w:pStyle w:val="FSTableText"/>
            </w:pPr>
            <w:r>
              <w:t xml:space="preserve">Intervention </w:t>
            </w:r>
            <w:r w:rsidR="00D96930">
              <w:t>duration</w:t>
            </w:r>
            <w:r>
              <w:t>: until 6 months of age</w:t>
            </w:r>
          </w:p>
        </w:tc>
        <w:tc>
          <w:tcPr>
            <w:tcW w:w="5530" w:type="dxa"/>
            <w:tcBorders>
              <w:bottom w:val="single" w:sz="4" w:space="0" w:color="000000"/>
            </w:tcBorders>
          </w:tcPr>
          <w:p w14:paraId="4C4A38F9" w14:textId="77777777" w:rsidR="00F7532B" w:rsidRDefault="00F7532B" w:rsidP="00F7532B">
            <w:pPr>
              <w:pStyle w:val="FSTableText"/>
            </w:pPr>
            <w:r>
              <w:t xml:space="preserve">No adverse effects on gastrointestinal parameters observed in the </w:t>
            </w:r>
            <w:proofErr w:type="spellStart"/>
            <w:r>
              <w:t>bLf</w:t>
            </w:r>
            <w:proofErr w:type="spellEnd"/>
            <w:r>
              <w:t xml:space="preserve"> group. The number of stools/day and soft stools/day was lower in the </w:t>
            </w:r>
            <w:proofErr w:type="spellStart"/>
            <w:r>
              <w:t>bLf</w:t>
            </w:r>
            <w:proofErr w:type="spellEnd"/>
            <w:r>
              <w:t xml:space="preserve"> group than in breastfed infants, with no difference in watery stools, hard stools or days with abdominal pain. Use of </w:t>
            </w:r>
            <w:proofErr w:type="spellStart"/>
            <w:r>
              <w:t>simeticone</w:t>
            </w:r>
            <w:proofErr w:type="spellEnd"/>
            <w:r>
              <w:t xml:space="preserve"> (used to relieve symptoms of extra gas) was higher in formula-fed groups (2 mg/L Fe + </w:t>
            </w:r>
            <w:proofErr w:type="spellStart"/>
            <w:r>
              <w:t>bLf</w:t>
            </w:r>
            <w:proofErr w:type="spellEnd"/>
            <w:r>
              <w:t xml:space="preserve">: 20%; 2 mg/L Fe – </w:t>
            </w:r>
            <w:proofErr w:type="spellStart"/>
            <w:r>
              <w:t>bLf</w:t>
            </w:r>
            <w:proofErr w:type="spellEnd"/>
            <w:r>
              <w:t xml:space="preserve">: 15.9%; 8 mg/L Fe: 18.8%) than breastfed infants (2.9%). </w:t>
            </w:r>
          </w:p>
          <w:p w14:paraId="0AB9F941" w14:textId="69846438" w:rsidR="00F7532B" w:rsidRDefault="00F7532B" w:rsidP="00F7532B">
            <w:pPr>
              <w:pStyle w:val="FSTableText"/>
            </w:pPr>
            <w:r>
              <w:t xml:space="preserve"> </w:t>
            </w:r>
          </w:p>
        </w:tc>
      </w:tr>
      <w:tr w:rsidR="00F7532B" w14:paraId="198C8896" w14:textId="77777777" w:rsidTr="00B5597F">
        <w:tc>
          <w:tcPr>
            <w:tcW w:w="1407" w:type="dxa"/>
            <w:shd w:val="clear" w:color="auto" w:fill="ECECEC"/>
          </w:tcPr>
          <w:p w14:paraId="311EBA8C" w14:textId="6DF0FFFA" w:rsidR="00F7532B" w:rsidRPr="008C5B1B" w:rsidRDefault="00F7532B" w:rsidP="00F7532B">
            <w:pPr>
              <w:pStyle w:val="FSTableText"/>
            </w:pPr>
            <w:r w:rsidRPr="008C5B1B">
              <w:t>Chen et al</w:t>
            </w:r>
            <w:r w:rsidR="008743DA">
              <w:t>.</w:t>
            </w:r>
            <w:r w:rsidRPr="008C5B1B">
              <w:t xml:space="preserve"> (2021)</w:t>
            </w:r>
          </w:p>
        </w:tc>
        <w:tc>
          <w:tcPr>
            <w:tcW w:w="1362" w:type="dxa"/>
            <w:shd w:val="clear" w:color="auto" w:fill="ECECEC"/>
          </w:tcPr>
          <w:p w14:paraId="02E74CB4" w14:textId="24EFC83B" w:rsidR="00F7532B" w:rsidRDefault="00F7532B" w:rsidP="00F7532B">
            <w:pPr>
              <w:pStyle w:val="FSTableText"/>
            </w:pPr>
            <w:r>
              <w:t>Multicentre, double-blind randomised controlled trial</w:t>
            </w:r>
          </w:p>
        </w:tc>
        <w:tc>
          <w:tcPr>
            <w:tcW w:w="1060" w:type="dxa"/>
            <w:shd w:val="clear" w:color="auto" w:fill="ECECEC"/>
          </w:tcPr>
          <w:p w14:paraId="7E763F92" w14:textId="1DE144E5" w:rsidR="00F7532B" w:rsidRDefault="00F7532B" w:rsidP="00F7532B">
            <w:pPr>
              <w:pStyle w:val="FSTableText"/>
            </w:pPr>
            <w:r>
              <w:t>China</w:t>
            </w:r>
          </w:p>
        </w:tc>
        <w:tc>
          <w:tcPr>
            <w:tcW w:w="1786" w:type="dxa"/>
            <w:shd w:val="clear" w:color="auto" w:fill="ECECEC"/>
          </w:tcPr>
          <w:p w14:paraId="1971CE5D" w14:textId="661CC747" w:rsidR="00F7532B" w:rsidRDefault="00F7532B" w:rsidP="00F7532B">
            <w:pPr>
              <w:pStyle w:val="FSTableText"/>
            </w:pPr>
            <w:r>
              <w:t>Hilmar Cheese Company</w:t>
            </w:r>
          </w:p>
        </w:tc>
        <w:tc>
          <w:tcPr>
            <w:tcW w:w="1543" w:type="dxa"/>
            <w:shd w:val="clear" w:color="auto" w:fill="ECECEC"/>
          </w:tcPr>
          <w:p w14:paraId="3E0675D1" w14:textId="7915D092" w:rsidR="00F7532B" w:rsidRDefault="00F7532B" w:rsidP="00F7532B">
            <w:pPr>
              <w:pStyle w:val="FSTableText"/>
            </w:pPr>
            <w:r>
              <w:t>Infants with anaemia aged 6-9 months</w:t>
            </w:r>
          </w:p>
        </w:tc>
        <w:tc>
          <w:tcPr>
            <w:tcW w:w="2401" w:type="dxa"/>
            <w:shd w:val="clear" w:color="auto" w:fill="ECECEC"/>
          </w:tcPr>
          <w:p w14:paraId="54EF72D0" w14:textId="5C027772" w:rsidR="00F7532B" w:rsidRDefault="00F7532B" w:rsidP="00F7532B">
            <w:pPr>
              <w:pStyle w:val="FSTableText"/>
            </w:pPr>
            <w:proofErr w:type="spellStart"/>
            <w:r>
              <w:t>bLf</w:t>
            </w:r>
            <w:proofErr w:type="spellEnd"/>
            <w:r>
              <w:t>-fortified infant formula (38</w:t>
            </w:r>
            <w:r w:rsidR="0060699C">
              <w:t>0</w:t>
            </w:r>
            <w:r>
              <w:t xml:space="preserve"> mg/</w:t>
            </w:r>
            <w:r w:rsidR="0060699C">
              <w:t>k</w:t>
            </w:r>
            <w:r>
              <w:t>g; n=33)</w:t>
            </w:r>
          </w:p>
          <w:p w14:paraId="0114867C" w14:textId="77777777" w:rsidR="00F7532B" w:rsidRDefault="00F7532B" w:rsidP="00F7532B">
            <w:pPr>
              <w:pStyle w:val="FSTableText"/>
            </w:pPr>
          </w:p>
          <w:p w14:paraId="0B77EC43" w14:textId="31AB8B3D" w:rsidR="00F7532B" w:rsidRDefault="00F7532B" w:rsidP="00F7532B">
            <w:pPr>
              <w:pStyle w:val="FSTableText"/>
            </w:pPr>
            <w:proofErr w:type="spellStart"/>
            <w:r>
              <w:t>bLf</w:t>
            </w:r>
            <w:proofErr w:type="spellEnd"/>
            <w:r>
              <w:t>-fortified infant formula (76</w:t>
            </w:r>
            <w:r w:rsidR="00A51934">
              <w:t>0</w:t>
            </w:r>
            <w:r>
              <w:t xml:space="preserve"> mg/</w:t>
            </w:r>
            <w:r w:rsidR="00A51934">
              <w:t>k</w:t>
            </w:r>
            <w:r>
              <w:t>g; n=28)</w:t>
            </w:r>
          </w:p>
          <w:p w14:paraId="12AF7613" w14:textId="77777777" w:rsidR="00F7532B" w:rsidRDefault="00F7532B" w:rsidP="00F7532B">
            <w:pPr>
              <w:pStyle w:val="FSTableText"/>
            </w:pPr>
          </w:p>
          <w:p w14:paraId="70516A90" w14:textId="77777777" w:rsidR="00F7532B" w:rsidRDefault="00F7532B" w:rsidP="00F7532B">
            <w:pPr>
              <w:pStyle w:val="FSTableText"/>
            </w:pPr>
            <w:r>
              <w:t>Control formula (n=35)</w:t>
            </w:r>
          </w:p>
          <w:p w14:paraId="7E720C95" w14:textId="77777777" w:rsidR="00F7532B" w:rsidRDefault="00F7532B" w:rsidP="00F7532B">
            <w:pPr>
              <w:pStyle w:val="FSTableText"/>
            </w:pPr>
          </w:p>
          <w:p w14:paraId="18E296F7" w14:textId="3B02E33B" w:rsidR="00F7532B" w:rsidRDefault="00F7532B" w:rsidP="00F7532B">
            <w:pPr>
              <w:pStyle w:val="FSTableText"/>
            </w:pPr>
            <w:r>
              <w:t xml:space="preserve">Intervention </w:t>
            </w:r>
            <w:r w:rsidR="00D96930">
              <w:t>duration</w:t>
            </w:r>
            <w:r>
              <w:t>: 3 months</w:t>
            </w:r>
          </w:p>
        </w:tc>
        <w:tc>
          <w:tcPr>
            <w:tcW w:w="5530" w:type="dxa"/>
            <w:shd w:val="clear" w:color="auto" w:fill="ECECEC"/>
          </w:tcPr>
          <w:p w14:paraId="47C63282" w14:textId="176BEDCE" w:rsidR="00F7532B" w:rsidRDefault="00F7532B" w:rsidP="00F7532B">
            <w:pPr>
              <w:pStyle w:val="FSTableText"/>
            </w:pPr>
            <w:r>
              <w:t xml:space="preserve">No serious adverse events observed in either </w:t>
            </w:r>
            <w:proofErr w:type="spellStart"/>
            <w:r>
              <w:t>bLf</w:t>
            </w:r>
            <w:proofErr w:type="spellEnd"/>
            <w:r>
              <w:t xml:space="preserve">-supplemented group. </w:t>
            </w:r>
          </w:p>
        </w:tc>
      </w:tr>
      <w:tr w:rsidR="00F7532B" w14:paraId="736EF75D" w14:textId="77777777" w:rsidTr="001F7A73">
        <w:tc>
          <w:tcPr>
            <w:tcW w:w="1407" w:type="dxa"/>
            <w:tcBorders>
              <w:bottom w:val="single" w:sz="4" w:space="0" w:color="000000"/>
            </w:tcBorders>
          </w:tcPr>
          <w:p w14:paraId="70CE4EEB" w14:textId="3E992ABC" w:rsidR="00F7532B" w:rsidRPr="008C5B1B" w:rsidRDefault="00F7532B" w:rsidP="00F7532B">
            <w:pPr>
              <w:pStyle w:val="FSTableText"/>
            </w:pPr>
            <w:proofErr w:type="spellStart"/>
            <w:r w:rsidRPr="008C5B1B">
              <w:t>Björmsö</w:t>
            </w:r>
            <w:proofErr w:type="spellEnd"/>
            <w:r w:rsidRPr="008C5B1B">
              <w:t xml:space="preserve"> et al</w:t>
            </w:r>
            <w:r w:rsidR="008743DA">
              <w:t>.</w:t>
            </w:r>
            <w:r w:rsidRPr="008C5B1B">
              <w:t xml:space="preserve"> (2022)</w:t>
            </w:r>
          </w:p>
        </w:tc>
        <w:tc>
          <w:tcPr>
            <w:tcW w:w="1362" w:type="dxa"/>
            <w:tcBorders>
              <w:bottom w:val="single" w:sz="4" w:space="0" w:color="000000"/>
            </w:tcBorders>
          </w:tcPr>
          <w:p w14:paraId="35B683C2" w14:textId="5C1F92AD" w:rsidR="00F7532B" w:rsidRDefault="00F7532B" w:rsidP="00F7532B">
            <w:pPr>
              <w:pStyle w:val="FSTableText"/>
            </w:pPr>
            <w:r>
              <w:t>Double-blind, randomised controlled trial</w:t>
            </w:r>
          </w:p>
        </w:tc>
        <w:tc>
          <w:tcPr>
            <w:tcW w:w="1060" w:type="dxa"/>
            <w:tcBorders>
              <w:bottom w:val="single" w:sz="4" w:space="0" w:color="000000"/>
            </w:tcBorders>
          </w:tcPr>
          <w:p w14:paraId="35E98304" w14:textId="424ADC4D" w:rsidR="00F7532B" w:rsidRDefault="00F7532B" w:rsidP="00F7532B">
            <w:pPr>
              <w:pStyle w:val="FSTableText"/>
            </w:pPr>
            <w:r>
              <w:t>Sweden</w:t>
            </w:r>
          </w:p>
        </w:tc>
        <w:tc>
          <w:tcPr>
            <w:tcW w:w="1786" w:type="dxa"/>
            <w:tcBorders>
              <w:bottom w:val="single" w:sz="4" w:space="0" w:color="000000"/>
            </w:tcBorders>
          </w:tcPr>
          <w:p w14:paraId="5A540C9D" w14:textId="4CF24D90" w:rsidR="00F7532B" w:rsidRDefault="00F7532B" w:rsidP="00F7532B">
            <w:pPr>
              <w:pStyle w:val="FSTableText"/>
            </w:pPr>
            <w:r>
              <w:t>Hilmar Ingredients</w:t>
            </w:r>
          </w:p>
        </w:tc>
        <w:tc>
          <w:tcPr>
            <w:tcW w:w="1543" w:type="dxa"/>
            <w:tcBorders>
              <w:bottom w:val="single" w:sz="4" w:space="0" w:color="000000"/>
            </w:tcBorders>
          </w:tcPr>
          <w:p w14:paraId="6574CCE8" w14:textId="0696741E" w:rsidR="00F7532B" w:rsidRDefault="00F7532B" w:rsidP="00F7532B">
            <w:pPr>
              <w:pStyle w:val="FSTableText"/>
            </w:pPr>
            <w:r>
              <w:t>Healthy term infants aged 6±2 weeks</w:t>
            </w:r>
          </w:p>
        </w:tc>
        <w:tc>
          <w:tcPr>
            <w:tcW w:w="2401" w:type="dxa"/>
            <w:tcBorders>
              <w:bottom w:val="single" w:sz="4" w:space="0" w:color="000000"/>
            </w:tcBorders>
          </w:tcPr>
          <w:p w14:paraId="54F15E77" w14:textId="0D964D49" w:rsidR="00F7532B" w:rsidRDefault="00F7532B" w:rsidP="00F7532B">
            <w:pPr>
              <w:pStyle w:val="FSTableText"/>
            </w:pPr>
            <w:r>
              <w:t xml:space="preserve">Low iron infant formula (2 mg/L) containing </w:t>
            </w:r>
            <w:proofErr w:type="spellStart"/>
            <w:r>
              <w:t>bLf</w:t>
            </w:r>
            <w:proofErr w:type="spellEnd"/>
            <w:r>
              <w:t xml:space="preserve"> (1</w:t>
            </w:r>
            <w:r w:rsidR="00D6570C">
              <w:t>000</w:t>
            </w:r>
            <w:r>
              <w:t xml:space="preserve"> </w:t>
            </w:r>
            <w:r w:rsidR="00D6570C">
              <w:t>m</w:t>
            </w:r>
            <w:r>
              <w:t>g/L; n=72)</w:t>
            </w:r>
          </w:p>
          <w:p w14:paraId="4AC1E494" w14:textId="77777777" w:rsidR="00F7532B" w:rsidRDefault="00F7532B" w:rsidP="00F7532B">
            <w:pPr>
              <w:pStyle w:val="FSTableText"/>
            </w:pPr>
          </w:p>
          <w:p w14:paraId="0B6AEA72" w14:textId="77777777" w:rsidR="00F7532B" w:rsidRDefault="00F7532B" w:rsidP="00F7532B">
            <w:pPr>
              <w:pStyle w:val="FSTableText"/>
            </w:pPr>
            <w:r>
              <w:t xml:space="preserve">Low iron formula without </w:t>
            </w:r>
            <w:proofErr w:type="spellStart"/>
            <w:r>
              <w:t>bLf</w:t>
            </w:r>
            <w:proofErr w:type="spellEnd"/>
            <w:r>
              <w:t xml:space="preserve"> (n=71)</w:t>
            </w:r>
          </w:p>
          <w:p w14:paraId="1FB0C160" w14:textId="77777777" w:rsidR="00F7532B" w:rsidRDefault="00F7532B" w:rsidP="00F7532B">
            <w:pPr>
              <w:pStyle w:val="FSTableText"/>
            </w:pPr>
          </w:p>
          <w:p w14:paraId="5AF74EEC" w14:textId="77777777" w:rsidR="00F7532B" w:rsidRDefault="00F7532B" w:rsidP="00F7532B">
            <w:pPr>
              <w:pStyle w:val="FSTableText"/>
            </w:pPr>
            <w:r>
              <w:t xml:space="preserve">Standard formula (8 mg/L iron) without </w:t>
            </w:r>
            <w:proofErr w:type="spellStart"/>
            <w:r>
              <w:t>bLf</w:t>
            </w:r>
            <w:proofErr w:type="spellEnd"/>
            <w:r>
              <w:t xml:space="preserve"> (n=33)</w:t>
            </w:r>
          </w:p>
          <w:p w14:paraId="5C9BA5C6" w14:textId="77777777" w:rsidR="00F7532B" w:rsidRDefault="00F7532B" w:rsidP="00F7532B">
            <w:pPr>
              <w:pStyle w:val="FSTableText"/>
            </w:pPr>
          </w:p>
          <w:p w14:paraId="5A33884D" w14:textId="77777777" w:rsidR="00F7532B" w:rsidRDefault="00F7532B" w:rsidP="00F7532B">
            <w:pPr>
              <w:pStyle w:val="FSTableText"/>
            </w:pPr>
            <w:r>
              <w:t>Breastfed reference group (n=71)</w:t>
            </w:r>
          </w:p>
          <w:p w14:paraId="0600D6FB" w14:textId="77777777" w:rsidR="00F7532B" w:rsidRDefault="00F7532B" w:rsidP="00F7532B">
            <w:pPr>
              <w:pStyle w:val="FSTableText"/>
            </w:pPr>
          </w:p>
          <w:p w14:paraId="4CE5D35F" w14:textId="2F9DDF80" w:rsidR="00F7532B" w:rsidRDefault="00F7532B" w:rsidP="00F7532B">
            <w:pPr>
              <w:pStyle w:val="FSTableText"/>
            </w:pPr>
            <w:r>
              <w:t xml:space="preserve">Intervention </w:t>
            </w:r>
            <w:r w:rsidR="00D96930">
              <w:t>duration</w:t>
            </w:r>
            <w:r>
              <w:t>: Until 6 months of age</w:t>
            </w:r>
          </w:p>
        </w:tc>
        <w:tc>
          <w:tcPr>
            <w:tcW w:w="5530" w:type="dxa"/>
            <w:tcBorders>
              <w:bottom w:val="single" w:sz="4" w:space="0" w:color="000000"/>
            </w:tcBorders>
          </w:tcPr>
          <w:p w14:paraId="3B4664E0" w14:textId="77777777" w:rsidR="00F7532B" w:rsidRDefault="00F7532B" w:rsidP="00F7532B">
            <w:pPr>
              <w:pStyle w:val="FSTableText"/>
            </w:pPr>
            <w:r>
              <w:t>No adverse effects were observed.</w:t>
            </w:r>
          </w:p>
          <w:p w14:paraId="1698BD92" w14:textId="77777777" w:rsidR="00F7532B" w:rsidRDefault="00F7532B" w:rsidP="00F7532B">
            <w:pPr>
              <w:pStyle w:val="FSTableText"/>
            </w:pPr>
          </w:p>
          <w:p w14:paraId="7CAD357E" w14:textId="77777777" w:rsidR="00F7532B" w:rsidRDefault="00F7532B" w:rsidP="00F7532B">
            <w:pPr>
              <w:pStyle w:val="FSTableText"/>
            </w:pPr>
            <w:r>
              <w:t>No significant differences in serum cytokines observed between groups.</w:t>
            </w:r>
          </w:p>
          <w:p w14:paraId="27EABD5A" w14:textId="1731486D" w:rsidR="00F7532B" w:rsidRDefault="00F7532B" w:rsidP="00F7532B">
            <w:pPr>
              <w:pStyle w:val="FSTableText"/>
            </w:pPr>
          </w:p>
        </w:tc>
      </w:tr>
      <w:tr w:rsidR="00F7532B" w14:paraId="05846387" w14:textId="77777777" w:rsidTr="001F7A73">
        <w:tc>
          <w:tcPr>
            <w:tcW w:w="15089" w:type="dxa"/>
            <w:gridSpan w:val="7"/>
            <w:tcBorders>
              <w:bottom w:val="single" w:sz="4" w:space="0" w:color="000000"/>
            </w:tcBorders>
            <w:shd w:val="clear" w:color="auto" w:fill="616571"/>
          </w:tcPr>
          <w:p w14:paraId="10EA3F20" w14:textId="240687F3" w:rsidR="00F7532B" w:rsidRPr="001F7A73" w:rsidRDefault="00F7532B" w:rsidP="00F7532B">
            <w:pPr>
              <w:pStyle w:val="FSTableHeading"/>
              <w:rPr>
                <w:color w:val="FFFFFF" w:themeColor="background1"/>
              </w:rPr>
            </w:pPr>
            <w:r w:rsidRPr="001F7A73">
              <w:rPr>
                <w:color w:val="FFFFFF" w:themeColor="background1"/>
              </w:rPr>
              <w:t>Studies in pre-term or very low birth weight infants</w:t>
            </w:r>
          </w:p>
        </w:tc>
      </w:tr>
      <w:tr w:rsidR="00F7532B" w14:paraId="4E869270" w14:textId="77777777" w:rsidTr="001F7A73">
        <w:tc>
          <w:tcPr>
            <w:tcW w:w="1407" w:type="dxa"/>
            <w:shd w:val="clear" w:color="auto" w:fill="ECECEC"/>
          </w:tcPr>
          <w:p w14:paraId="42614F0B" w14:textId="27A814DA" w:rsidR="00F7532B" w:rsidRDefault="00F7532B" w:rsidP="00F7532B">
            <w:pPr>
              <w:pStyle w:val="FSTableText"/>
            </w:pPr>
            <w:r w:rsidRPr="008C5B1B">
              <w:t>Manzoni et al</w:t>
            </w:r>
            <w:r w:rsidR="008743DA">
              <w:t>.</w:t>
            </w:r>
            <w:r w:rsidRPr="008C5B1B">
              <w:t xml:space="preserve"> (2009)</w:t>
            </w:r>
          </w:p>
        </w:tc>
        <w:tc>
          <w:tcPr>
            <w:tcW w:w="1362" w:type="dxa"/>
            <w:shd w:val="clear" w:color="auto" w:fill="ECECEC"/>
          </w:tcPr>
          <w:p w14:paraId="2A223F20" w14:textId="77D7CBC2" w:rsidR="00F7532B" w:rsidRDefault="00F7532B" w:rsidP="00F7532B">
            <w:pPr>
              <w:pStyle w:val="FSTableText"/>
            </w:pPr>
            <w:r>
              <w:t>Multicentre, double-blind randomised controlled trial</w:t>
            </w:r>
          </w:p>
        </w:tc>
        <w:tc>
          <w:tcPr>
            <w:tcW w:w="1060" w:type="dxa"/>
            <w:shd w:val="clear" w:color="auto" w:fill="ECECEC"/>
          </w:tcPr>
          <w:p w14:paraId="7EDC7833" w14:textId="65A3886B" w:rsidR="00F7532B" w:rsidRDefault="00F7532B" w:rsidP="00F7532B">
            <w:pPr>
              <w:pStyle w:val="FSTableText"/>
            </w:pPr>
            <w:r>
              <w:t>Italy</w:t>
            </w:r>
          </w:p>
        </w:tc>
        <w:tc>
          <w:tcPr>
            <w:tcW w:w="1786" w:type="dxa"/>
            <w:shd w:val="clear" w:color="auto" w:fill="ECECEC"/>
          </w:tcPr>
          <w:p w14:paraId="6AFC4AF7" w14:textId="53F4BB3B" w:rsidR="00F7532B" w:rsidRDefault="00F7532B" w:rsidP="00F7532B">
            <w:pPr>
              <w:pStyle w:val="FSTableText"/>
            </w:pPr>
            <w:proofErr w:type="spellStart"/>
            <w:r>
              <w:t>Dicofarm</w:t>
            </w:r>
            <w:proofErr w:type="spellEnd"/>
          </w:p>
        </w:tc>
        <w:tc>
          <w:tcPr>
            <w:tcW w:w="1543" w:type="dxa"/>
            <w:shd w:val="clear" w:color="auto" w:fill="ECECEC"/>
          </w:tcPr>
          <w:p w14:paraId="6BD4CB1B" w14:textId="31E5B2BC" w:rsidR="00F7532B" w:rsidRDefault="00F7532B" w:rsidP="00F7532B">
            <w:pPr>
              <w:pStyle w:val="FSTableText"/>
            </w:pPr>
            <w:r>
              <w:t>Very low birth weight (VLBW; &lt; 1500g) neonates age &lt; 3 days</w:t>
            </w:r>
          </w:p>
        </w:tc>
        <w:tc>
          <w:tcPr>
            <w:tcW w:w="2401" w:type="dxa"/>
            <w:shd w:val="clear" w:color="auto" w:fill="ECECEC"/>
          </w:tcPr>
          <w:p w14:paraId="199F40CE" w14:textId="0FFB3A13" w:rsidR="00F7532B" w:rsidRDefault="00F7532B" w:rsidP="00F7532B">
            <w:pPr>
              <w:pStyle w:val="FSTableText"/>
            </w:pPr>
            <w:r>
              <w:t xml:space="preserve">Orally administered </w:t>
            </w:r>
            <w:proofErr w:type="spellStart"/>
            <w:r>
              <w:t>bLf</w:t>
            </w:r>
            <w:proofErr w:type="spellEnd"/>
            <w:r>
              <w:t xml:space="preserve"> (100 mg/day; n=153)</w:t>
            </w:r>
          </w:p>
          <w:p w14:paraId="3B286BD6" w14:textId="77777777" w:rsidR="00F7532B" w:rsidRDefault="00F7532B" w:rsidP="00F7532B">
            <w:pPr>
              <w:pStyle w:val="FSTableText"/>
            </w:pPr>
          </w:p>
          <w:p w14:paraId="2F04A66E" w14:textId="75AA387F" w:rsidR="00F7532B" w:rsidRDefault="00F7532B" w:rsidP="00F7532B">
            <w:pPr>
              <w:pStyle w:val="FSTableText"/>
            </w:pPr>
            <w:proofErr w:type="spellStart"/>
            <w:r>
              <w:t>bLf</w:t>
            </w:r>
            <w:proofErr w:type="spellEnd"/>
            <w:r>
              <w:t xml:space="preserve"> (100 mg/day) + </w:t>
            </w:r>
            <w:r w:rsidRPr="000F065A">
              <w:rPr>
                <w:i/>
              </w:rPr>
              <w:t xml:space="preserve">Lactobacillus </w:t>
            </w:r>
            <w:proofErr w:type="spellStart"/>
            <w:r w:rsidRPr="000F065A">
              <w:rPr>
                <w:i/>
              </w:rPr>
              <w:t>rhamnosus</w:t>
            </w:r>
            <w:proofErr w:type="spellEnd"/>
            <w:r>
              <w:t xml:space="preserve"> GG (6x10</w:t>
            </w:r>
            <w:r w:rsidRPr="000F065A">
              <w:rPr>
                <w:vertAlign w:val="superscript"/>
              </w:rPr>
              <w:t>9</w:t>
            </w:r>
            <w:r>
              <w:t xml:space="preserve"> colony forming units/day; n=151)</w:t>
            </w:r>
          </w:p>
          <w:p w14:paraId="1671401D" w14:textId="77777777" w:rsidR="00D46C1D" w:rsidRDefault="00D46C1D" w:rsidP="00F7532B">
            <w:pPr>
              <w:pStyle w:val="FSTableText"/>
            </w:pPr>
          </w:p>
          <w:p w14:paraId="3B7457B9" w14:textId="2C9B95CD" w:rsidR="00D46C1D" w:rsidRDefault="00E402C7" w:rsidP="00F7532B">
            <w:pPr>
              <w:pStyle w:val="FSTableText"/>
            </w:pPr>
            <w:r>
              <w:t xml:space="preserve">Equivalent </w:t>
            </w:r>
            <w:proofErr w:type="spellStart"/>
            <w:r>
              <w:t>bLf</w:t>
            </w:r>
            <w:proofErr w:type="spellEnd"/>
            <w:r>
              <w:t xml:space="preserve"> concentration calculated as 370 – 1316 mg/L</w:t>
            </w:r>
            <w:r w:rsidR="00AC2BE0">
              <w:rPr>
                <w:rStyle w:val="FootnoteReference"/>
              </w:rPr>
              <w:footnoteReference w:id="3"/>
            </w:r>
            <w:r w:rsidR="00271ACE">
              <w:t xml:space="preserve"> </w:t>
            </w:r>
          </w:p>
          <w:p w14:paraId="6D72A1BD" w14:textId="77777777" w:rsidR="00F7532B" w:rsidRDefault="00F7532B" w:rsidP="00F7532B">
            <w:pPr>
              <w:pStyle w:val="FSTableText"/>
            </w:pPr>
          </w:p>
          <w:p w14:paraId="08D2BC39" w14:textId="77777777" w:rsidR="00F7532B" w:rsidRDefault="00F7532B" w:rsidP="00F7532B">
            <w:pPr>
              <w:pStyle w:val="FSTableText"/>
            </w:pPr>
            <w:r>
              <w:t>Placebo (n=168)</w:t>
            </w:r>
          </w:p>
          <w:p w14:paraId="222F8CFD" w14:textId="77777777" w:rsidR="00F7532B" w:rsidRDefault="00F7532B" w:rsidP="00F7532B">
            <w:pPr>
              <w:pStyle w:val="FSTableText"/>
            </w:pPr>
          </w:p>
          <w:p w14:paraId="5D80C1DE" w14:textId="5ADB9E16" w:rsidR="00F7532B" w:rsidRDefault="00F7532B" w:rsidP="00F7532B">
            <w:pPr>
              <w:pStyle w:val="FSTableText"/>
            </w:pPr>
            <w:r>
              <w:t xml:space="preserve">Intervention </w:t>
            </w:r>
            <w:r w:rsidR="00D513A5">
              <w:t>duration</w:t>
            </w:r>
            <w:r>
              <w:t>: from birth until day 30 of life (day 45 for neonates &lt; 1000 g at birth)</w:t>
            </w:r>
          </w:p>
        </w:tc>
        <w:tc>
          <w:tcPr>
            <w:tcW w:w="5530" w:type="dxa"/>
            <w:shd w:val="clear" w:color="auto" w:fill="ECECEC"/>
          </w:tcPr>
          <w:p w14:paraId="6A572FEF" w14:textId="77777777" w:rsidR="00F7532B" w:rsidRDefault="00F7532B" w:rsidP="00F7532B">
            <w:pPr>
              <w:pStyle w:val="FSTableText"/>
            </w:pPr>
            <w:r>
              <w:t xml:space="preserve">No intolerance or adverse effects related to </w:t>
            </w:r>
            <w:proofErr w:type="spellStart"/>
            <w:r>
              <w:t>bLf</w:t>
            </w:r>
            <w:proofErr w:type="spellEnd"/>
            <w:r>
              <w:t xml:space="preserve"> were recorded. </w:t>
            </w:r>
          </w:p>
          <w:p w14:paraId="1B563383" w14:textId="77777777" w:rsidR="00F7532B" w:rsidRDefault="00F7532B" w:rsidP="00F7532B">
            <w:pPr>
              <w:pStyle w:val="FSTableText"/>
            </w:pPr>
          </w:p>
          <w:p w14:paraId="46DE6218" w14:textId="77777777" w:rsidR="00F7532B" w:rsidRDefault="00F7532B" w:rsidP="00F7532B">
            <w:pPr>
              <w:pStyle w:val="FSTableText"/>
            </w:pPr>
            <w:r>
              <w:t xml:space="preserve">Administration was not discontinued due to presumed adverse effects, intolerance or potentially dangerous interactions with other drugs. </w:t>
            </w:r>
          </w:p>
          <w:p w14:paraId="4EB704F0" w14:textId="77777777" w:rsidR="00F7532B" w:rsidRDefault="00F7532B" w:rsidP="00F7532B">
            <w:pPr>
              <w:pStyle w:val="FSTableText"/>
            </w:pPr>
          </w:p>
          <w:p w14:paraId="2F9A539E" w14:textId="68D4B599" w:rsidR="00F7532B" w:rsidRDefault="00F7532B" w:rsidP="00F7532B">
            <w:pPr>
              <w:pStyle w:val="FSTableText"/>
            </w:pPr>
            <w:r>
              <w:t xml:space="preserve">No infants displayed signs of hepatotoxicity or cholestasis. </w:t>
            </w:r>
          </w:p>
        </w:tc>
      </w:tr>
      <w:tr w:rsidR="00F7532B" w14:paraId="0EAA0EFF" w14:textId="77777777" w:rsidTr="001F7A73">
        <w:tc>
          <w:tcPr>
            <w:tcW w:w="1407" w:type="dxa"/>
            <w:tcBorders>
              <w:bottom w:val="single" w:sz="4" w:space="0" w:color="000000"/>
            </w:tcBorders>
          </w:tcPr>
          <w:p w14:paraId="13A9DFB5" w14:textId="22F8969E" w:rsidR="00F7532B" w:rsidRDefault="00F7532B" w:rsidP="00F7532B">
            <w:pPr>
              <w:pStyle w:val="FSTableText"/>
            </w:pPr>
            <w:r w:rsidRPr="008C5B1B">
              <w:t>Manzoni et al</w:t>
            </w:r>
            <w:r w:rsidR="008743DA">
              <w:t>.</w:t>
            </w:r>
            <w:r w:rsidRPr="008C5B1B">
              <w:t xml:space="preserve"> (2014)</w:t>
            </w:r>
          </w:p>
        </w:tc>
        <w:tc>
          <w:tcPr>
            <w:tcW w:w="1362" w:type="dxa"/>
            <w:tcBorders>
              <w:bottom w:val="single" w:sz="4" w:space="0" w:color="000000"/>
            </w:tcBorders>
          </w:tcPr>
          <w:p w14:paraId="623CE20A" w14:textId="77777777" w:rsidR="00F7532B" w:rsidRDefault="00F7532B" w:rsidP="00F7532B">
            <w:pPr>
              <w:pStyle w:val="FSTableText"/>
            </w:pPr>
            <w:r>
              <w:t>Multicentre, double-blind randomised controlled trial</w:t>
            </w:r>
          </w:p>
          <w:p w14:paraId="06F6CEFE" w14:textId="77777777" w:rsidR="00F7532B" w:rsidRDefault="00F7532B" w:rsidP="00F7532B">
            <w:pPr>
              <w:pStyle w:val="FSTableText"/>
            </w:pPr>
          </w:p>
          <w:p w14:paraId="76F7DFBE" w14:textId="52FB008F" w:rsidR="00F7532B" w:rsidRDefault="00F7532B" w:rsidP="00F7532B">
            <w:pPr>
              <w:pStyle w:val="FSTableText"/>
            </w:pPr>
            <w:r>
              <w:t>(continuation of the study by Manzoni et al 2009)</w:t>
            </w:r>
          </w:p>
        </w:tc>
        <w:tc>
          <w:tcPr>
            <w:tcW w:w="1060" w:type="dxa"/>
            <w:tcBorders>
              <w:bottom w:val="single" w:sz="4" w:space="0" w:color="000000"/>
            </w:tcBorders>
          </w:tcPr>
          <w:p w14:paraId="1E4F76AF" w14:textId="095D82AD" w:rsidR="00F7532B" w:rsidRDefault="00F7532B" w:rsidP="00F7532B">
            <w:pPr>
              <w:pStyle w:val="FSTableText"/>
            </w:pPr>
            <w:r>
              <w:t>Italy and New Zealand</w:t>
            </w:r>
          </w:p>
        </w:tc>
        <w:tc>
          <w:tcPr>
            <w:tcW w:w="1786" w:type="dxa"/>
            <w:tcBorders>
              <w:bottom w:val="single" w:sz="4" w:space="0" w:color="000000"/>
            </w:tcBorders>
          </w:tcPr>
          <w:p w14:paraId="6988D863" w14:textId="08FEA732" w:rsidR="00F7532B" w:rsidRDefault="00F7532B" w:rsidP="00F7532B">
            <w:pPr>
              <w:pStyle w:val="FSTableText"/>
            </w:pPr>
            <w:proofErr w:type="spellStart"/>
            <w:r>
              <w:t>Dicofarm</w:t>
            </w:r>
            <w:proofErr w:type="spellEnd"/>
          </w:p>
        </w:tc>
        <w:tc>
          <w:tcPr>
            <w:tcW w:w="1543" w:type="dxa"/>
            <w:tcBorders>
              <w:bottom w:val="single" w:sz="4" w:space="0" w:color="000000"/>
            </w:tcBorders>
          </w:tcPr>
          <w:p w14:paraId="41E22C60" w14:textId="6EEFC4A8" w:rsidR="00F7532B" w:rsidRDefault="00F7532B" w:rsidP="00F7532B">
            <w:pPr>
              <w:pStyle w:val="FSTableText"/>
            </w:pPr>
            <w:r>
              <w:t>VLBW infants age 3 days</w:t>
            </w:r>
          </w:p>
        </w:tc>
        <w:tc>
          <w:tcPr>
            <w:tcW w:w="2401" w:type="dxa"/>
            <w:tcBorders>
              <w:bottom w:val="single" w:sz="4" w:space="0" w:color="000000"/>
            </w:tcBorders>
          </w:tcPr>
          <w:p w14:paraId="33A51674" w14:textId="4B735FF2" w:rsidR="00F7532B" w:rsidRDefault="00F7532B" w:rsidP="00F7532B">
            <w:pPr>
              <w:pStyle w:val="FSTableText"/>
            </w:pPr>
            <w:r>
              <w:t xml:space="preserve">Orally administered </w:t>
            </w:r>
            <w:proofErr w:type="spellStart"/>
            <w:r>
              <w:t>bLf</w:t>
            </w:r>
            <w:proofErr w:type="spellEnd"/>
            <w:r>
              <w:t xml:space="preserve"> (100 mg/day; n=247)</w:t>
            </w:r>
          </w:p>
          <w:p w14:paraId="7E637858" w14:textId="77777777" w:rsidR="00F7532B" w:rsidRDefault="00F7532B" w:rsidP="00F7532B">
            <w:pPr>
              <w:pStyle w:val="FSTableText"/>
            </w:pPr>
          </w:p>
          <w:p w14:paraId="4E0226CB" w14:textId="31860B12" w:rsidR="00F7532B" w:rsidRDefault="00F7532B" w:rsidP="00F7532B">
            <w:pPr>
              <w:pStyle w:val="FSTableText"/>
            </w:pPr>
            <w:proofErr w:type="spellStart"/>
            <w:r>
              <w:t>bLf</w:t>
            </w:r>
            <w:proofErr w:type="spellEnd"/>
            <w:r>
              <w:t xml:space="preserve"> (100 mg/day) + </w:t>
            </w:r>
            <w:r w:rsidRPr="000F065A">
              <w:rPr>
                <w:i/>
              </w:rPr>
              <w:t xml:space="preserve">Lactobacillus </w:t>
            </w:r>
            <w:proofErr w:type="spellStart"/>
            <w:r w:rsidRPr="000F065A">
              <w:rPr>
                <w:i/>
              </w:rPr>
              <w:t>rhamnosus</w:t>
            </w:r>
            <w:proofErr w:type="spellEnd"/>
            <w:r>
              <w:t xml:space="preserve"> GG (6x10</w:t>
            </w:r>
            <w:r w:rsidRPr="000F065A">
              <w:rPr>
                <w:vertAlign w:val="superscript"/>
              </w:rPr>
              <w:t>9</w:t>
            </w:r>
            <w:r>
              <w:t xml:space="preserve"> colony forming units/day; n=238)</w:t>
            </w:r>
          </w:p>
          <w:p w14:paraId="409778DB" w14:textId="77777777" w:rsidR="008D3DEC" w:rsidRDefault="008D3DEC" w:rsidP="00F7532B">
            <w:pPr>
              <w:pStyle w:val="FSTableText"/>
            </w:pPr>
          </w:p>
          <w:p w14:paraId="47096A06" w14:textId="1A3AD957" w:rsidR="008D3DEC" w:rsidRDefault="008D3DEC" w:rsidP="008D3DEC">
            <w:pPr>
              <w:pStyle w:val="FSTableText"/>
            </w:pPr>
            <w:r>
              <w:t xml:space="preserve">Equivalent </w:t>
            </w:r>
            <w:proofErr w:type="spellStart"/>
            <w:r>
              <w:t>bLf</w:t>
            </w:r>
            <w:proofErr w:type="spellEnd"/>
            <w:r>
              <w:t xml:space="preserve"> concentration calculated as 370 – 1316 mg/L</w:t>
            </w:r>
            <w:r w:rsidRPr="008D3DEC">
              <w:rPr>
                <w:vertAlign w:val="superscript"/>
              </w:rPr>
              <w:t>2</w:t>
            </w:r>
            <w:r>
              <w:t xml:space="preserve"> </w:t>
            </w:r>
          </w:p>
          <w:p w14:paraId="0B12A572" w14:textId="2F92B4B9" w:rsidR="00F7532B" w:rsidRDefault="00F7532B" w:rsidP="00F7532B">
            <w:pPr>
              <w:pStyle w:val="FSTableText"/>
            </w:pPr>
          </w:p>
          <w:p w14:paraId="2A2BDD6C" w14:textId="269ECB37" w:rsidR="00F7532B" w:rsidRDefault="00F7532B" w:rsidP="00F7532B">
            <w:pPr>
              <w:pStyle w:val="FSTableText"/>
            </w:pPr>
            <w:r>
              <w:t>Placebo (n=258)</w:t>
            </w:r>
          </w:p>
          <w:p w14:paraId="34E6CA75" w14:textId="64F7E8C7" w:rsidR="00F7532B" w:rsidRDefault="00F7532B" w:rsidP="00F7532B">
            <w:pPr>
              <w:pStyle w:val="FSTableText"/>
            </w:pPr>
          </w:p>
          <w:p w14:paraId="1CCD339F" w14:textId="41A45047" w:rsidR="00F7532B" w:rsidRDefault="00F7532B" w:rsidP="00F7532B">
            <w:pPr>
              <w:pStyle w:val="FSTableText"/>
            </w:pPr>
            <w:r>
              <w:t xml:space="preserve">Intervention </w:t>
            </w:r>
            <w:r w:rsidR="00D513A5">
              <w:t>duration</w:t>
            </w:r>
            <w:r>
              <w:t>: from birth until day 30 of life (day 45 for neonates &lt; 1000 g at birth)</w:t>
            </w:r>
          </w:p>
        </w:tc>
        <w:tc>
          <w:tcPr>
            <w:tcW w:w="5530" w:type="dxa"/>
            <w:tcBorders>
              <w:bottom w:val="single" w:sz="4" w:space="0" w:color="000000"/>
            </w:tcBorders>
          </w:tcPr>
          <w:p w14:paraId="07421EF3" w14:textId="57A45671" w:rsidR="00F7532B" w:rsidRDefault="00F7532B" w:rsidP="00F7532B">
            <w:pPr>
              <w:pStyle w:val="FSTableText"/>
            </w:pPr>
            <w:r>
              <w:t xml:space="preserve">No adverse effects or treatment intolerance occurred. </w:t>
            </w:r>
          </w:p>
        </w:tc>
      </w:tr>
      <w:tr w:rsidR="00F7532B" w14:paraId="6060A514" w14:textId="77777777" w:rsidTr="001F7A73">
        <w:tc>
          <w:tcPr>
            <w:tcW w:w="1407" w:type="dxa"/>
            <w:shd w:val="clear" w:color="auto" w:fill="ECECEC"/>
          </w:tcPr>
          <w:p w14:paraId="640B4977" w14:textId="4CD5F116" w:rsidR="00F7532B" w:rsidRDefault="00F7532B" w:rsidP="00F7532B">
            <w:pPr>
              <w:pStyle w:val="FSTableText"/>
            </w:pPr>
            <w:r w:rsidRPr="008C5B1B">
              <w:t>Akin et al</w:t>
            </w:r>
            <w:r w:rsidR="008743DA">
              <w:t>.</w:t>
            </w:r>
            <w:r w:rsidRPr="008C5B1B">
              <w:t xml:space="preserve"> (2014)</w:t>
            </w:r>
          </w:p>
        </w:tc>
        <w:tc>
          <w:tcPr>
            <w:tcW w:w="1362" w:type="dxa"/>
            <w:shd w:val="clear" w:color="auto" w:fill="ECECEC"/>
          </w:tcPr>
          <w:p w14:paraId="200E4707" w14:textId="04C30838" w:rsidR="00F7532B" w:rsidRDefault="00F7532B" w:rsidP="00F7532B">
            <w:pPr>
              <w:pStyle w:val="FSTableText"/>
            </w:pPr>
            <w:r>
              <w:t>Double-blind randomised controlled trial</w:t>
            </w:r>
          </w:p>
        </w:tc>
        <w:tc>
          <w:tcPr>
            <w:tcW w:w="1060" w:type="dxa"/>
            <w:shd w:val="clear" w:color="auto" w:fill="ECECEC"/>
          </w:tcPr>
          <w:p w14:paraId="5EC7A77D" w14:textId="7517CDF1" w:rsidR="00F7532B" w:rsidRDefault="00F7532B" w:rsidP="00F7532B">
            <w:pPr>
              <w:pStyle w:val="FSTableText"/>
            </w:pPr>
            <w:r>
              <w:t>Turkey</w:t>
            </w:r>
          </w:p>
        </w:tc>
        <w:tc>
          <w:tcPr>
            <w:tcW w:w="1786" w:type="dxa"/>
            <w:shd w:val="clear" w:color="auto" w:fill="ECECEC"/>
          </w:tcPr>
          <w:p w14:paraId="2C715F59" w14:textId="47F8E190" w:rsidR="00F7532B" w:rsidRDefault="00F7532B" w:rsidP="00F7532B">
            <w:pPr>
              <w:pStyle w:val="FSTableText"/>
            </w:pPr>
            <w:proofErr w:type="spellStart"/>
            <w:r>
              <w:t>Dicofarm</w:t>
            </w:r>
            <w:proofErr w:type="spellEnd"/>
          </w:p>
        </w:tc>
        <w:tc>
          <w:tcPr>
            <w:tcW w:w="1543" w:type="dxa"/>
            <w:shd w:val="clear" w:color="auto" w:fill="ECECEC"/>
          </w:tcPr>
          <w:p w14:paraId="14639341" w14:textId="4CFE249D" w:rsidR="00F7532B" w:rsidRDefault="00F7532B" w:rsidP="00F7532B">
            <w:pPr>
              <w:pStyle w:val="FSTableText"/>
            </w:pPr>
            <w:r>
              <w:t>Infants either VLBW or born before 32 weeks</w:t>
            </w:r>
          </w:p>
        </w:tc>
        <w:tc>
          <w:tcPr>
            <w:tcW w:w="2401" w:type="dxa"/>
            <w:shd w:val="clear" w:color="auto" w:fill="ECECEC"/>
          </w:tcPr>
          <w:p w14:paraId="2498C4C4" w14:textId="1BA5FDA5" w:rsidR="00F7532B" w:rsidRDefault="00F7532B" w:rsidP="00F7532B">
            <w:pPr>
              <w:pStyle w:val="FSTableText"/>
            </w:pPr>
            <w:r>
              <w:t xml:space="preserve">Orally administered </w:t>
            </w:r>
            <w:proofErr w:type="spellStart"/>
            <w:r>
              <w:t>bLf</w:t>
            </w:r>
            <w:proofErr w:type="spellEnd"/>
            <w:r>
              <w:t xml:space="preserve"> (200 mg/day; n=25)</w:t>
            </w:r>
          </w:p>
          <w:p w14:paraId="07679A42" w14:textId="77777777" w:rsidR="00F7532B" w:rsidRDefault="00F7532B" w:rsidP="00F7532B">
            <w:pPr>
              <w:pStyle w:val="FSTableText"/>
            </w:pPr>
          </w:p>
          <w:p w14:paraId="3BC92AC5" w14:textId="631ADA82" w:rsidR="008A67A6" w:rsidRDefault="008A67A6" w:rsidP="00F7532B">
            <w:pPr>
              <w:pStyle w:val="FSTableText"/>
            </w:pPr>
            <w:r>
              <w:t xml:space="preserve">Equivalent </w:t>
            </w:r>
            <w:proofErr w:type="spellStart"/>
            <w:r>
              <w:t>bLf</w:t>
            </w:r>
            <w:proofErr w:type="spellEnd"/>
            <w:r>
              <w:t xml:space="preserve"> concentration calculated as </w:t>
            </w:r>
            <w:r w:rsidR="00DA10C8">
              <w:t>593</w:t>
            </w:r>
            <w:r>
              <w:t xml:space="preserve"> – 1</w:t>
            </w:r>
            <w:r w:rsidR="00DA10C8">
              <w:t>961</w:t>
            </w:r>
            <w:r>
              <w:t xml:space="preserve"> mg/L</w:t>
            </w:r>
            <w:r w:rsidR="00DA10C8" w:rsidRPr="00DA10C8">
              <w:rPr>
                <w:vertAlign w:val="superscript"/>
              </w:rPr>
              <w:t>2</w:t>
            </w:r>
          </w:p>
          <w:p w14:paraId="5FA52470" w14:textId="77777777" w:rsidR="008A67A6" w:rsidRDefault="008A67A6" w:rsidP="00F7532B">
            <w:pPr>
              <w:pStyle w:val="FSTableText"/>
            </w:pPr>
          </w:p>
          <w:p w14:paraId="44FFAE79" w14:textId="77777777" w:rsidR="00F7532B" w:rsidRDefault="00F7532B" w:rsidP="00F7532B">
            <w:pPr>
              <w:pStyle w:val="FSTableText"/>
            </w:pPr>
            <w:r>
              <w:t>Placebo (n=25)</w:t>
            </w:r>
          </w:p>
          <w:p w14:paraId="622AE559" w14:textId="77777777" w:rsidR="00F7532B" w:rsidRDefault="00F7532B" w:rsidP="00F7532B">
            <w:pPr>
              <w:pStyle w:val="FSTableText"/>
            </w:pPr>
          </w:p>
          <w:p w14:paraId="4B14E7C0" w14:textId="150EA1BD" w:rsidR="00F7532B" w:rsidRDefault="00F7532B" w:rsidP="00F7532B">
            <w:pPr>
              <w:pStyle w:val="FSTableText"/>
            </w:pPr>
            <w:r>
              <w:t xml:space="preserve">Intervention </w:t>
            </w:r>
            <w:r w:rsidR="00D513A5">
              <w:t>duration</w:t>
            </w:r>
            <w:r>
              <w:t xml:space="preserve">: from when the baby reached 20 mL/kg </w:t>
            </w:r>
            <w:proofErr w:type="spellStart"/>
            <w:r>
              <w:t>bw</w:t>
            </w:r>
            <w:proofErr w:type="spellEnd"/>
            <w:r>
              <w:t>/day feeding volume until the end of hospitalisation</w:t>
            </w:r>
          </w:p>
        </w:tc>
        <w:tc>
          <w:tcPr>
            <w:tcW w:w="5530" w:type="dxa"/>
            <w:shd w:val="clear" w:color="auto" w:fill="ECECEC"/>
          </w:tcPr>
          <w:p w14:paraId="7C0B80FF" w14:textId="322F32B1" w:rsidR="00F7532B" w:rsidRDefault="00F7532B" w:rsidP="00F7532B">
            <w:pPr>
              <w:pStyle w:val="FSTableText"/>
            </w:pPr>
            <w:r>
              <w:t xml:space="preserve">Treatment was well tolerated and no adverse effects were reported. </w:t>
            </w:r>
          </w:p>
        </w:tc>
      </w:tr>
      <w:tr w:rsidR="00F7532B" w14:paraId="34AA2247" w14:textId="77777777" w:rsidTr="00A22DFA">
        <w:tc>
          <w:tcPr>
            <w:tcW w:w="1407" w:type="dxa"/>
            <w:tcBorders>
              <w:bottom w:val="single" w:sz="4" w:space="0" w:color="000000"/>
            </w:tcBorders>
          </w:tcPr>
          <w:p w14:paraId="2A33D719" w14:textId="34A6B55D" w:rsidR="00F7532B" w:rsidRDefault="00F7532B" w:rsidP="00F7532B">
            <w:pPr>
              <w:pStyle w:val="FSTableText"/>
            </w:pPr>
            <w:r w:rsidRPr="008C5B1B">
              <w:t>Ochoa et al</w:t>
            </w:r>
            <w:r w:rsidR="008743DA">
              <w:t>.</w:t>
            </w:r>
            <w:r w:rsidRPr="008C5B1B">
              <w:t xml:space="preserve"> (2015)</w:t>
            </w:r>
          </w:p>
        </w:tc>
        <w:tc>
          <w:tcPr>
            <w:tcW w:w="1362" w:type="dxa"/>
            <w:tcBorders>
              <w:bottom w:val="single" w:sz="4" w:space="0" w:color="000000"/>
            </w:tcBorders>
          </w:tcPr>
          <w:p w14:paraId="21CF98E0" w14:textId="3CC00DDE" w:rsidR="00F7532B" w:rsidRDefault="00F7532B" w:rsidP="00F7532B">
            <w:pPr>
              <w:pStyle w:val="FSTableText"/>
            </w:pPr>
            <w:r>
              <w:t>Multicentre, double-blind randomised controlled trial</w:t>
            </w:r>
          </w:p>
        </w:tc>
        <w:tc>
          <w:tcPr>
            <w:tcW w:w="1060" w:type="dxa"/>
            <w:tcBorders>
              <w:bottom w:val="single" w:sz="4" w:space="0" w:color="000000"/>
            </w:tcBorders>
          </w:tcPr>
          <w:p w14:paraId="34288518" w14:textId="0F780C2B" w:rsidR="00F7532B" w:rsidRDefault="00F7532B" w:rsidP="00F7532B">
            <w:pPr>
              <w:pStyle w:val="FSTableText"/>
            </w:pPr>
            <w:r>
              <w:t>Peru</w:t>
            </w:r>
          </w:p>
        </w:tc>
        <w:tc>
          <w:tcPr>
            <w:tcW w:w="1786" w:type="dxa"/>
            <w:tcBorders>
              <w:bottom w:val="single" w:sz="4" w:space="0" w:color="000000"/>
            </w:tcBorders>
          </w:tcPr>
          <w:p w14:paraId="1186BAA5" w14:textId="7D5DD1EC" w:rsidR="00F7532B" w:rsidRDefault="00F7532B" w:rsidP="00F7532B">
            <w:pPr>
              <w:pStyle w:val="FSTableText"/>
            </w:pPr>
            <w:proofErr w:type="spellStart"/>
            <w:r>
              <w:t>Tatua</w:t>
            </w:r>
            <w:proofErr w:type="spellEnd"/>
            <w:r>
              <w:t xml:space="preserve"> Co-operative Dairy Co</w:t>
            </w:r>
          </w:p>
        </w:tc>
        <w:tc>
          <w:tcPr>
            <w:tcW w:w="1543" w:type="dxa"/>
            <w:tcBorders>
              <w:bottom w:val="single" w:sz="4" w:space="0" w:color="000000"/>
            </w:tcBorders>
          </w:tcPr>
          <w:p w14:paraId="78B30602" w14:textId="30EC398C" w:rsidR="00F7532B" w:rsidRDefault="00F7532B" w:rsidP="00F7532B">
            <w:pPr>
              <w:pStyle w:val="FSTableText"/>
            </w:pPr>
            <w:proofErr w:type="spellStart"/>
            <w:r>
              <w:t>Nenoates</w:t>
            </w:r>
            <w:proofErr w:type="spellEnd"/>
            <w:r>
              <w:t xml:space="preserve"> with birth weight 500-2500 g born in or referred to neonatal units in the first 72 hours of life</w:t>
            </w:r>
          </w:p>
        </w:tc>
        <w:tc>
          <w:tcPr>
            <w:tcW w:w="2401" w:type="dxa"/>
            <w:tcBorders>
              <w:bottom w:val="single" w:sz="4" w:space="0" w:color="000000"/>
            </w:tcBorders>
          </w:tcPr>
          <w:p w14:paraId="75AE5852" w14:textId="77777777" w:rsidR="00F7532B" w:rsidRDefault="00F7532B" w:rsidP="00F7532B">
            <w:pPr>
              <w:pStyle w:val="FSTableText"/>
            </w:pPr>
            <w:r>
              <w:t xml:space="preserve">Orally administered </w:t>
            </w:r>
            <w:proofErr w:type="spellStart"/>
            <w:r>
              <w:t>bLf</w:t>
            </w:r>
            <w:proofErr w:type="spellEnd"/>
            <w:r>
              <w:t xml:space="preserve"> (200 mg/kg </w:t>
            </w:r>
            <w:proofErr w:type="spellStart"/>
            <w:r>
              <w:t>bw</w:t>
            </w:r>
            <w:proofErr w:type="spellEnd"/>
            <w:r>
              <w:t>/day; n=95)</w:t>
            </w:r>
          </w:p>
          <w:p w14:paraId="73D3DF4C" w14:textId="77777777" w:rsidR="00166983" w:rsidRDefault="00166983" w:rsidP="00F7532B">
            <w:pPr>
              <w:pStyle w:val="FSTableText"/>
            </w:pPr>
          </w:p>
          <w:p w14:paraId="3DA9900A" w14:textId="787BF9E8" w:rsidR="00166983" w:rsidRDefault="00166983" w:rsidP="00F7532B">
            <w:pPr>
              <w:pStyle w:val="FSTableText"/>
            </w:pPr>
            <w:r>
              <w:t xml:space="preserve">Equivalent </w:t>
            </w:r>
            <w:proofErr w:type="spellStart"/>
            <w:r>
              <w:t>bLf</w:t>
            </w:r>
            <w:proofErr w:type="spellEnd"/>
            <w:r>
              <w:t xml:space="preserve"> concentration calculated as </w:t>
            </w:r>
            <w:r w:rsidR="00D62920">
              <w:t>1111</w:t>
            </w:r>
            <w:r>
              <w:t xml:space="preserve"> – 1316 mg/L</w:t>
            </w:r>
            <w:r w:rsidR="000733DB" w:rsidRPr="000733DB">
              <w:rPr>
                <w:vertAlign w:val="superscript"/>
              </w:rPr>
              <w:t>2</w:t>
            </w:r>
          </w:p>
          <w:p w14:paraId="797467C5" w14:textId="77777777" w:rsidR="00F7532B" w:rsidRDefault="00F7532B" w:rsidP="00F7532B">
            <w:pPr>
              <w:pStyle w:val="FSTableText"/>
            </w:pPr>
          </w:p>
          <w:p w14:paraId="6CE8B47D" w14:textId="77777777" w:rsidR="00F7532B" w:rsidRDefault="00F7532B" w:rsidP="00F7532B">
            <w:pPr>
              <w:pStyle w:val="FSTableText"/>
            </w:pPr>
            <w:r>
              <w:t>Placebo (n=95)</w:t>
            </w:r>
          </w:p>
          <w:p w14:paraId="2729AB12" w14:textId="77777777" w:rsidR="00F7532B" w:rsidRDefault="00F7532B" w:rsidP="00F7532B">
            <w:pPr>
              <w:pStyle w:val="FSTableText"/>
            </w:pPr>
          </w:p>
          <w:p w14:paraId="06FA722B" w14:textId="4B546F23" w:rsidR="00F7532B" w:rsidRDefault="00F7532B" w:rsidP="00F7532B">
            <w:pPr>
              <w:pStyle w:val="FSTableText"/>
            </w:pPr>
            <w:r>
              <w:t xml:space="preserve">Intervention </w:t>
            </w:r>
            <w:r w:rsidR="00D513A5">
              <w:t>duration</w:t>
            </w:r>
            <w:r>
              <w:t>: from enrolment for 4 weeks</w:t>
            </w:r>
          </w:p>
        </w:tc>
        <w:tc>
          <w:tcPr>
            <w:tcW w:w="5530" w:type="dxa"/>
            <w:tcBorders>
              <w:bottom w:val="single" w:sz="4" w:space="0" w:color="000000"/>
            </w:tcBorders>
          </w:tcPr>
          <w:p w14:paraId="6FAC73FD" w14:textId="77777777" w:rsidR="00F7532B" w:rsidRDefault="00F7532B" w:rsidP="00F7532B">
            <w:pPr>
              <w:pStyle w:val="FSTableText"/>
            </w:pPr>
            <w:r>
              <w:t xml:space="preserve">No signs of allergy or treatment intolerance in 99.7% of observed days, with only 3 episodes of vomiting in the intervention periods. </w:t>
            </w:r>
          </w:p>
          <w:p w14:paraId="1833295A" w14:textId="77777777" w:rsidR="00F7532B" w:rsidRDefault="00F7532B" w:rsidP="00F7532B">
            <w:pPr>
              <w:pStyle w:val="FSTableText"/>
            </w:pPr>
          </w:p>
          <w:p w14:paraId="50FA7D6A" w14:textId="794B92FB" w:rsidR="00F7532B" w:rsidRDefault="00F7532B" w:rsidP="00F7532B">
            <w:pPr>
              <w:pStyle w:val="FSTableText"/>
            </w:pPr>
            <w:r>
              <w:t xml:space="preserve">None of the severe adverse events recorded were attributable to the intervention. </w:t>
            </w:r>
          </w:p>
        </w:tc>
      </w:tr>
      <w:tr w:rsidR="00F7532B" w14:paraId="53C5BA21" w14:textId="77777777" w:rsidTr="00A22DFA">
        <w:tc>
          <w:tcPr>
            <w:tcW w:w="1407" w:type="dxa"/>
            <w:shd w:val="clear" w:color="auto" w:fill="ECECEC"/>
          </w:tcPr>
          <w:p w14:paraId="183710A1" w14:textId="7AC6C893" w:rsidR="00F7532B" w:rsidRDefault="00F7532B" w:rsidP="00F7532B">
            <w:pPr>
              <w:pStyle w:val="FSTableText"/>
            </w:pPr>
            <w:r w:rsidRPr="008C5B1B">
              <w:t xml:space="preserve">Kaur and </w:t>
            </w:r>
            <w:proofErr w:type="spellStart"/>
            <w:r w:rsidRPr="008C5B1B">
              <w:t>Gathwala</w:t>
            </w:r>
            <w:proofErr w:type="spellEnd"/>
            <w:r w:rsidRPr="008C5B1B">
              <w:t xml:space="preserve"> (2015)</w:t>
            </w:r>
          </w:p>
        </w:tc>
        <w:tc>
          <w:tcPr>
            <w:tcW w:w="1362" w:type="dxa"/>
            <w:shd w:val="clear" w:color="auto" w:fill="ECECEC"/>
          </w:tcPr>
          <w:p w14:paraId="1385A35E" w14:textId="6058FB5E" w:rsidR="00F7532B" w:rsidRDefault="00F7532B" w:rsidP="00F7532B">
            <w:pPr>
              <w:pStyle w:val="FSTableText"/>
            </w:pPr>
            <w:r>
              <w:t>Double-blind randomised controlled trial</w:t>
            </w:r>
          </w:p>
        </w:tc>
        <w:tc>
          <w:tcPr>
            <w:tcW w:w="1060" w:type="dxa"/>
            <w:shd w:val="clear" w:color="auto" w:fill="ECECEC"/>
          </w:tcPr>
          <w:p w14:paraId="08D90D71" w14:textId="2931C79D" w:rsidR="00F7532B" w:rsidRDefault="00F7532B" w:rsidP="00F7532B">
            <w:pPr>
              <w:pStyle w:val="FSTableText"/>
            </w:pPr>
            <w:r>
              <w:t>India</w:t>
            </w:r>
          </w:p>
        </w:tc>
        <w:tc>
          <w:tcPr>
            <w:tcW w:w="1786" w:type="dxa"/>
            <w:shd w:val="clear" w:color="auto" w:fill="ECECEC"/>
          </w:tcPr>
          <w:p w14:paraId="09E555B0" w14:textId="25947E89" w:rsidR="00F7532B" w:rsidRDefault="00F7532B" w:rsidP="00F7532B">
            <w:pPr>
              <w:pStyle w:val="FSTableText"/>
            </w:pPr>
            <w:r>
              <w:t>Not reported</w:t>
            </w:r>
          </w:p>
        </w:tc>
        <w:tc>
          <w:tcPr>
            <w:tcW w:w="1543" w:type="dxa"/>
            <w:shd w:val="clear" w:color="auto" w:fill="ECECEC"/>
          </w:tcPr>
          <w:p w14:paraId="3E14E5CD" w14:textId="758666CD" w:rsidR="00F7532B" w:rsidRDefault="00F7532B" w:rsidP="00F7532B">
            <w:pPr>
              <w:pStyle w:val="FSTableText"/>
            </w:pPr>
            <w:r>
              <w:t>Neonates with a birth weight &lt; 2000 g</w:t>
            </w:r>
          </w:p>
        </w:tc>
        <w:tc>
          <w:tcPr>
            <w:tcW w:w="2401" w:type="dxa"/>
            <w:shd w:val="clear" w:color="auto" w:fill="ECECEC"/>
          </w:tcPr>
          <w:p w14:paraId="69A3A324" w14:textId="1A80CBFB" w:rsidR="00F7532B" w:rsidRDefault="00F7532B" w:rsidP="00F7532B">
            <w:pPr>
              <w:pStyle w:val="FSTableText"/>
            </w:pPr>
            <w:r>
              <w:t xml:space="preserve">Orally administered </w:t>
            </w:r>
            <w:proofErr w:type="spellStart"/>
            <w:r>
              <w:t>bLf</w:t>
            </w:r>
            <w:proofErr w:type="spellEnd"/>
            <w:r>
              <w:t xml:space="preserve"> (n=63):</w:t>
            </w:r>
          </w:p>
          <w:p w14:paraId="79657333" w14:textId="77777777" w:rsidR="00F7532B" w:rsidRDefault="00F7532B" w:rsidP="00F7532B">
            <w:pPr>
              <w:pStyle w:val="FSTableText"/>
            </w:pPr>
          </w:p>
          <w:p w14:paraId="0A3A3AF2" w14:textId="1F49BF94" w:rsidR="00F7532B" w:rsidRDefault="00F7532B" w:rsidP="00F7532B">
            <w:pPr>
              <w:pStyle w:val="FSTableText"/>
            </w:pPr>
            <w:r>
              <w:t xml:space="preserve">Birth weight 1000-1249 g: 100 mg (80-100 mg/kg </w:t>
            </w:r>
            <w:proofErr w:type="spellStart"/>
            <w:r>
              <w:t>bw</w:t>
            </w:r>
            <w:proofErr w:type="spellEnd"/>
            <w:r>
              <w:t>/day)</w:t>
            </w:r>
          </w:p>
          <w:p w14:paraId="038C8441" w14:textId="00B99D46" w:rsidR="00667DF9" w:rsidRDefault="00667DF9" w:rsidP="00F7532B">
            <w:pPr>
              <w:pStyle w:val="FSTableText"/>
            </w:pPr>
            <w:r>
              <w:t xml:space="preserve">Equivalent </w:t>
            </w:r>
            <w:proofErr w:type="spellStart"/>
            <w:r>
              <w:t>bLf</w:t>
            </w:r>
            <w:proofErr w:type="spellEnd"/>
            <w:r>
              <w:t xml:space="preserve"> concentration calculated as 444 – 667 mg/L</w:t>
            </w:r>
            <w:r w:rsidRPr="00667DF9">
              <w:rPr>
                <w:vertAlign w:val="superscript"/>
              </w:rPr>
              <w:t>2</w:t>
            </w:r>
          </w:p>
          <w:p w14:paraId="7CE86956" w14:textId="77777777" w:rsidR="00667DF9" w:rsidRDefault="00667DF9" w:rsidP="00F7532B">
            <w:pPr>
              <w:pStyle w:val="FSTableText"/>
            </w:pPr>
          </w:p>
          <w:p w14:paraId="56CF12F3" w14:textId="00D6894C" w:rsidR="00F7532B" w:rsidRDefault="00F7532B" w:rsidP="00F7532B">
            <w:pPr>
              <w:pStyle w:val="FSTableText"/>
            </w:pPr>
            <w:r>
              <w:t xml:space="preserve">Birth weight 1250-1499 g: 150 mg (100-120 mg/kg </w:t>
            </w:r>
            <w:proofErr w:type="spellStart"/>
            <w:r>
              <w:t>bw</w:t>
            </w:r>
            <w:proofErr w:type="spellEnd"/>
            <w:r>
              <w:t>/day)</w:t>
            </w:r>
          </w:p>
          <w:p w14:paraId="3D28790D" w14:textId="313D9427" w:rsidR="00667DF9" w:rsidRDefault="00667DF9" w:rsidP="00F7532B">
            <w:pPr>
              <w:pStyle w:val="FSTableText"/>
            </w:pPr>
            <w:r>
              <w:t xml:space="preserve">Equivalent </w:t>
            </w:r>
            <w:proofErr w:type="spellStart"/>
            <w:r>
              <w:t>bLf</w:t>
            </w:r>
            <w:proofErr w:type="spellEnd"/>
            <w:r>
              <w:t xml:space="preserve"> concentration calculated as </w:t>
            </w:r>
            <w:r w:rsidR="00140CCE">
              <w:t>556</w:t>
            </w:r>
            <w:r>
              <w:t xml:space="preserve"> – </w:t>
            </w:r>
            <w:r w:rsidR="00140CCE">
              <w:t>798</w:t>
            </w:r>
            <w:r>
              <w:t xml:space="preserve"> mg/L</w:t>
            </w:r>
            <w:r w:rsidR="00140CCE" w:rsidRPr="00140CCE">
              <w:rPr>
                <w:vertAlign w:val="superscript"/>
              </w:rPr>
              <w:t>2</w:t>
            </w:r>
          </w:p>
          <w:p w14:paraId="541EE7C8" w14:textId="77777777" w:rsidR="00667DF9" w:rsidRDefault="00667DF9" w:rsidP="00F7532B">
            <w:pPr>
              <w:pStyle w:val="FSTableText"/>
            </w:pPr>
          </w:p>
          <w:p w14:paraId="50169A50" w14:textId="1EA8561B" w:rsidR="00F7532B" w:rsidRDefault="00F7532B" w:rsidP="00F7532B">
            <w:pPr>
              <w:pStyle w:val="FSTableText"/>
            </w:pPr>
            <w:r>
              <w:t xml:space="preserve">Birth weight 1500-1749 g: 200 mg (114-133 mg/kg </w:t>
            </w:r>
            <w:proofErr w:type="spellStart"/>
            <w:r>
              <w:t>bw</w:t>
            </w:r>
            <w:proofErr w:type="spellEnd"/>
            <w:r>
              <w:t>/day)</w:t>
            </w:r>
          </w:p>
          <w:p w14:paraId="50037F49" w14:textId="52482940" w:rsidR="00140CCE" w:rsidRDefault="00140CCE" w:rsidP="00F7532B">
            <w:pPr>
              <w:pStyle w:val="FSTableText"/>
            </w:pPr>
            <w:r>
              <w:t xml:space="preserve">Equivalent </w:t>
            </w:r>
            <w:proofErr w:type="spellStart"/>
            <w:r>
              <w:t>bLf</w:t>
            </w:r>
            <w:proofErr w:type="spellEnd"/>
            <w:r>
              <w:t xml:space="preserve"> concentration calculated as </w:t>
            </w:r>
            <w:r w:rsidR="006F38E9">
              <w:t>635</w:t>
            </w:r>
            <w:r>
              <w:t xml:space="preserve"> – </w:t>
            </w:r>
            <w:r w:rsidR="006F38E9">
              <w:t>885</w:t>
            </w:r>
            <w:r>
              <w:t xml:space="preserve"> mg/L</w:t>
            </w:r>
            <w:r w:rsidRPr="00140CCE">
              <w:rPr>
                <w:vertAlign w:val="superscript"/>
              </w:rPr>
              <w:t>2</w:t>
            </w:r>
          </w:p>
          <w:p w14:paraId="0FFE02E3" w14:textId="77777777" w:rsidR="00140CCE" w:rsidRDefault="00140CCE" w:rsidP="00F7532B">
            <w:pPr>
              <w:pStyle w:val="FSTableText"/>
            </w:pPr>
          </w:p>
          <w:p w14:paraId="6F14BD02" w14:textId="60659F83" w:rsidR="00F7532B" w:rsidRDefault="00F7532B" w:rsidP="00F7532B">
            <w:pPr>
              <w:pStyle w:val="FSTableText"/>
            </w:pPr>
            <w:r>
              <w:t xml:space="preserve">Birth weight 1750-1999 g: 250 mg (125-142 mg/kg </w:t>
            </w:r>
            <w:proofErr w:type="spellStart"/>
            <w:r>
              <w:t>bw</w:t>
            </w:r>
            <w:proofErr w:type="spellEnd"/>
            <w:r>
              <w:t>/day)</w:t>
            </w:r>
          </w:p>
          <w:p w14:paraId="33D9698E" w14:textId="3D3E0BF1" w:rsidR="006F38E9" w:rsidRDefault="006F38E9" w:rsidP="00F7532B">
            <w:pPr>
              <w:pStyle w:val="FSTableText"/>
            </w:pPr>
            <w:r>
              <w:t xml:space="preserve">Equivalent </w:t>
            </w:r>
            <w:proofErr w:type="spellStart"/>
            <w:r>
              <w:t>bLf</w:t>
            </w:r>
            <w:proofErr w:type="spellEnd"/>
            <w:r>
              <w:t xml:space="preserve"> concentration calculated as </w:t>
            </w:r>
            <w:r w:rsidR="0037517D">
              <w:t>694</w:t>
            </w:r>
            <w:r>
              <w:t xml:space="preserve"> – </w:t>
            </w:r>
            <w:r w:rsidR="0037517D">
              <w:t>954</w:t>
            </w:r>
            <w:r>
              <w:t xml:space="preserve"> mg/L</w:t>
            </w:r>
            <w:r w:rsidRPr="006F38E9">
              <w:rPr>
                <w:vertAlign w:val="superscript"/>
              </w:rPr>
              <w:t>2</w:t>
            </w:r>
          </w:p>
          <w:p w14:paraId="342DA583" w14:textId="77777777" w:rsidR="00F7532B" w:rsidRDefault="00F7532B" w:rsidP="00F7532B">
            <w:pPr>
              <w:pStyle w:val="FSTableText"/>
            </w:pPr>
          </w:p>
          <w:p w14:paraId="2375F1E0" w14:textId="66CDBD5F" w:rsidR="00F7532B" w:rsidRDefault="00F7532B" w:rsidP="00F7532B">
            <w:pPr>
              <w:pStyle w:val="FSTableText"/>
            </w:pPr>
            <w:r>
              <w:t>Placebo (n=67)</w:t>
            </w:r>
          </w:p>
          <w:p w14:paraId="2BD3CAE5" w14:textId="77777777" w:rsidR="00F7532B" w:rsidRDefault="00F7532B" w:rsidP="00F7532B">
            <w:pPr>
              <w:pStyle w:val="FSTableText"/>
            </w:pPr>
          </w:p>
          <w:p w14:paraId="42C0D166" w14:textId="7460A03A" w:rsidR="00F7532B" w:rsidRDefault="00F7532B" w:rsidP="00F7532B">
            <w:pPr>
              <w:pStyle w:val="FSTableText"/>
            </w:pPr>
            <w:r>
              <w:t xml:space="preserve">Intervention </w:t>
            </w:r>
            <w:r w:rsidR="00D513A5">
              <w:t>duration</w:t>
            </w:r>
            <w:r>
              <w:t>: 4 weeks from 1st day of life</w:t>
            </w:r>
          </w:p>
        </w:tc>
        <w:tc>
          <w:tcPr>
            <w:tcW w:w="5530" w:type="dxa"/>
            <w:shd w:val="clear" w:color="auto" w:fill="ECECEC"/>
          </w:tcPr>
          <w:p w14:paraId="3D04D83A" w14:textId="05BD4BC8" w:rsidR="00F7532B" w:rsidRDefault="00F7532B" w:rsidP="00F7532B">
            <w:pPr>
              <w:pStyle w:val="FSTableText"/>
            </w:pPr>
            <w:r>
              <w:t xml:space="preserve">No discontinuations of treatment due to intolerance. </w:t>
            </w:r>
          </w:p>
          <w:p w14:paraId="3815B39F" w14:textId="77777777" w:rsidR="00F7532B" w:rsidRDefault="00F7532B" w:rsidP="00F7532B">
            <w:pPr>
              <w:pStyle w:val="FSTableText"/>
            </w:pPr>
          </w:p>
          <w:p w14:paraId="7A2E0D6B" w14:textId="3488E7B8" w:rsidR="00F7532B" w:rsidRDefault="00F7532B" w:rsidP="00F7532B">
            <w:pPr>
              <w:pStyle w:val="FSTableText"/>
            </w:pPr>
            <w:r>
              <w:t xml:space="preserve">No adverse effects were recorded. </w:t>
            </w:r>
          </w:p>
        </w:tc>
      </w:tr>
      <w:tr w:rsidR="00F7532B" w14:paraId="050D3D81" w14:textId="77777777" w:rsidTr="00A22DFA">
        <w:tc>
          <w:tcPr>
            <w:tcW w:w="1407" w:type="dxa"/>
            <w:tcBorders>
              <w:bottom w:val="single" w:sz="4" w:space="0" w:color="000000"/>
            </w:tcBorders>
          </w:tcPr>
          <w:p w14:paraId="6F15AABD" w14:textId="4608051C" w:rsidR="00F7532B" w:rsidRDefault="00F7532B" w:rsidP="00F7532B">
            <w:pPr>
              <w:pStyle w:val="FSTableText"/>
            </w:pPr>
            <w:r w:rsidRPr="008C5B1B">
              <w:t>Barrington et al</w:t>
            </w:r>
            <w:r w:rsidR="008743DA">
              <w:t>.</w:t>
            </w:r>
            <w:r w:rsidRPr="008C5B1B">
              <w:t xml:space="preserve"> (2016)</w:t>
            </w:r>
          </w:p>
        </w:tc>
        <w:tc>
          <w:tcPr>
            <w:tcW w:w="1362" w:type="dxa"/>
            <w:tcBorders>
              <w:bottom w:val="single" w:sz="4" w:space="0" w:color="000000"/>
            </w:tcBorders>
          </w:tcPr>
          <w:p w14:paraId="2D4401D5" w14:textId="1FBE46F9" w:rsidR="00F7532B" w:rsidRDefault="00F7532B" w:rsidP="00F7532B">
            <w:pPr>
              <w:pStyle w:val="FSTableText"/>
            </w:pPr>
            <w:r>
              <w:t>Single-centre masked randomised pilot trial</w:t>
            </w:r>
          </w:p>
        </w:tc>
        <w:tc>
          <w:tcPr>
            <w:tcW w:w="1060" w:type="dxa"/>
            <w:tcBorders>
              <w:bottom w:val="single" w:sz="4" w:space="0" w:color="000000"/>
            </w:tcBorders>
          </w:tcPr>
          <w:p w14:paraId="250714E2" w14:textId="5F03617A" w:rsidR="00F7532B" w:rsidRDefault="00F7532B" w:rsidP="00F7532B">
            <w:pPr>
              <w:pStyle w:val="FSTableText"/>
            </w:pPr>
            <w:r>
              <w:t>Canada</w:t>
            </w:r>
          </w:p>
        </w:tc>
        <w:tc>
          <w:tcPr>
            <w:tcW w:w="1786" w:type="dxa"/>
            <w:tcBorders>
              <w:bottom w:val="single" w:sz="4" w:space="0" w:color="000000"/>
            </w:tcBorders>
          </w:tcPr>
          <w:p w14:paraId="1BB8E70A" w14:textId="0863DF9F" w:rsidR="00F7532B" w:rsidRDefault="00F7532B" w:rsidP="00F7532B">
            <w:pPr>
              <w:pStyle w:val="FSTableText"/>
            </w:pPr>
            <w:r>
              <w:t>AOR</w:t>
            </w:r>
          </w:p>
        </w:tc>
        <w:tc>
          <w:tcPr>
            <w:tcW w:w="1543" w:type="dxa"/>
            <w:tcBorders>
              <w:bottom w:val="single" w:sz="4" w:space="0" w:color="000000"/>
            </w:tcBorders>
          </w:tcPr>
          <w:p w14:paraId="1F84224F" w14:textId="0213C7FC" w:rsidR="00F7532B" w:rsidRDefault="00F7532B" w:rsidP="00F7532B">
            <w:pPr>
              <w:pStyle w:val="FSTableText"/>
            </w:pPr>
            <w:r>
              <w:t>Infants born &lt;31 weeks gestation.</w:t>
            </w:r>
          </w:p>
        </w:tc>
        <w:tc>
          <w:tcPr>
            <w:tcW w:w="2401" w:type="dxa"/>
            <w:tcBorders>
              <w:bottom w:val="single" w:sz="4" w:space="0" w:color="000000"/>
            </w:tcBorders>
          </w:tcPr>
          <w:p w14:paraId="4D2CFC1F" w14:textId="1BB48211" w:rsidR="00F7532B" w:rsidRDefault="00F7532B" w:rsidP="00F7532B">
            <w:pPr>
              <w:pStyle w:val="FSTableText"/>
            </w:pPr>
            <w:r>
              <w:t xml:space="preserve">Milk (maternal human milk or preterm formula) with 100 mg/day </w:t>
            </w:r>
            <w:proofErr w:type="spellStart"/>
            <w:r>
              <w:t>bLf</w:t>
            </w:r>
            <w:proofErr w:type="spellEnd"/>
            <w:r>
              <w:t xml:space="preserve"> (n=40)</w:t>
            </w:r>
          </w:p>
          <w:p w14:paraId="26855163" w14:textId="77777777" w:rsidR="00920783" w:rsidRDefault="00920783" w:rsidP="00F7532B">
            <w:pPr>
              <w:pStyle w:val="FSTableText"/>
            </w:pPr>
          </w:p>
          <w:p w14:paraId="69B18A5B" w14:textId="618781A4" w:rsidR="00F7532B" w:rsidRDefault="0065427D" w:rsidP="00F7532B">
            <w:pPr>
              <w:pStyle w:val="FSTableText"/>
            </w:pPr>
            <w:r>
              <w:t xml:space="preserve">Equivalent </w:t>
            </w:r>
            <w:proofErr w:type="spellStart"/>
            <w:r>
              <w:t>bLf</w:t>
            </w:r>
            <w:proofErr w:type="spellEnd"/>
            <w:r>
              <w:t xml:space="preserve"> concentration calculated as 556 – </w:t>
            </w:r>
            <w:r w:rsidR="0002799F">
              <w:t>667</w:t>
            </w:r>
            <w:r>
              <w:t xml:space="preserve"> mg/L</w:t>
            </w:r>
            <w:r w:rsidRPr="0065427D">
              <w:rPr>
                <w:vertAlign w:val="superscript"/>
              </w:rPr>
              <w:t>2</w:t>
            </w:r>
          </w:p>
          <w:p w14:paraId="7CAFB389" w14:textId="77777777" w:rsidR="0065427D" w:rsidRDefault="0065427D" w:rsidP="00F7532B">
            <w:pPr>
              <w:pStyle w:val="FSTableText"/>
            </w:pPr>
          </w:p>
          <w:p w14:paraId="661732A1" w14:textId="77777777" w:rsidR="00F7532B" w:rsidRDefault="00F7532B" w:rsidP="00F7532B">
            <w:pPr>
              <w:pStyle w:val="FSTableText"/>
            </w:pPr>
            <w:r>
              <w:t xml:space="preserve">Milk without </w:t>
            </w:r>
            <w:proofErr w:type="spellStart"/>
            <w:r>
              <w:t>bLf</w:t>
            </w:r>
            <w:proofErr w:type="spellEnd"/>
            <w:r>
              <w:t xml:space="preserve"> (n=39)</w:t>
            </w:r>
          </w:p>
          <w:p w14:paraId="1AB87FA9" w14:textId="77777777" w:rsidR="00F7532B" w:rsidRDefault="00F7532B" w:rsidP="00F7532B">
            <w:pPr>
              <w:pStyle w:val="FSTableText"/>
            </w:pPr>
          </w:p>
          <w:p w14:paraId="2B24E29A" w14:textId="74A6CAF0" w:rsidR="00F7532B" w:rsidRDefault="00F7532B" w:rsidP="00F7532B">
            <w:pPr>
              <w:pStyle w:val="FSTableText"/>
            </w:pPr>
            <w:r>
              <w:t xml:space="preserve">Intervention </w:t>
            </w:r>
            <w:r w:rsidR="00D513A5">
              <w:t>duration</w:t>
            </w:r>
            <w:r>
              <w:t>: up to 36 weeks postmenstrual age</w:t>
            </w:r>
          </w:p>
        </w:tc>
        <w:tc>
          <w:tcPr>
            <w:tcW w:w="5530" w:type="dxa"/>
            <w:tcBorders>
              <w:bottom w:val="single" w:sz="4" w:space="0" w:color="000000"/>
            </w:tcBorders>
          </w:tcPr>
          <w:p w14:paraId="5590DCFC" w14:textId="6570047F" w:rsidR="00F7532B" w:rsidRDefault="00F7532B" w:rsidP="00F7532B">
            <w:pPr>
              <w:pStyle w:val="FSTableText"/>
            </w:pPr>
            <w:proofErr w:type="spellStart"/>
            <w:r>
              <w:t>bLf</w:t>
            </w:r>
            <w:proofErr w:type="spellEnd"/>
            <w:r>
              <w:t xml:space="preserve"> was well tolerated and no adverse events related to the study intervention were reported.</w:t>
            </w:r>
          </w:p>
          <w:p w14:paraId="00B76BFC" w14:textId="77777777" w:rsidR="00F7532B" w:rsidRDefault="00F7532B" w:rsidP="00F7532B">
            <w:pPr>
              <w:pStyle w:val="FSTableText"/>
            </w:pPr>
          </w:p>
          <w:p w14:paraId="59E6BC9C" w14:textId="21BA3CB3" w:rsidR="00F7532B" w:rsidRDefault="00F7532B" w:rsidP="00F7532B">
            <w:pPr>
              <w:pStyle w:val="FSTableText"/>
            </w:pPr>
            <w:r>
              <w:t xml:space="preserve">No effect of </w:t>
            </w:r>
            <w:proofErr w:type="spellStart"/>
            <w:r>
              <w:t>bLf</w:t>
            </w:r>
            <w:proofErr w:type="spellEnd"/>
            <w:r>
              <w:t xml:space="preserve"> on feeding tolerance.</w:t>
            </w:r>
          </w:p>
          <w:p w14:paraId="4EECD61E" w14:textId="77777777" w:rsidR="00F7532B" w:rsidRDefault="00F7532B" w:rsidP="00F7532B">
            <w:pPr>
              <w:pStyle w:val="FSTableText"/>
            </w:pPr>
          </w:p>
          <w:p w14:paraId="411606BC" w14:textId="635388D4" w:rsidR="00F7532B" w:rsidRDefault="00F7532B" w:rsidP="00F7532B">
            <w:pPr>
              <w:pStyle w:val="FSTableText"/>
            </w:pPr>
            <w:r>
              <w:t xml:space="preserve">Mortality, late-onset sepsis and other complications of prematurity were no different between groups. </w:t>
            </w:r>
          </w:p>
        </w:tc>
      </w:tr>
      <w:tr w:rsidR="00F7532B" w14:paraId="01714010" w14:textId="77777777" w:rsidTr="00A22DFA">
        <w:tc>
          <w:tcPr>
            <w:tcW w:w="1407" w:type="dxa"/>
            <w:shd w:val="clear" w:color="auto" w:fill="ECECEC"/>
          </w:tcPr>
          <w:p w14:paraId="42A412C1" w14:textId="5A8E59E5" w:rsidR="00F7532B" w:rsidRDefault="00F7532B" w:rsidP="00F7532B">
            <w:pPr>
              <w:pStyle w:val="FSTableText"/>
            </w:pPr>
            <w:r w:rsidRPr="008C5B1B">
              <w:t>ELFIN trial investigators group (2019)</w:t>
            </w:r>
          </w:p>
        </w:tc>
        <w:tc>
          <w:tcPr>
            <w:tcW w:w="1362" w:type="dxa"/>
            <w:shd w:val="clear" w:color="auto" w:fill="ECECEC"/>
          </w:tcPr>
          <w:p w14:paraId="2B7044CA" w14:textId="558CEBDD" w:rsidR="00F7532B" w:rsidRDefault="00F7532B" w:rsidP="00F7532B">
            <w:pPr>
              <w:pStyle w:val="FSTableText"/>
            </w:pPr>
            <w:r>
              <w:t>Randomised controlled trial</w:t>
            </w:r>
          </w:p>
        </w:tc>
        <w:tc>
          <w:tcPr>
            <w:tcW w:w="1060" w:type="dxa"/>
            <w:shd w:val="clear" w:color="auto" w:fill="ECECEC"/>
          </w:tcPr>
          <w:p w14:paraId="0D0BC896" w14:textId="27CF33A5" w:rsidR="00F7532B" w:rsidRDefault="00F7532B" w:rsidP="00F7532B">
            <w:pPr>
              <w:pStyle w:val="FSTableText"/>
            </w:pPr>
            <w:r>
              <w:t>UK</w:t>
            </w:r>
          </w:p>
        </w:tc>
        <w:tc>
          <w:tcPr>
            <w:tcW w:w="1786" w:type="dxa"/>
            <w:shd w:val="clear" w:color="auto" w:fill="ECECEC"/>
          </w:tcPr>
          <w:p w14:paraId="181AD5BF" w14:textId="09656076" w:rsidR="00F7532B" w:rsidRDefault="00F7532B" w:rsidP="00F7532B">
            <w:pPr>
              <w:pStyle w:val="FSTableText"/>
            </w:pPr>
            <w:proofErr w:type="spellStart"/>
            <w:r>
              <w:t>Tatua</w:t>
            </w:r>
            <w:proofErr w:type="spellEnd"/>
            <w:r>
              <w:t xml:space="preserve"> Co-operative Dairy Co </w:t>
            </w:r>
          </w:p>
        </w:tc>
        <w:tc>
          <w:tcPr>
            <w:tcW w:w="1543" w:type="dxa"/>
            <w:shd w:val="clear" w:color="auto" w:fill="ECECEC"/>
          </w:tcPr>
          <w:p w14:paraId="5886BD27" w14:textId="62B5EC5C" w:rsidR="00F7532B" w:rsidRDefault="00F7532B" w:rsidP="00F7532B">
            <w:pPr>
              <w:pStyle w:val="FSTableText"/>
            </w:pPr>
            <w:r>
              <w:t>Very preterm infants &lt;32 weeks gestation</w:t>
            </w:r>
          </w:p>
        </w:tc>
        <w:tc>
          <w:tcPr>
            <w:tcW w:w="2401" w:type="dxa"/>
            <w:shd w:val="clear" w:color="auto" w:fill="ECECEC"/>
          </w:tcPr>
          <w:p w14:paraId="3D93349B" w14:textId="635FDB50" w:rsidR="00F7532B" w:rsidRDefault="00F7532B" w:rsidP="00F7532B">
            <w:pPr>
              <w:pStyle w:val="FSTableText"/>
            </w:pPr>
            <w:r>
              <w:t xml:space="preserve">Orally administered </w:t>
            </w:r>
            <w:proofErr w:type="spellStart"/>
            <w:r>
              <w:t>bLf</w:t>
            </w:r>
            <w:proofErr w:type="spellEnd"/>
            <w:r>
              <w:t xml:space="preserve"> (150 mg/kg </w:t>
            </w:r>
            <w:proofErr w:type="spellStart"/>
            <w:r>
              <w:t>bw</w:t>
            </w:r>
            <w:proofErr w:type="spellEnd"/>
            <w:r>
              <w:t>/day; maximum 300 mg/day; n=1093)</w:t>
            </w:r>
          </w:p>
          <w:p w14:paraId="740DF9D4" w14:textId="77777777" w:rsidR="008B3731" w:rsidRDefault="008B3731" w:rsidP="00F7532B">
            <w:pPr>
              <w:pStyle w:val="FSTableText"/>
            </w:pPr>
          </w:p>
          <w:p w14:paraId="3244EC63" w14:textId="0215D8E4" w:rsidR="0002799F" w:rsidRDefault="0002799F" w:rsidP="00F7532B">
            <w:pPr>
              <w:pStyle w:val="FSTableText"/>
            </w:pPr>
            <w:r>
              <w:t xml:space="preserve">Equivalent </w:t>
            </w:r>
            <w:proofErr w:type="spellStart"/>
            <w:r>
              <w:t>bLf</w:t>
            </w:r>
            <w:proofErr w:type="spellEnd"/>
            <w:r>
              <w:t xml:space="preserve"> concentration calculated as </w:t>
            </w:r>
            <w:r w:rsidR="008B3731">
              <w:t>833</w:t>
            </w:r>
            <w:r>
              <w:t xml:space="preserve"> – </w:t>
            </w:r>
            <w:r w:rsidR="008B3731">
              <w:t>987</w:t>
            </w:r>
            <w:r>
              <w:t xml:space="preserve"> mg/L</w:t>
            </w:r>
            <w:r w:rsidR="008B3731" w:rsidRPr="008B3731">
              <w:rPr>
                <w:vertAlign w:val="superscript"/>
              </w:rPr>
              <w:t>2</w:t>
            </w:r>
          </w:p>
          <w:p w14:paraId="67F3533B" w14:textId="77777777" w:rsidR="00F7532B" w:rsidRDefault="00F7532B" w:rsidP="00F7532B">
            <w:pPr>
              <w:pStyle w:val="FSTableText"/>
            </w:pPr>
          </w:p>
          <w:p w14:paraId="111F1244" w14:textId="77777777" w:rsidR="00F7532B" w:rsidRDefault="00F7532B" w:rsidP="00F7532B">
            <w:pPr>
              <w:pStyle w:val="FSTableText"/>
            </w:pPr>
            <w:r>
              <w:t>Placebo (n=1089)</w:t>
            </w:r>
          </w:p>
          <w:p w14:paraId="612CB96C" w14:textId="77777777" w:rsidR="00F7532B" w:rsidRDefault="00F7532B" w:rsidP="00F7532B">
            <w:pPr>
              <w:pStyle w:val="FSTableText"/>
            </w:pPr>
          </w:p>
          <w:p w14:paraId="441366EC" w14:textId="2DC2BE9E" w:rsidR="00F7532B" w:rsidRDefault="00F7532B" w:rsidP="00F7532B">
            <w:pPr>
              <w:pStyle w:val="FSTableText"/>
            </w:pPr>
            <w:r>
              <w:t xml:space="preserve">Intervention </w:t>
            </w:r>
            <w:r w:rsidR="00D513A5">
              <w:t>duration</w:t>
            </w:r>
            <w:r>
              <w:t>: up to 34 weeks postmenstrual age</w:t>
            </w:r>
          </w:p>
        </w:tc>
        <w:tc>
          <w:tcPr>
            <w:tcW w:w="5530" w:type="dxa"/>
            <w:shd w:val="clear" w:color="auto" w:fill="ECECEC"/>
          </w:tcPr>
          <w:p w14:paraId="3DA37251" w14:textId="77777777" w:rsidR="00F7532B" w:rsidRDefault="00F7532B" w:rsidP="00F7532B">
            <w:pPr>
              <w:pStyle w:val="FSTableText"/>
            </w:pPr>
            <w:r>
              <w:t xml:space="preserve">16 serious adverse events (1.5%) in the </w:t>
            </w:r>
            <w:proofErr w:type="spellStart"/>
            <w:r>
              <w:t>bLf</w:t>
            </w:r>
            <w:proofErr w:type="spellEnd"/>
            <w:r>
              <w:t xml:space="preserve"> group and 10 (0.9%) in the sucrose group. </w:t>
            </w:r>
          </w:p>
          <w:p w14:paraId="1A33D682" w14:textId="77777777" w:rsidR="00F7532B" w:rsidRDefault="00F7532B" w:rsidP="00F7532B">
            <w:pPr>
              <w:pStyle w:val="FSTableText"/>
            </w:pPr>
          </w:p>
          <w:p w14:paraId="376038D6" w14:textId="7240E50A" w:rsidR="00F7532B" w:rsidRDefault="00F7532B" w:rsidP="00F7532B">
            <w:pPr>
              <w:pStyle w:val="FSTableText"/>
            </w:pPr>
            <w:r>
              <w:t>2 serious adverse events (1 blood in stool, resolved spontaneously; 1 death after intestinal perforation) assessed as possibly related to the trial intervention. All other serious adverse events considered to be unrelated to the trial intervention.</w:t>
            </w:r>
          </w:p>
        </w:tc>
      </w:tr>
      <w:tr w:rsidR="00F7532B" w14:paraId="687C5D0D" w14:textId="77777777" w:rsidTr="00EF759B">
        <w:tc>
          <w:tcPr>
            <w:tcW w:w="1407" w:type="dxa"/>
            <w:tcBorders>
              <w:bottom w:val="single" w:sz="4" w:space="0" w:color="000000"/>
            </w:tcBorders>
          </w:tcPr>
          <w:p w14:paraId="520DF952" w14:textId="363D193E" w:rsidR="00F7532B" w:rsidRDefault="00F7532B" w:rsidP="00F7532B">
            <w:pPr>
              <w:pStyle w:val="FSTableText"/>
            </w:pPr>
            <w:r w:rsidRPr="008C5B1B">
              <w:t>Tarnow-</w:t>
            </w:r>
            <w:proofErr w:type="spellStart"/>
            <w:r w:rsidRPr="008C5B1B">
              <w:t>Mordi</w:t>
            </w:r>
            <w:proofErr w:type="spellEnd"/>
            <w:r w:rsidRPr="008C5B1B">
              <w:t xml:space="preserve"> et al</w:t>
            </w:r>
            <w:r w:rsidR="008743DA">
              <w:t>.</w:t>
            </w:r>
            <w:r w:rsidRPr="008C5B1B">
              <w:t xml:space="preserve"> (2020)</w:t>
            </w:r>
          </w:p>
        </w:tc>
        <w:tc>
          <w:tcPr>
            <w:tcW w:w="1362" w:type="dxa"/>
            <w:tcBorders>
              <w:bottom w:val="single" w:sz="4" w:space="0" w:color="000000"/>
            </w:tcBorders>
          </w:tcPr>
          <w:p w14:paraId="7D229B66" w14:textId="759DB300" w:rsidR="00F7532B" w:rsidRDefault="00F7532B" w:rsidP="00F7532B">
            <w:pPr>
              <w:pStyle w:val="FSTableText"/>
            </w:pPr>
            <w:r>
              <w:t>Multicentre, double-blind randomised controlled trial</w:t>
            </w:r>
          </w:p>
        </w:tc>
        <w:tc>
          <w:tcPr>
            <w:tcW w:w="1060" w:type="dxa"/>
            <w:tcBorders>
              <w:bottom w:val="single" w:sz="4" w:space="0" w:color="000000"/>
            </w:tcBorders>
          </w:tcPr>
          <w:p w14:paraId="33B08560" w14:textId="1589037F" w:rsidR="00F7532B" w:rsidRDefault="00F7532B" w:rsidP="00F7532B">
            <w:pPr>
              <w:pStyle w:val="FSTableText"/>
            </w:pPr>
            <w:r>
              <w:t>Australia and New Zealand</w:t>
            </w:r>
          </w:p>
        </w:tc>
        <w:tc>
          <w:tcPr>
            <w:tcW w:w="1786" w:type="dxa"/>
            <w:tcBorders>
              <w:bottom w:val="single" w:sz="4" w:space="0" w:color="000000"/>
            </w:tcBorders>
          </w:tcPr>
          <w:p w14:paraId="15F98E51" w14:textId="23961297" w:rsidR="00F7532B" w:rsidRDefault="00F7532B" w:rsidP="00F7532B">
            <w:pPr>
              <w:pStyle w:val="FSTableText"/>
            </w:pPr>
            <w:r>
              <w:t>Australia’s Own</w:t>
            </w:r>
          </w:p>
        </w:tc>
        <w:tc>
          <w:tcPr>
            <w:tcW w:w="1543" w:type="dxa"/>
            <w:tcBorders>
              <w:bottom w:val="single" w:sz="4" w:space="0" w:color="000000"/>
            </w:tcBorders>
          </w:tcPr>
          <w:p w14:paraId="21D5761F" w14:textId="076D20FA" w:rsidR="00F7532B" w:rsidRDefault="00F7532B" w:rsidP="00F7532B">
            <w:pPr>
              <w:pStyle w:val="FSTableText"/>
            </w:pPr>
            <w:r>
              <w:t>VLBW infants aged &lt; 8 days.</w:t>
            </w:r>
          </w:p>
        </w:tc>
        <w:tc>
          <w:tcPr>
            <w:tcW w:w="2401" w:type="dxa"/>
            <w:tcBorders>
              <w:bottom w:val="single" w:sz="4" w:space="0" w:color="000000"/>
            </w:tcBorders>
          </w:tcPr>
          <w:p w14:paraId="0A3D8619" w14:textId="60C13D8C" w:rsidR="00F7532B" w:rsidRDefault="00F7532B" w:rsidP="00F7532B">
            <w:pPr>
              <w:pStyle w:val="FSTableText"/>
            </w:pPr>
            <w:r>
              <w:t xml:space="preserve">Pasteurised </w:t>
            </w:r>
            <w:proofErr w:type="spellStart"/>
            <w:r>
              <w:t>bLf</w:t>
            </w:r>
            <w:proofErr w:type="spellEnd"/>
            <w:r>
              <w:t xml:space="preserve"> (200 mg/</w:t>
            </w:r>
            <w:r w:rsidR="00CF7C9F">
              <w:t xml:space="preserve">kg </w:t>
            </w:r>
            <w:proofErr w:type="spellStart"/>
            <w:r w:rsidR="00CF7C9F">
              <w:t>bw</w:t>
            </w:r>
            <w:proofErr w:type="spellEnd"/>
            <w:r w:rsidR="00CF7C9F">
              <w:t>/</w:t>
            </w:r>
            <w:r>
              <w:t>day) in human milk or formula milk (n=771)</w:t>
            </w:r>
          </w:p>
          <w:p w14:paraId="372E614D" w14:textId="77777777" w:rsidR="00003ECD" w:rsidRDefault="00003ECD" w:rsidP="00F7532B">
            <w:pPr>
              <w:pStyle w:val="FSTableText"/>
            </w:pPr>
          </w:p>
          <w:p w14:paraId="4244C967" w14:textId="49061457" w:rsidR="00003ECD" w:rsidRDefault="00003ECD" w:rsidP="00F7532B">
            <w:pPr>
              <w:pStyle w:val="FSTableText"/>
            </w:pPr>
            <w:r>
              <w:t xml:space="preserve">Equivalent </w:t>
            </w:r>
            <w:proofErr w:type="spellStart"/>
            <w:r>
              <w:t>bLf</w:t>
            </w:r>
            <w:proofErr w:type="spellEnd"/>
            <w:r>
              <w:t xml:space="preserve"> concentration calculated as 1109 – 1331 mg/L</w:t>
            </w:r>
            <w:r w:rsidRPr="00003ECD">
              <w:rPr>
                <w:vertAlign w:val="superscript"/>
              </w:rPr>
              <w:t>2</w:t>
            </w:r>
          </w:p>
          <w:p w14:paraId="38825ACB" w14:textId="77777777" w:rsidR="00F7532B" w:rsidRDefault="00F7532B" w:rsidP="00F7532B">
            <w:pPr>
              <w:pStyle w:val="FSTableText"/>
            </w:pPr>
          </w:p>
          <w:p w14:paraId="27B7626C" w14:textId="77777777" w:rsidR="00F7532B" w:rsidRDefault="00F7532B" w:rsidP="00F7532B">
            <w:pPr>
              <w:pStyle w:val="FSTableText"/>
            </w:pPr>
            <w:r>
              <w:t xml:space="preserve">Milk without added </w:t>
            </w:r>
            <w:proofErr w:type="spellStart"/>
            <w:r>
              <w:t>bLf</w:t>
            </w:r>
            <w:proofErr w:type="spellEnd"/>
            <w:r>
              <w:t xml:space="preserve"> (n=771)</w:t>
            </w:r>
          </w:p>
          <w:p w14:paraId="150F4BD9" w14:textId="77777777" w:rsidR="00F7532B" w:rsidRDefault="00F7532B" w:rsidP="00F7532B">
            <w:pPr>
              <w:pStyle w:val="FSTableText"/>
            </w:pPr>
          </w:p>
          <w:p w14:paraId="15213BB0" w14:textId="7176DD1C" w:rsidR="00F7532B" w:rsidRDefault="00F7532B" w:rsidP="00F7532B">
            <w:pPr>
              <w:pStyle w:val="FSTableText"/>
            </w:pPr>
            <w:r>
              <w:t xml:space="preserve">Intervention </w:t>
            </w:r>
            <w:r w:rsidR="00F12990">
              <w:t>duration</w:t>
            </w:r>
            <w:r>
              <w:t>: until 34 weeks post-menstrual age (or for 2 weeks if longer) or until discharge from study hospital</w:t>
            </w:r>
          </w:p>
        </w:tc>
        <w:tc>
          <w:tcPr>
            <w:tcW w:w="5530" w:type="dxa"/>
            <w:tcBorders>
              <w:bottom w:val="single" w:sz="4" w:space="0" w:color="000000"/>
            </w:tcBorders>
          </w:tcPr>
          <w:p w14:paraId="2D4D540F" w14:textId="77777777" w:rsidR="00F7532B" w:rsidRDefault="00F7532B" w:rsidP="00F7532B">
            <w:pPr>
              <w:pStyle w:val="FSTableText"/>
            </w:pPr>
            <w:r>
              <w:t xml:space="preserve">No safety concerns reported. </w:t>
            </w:r>
          </w:p>
          <w:p w14:paraId="5B745617" w14:textId="77777777" w:rsidR="00F7532B" w:rsidRDefault="00F7532B" w:rsidP="00F7532B">
            <w:pPr>
              <w:pStyle w:val="FSTableText"/>
            </w:pPr>
          </w:p>
          <w:p w14:paraId="36FB79CC" w14:textId="6B582974" w:rsidR="00F7532B" w:rsidRDefault="00F7532B" w:rsidP="00F7532B">
            <w:pPr>
              <w:pStyle w:val="FSTableText"/>
            </w:pPr>
            <w:r>
              <w:t>Similar incidence of death/morbidity in each group.</w:t>
            </w:r>
          </w:p>
        </w:tc>
      </w:tr>
      <w:tr w:rsidR="00F7532B" w14:paraId="37DC50DF" w14:textId="77777777" w:rsidTr="00EF759B">
        <w:tc>
          <w:tcPr>
            <w:tcW w:w="1407" w:type="dxa"/>
            <w:shd w:val="clear" w:color="auto" w:fill="ECECEC"/>
          </w:tcPr>
          <w:p w14:paraId="56D66138" w14:textId="054E5402" w:rsidR="00F7532B" w:rsidRDefault="00F7532B" w:rsidP="00F7532B">
            <w:pPr>
              <w:pStyle w:val="FSTableText"/>
            </w:pPr>
            <w:r w:rsidRPr="008C5B1B">
              <w:t>Ochoa et al</w:t>
            </w:r>
            <w:r w:rsidR="008743DA">
              <w:t>.</w:t>
            </w:r>
            <w:r w:rsidRPr="008C5B1B">
              <w:t xml:space="preserve"> (2020)</w:t>
            </w:r>
          </w:p>
        </w:tc>
        <w:tc>
          <w:tcPr>
            <w:tcW w:w="1362" w:type="dxa"/>
            <w:shd w:val="clear" w:color="auto" w:fill="ECECEC"/>
          </w:tcPr>
          <w:p w14:paraId="795C7CFA" w14:textId="53471216" w:rsidR="00F7532B" w:rsidRDefault="00F7532B" w:rsidP="00F7532B">
            <w:pPr>
              <w:pStyle w:val="FSTableText"/>
            </w:pPr>
            <w:r>
              <w:t>Multicentre, double-blind randomised controlled trial</w:t>
            </w:r>
          </w:p>
        </w:tc>
        <w:tc>
          <w:tcPr>
            <w:tcW w:w="1060" w:type="dxa"/>
            <w:shd w:val="clear" w:color="auto" w:fill="ECECEC"/>
          </w:tcPr>
          <w:p w14:paraId="6C3388A4" w14:textId="4E67F87B" w:rsidR="00F7532B" w:rsidRDefault="00F7532B" w:rsidP="00F7532B">
            <w:pPr>
              <w:pStyle w:val="FSTableText"/>
            </w:pPr>
            <w:r>
              <w:t>Peru</w:t>
            </w:r>
          </w:p>
        </w:tc>
        <w:tc>
          <w:tcPr>
            <w:tcW w:w="1786" w:type="dxa"/>
            <w:shd w:val="clear" w:color="auto" w:fill="ECECEC"/>
          </w:tcPr>
          <w:p w14:paraId="100DE54E" w14:textId="0684F31C" w:rsidR="00F7532B" w:rsidRDefault="00F7532B" w:rsidP="00F7532B">
            <w:pPr>
              <w:pStyle w:val="FSTableText"/>
            </w:pPr>
            <w:r>
              <w:t>Friesland Campina</w:t>
            </w:r>
          </w:p>
        </w:tc>
        <w:tc>
          <w:tcPr>
            <w:tcW w:w="1543" w:type="dxa"/>
            <w:shd w:val="clear" w:color="auto" w:fill="ECECEC"/>
          </w:tcPr>
          <w:p w14:paraId="0022A034" w14:textId="11A1D4DE" w:rsidR="00F7532B" w:rsidRDefault="00F7532B" w:rsidP="00F7532B">
            <w:pPr>
              <w:pStyle w:val="FSTableText"/>
            </w:pPr>
            <w:r>
              <w:t>Neonates with birth weight 500-2000 g</w:t>
            </w:r>
          </w:p>
        </w:tc>
        <w:tc>
          <w:tcPr>
            <w:tcW w:w="2401" w:type="dxa"/>
            <w:shd w:val="clear" w:color="auto" w:fill="ECECEC"/>
          </w:tcPr>
          <w:p w14:paraId="4155D20A" w14:textId="146DE55B" w:rsidR="00F7532B" w:rsidRDefault="00F7532B" w:rsidP="00F7532B">
            <w:pPr>
              <w:pStyle w:val="FSTableText"/>
            </w:pPr>
            <w:proofErr w:type="spellStart"/>
            <w:r>
              <w:t>bLf</w:t>
            </w:r>
            <w:proofErr w:type="spellEnd"/>
            <w:r>
              <w:t xml:space="preserve"> dissolved in human milk or infant formula (200 mg/</w:t>
            </w:r>
            <w:r w:rsidR="00F06A63">
              <w:t xml:space="preserve">kg </w:t>
            </w:r>
            <w:proofErr w:type="spellStart"/>
            <w:r w:rsidR="00F06A63">
              <w:t>bw</w:t>
            </w:r>
            <w:proofErr w:type="spellEnd"/>
            <w:r>
              <w:t>/day; n=209)</w:t>
            </w:r>
          </w:p>
          <w:p w14:paraId="6679B8C1" w14:textId="77777777" w:rsidR="00F06A63" w:rsidRDefault="00F06A63" w:rsidP="00F7532B">
            <w:pPr>
              <w:pStyle w:val="FSTableText"/>
            </w:pPr>
          </w:p>
          <w:p w14:paraId="103CFC08" w14:textId="0902B6EF" w:rsidR="00F06A63" w:rsidRDefault="008B19F9" w:rsidP="00F7532B">
            <w:pPr>
              <w:pStyle w:val="FSTableText"/>
            </w:pPr>
            <w:r>
              <w:t xml:space="preserve">Equivalent </w:t>
            </w:r>
            <w:proofErr w:type="spellStart"/>
            <w:r>
              <w:t>bLf</w:t>
            </w:r>
            <w:proofErr w:type="spellEnd"/>
            <w:r>
              <w:t xml:space="preserve"> concentration calculated as </w:t>
            </w:r>
            <w:r w:rsidR="007B5C8D">
              <w:t>1111</w:t>
            </w:r>
            <w:r>
              <w:t xml:space="preserve"> – </w:t>
            </w:r>
            <w:r w:rsidR="007B5C8D">
              <w:t>1316</w:t>
            </w:r>
            <w:r>
              <w:t xml:space="preserve"> mg/L</w:t>
            </w:r>
            <w:r w:rsidRPr="008B19F9">
              <w:rPr>
                <w:vertAlign w:val="superscript"/>
              </w:rPr>
              <w:t>2</w:t>
            </w:r>
          </w:p>
          <w:p w14:paraId="399F47AC" w14:textId="77777777" w:rsidR="00F7532B" w:rsidRDefault="00F7532B" w:rsidP="00F7532B">
            <w:pPr>
              <w:pStyle w:val="FSTableText"/>
            </w:pPr>
          </w:p>
          <w:p w14:paraId="6153ACD8" w14:textId="77777777" w:rsidR="00F7532B" w:rsidRDefault="00F7532B" w:rsidP="00F7532B">
            <w:pPr>
              <w:pStyle w:val="FSTableText"/>
            </w:pPr>
            <w:r>
              <w:t>Placebo dissolved in human milk or infant formula (n=205)</w:t>
            </w:r>
          </w:p>
          <w:p w14:paraId="700FFD6C" w14:textId="77777777" w:rsidR="00F7532B" w:rsidRDefault="00F7532B" w:rsidP="00F7532B">
            <w:pPr>
              <w:pStyle w:val="FSTableText"/>
            </w:pPr>
          </w:p>
          <w:p w14:paraId="4B68AD94" w14:textId="48BC57A2" w:rsidR="00F7532B" w:rsidRDefault="00F7532B" w:rsidP="00F7532B">
            <w:pPr>
              <w:pStyle w:val="FSTableText"/>
            </w:pPr>
            <w:r>
              <w:t xml:space="preserve">Intervention </w:t>
            </w:r>
            <w:r w:rsidR="00F12990">
              <w:t>duration</w:t>
            </w:r>
            <w:r>
              <w:t>: 8 weeks</w:t>
            </w:r>
          </w:p>
        </w:tc>
        <w:tc>
          <w:tcPr>
            <w:tcW w:w="5530" w:type="dxa"/>
            <w:shd w:val="clear" w:color="auto" w:fill="ECECEC"/>
          </w:tcPr>
          <w:p w14:paraId="7298450D" w14:textId="77777777" w:rsidR="00F7532B" w:rsidRDefault="00F7532B" w:rsidP="00F7532B">
            <w:pPr>
              <w:pStyle w:val="FSTableText"/>
            </w:pPr>
            <w:r>
              <w:t>Signs or symptoms of allergic reactions or intolerance were closely monitored: no significant differences in the incidence of vomiting, diarrhoea and abdominal circumference were observed between groups.</w:t>
            </w:r>
          </w:p>
          <w:p w14:paraId="29A082D9" w14:textId="77777777" w:rsidR="00F7532B" w:rsidRDefault="00F7532B" w:rsidP="00F7532B">
            <w:pPr>
              <w:pStyle w:val="FSTableText"/>
            </w:pPr>
          </w:p>
          <w:p w14:paraId="7ACE1150" w14:textId="77777777" w:rsidR="00F7532B" w:rsidRDefault="00F7532B" w:rsidP="00F7532B">
            <w:pPr>
              <w:pStyle w:val="FSTableText"/>
            </w:pPr>
            <w:r>
              <w:t>No serious adverse events were attributed to the intervention.</w:t>
            </w:r>
          </w:p>
          <w:p w14:paraId="10B72713" w14:textId="77777777" w:rsidR="00F7532B" w:rsidRDefault="00F7532B" w:rsidP="00F7532B">
            <w:pPr>
              <w:pStyle w:val="FSTableText"/>
            </w:pPr>
          </w:p>
          <w:p w14:paraId="09D7D392" w14:textId="39D89AC0" w:rsidR="00F7532B" w:rsidRDefault="000130D7" w:rsidP="00F7532B">
            <w:pPr>
              <w:pStyle w:val="FSTableText"/>
            </w:pPr>
            <w:r>
              <w:t>N</w:t>
            </w:r>
            <w:r w:rsidR="00F7532B">
              <w:t xml:space="preserve">eurodevelopmental outcomes were similar in each group. </w:t>
            </w:r>
          </w:p>
        </w:tc>
      </w:tr>
      <w:tr w:rsidR="00F4645D" w14:paraId="131A1B39" w14:textId="77777777" w:rsidTr="00F14E73">
        <w:tc>
          <w:tcPr>
            <w:tcW w:w="1407" w:type="dxa"/>
          </w:tcPr>
          <w:p w14:paraId="5B0320D4" w14:textId="17056BF2" w:rsidR="00F4645D" w:rsidRPr="008C5B1B" w:rsidRDefault="00F4645D" w:rsidP="00F7532B">
            <w:pPr>
              <w:pStyle w:val="FSTableText"/>
            </w:pPr>
            <w:r w:rsidRPr="008C5B1B">
              <w:t>Kaufman et al</w:t>
            </w:r>
            <w:r w:rsidR="008743DA">
              <w:t>.</w:t>
            </w:r>
            <w:r w:rsidRPr="008C5B1B">
              <w:t xml:space="preserve"> (2021)</w:t>
            </w:r>
          </w:p>
        </w:tc>
        <w:tc>
          <w:tcPr>
            <w:tcW w:w="1362" w:type="dxa"/>
          </w:tcPr>
          <w:p w14:paraId="220F3EC8" w14:textId="5F1095E2" w:rsidR="00F4645D" w:rsidRDefault="00F4645D" w:rsidP="00F7532B">
            <w:pPr>
              <w:pStyle w:val="FSTableText"/>
            </w:pPr>
            <w:r>
              <w:t>Dose escalation safety study</w:t>
            </w:r>
          </w:p>
        </w:tc>
        <w:tc>
          <w:tcPr>
            <w:tcW w:w="1060" w:type="dxa"/>
          </w:tcPr>
          <w:p w14:paraId="3DE8495C" w14:textId="16D442FD" w:rsidR="00F4645D" w:rsidRDefault="00F4645D" w:rsidP="00F7532B">
            <w:pPr>
              <w:pStyle w:val="FSTableText"/>
            </w:pPr>
            <w:r>
              <w:t>USA</w:t>
            </w:r>
          </w:p>
        </w:tc>
        <w:tc>
          <w:tcPr>
            <w:tcW w:w="1786" w:type="dxa"/>
          </w:tcPr>
          <w:p w14:paraId="13532BEF" w14:textId="3513D942" w:rsidR="00F4645D" w:rsidRDefault="00F4645D" w:rsidP="00F7532B">
            <w:pPr>
              <w:pStyle w:val="FSTableText"/>
            </w:pPr>
            <w:r>
              <w:t xml:space="preserve">Glanbia </w:t>
            </w:r>
            <w:proofErr w:type="spellStart"/>
            <w:r>
              <w:t>Nutritionals</w:t>
            </w:r>
            <w:proofErr w:type="spellEnd"/>
          </w:p>
        </w:tc>
        <w:tc>
          <w:tcPr>
            <w:tcW w:w="1543" w:type="dxa"/>
          </w:tcPr>
          <w:p w14:paraId="78C93DAC" w14:textId="11299AC4" w:rsidR="00F4645D" w:rsidRDefault="00F4645D" w:rsidP="00F7532B">
            <w:pPr>
              <w:pStyle w:val="FSTableText"/>
            </w:pPr>
            <w:r>
              <w:t>Preterm neonates (&lt; 32 weeks), birth weight</w:t>
            </w:r>
            <w:r w:rsidR="003544E1">
              <w:t xml:space="preserve"> &lt;1500 g</w:t>
            </w:r>
          </w:p>
        </w:tc>
        <w:tc>
          <w:tcPr>
            <w:tcW w:w="2401" w:type="dxa"/>
          </w:tcPr>
          <w:p w14:paraId="5F97DAC2" w14:textId="556489FA" w:rsidR="00F4645D" w:rsidRDefault="003544E1" w:rsidP="00F7532B">
            <w:pPr>
              <w:pStyle w:val="FSTableText"/>
            </w:pPr>
            <w:r>
              <w:t xml:space="preserve">Enteral </w:t>
            </w:r>
            <w:proofErr w:type="spellStart"/>
            <w:r>
              <w:t>bLf</w:t>
            </w:r>
            <w:proofErr w:type="spellEnd"/>
            <w:r>
              <w:t xml:space="preserve"> (100 [n=10], 200 [n=10] or 300 [n=11] mg/kg </w:t>
            </w:r>
            <w:proofErr w:type="spellStart"/>
            <w:r>
              <w:t>bw</w:t>
            </w:r>
            <w:proofErr w:type="spellEnd"/>
            <w:r>
              <w:t>/day)</w:t>
            </w:r>
          </w:p>
          <w:p w14:paraId="0AE4B7FD" w14:textId="77777777" w:rsidR="00BB048C" w:rsidRDefault="00BB048C" w:rsidP="00F7532B">
            <w:pPr>
              <w:pStyle w:val="FSTableText"/>
            </w:pPr>
          </w:p>
          <w:p w14:paraId="05551348" w14:textId="065661BE" w:rsidR="00BB048C" w:rsidRDefault="00BB048C" w:rsidP="00F7532B">
            <w:pPr>
              <w:pStyle w:val="FSTableText"/>
            </w:pPr>
            <w:r>
              <w:t xml:space="preserve">Equivalent </w:t>
            </w:r>
            <w:proofErr w:type="spellStart"/>
            <w:r>
              <w:t>bLf</w:t>
            </w:r>
            <w:proofErr w:type="spellEnd"/>
            <w:r>
              <w:t xml:space="preserve"> concentration calculated as </w:t>
            </w:r>
            <w:r w:rsidR="002923A7">
              <w:t>383 - 1124</w:t>
            </w:r>
            <w:r>
              <w:t xml:space="preserve"> mg/L</w:t>
            </w:r>
            <w:r w:rsidR="002923A7">
              <w:t xml:space="preserve"> (100 mg/kg </w:t>
            </w:r>
            <w:proofErr w:type="spellStart"/>
            <w:r w:rsidR="002923A7">
              <w:t>bw</w:t>
            </w:r>
            <w:proofErr w:type="spellEnd"/>
            <w:r w:rsidR="002923A7">
              <w:t xml:space="preserve">/day); </w:t>
            </w:r>
            <w:r w:rsidR="00600846">
              <w:t xml:space="preserve">752 – 1563 mg/L (200 mg/kg </w:t>
            </w:r>
            <w:proofErr w:type="spellStart"/>
            <w:r w:rsidR="00600846">
              <w:t>bw</w:t>
            </w:r>
            <w:proofErr w:type="spellEnd"/>
            <w:r w:rsidR="00600846">
              <w:t xml:space="preserve">/day); or 1128 – 3704 mg/L (300 mg/kg </w:t>
            </w:r>
            <w:proofErr w:type="spellStart"/>
            <w:r w:rsidR="00600846">
              <w:t>bw</w:t>
            </w:r>
            <w:proofErr w:type="spellEnd"/>
            <w:r w:rsidR="00600846">
              <w:t>/day)</w:t>
            </w:r>
            <w:r w:rsidR="002654E4">
              <w:rPr>
                <w:rStyle w:val="FootnoteReference"/>
              </w:rPr>
              <w:footnoteReference w:id="4"/>
            </w:r>
          </w:p>
          <w:p w14:paraId="2B3FB2D9" w14:textId="77777777" w:rsidR="003544E1" w:rsidRDefault="003544E1" w:rsidP="00F7532B">
            <w:pPr>
              <w:pStyle w:val="FSTableText"/>
            </w:pPr>
          </w:p>
          <w:p w14:paraId="5B4FE51F" w14:textId="11F1340B" w:rsidR="003544E1" w:rsidRDefault="003544E1" w:rsidP="003544E1">
            <w:pPr>
              <w:pStyle w:val="FSTableText"/>
            </w:pPr>
            <w:r>
              <w:t xml:space="preserve">Intervention </w:t>
            </w:r>
            <w:r w:rsidR="00F12990">
              <w:t>duration</w:t>
            </w:r>
            <w:r>
              <w:t>: 30 days</w:t>
            </w:r>
          </w:p>
        </w:tc>
        <w:tc>
          <w:tcPr>
            <w:tcW w:w="5530" w:type="dxa"/>
          </w:tcPr>
          <w:p w14:paraId="44209A93" w14:textId="08FF5AEC" w:rsidR="003544E1" w:rsidRDefault="003544E1" w:rsidP="00F7532B">
            <w:pPr>
              <w:pStyle w:val="FSTableText"/>
            </w:pPr>
            <w:r>
              <w:t>All infants tolerated the study solution.</w:t>
            </w:r>
          </w:p>
          <w:p w14:paraId="4B884699" w14:textId="77777777" w:rsidR="003544E1" w:rsidRDefault="003544E1" w:rsidP="00F7532B">
            <w:pPr>
              <w:pStyle w:val="FSTableText"/>
            </w:pPr>
          </w:p>
          <w:p w14:paraId="7944C22F" w14:textId="2D7F6891" w:rsidR="003544E1" w:rsidRDefault="003544E1" w:rsidP="00F7532B">
            <w:pPr>
              <w:pStyle w:val="FSTableText"/>
            </w:pPr>
            <w:r>
              <w:t xml:space="preserve">No adverse events related to the study solution were recorded. </w:t>
            </w:r>
          </w:p>
          <w:p w14:paraId="5106CA8B" w14:textId="7D81EBE4" w:rsidR="003544E1" w:rsidRDefault="003544E1" w:rsidP="00F7532B">
            <w:pPr>
              <w:pStyle w:val="FSTableText"/>
            </w:pPr>
          </w:p>
          <w:p w14:paraId="7C4375CC" w14:textId="463CF379" w:rsidR="003544E1" w:rsidRDefault="003544E1" w:rsidP="00F7532B">
            <w:pPr>
              <w:pStyle w:val="FSTableText"/>
            </w:pPr>
            <w:r>
              <w:t>There were no adverse effects on hepatic, renal or haematological function.</w:t>
            </w:r>
          </w:p>
          <w:p w14:paraId="1340FEC1" w14:textId="77777777" w:rsidR="003544E1" w:rsidRDefault="003544E1" w:rsidP="00F7532B">
            <w:pPr>
              <w:pStyle w:val="FSTableText"/>
            </w:pPr>
          </w:p>
          <w:p w14:paraId="2315B6FF" w14:textId="7F9BB378" w:rsidR="00F4645D" w:rsidRDefault="00F4645D" w:rsidP="00F7532B">
            <w:pPr>
              <w:pStyle w:val="FSTableText"/>
            </w:pPr>
          </w:p>
        </w:tc>
      </w:tr>
    </w:tbl>
    <w:p w14:paraId="4B209CA1" w14:textId="1465EBA5" w:rsidR="004F206D" w:rsidRDefault="004F206D" w:rsidP="006406E3">
      <w:pPr>
        <w:pStyle w:val="Heading3"/>
        <w:sectPr w:rsidR="004F206D" w:rsidSect="004440DD">
          <w:pgSz w:w="16838" w:h="11906" w:orient="landscape"/>
          <w:pgMar w:top="1418" w:right="1418" w:bottom="1418" w:left="1418" w:header="709" w:footer="709" w:gutter="0"/>
          <w:cols w:space="708"/>
          <w:docGrid w:linePitch="360"/>
        </w:sectPr>
      </w:pPr>
    </w:p>
    <w:p w14:paraId="16D7B5F6" w14:textId="7D193559" w:rsidR="00155066" w:rsidRDefault="00083214" w:rsidP="006406E3">
      <w:pPr>
        <w:pStyle w:val="Heading3"/>
      </w:pPr>
      <w:bookmarkStart w:id="59" w:name="_Toc111626692"/>
      <w:bookmarkStart w:id="60" w:name="_Toc112915002"/>
      <w:bookmarkStart w:id="61" w:name="_Toc113523049"/>
      <w:r>
        <w:t>3.1.4</w:t>
      </w:r>
      <w:r>
        <w:tab/>
        <w:t>Post-</w:t>
      </w:r>
      <w:r w:rsidR="00155066">
        <w:t xml:space="preserve">marketing </w:t>
      </w:r>
      <w:r>
        <w:t>surveillance</w:t>
      </w:r>
      <w:bookmarkEnd w:id="59"/>
      <w:bookmarkEnd w:id="60"/>
      <w:bookmarkEnd w:id="61"/>
    </w:p>
    <w:p w14:paraId="140A3C40" w14:textId="1F411BBB" w:rsidR="001F3519" w:rsidRDefault="5B0F1D80" w:rsidP="009E3846">
      <w:r>
        <w:t xml:space="preserve">The applicant </w:t>
      </w:r>
      <w:r w:rsidR="573CB92E">
        <w:t>has been manufacturing</w:t>
      </w:r>
      <w:r>
        <w:t xml:space="preserve"> IFP containing </w:t>
      </w:r>
      <w:proofErr w:type="spellStart"/>
      <w:r>
        <w:t>bLf</w:t>
      </w:r>
      <w:proofErr w:type="spellEnd"/>
      <w:r>
        <w:t xml:space="preserve"> for the Chinese market</w:t>
      </w:r>
      <w:r w:rsidR="573CB92E">
        <w:t xml:space="preserve"> since 2011, and using its own internally manufactured </w:t>
      </w:r>
      <w:proofErr w:type="spellStart"/>
      <w:r w:rsidR="573CB92E">
        <w:t>bLf</w:t>
      </w:r>
      <w:proofErr w:type="spellEnd"/>
      <w:r w:rsidR="573CB92E">
        <w:t xml:space="preserve"> since 2014 (GRN669</w:t>
      </w:r>
      <w:r w:rsidR="3626AB13">
        <w:t>, 2016</w:t>
      </w:r>
      <w:r w:rsidR="573CB92E">
        <w:t>)</w:t>
      </w:r>
      <w:r w:rsidR="2823248D">
        <w:t>. It</w:t>
      </w:r>
      <w:r>
        <w:t xml:space="preserve"> has a system in place to record and investigate any customer complaints and concerns. No complaints related to the presence of </w:t>
      </w:r>
      <w:proofErr w:type="spellStart"/>
      <w:r>
        <w:t>bLf</w:t>
      </w:r>
      <w:proofErr w:type="spellEnd"/>
      <w:r>
        <w:t xml:space="preserve"> in IFP have been recorded to date. </w:t>
      </w:r>
    </w:p>
    <w:p w14:paraId="022FE7D4" w14:textId="77777777" w:rsidR="001F3519" w:rsidRDefault="001F3519" w:rsidP="009E3846"/>
    <w:p w14:paraId="256E454B" w14:textId="2AB18389" w:rsidR="00083214" w:rsidRDefault="5B0F1D80" w:rsidP="009E3846">
      <w:r>
        <w:t xml:space="preserve">The applicant has also been selling </w:t>
      </w:r>
      <w:proofErr w:type="spellStart"/>
      <w:r>
        <w:t>bLf</w:t>
      </w:r>
      <w:proofErr w:type="spellEnd"/>
      <w:r>
        <w:t xml:space="preserve"> as an ingredient to large international infant formula brand owners for us in their IFP for many years, and has indicated that none of these companies have reported any adverse events related to addition of </w:t>
      </w:r>
      <w:proofErr w:type="spellStart"/>
      <w:r>
        <w:t>bLf</w:t>
      </w:r>
      <w:proofErr w:type="spellEnd"/>
      <w:r>
        <w:t xml:space="preserve">. </w:t>
      </w:r>
    </w:p>
    <w:p w14:paraId="47F2BA98" w14:textId="3ADFF63C" w:rsidR="00230F5F" w:rsidRDefault="00230F5F" w:rsidP="009E3846"/>
    <w:p w14:paraId="3CF63F01" w14:textId="685858BE" w:rsidR="00230F5F" w:rsidRDefault="00230F5F" w:rsidP="009E3846">
      <w:r>
        <w:t xml:space="preserve">The first IFP containing </w:t>
      </w:r>
      <w:proofErr w:type="spellStart"/>
      <w:r>
        <w:t>bLf</w:t>
      </w:r>
      <w:proofErr w:type="spellEnd"/>
      <w:r>
        <w:t xml:space="preserve"> were released in Japan in 1986. In a GRAS notification to the US FDA in 2011, Morinaga stated that over a million infants and toddlers had consumed </w:t>
      </w:r>
      <w:proofErr w:type="spellStart"/>
      <w:r>
        <w:t>bLf</w:t>
      </w:r>
      <w:proofErr w:type="spellEnd"/>
      <w:r>
        <w:t xml:space="preserve">-fortified IFP since 1986 with no significant health problems </w:t>
      </w:r>
      <w:r w:rsidR="008B1903">
        <w:t>associated with products based on post-marketing surveillance (GRN465</w:t>
      </w:r>
      <w:r w:rsidR="00FE2EE5">
        <w:t>, 2013</w:t>
      </w:r>
      <w:r w:rsidR="008B1903">
        <w:t xml:space="preserve">). </w:t>
      </w:r>
    </w:p>
    <w:p w14:paraId="17502E98" w14:textId="3F32A0E8" w:rsidR="001F3519" w:rsidRDefault="001F3519" w:rsidP="009E3846"/>
    <w:p w14:paraId="79DC017F" w14:textId="2B453301" w:rsidR="0052668A" w:rsidRDefault="001F3519" w:rsidP="009E3846">
      <w:r>
        <w:t xml:space="preserve">FSANZ is unaware of any overseas recalls of products related to the presence of </w:t>
      </w:r>
      <w:proofErr w:type="spellStart"/>
      <w:r>
        <w:t>bLf</w:t>
      </w:r>
      <w:proofErr w:type="spellEnd"/>
      <w:r>
        <w:t xml:space="preserve">. </w:t>
      </w:r>
    </w:p>
    <w:p w14:paraId="261A61DE" w14:textId="41554225" w:rsidR="006D4254" w:rsidRDefault="00155066" w:rsidP="006406E3">
      <w:pPr>
        <w:pStyle w:val="Heading3"/>
      </w:pPr>
      <w:bookmarkStart w:id="62" w:name="_Toc111626693"/>
      <w:bookmarkStart w:id="63" w:name="_Toc112915003"/>
      <w:bookmarkStart w:id="64" w:name="_Toc113523050"/>
      <w:r>
        <w:t>3.1.</w:t>
      </w:r>
      <w:r w:rsidR="00083214">
        <w:t>5</w:t>
      </w:r>
      <w:r w:rsidR="006D4254">
        <w:tab/>
        <w:t>Allergenicity</w:t>
      </w:r>
      <w:bookmarkEnd w:id="62"/>
      <w:bookmarkEnd w:id="63"/>
      <w:bookmarkEnd w:id="64"/>
    </w:p>
    <w:p w14:paraId="2C2214F0" w14:textId="42211CBB" w:rsidR="006D4254" w:rsidRDefault="00694A22" w:rsidP="009E3846">
      <w:proofErr w:type="spellStart"/>
      <w:r>
        <w:t>bLf</w:t>
      </w:r>
      <w:proofErr w:type="spellEnd"/>
      <w:r>
        <w:t xml:space="preserve"> </w:t>
      </w:r>
      <w:r w:rsidR="00691910">
        <w:t>is derived from cow’s milk, which is a major food allergen</w:t>
      </w:r>
      <w:r w:rsidR="006D4254" w:rsidRPr="005B5A94">
        <w:t xml:space="preserve">. Several studies have demonstrated that some individuals with cow’s milk allergy have </w:t>
      </w:r>
      <w:proofErr w:type="spellStart"/>
      <w:r w:rsidR="006D4254" w:rsidRPr="005B5A94">
        <w:t>IgE</w:t>
      </w:r>
      <w:proofErr w:type="spellEnd"/>
      <w:r w:rsidR="006D4254" w:rsidRPr="005B5A94">
        <w:t xml:space="preserve"> anti</w:t>
      </w:r>
      <w:r w:rsidR="001C442D" w:rsidRPr="005B5A94">
        <w:t>bodie</w:t>
      </w:r>
      <w:r w:rsidR="006D4254" w:rsidRPr="005B5A94">
        <w:t xml:space="preserve">s to </w:t>
      </w:r>
      <w:proofErr w:type="spellStart"/>
      <w:r w:rsidR="006D4254" w:rsidRPr="005B5A94">
        <w:t>bLf</w:t>
      </w:r>
      <w:proofErr w:type="spellEnd"/>
      <w:r w:rsidR="001C442D" w:rsidRPr="005B5A94">
        <w:t xml:space="preserve"> leading to the suggestion that </w:t>
      </w:r>
      <w:proofErr w:type="spellStart"/>
      <w:r w:rsidR="001C442D" w:rsidRPr="005B5A94">
        <w:t>bLf</w:t>
      </w:r>
      <w:proofErr w:type="spellEnd"/>
      <w:r w:rsidR="001C442D" w:rsidRPr="005B5A94">
        <w:t xml:space="preserve"> may </w:t>
      </w:r>
      <w:r w:rsidR="00100A49">
        <w:t>be a</w:t>
      </w:r>
      <w:r w:rsidR="001C442D" w:rsidRPr="005B5A94">
        <w:t xml:space="preserve"> cow’s milk </w:t>
      </w:r>
      <w:r w:rsidR="006B2EFB">
        <w:t xml:space="preserve">food </w:t>
      </w:r>
      <w:r w:rsidR="00100A49">
        <w:t>allergen</w:t>
      </w:r>
      <w:r w:rsidR="001C442D" w:rsidRPr="005B5A94">
        <w:t xml:space="preserve"> (Natale et al</w:t>
      </w:r>
      <w:r w:rsidR="008743DA">
        <w:t>.</w:t>
      </w:r>
      <w:r w:rsidR="001C442D" w:rsidRPr="005B5A94">
        <w:t xml:space="preserve"> 2004; Wal et al</w:t>
      </w:r>
      <w:r w:rsidR="008743DA">
        <w:t>.</w:t>
      </w:r>
      <w:r w:rsidR="001C442D" w:rsidRPr="005B5A94">
        <w:t xml:space="preserve"> 1995, 1998; Gaudin et al</w:t>
      </w:r>
      <w:r w:rsidR="008743DA">
        <w:t>.</w:t>
      </w:r>
      <w:r w:rsidR="001C442D" w:rsidRPr="005B5A94">
        <w:t xml:space="preserve"> 2008). </w:t>
      </w:r>
      <w:r w:rsidR="00A66FF6">
        <w:t>To date</w:t>
      </w:r>
      <w:r w:rsidR="001C442D" w:rsidRPr="005B5A94">
        <w:t xml:space="preserve">, the clinical significance of </w:t>
      </w:r>
      <w:r w:rsidR="00FC515B">
        <w:t xml:space="preserve">sensitisation to </w:t>
      </w:r>
      <w:proofErr w:type="spellStart"/>
      <w:r w:rsidR="00FC515B">
        <w:t>bLf</w:t>
      </w:r>
      <w:proofErr w:type="spellEnd"/>
      <w:r w:rsidR="00FC515B">
        <w:t xml:space="preserve"> in these individuals</w:t>
      </w:r>
      <w:r w:rsidR="001C442D" w:rsidRPr="005B5A94">
        <w:t xml:space="preserve"> has not been confirmed by positive oral challenge tests with </w:t>
      </w:r>
      <w:proofErr w:type="spellStart"/>
      <w:r w:rsidR="001C442D" w:rsidRPr="005B5A94">
        <w:t>bLf</w:t>
      </w:r>
      <w:proofErr w:type="spellEnd"/>
      <w:r w:rsidR="001C442D" w:rsidRPr="005B5A94">
        <w:t xml:space="preserve"> (Gaudin et al</w:t>
      </w:r>
      <w:r w:rsidR="008743DA">
        <w:t>.</w:t>
      </w:r>
      <w:r w:rsidR="001C442D" w:rsidRPr="005B5A94">
        <w:t xml:space="preserve"> 2008; Taylor et al</w:t>
      </w:r>
      <w:r w:rsidR="008743DA">
        <w:t>.</w:t>
      </w:r>
      <w:r w:rsidR="001C442D" w:rsidRPr="005B5A94">
        <w:t xml:space="preserve"> 2004), and</w:t>
      </w:r>
      <w:r w:rsidR="001C442D">
        <w:t xml:space="preserve"> it is not </w:t>
      </w:r>
      <w:r w:rsidR="00EF53A6">
        <w:t xml:space="preserve">currently </w:t>
      </w:r>
      <w:r w:rsidR="001C442D">
        <w:t xml:space="preserve">listed as a cow’s milk allergen in the World Health Organization/International Union of Immunological Societies (WHO/IUIS) </w:t>
      </w:r>
      <w:hyperlink r:id="rId21" w:history="1">
        <w:r w:rsidR="001C442D" w:rsidRPr="001C442D">
          <w:rPr>
            <w:rStyle w:val="Hyperlink"/>
          </w:rPr>
          <w:t>allergen nomenclature database</w:t>
        </w:r>
      </w:hyperlink>
      <w:r w:rsidR="001C442D">
        <w:t xml:space="preserve">. </w:t>
      </w:r>
    </w:p>
    <w:p w14:paraId="547E6AB8" w14:textId="324985E8" w:rsidR="00AF49C5" w:rsidRDefault="00AF49C5" w:rsidP="009E3846"/>
    <w:p w14:paraId="49A2D50C" w14:textId="20600333" w:rsidR="00AF49C5" w:rsidRDefault="00AF49C5" w:rsidP="009E3846">
      <w:r>
        <w:t xml:space="preserve">FSANZ considers </w:t>
      </w:r>
      <w:r w:rsidR="00E40B95">
        <w:t xml:space="preserve">the available </w:t>
      </w:r>
      <w:r>
        <w:t xml:space="preserve">evidence </w:t>
      </w:r>
      <w:r w:rsidR="00E40B95">
        <w:t xml:space="preserve">is insufficient </w:t>
      </w:r>
      <w:r>
        <w:t>to conclu</w:t>
      </w:r>
      <w:r w:rsidR="009B260D">
        <w:t>de</w:t>
      </w:r>
      <w:r>
        <w:t xml:space="preserve"> that </w:t>
      </w:r>
      <w:proofErr w:type="spellStart"/>
      <w:r>
        <w:t>bLf</w:t>
      </w:r>
      <w:proofErr w:type="spellEnd"/>
      <w:r>
        <w:t xml:space="preserve"> </w:t>
      </w:r>
      <w:r w:rsidR="009B260D">
        <w:t xml:space="preserve">does </w:t>
      </w:r>
      <w:r>
        <w:t>not pose a food allergy risk to co</w:t>
      </w:r>
      <w:r w:rsidR="00E40B95">
        <w:t>nsumers with cow’s milk allergy.</w:t>
      </w:r>
    </w:p>
    <w:p w14:paraId="17787D60" w14:textId="54B39F3F" w:rsidR="00E40B95" w:rsidRDefault="00E40B95" w:rsidP="006406E3">
      <w:pPr>
        <w:pStyle w:val="Heading3"/>
      </w:pPr>
      <w:bookmarkStart w:id="65" w:name="_Toc111626694"/>
      <w:bookmarkStart w:id="66" w:name="_Toc112915004"/>
      <w:bookmarkStart w:id="67" w:name="_Toc113523051"/>
      <w:r>
        <w:t>3.1.6</w:t>
      </w:r>
      <w:r>
        <w:tab/>
        <w:t>Safety assessments by other agencies</w:t>
      </w:r>
      <w:bookmarkEnd w:id="65"/>
      <w:bookmarkEnd w:id="66"/>
      <w:bookmarkEnd w:id="67"/>
    </w:p>
    <w:p w14:paraId="09F117D8" w14:textId="1FE49F47" w:rsidR="00E40B95" w:rsidRDefault="00281D5E" w:rsidP="009E3846">
      <w:r>
        <w:t xml:space="preserve">The European Food Safety Authority (EFSA) Panel on Dietetic Products, Nutrition and Allergies (NDA) published a scientific opinion on the use of </w:t>
      </w:r>
      <w:proofErr w:type="spellStart"/>
      <w:r>
        <w:t>bLf</w:t>
      </w:r>
      <w:proofErr w:type="spellEnd"/>
      <w:r>
        <w:t xml:space="preserve"> </w:t>
      </w:r>
      <w:r w:rsidR="00F20BDE">
        <w:t xml:space="preserve">produced by Friesland Campina </w:t>
      </w:r>
      <w:r>
        <w:t>as an ingredient in infant and follow-on formula, food supplements, dietetic food for special medical purposes and sport nutrition, and for a variety of foods (</w:t>
      </w:r>
      <w:r w:rsidRPr="005B5A94">
        <w:t xml:space="preserve">EFSA 2012). </w:t>
      </w:r>
      <w:r w:rsidR="000152BD" w:rsidRPr="005B5A94">
        <w:t>The</w:t>
      </w:r>
      <w:r w:rsidR="000152BD">
        <w:t xml:space="preserve"> toxicity studies conducted with Morinaga’s </w:t>
      </w:r>
      <w:proofErr w:type="spellStart"/>
      <w:r w:rsidR="000152BD">
        <w:t>bLf</w:t>
      </w:r>
      <w:proofErr w:type="spellEnd"/>
      <w:r w:rsidR="000152BD">
        <w:t xml:space="preserve"> were used to inform the evaluation. </w:t>
      </w:r>
      <w:r w:rsidR="009F6A82">
        <w:t xml:space="preserve">EFSA concluded that </w:t>
      </w:r>
      <w:proofErr w:type="spellStart"/>
      <w:r w:rsidR="009F6A82">
        <w:t>bLf</w:t>
      </w:r>
      <w:proofErr w:type="spellEnd"/>
      <w:r w:rsidR="009F6A82">
        <w:t xml:space="preserve"> is safe under the proposed uses and use levels. </w:t>
      </w:r>
    </w:p>
    <w:p w14:paraId="20BF19BF" w14:textId="5CBB3B22" w:rsidR="009F6A82" w:rsidRDefault="009F6A82" w:rsidP="009E3846"/>
    <w:p w14:paraId="15D86F21" w14:textId="58189949" w:rsidR="009F6A82" w:rsidRDefault="009F6A82" w:rsidP="009E3846">
      <w:r>
        <w:t xml:space="preserve">Subsequent to the approval of Friesland Campina’s </w:t>
      </w:r>
      <w:proofErr w:type="spellStart"/>
      <w:r>
        <w:t>bLf</w:t>
      </w:r>
      <w:proofErr w:type="spellEnd"/>
      <w:r>
        <w:t xml:space="preserve"> in the EU, several companies have been granted ‘substantial equivalence’ following an assessment by a Competent Authority within the EU, enabling them to place </w:t>
      </w:r>
      <w:proofErr w:type="spellStart"/>
      <w:r>
        <w:t>bLf</w:t>
      </w:r>
      <w:proofErr w:type="spellEnd"/>
      <w:r>
        <w:t xml:space="preserve"> on the European market. </w:t>
      </w:r>
      <w:proofErr w:type="spellStart"/>
      <w:r>
        <w:t>Synlait</w:t>
      </w:r>
      <w:proofErr w:type="spellEnd"/>
      <w:r>
        <w:t xml:space="preserve"> did not apply for substantial equivalence in the EU, because as of 2018 this mechanism was replaced by an updated regulation</w:t>
      </w:r>
      <w:r w:rsidR="00021215">
        <w:rPr>
          <w:rStyle w:val="FootnoteReference"/>
        </w:rPr>
        <w:footnoteReference w:id="5"/>
      </w:r>
      <w:r>
        <w:t xml:space="preserve"> allowing any </w:t>
      </w:r>
      <w:proofErr w:type="spellStart"/>
      <w:r>
        <w:t>bLf</w:t>
      </w:r>
      <w:proofErr w:type="spellEnd"/>
      <w:r>
        <w:t xml:space="preserve"> that meets the EU specification for </w:t>
      </w:r>
      <w:proofErr w:type="spellStart"/>
      <w:r>
        <w:t>bLf</w:t>
      </w:r>
      <w:proofErr w:type="spellEnd"/>
      <w:r w:rsidR="00021215">
        <w:t xml:space="preserve"> as listed in the European </w:t>
      </w:r>
      <w:r w:rsidR="00021215" w:rsidRPr="00021215">
        <w:t>Union list of authorised novel foods</w:t>
      </w:r>
      <w:r w:rsidR="00021215">
        <w:rPr>
          <w:rStyle w:val="FootnoteReference"/>
        </w:rPr>
        <w:footnoteReference w:id="6"/>
      </w:r>
      <w:r>
        <w:t xml:space="preserve"> to be used within the EU. </w:t>
      </w:r>
    </w:p>
    <w:p w14:paraId="42BD662D" w14:textId="51BEE355" w:rsidR="00021215" w:rsidRDefault="00021215" w:rsidP="009E3846"/>
    <w:p w14:paraId="23241E0E" w14:textId="02C864FE" w:rsidR="00021215" w:rsidRDefault="00021215" w:rsidP="009E3846">
      <w:r>
        <w:t xml:space="preserve">In the USA, </w:t>
      </w:r>
      <w:proofErr w:type="spellStart"/>
      <w:r>
        <w:t>bLf</w:t>
      </w:r>
      <w:proofErr w:type="spellEnd"/>
      <w:r>
        <w:t xml:space="preserve"> has been the subject of several GRAS Notices submitted to the US Food and Drug Administration, including notices from </w:t>
      </w:r>
      <w:proofErr w:type="spellStart"/>
      <w:r>
        <w:t>Synlait</w:t>
      </w:r>
      <w:proofErr w:type="spellEnd"/>
      <w:r>
        <w:t xml:space="preserve"> and Morinaga relating to use of </w:t>
      </w:r>
      <w:proofErr w:type="spellStart"/>
      <w:r>
        <w:t>bLf</w:t>
      </w:r>
      <w:proofErr w:type="spellEnd"/>
      <w:r>
        <w:t xml:space="preserve"> in IFP (GRN 669 and GRN 465, respectively). The US FDA has issued ‘no questions’ letters to both of these notices, although this does not constitute an independent safety evaluation by the US FDA. </w:t>
      </w:r>
    </w:p>
    <w:p w14:paraId="18BB271F" w14:textId="5F0402EC" w:rsidR="007D1299" w:rsidRDefault="007D1299" w:rsidP="006406E3">
      <w:pPr>
        <w:pStyle w:val="Heading3"/>
      </w:pPr>
      <w:bookmarkStart w:id="68" w:name="_Toc111626695"/>
      <w:bookmarkStart w:id="69" w:name="_Toc112915005"/>
      <w:bookmarkStart w:id="70" w:name="_Toc113523052"/>
      <w:r>
        <w:t>3.1.7</w:t>
      </w:r>
      <w:r>
        <w:tab/>
      </w:r>
      <w:r w:rsidR="003A2AA4">
        <w:t>Discussion of toxicological assessment</w:t>
      </w:r>
      <w:bookmarkEnd w:id="68"/>
      <w:bookmarkEnd w:id="69"/>
      <w:bookmarkEnd w:id="70"/>
    </w:p>
    <w:p w14:paraId="04AB7692" w14:textId="018B8E17" w:rsidR="003A2AA4" w:rsidRDefault="003A2AA4" w:rsidP="003A2AA4">
      <w:proofErr w:type="spellStart"/>
      <w:r>
        <w:t>bLf</w:t>
      </w:r>
      <w:proofErr w:type="spellEnd"/>
      <w:r>
        <w:t xml:space="preserve"> is subject to partial hydrolysis in the stomach and small intestine, however a proportion of </w:t>
      </w:r>
      <w:proofErr w:type="spellStart"/>
      <w:r>
        <w:t>bLf</w:t>
      </w:r>
      <w:proofErr w:type="spellEnd"/>
      <w:r>
        <w:t xml:space="preserve"> resists digestion, persists throughout the gastrointestinal tract and is excreted in the faeces. Some fragments produced by partial hydrolysis also resist further digestion and are excreted in the faeces. In addition, a small proportion of intact </w:t>
      </w:r>
      <w:proofErr w:type="spellStart"/>
      <w:r>
        <w:t>bLf</w:t>
      </w:r>
      <w:proofErr w:type="spellEnd"/>
      <w:r>
        <w:t xml:space="preserve"> and its fragments is absorbed into the systemic circulation and excreted via the urine. </w:t>
      </w:r>
      <w:r w:rsidR="000C74C5">
        <w:t xml:space="preserve">The evidence suggests that </w:t>
      </w:r>
      <w:proofErr w:type="spellStart"/>
      <w:r w:rsidR="000C74C5">
        <w:t>hLf</w:t>
      </w:r>
      <w:proofErr w:type="spellEnd"/>
      <w:r w:rsidR="000C74C5">
        <w:t xml:space="preserve"> and </w:t>
      </w:r>
      <w:proofErr w:type="spellStart"/>
      <w:r w:rsidR="000C74C5">
        <w:t>bLf</w:t>
      </w:r>
      <w:proofErr w:type="spellEnd"/>
      <w:r w:rsidR="000C74C5">
        <w:t xml:space="preserve"> </w:t>
      </w:r>
      <w:r w:rsidR="00BE1A0B">
        <w:t>are</w:t>
      </w:r>
      <w:r w:rsidR="000C74C5">
        <w:t xml:space="preserve"> more resistant to digestion in pre-term or neonatal infants compared to older infants.</w:t>
      </w:r>
    </w:p>
    <w:p w14:paraId="5A3DDE24" w14:textId="5D49A6CC" w:rsidR="003A2AA4" w:rsidRDefault="003A2AA4" w:rsidP="003A2AA4"/>
    <w:p w14:paraId="2EB868EC" w14:textId="77777777" w:rsidR="003A2AA4" w:rsidRDefault="004440DD" w:rsidP="003A2AA4">
      <w:proofErr w:type="spellStart"/>
      <w:r>
        <w:t>bLf</w:t>
      </w:r>
      <w:proofErr w:type="spellEnd"/>
      <w:r>
        <w:t xml:space="preserve"> is of low acute toxicity, with no adverse effects observed following oral administration to rats up to 2000 mg/kg </w:t>
      </w:r>
      <w:proofErr w:type="spellStart"/>
      <w:r>
        <w:t>bw</w:t>
      </w:r>
      <w:proofErr w:type="spellEnd"/>
      <w:r>
        <w:t xml:space="preserve">. </w:t>
      </w:r>
    </w:p>
    <w:p w14:paraId="6C7874A4" w14:textId="6CFA1855" w:rsidR="004440DD" w:rsidRDefault="004440DD" w:rsidP="003A2AA4"/>
    <w:p w14:paraId="13418F3C" w14:textId="58CE17BB" w:rsidR="00CB7BDB" w:rsidRDefault="004440DD" w:rsidP="003A2AA4">
      <w:r>
        <w:t>Short-term</w:t>
      </w:r>
      <w:r w:rsidR="00BC1177">
        <w:t xml:space="preserve"> oral</w:t>
      </w:r>
      <w:r w:rsidR="007F2716">
        <w:t xml:space="preserve"> gavage</w:t>
      </w:r>
      <w:r>
        <w:t xml:space="preserve"> toxicity studies</w:t>
      </w:r>
      <w:r w:rsidR="007F2716">
        <w:t xml:space="preserve"> in rats</w:t>
      </w:r>
      <w:r>
        <w:t xml:space="preserve"> with </w:t>
      </w:r>
      <w:proofErr w:type="spellStart"/>
      <w:r>
        <w:t>bLf</w:t>
      </w:r>
      <w:proofErr w:type="spellEnd"/>
      <w:r>
        <w:t xml:space="preserve"> produced by Morinaga are available in the published literature. The test item in these studies is representative of the </w:t>
      </w:r>
      <w:proofErr w:type="spellStart"/>
      <w:r>
        <w:t>bLf</w:t>
      </w:r>
      <w:proofErr w:type="spellEnd"/>
      <w:r>
        <w:t xml:space="preserve"> produced by the Applicant</w:t>
      </w:r>
      <w:r w:rsidR="00CB7BDB">
        <w:t xml:space="preserve">. No adverse effects were observed in 4-week and 13-week toxicity studies at doses up to 2000 mg/kg </w:t>
      </w:r>
      <w:proofErr w:type="spellStart"/>
      <w:r w:rsidR="00CB7BDB">
        <w:t>bw</w:t>
      </w:r>
      <w:proofErr w:type="spellEnd"/>
      <w:r w:rsidR="00CB7BDB">
        <w:t>/day, the highest dose tested.</w:t>
      </w:r>
    </w:p>
    <w:p w14:paraId="501D73A2" w14:textId="41D4F9B4" w:rsidR="009771DD" w:rsidRDefault="009771DD" w:rsidP="003A2AA4"/>
    <w:p w14:paraId="70C22FC4" w14:textId="58AFDC45" w:rsidR="00A70F4A" w:rsidRDefault="009771DD" w:rsidP="003A2AA4">
      <w:proofErr w:type="spellStart"/>
      <w:r>
        <w:t>bLf</w:t>
      </w:r>
      <w:proofErr w:type="spellEnd"/>
      <w:r>
        <w:t xml:space="preserve"> was not mutagenic in a bacterial reverse mutation assay. Reports of two long-term dietary toxicity studies with </w:t>
      </w:r>
      <w:proofErr w:type="spellStart"/>
      <w:r>
        <w:t>bLf</w:t>
      </w:r>
      <w:proofErr w:type="spellEnd"/>
      <w:r>
        <w:t xml:space="preserve"> administered to rats for 40 weeks or 60-65 weeks are available. No evidence of toxicity or carcinogenicity were reported in these studies and the study authors concluded that the NOAEL in these studies was 5% in the diet, equivalent to approximately 3000 mg/kg </w:t>
      </w:r>
      <w:proofErr w:type="spellStart"/>
      <w:r>
        <w:t>bw</w:t>
      </w:r>
      <w:proofErr w:type="spellEnd"/>
      <w:r>
        <w:t>/day, the highest concentration tested. The long-term studies provide supporting evidence of safety but</w:t>
      </w:r>
      <w:r w:rsidR="009B260D">
        <w:t xml:space="preserve"> have limited value</w:t>
      </w:r>
      <w:r>
        <w:t xml:space="preserve"> for regulatory purposes given the limited details available in the literature. Additional long-term toxicity/carcinogenicity studies are not considered to be required, however, noting that </w:t>
      </w:r>
      <w:proofErr w:type="spellStart"/>
      <w:r>
        <w:t>bLf</w:t>
      </w:r>
      <w:proofErr w:type="spellEnd"/>
      <w:r>
        <w:t xml:space="preserve"> is a protein </w:t>
      </w:r>
      <w:r w:rsidR="00D11A2D">
        <w:t xml:space="preserve">naturally </w:t>
      </w:r>
      <w:r w:rsidR="00405C4B">
        <w:t xml:space="preserve">present in cow’s milk, it was </w:t>
      </w:r>
      <w:r>
        <w:t>not mutagenic and no lesions</w:t>
      </w:r>
      <w:r w:rsidR="00405C4B">
        <w:t xml:space="preserve"> that might progress to neoplasia by non-genotoxic mechanisms were observed in </w:t>
      </w:r>
      <w:proofErr w:type="spellStart"/>
      <w:r w:rsidR="00405C4B">
        <w:t>subchronic</w:t>
      </w:r>
      <w:proofErr w:type="spellEnd"/>
      <w:r w:rsidR="00405C4B">
        <w:t xml:space="preserve"> studies. </w:t>
      </w:r>
      <w:r w:rsidR="000E6C35">
        <w:t xml:space="preserve">No adverse effects on general motor activity, behaviour or learning were observed in a study in which </w:t>
      </w:r>
      <w:proofErr w:type="spellStart"/>
      <w:r w:rsidR="000E6C35">
        <w:t>bLf</w:t>
      </w:r>
      <w:proofErr w:type="spellEnd"/>
      <w:r w:rsidR="000E6C35">
        <w:t xml:space="preserve"> was administered orally to rats from PND 16 – 34. </w:t>
      </w:r>
    </w:p>
    <w:p w14:paraId="35C1CA8E" w14:textId="77777777" w:rsidR="00A70F4A" w:rsidRDefault="00A70F4A" w:rsidP="003A2AA4"/>
    <w:p w14:paraId="60704341" w14:textId="2703BCAF" w:rsidR="00230F5F" w:rsidRDefault="00A70F4A" w:rsidP="003A2AA4">
      <w:proofErr w:type="spellStart"/>
      <w:r>
        <w:t>bLf</w:t>
      </w:r>
      <w:proofErr w:type="spellEnd"/>
      <w:r>
        <w:t xml:space="preserve"> </w:t>
      </w:r>
      <w:r w:rsidR="005B5A94">
        <w:t xml:space="preserve">was well tolerated with no adverse effects </w:t>
      </w:r>
      <w:r>
        <w:t>reported in multiple intervention studies in infants, including the highly vulnerable group of preterm and very low birth weight infants</w:t>
      </w:r>
      <w:r w:rsidR="002203A3">
        <w:t xml:space="preserve">. </w:t>
      </w:r>
    </w:p>
    <w:p w14:paraId="3500560C" w14:textId="77777777" w:rsidR="00230F5F" w:rsidRDefault="00230F5F" w:rsidP="003A2AA4"/>
    <w:p w14:paraId="054282A8" w14:textId="0CF2FA09" w:rsidR="00A70F4A" w:rsidRDefault="2823248D" w:rsidP="003A2AA4">
      <w:r>
        <w:t xml:space="preserve">The first </w:t>
      </w:r>
      <w:proofErr w:type="spellStart"/>
      <w:r>
        <w:t>bLf</w:t>
      </w:r>
      <w:proofErr w:type="spellEnd"/>
      <w:r>
        <w:t xml:space="preserve">-fortified IFP were released for sale in Japan in 1986 and FSANZ is not aware of any adverse events related to consumption of these products in markets where they are available. </w:t>
      </w:r>
      <w:r w:rsidR="7E8D6F63">
        <w:t xml:space="preserve">The applicant has indicated that its post-marketing surveillance, and that of international formula brand owners it supplies, has not identified any complaints or adverse events related to the addition of </w:t>
      </w:r>
      <w:proofErr w:type="spellStart"/>
      <w:r w:rsidR="7E8D6F63">
        <w:t>bLf</w:t>
      </w:r>
      <w:proofErr w:type="spellEnd"/>
      <w:r w:rsidR="7E8D6F63">
        <w:t xml:space="preserve">. </w:t>
      </w:r>
    </w:p>
    <w:p w14:paraId="6EEA38FC" w14:textId="1E923027" w:rsidR="00F6004A" w:rsidRDefault="00F6004A" w:rsidP="009E3846"/>
    <w:p w14:paraId="694E0588" w14:textId="7576E841" w:rsidR="009D6ECE" w:rsidRDefault="003406C6" w:rsidP="009E3846">
      <w:proofErr w:type="spellStart"/>
      <w:r>
        <w:t>bLf</w:t>
      </w:r>
      <w:proofErr w:type="spellEnd"/>
      <w:r>
        <w:t xml:space="preserve"> is derived from</w:t>
      </w:r>
      <w:r w:rsidR="00F6004A">
        <w:t xml:space="preserve"> cow’s milk </w:t>
      </w:r>
      <w:r>
        <w:t>which is a major</w:t>
      </w:r>
      <w:r w:rsidR="00F6004A">
        <w:t xml:space="preserve"> food </w:t>
      </w:r>
      <w:r>
        <w:t>allergen</w:t>
      </w:r>
      <w:r w:rsidR="00F6004A">
        <w:t xml:space="preserve">. Some individuals with cow’s milk allergy have </w:t>
      </w:r>
      <w:proofErr w:type="spellStart"/>
      <w:r w:rsidR="00F6004A">
        <w:t>IgE</w:t>
      </w:r>
      <w:proofErr w:type="spellEnd"/>
      <w:r w:rsidR="00F6004A">
        <w:t xml:space="preserve"> antibodies to </w:t>
      </w:r>
      <w:proofErr w:type="spellStart"/>
      <w:r w:rsidR="00F6004A">
        <w:t>bLf</w:t>
      </w:r>
      <w:proofErr w:type="spellEnd"/>
      <w:r>
        <w:t xml:space="preserve"> indicating sensitisation</w:t>
      </w:r>
      <w:r w:rsidR="00F6004A">
        <w:t xml:space="preserve">, but the clinical significance of this has not been confirmed and </w:t>
      </w:r>
      <w:proofErr w:type="spellStart"/>
      <w:r w:rsidR="00F6004A">
        <w:t>bLf</w:t>
      </w:r>
      <w:proofErr w:type="spellEnd"/>
      <w:r w:rsidR="00F6004A">
        <w:t xml:space="preserve"> is not currently listed as a cow’s milk allergen by the WHO/IUIS. The limited available evidence </w:t>
      </w:r>
      <w:r w:rsidR="003F0311">
        <w:t xml:space="preserve">however </w:t>
      </w:r>
      <w:r w:rsidR="00F6004A">
        <w:t xml:space="preserve">is insufficient to </w:t>
      </w:r>
      <w:r w:rsidR="007058E2">
        <w:t>conclude</w:t>
      </w:r>
      <w:r w:rsidR="00F6004A">
        <w:t xml:space="preserve"> that </w:t>
      </w:r>
      <w:proofErr w:type="spellStart"/>
      <w:r w:rsidR="00F6004A">
        <w:t>bLf</w:t>
      </w:r>
      <w:proofErr w:type="spellEnd"/>
      <w:r w:rsidR="00F6004A">
        <w:t xml:space="preserve"> </w:t>
      </w:r>
      <w:r w:rsidR="00394B73">
        <w:t xml:space="preserve">does </w:t>
      </w:r>
      <w:r w:rsidR="00F6004A">
        <w:t>not pose a food allergy risk to consumers with cow’s milk allergy.</w:t>
      </w:r>
    </w:p>
    <w:p w14:paraId="56B74896" w14:textId="4EA3645F" w:rsidR="00A951CB" w:rsidRPr="00A951CB" w:rsidRDefault="00A951CB" w:rsidP="00733CE2">
      <w:pPr>
        <w:pStyle w:val="Heading2"/>
        <w:rPr>
          <w:highlight w:val="yellow"/>
        </w:rPr>
      </w:pPr>
      <w:bookmarkStart w:id="71" w:name="_Toc111626696"/>
      <w:bookmarkStart w:id="72" w:name="_Toc112915006"/>
      <w:bookmarkStart w:id="73" w:name="_Toc113523053"/>
      <w:r>
        <w:t>3.2</w:t>
      </w:r>
      <w:r>
        <w:tab/>
        <w:t>Microbiology assessment</w:t>
      </w:r>
      <w:bookmarkEnd w:id="71"/>
      <w:bookmarkEnd w:id="72"/>
      <w:bookmarkEnd w:id="73"/>
    </w:p>
    <w:p w14:paraId="6D646B6E" w14:textId="7465BDB6" w:rsidR="00F224C1" w:rsidRPr="00A423EA" w:rsidRDefault="136B58BC" w:rsidP="00F224C1">
      <w:pPr>
        <w:rPr>
          <w:rFonts w:eastAsia="Arial" w:cs="Arial"/>
        </w:rPr>
      </w:pPr>
      <w:r w:rsidRPr="48784B51">
        <w:rPr>
          <w:rFonts w:eastAsia="Arial" w:cs="Arial"/>
        </w:rPr>
        <w:t xml:space="preserve">The applicant produces </w:t>
      </w:r>
      <w:proofErr w:type="spellStart"/>
      <w:r w:rsidR="744936F3" w:rsidRPr="48784B51">
        <w:rPr>
          <w:rFonts w:eastAsia="Arial" w:cs="Arial"/>
        </w:rPr>
        <w:t>bLf</w:t>
      </w:r>
      <w:proofErr w:type="spellEnd"/>
      <w:r w:rsidRPr="48784B51">
        <w:rPr>
          <w:rFonts w:eastAsia="Arial" w:cs="Arial"/>
        </w:rPr>
        <w:t xml:space="preserve"> by ion-exchange chromatography from clarified and filtered skim milk that has been cooled to below 8°C to prevent microbial growth. The eluate is concentrated and desalted by ultrafiltration before pasteurisation at 73.5°C for 18 seconds, which is sufficient to inactivate pathogenic microorganisms. Subsequent microfiltration, evaporation, spray drying and packaging steps are conducted under HACCP controls</w:t>
      </w:r>
      <w:r w:rsidR="00C20A5E">
        <w:rPr>
          <w:rFonts w:eastAsia="Arial" w:cs="Arial"/>
        </w:rPr>
        <w:t>,</w:t>
      </w:r>
      <w:r w:rsidRPr="48784B51">
        <w:rPr>
          <w:rFonts w:eastAsia="Arial" w:cs="Arial"/>
        </w:rPr>
        <w:t xml:space="preserve"> and introduce no unacceptable risk of microbial contamination. Each batch is tested against suitable microbiological specifications, including zero tolerance for the key pathogens</w:t>
      </w:r>
      <w:r w:rsidR="64B7930A" w:rsidRPr="48784B51">
        <w:rPr>
          <w:rFonts w:eastAsia="Arial" w:cs="Arial"/>
        </w:rPr>
        <w:t xml:space="preserve"> associated with infant formula products</w:t>
      </w:r>
      <w:r w:rsidRPr="48784B51">
        <w:rPr>
          <w:rFonts w:eastAsia="Arial" w:cs="Arial"/>
        </w:rPr>
        <w:t xml:space="preserve">, </w:t>
      </w:r>
      <w:r w:rsidRPr="48784B51">
        <w:rPr>
          <w:rFonts w:eastAsia="Arial" w:cs="Arial"/>
          <w:i/>
          <w:iCs/>
        </w:rPr>
        <w:t>Salmonella</w:t>
      </w:r>
      <w:r w:rsidRPr="48784B51">
        <w:rPr>
          <w:rFonts w:eastAsia="Arial" w:cs="Arial"/>
        </w:rPr>
        <w:t xml:space="preserve"> spp. and </w:t>
      </w:r>
      <w:proofErr w:type="spellStart"/>
      <w:r w:rsidRPr="48784B51">
        <w:rPr>
          <w:rFonts w:eastAsia="Arial" w:cs="Arial"/>
          <w:i/>
          <w:iCs/>
        </w:rPr>
        <w:t>Cronobacter</w:t>
      </w:r>
      <w:proofErr w:type="spellEnd"/>
      <w:r w:rsidRPr="48784B51">
        <w:rPr>
          <w:rFonts w:eastAsia="Arial" w:cs="Arial"/>
        </w:rPr>
        <w:t xml:space="preserve"> spp.</w:t>
      </w:r>
    </w:p>
    <w:p w14:paraId="00D9C6C8" w14:textId="77777777" w:rsidR="00687E0F" w:rsidRPr="00A423EA" w:rsidRDefault="00687E0F" w:rsidP="00F224C1">
      <w:pPr>
        <w:rPr>
          <w:rFonts w:eastAsia="Arial" w:cs="Arial"/>
        </w:rPr>
      </w:pPr>
    </w:p>
    <w:p w14:paraId="6BFD5DB5" w14:textId="412CE3A7" w:rsidR="003B6A36" w:rsidRDefault="003B6A36" w:rsidP="003B6A36">
      <w:pPr>
        <w:rPr>
          <w:rFonts w:eastAsia="Arial" w:cs="Arial"/>
        </w:rPr>
      </w:pPr>
      <w:r w:rsidRPr="003B6A36">
        <w:rPr>
          <w:rFonts w:eastAsia="Arial" w:cs="Arial"/>
        </w:rPr>
        <w:t xml:space="preserve">Arnold et al. (1980) demonstrated an inducible reduction in susceptibility of a strain of </w:t>
      </w:r>
      <w:r w:rsidRPr="003B6A36">
        <w:rPr>
          <w:rFonts w:eastAsia="Arial" w:cs="Arial"/>
          <w:i/>
        </w:rPr>
        <w:t>Streptococcus pneumonia</w:t>
      </w:r>
      <w:r>
        <w:rPr>
          <w:rFonts w:eastAsia="Arial" w:cs="Arial"/>
          <w:i/>
        </w:rPr>
        <w:t>e</w:t>
      </w:r>
      <w:r w:rsidRPr="003B6A36">
        <w:rPr>
          <w:rFonts w:eastAsia="Arial" w:cs="Arial"/>
        </w:rPr>
        <w:t xml:space="preserve"> to </w:t>
      </w:r>
      <w:proofErr w:type="spellStart"/>
      <w:r w:rsidRPr="003B6A36">
        <w:rPr>
          <w:rFonts w:eastAsia="Arial" w:cs="Arial"/>
        </w:rPr>
        <w:t>hLf</w:t>
      </w:r>
      <w:proofErr w:type="spellEnd"/>
      <w:r w:rsidRPr="003B6A36">
        <w:rPr>
          <w:rFonts w:eastAsia="Arial" w:cs="Arial"/>
        </w:rPr>
        <w:t xml:space="preserve"> after serial passage of the bacteria five times through mice. This apparent resistance to </w:t>
      </w:r>
      <w:proofErr w:type="spellStart"/>
      <w:r w:rsidRPr="003B6A36">
        <w:rPr>
          <w:rFonts w:eastAsia="Arial" w:cs="Arial"/>
        </w:rPr>
        <w:t>hLf</w:t>
      </w:r>
      <w:proofErr w:type="spellEnd"/>
      <w:r w:rsidRPr="003B6A36">
        <w:rPr>
          <w:rFonts w:eastAsia="Arial" w:cs="Arial"/>
        </w:rPr>
        <w:t xml:space="preserve"> was lost after subsequent serial passage in broth medium. They also observed varying degrees of resistance in strains of other streptococci</w:t>
      </w:r>
      <w:r>
        <w:rPr>
          <w:rFonts w:eastAsia="Arial" w:cs="Arial"/>
        </w:rPr>
        <w:t xml:space="preserve"> and</w:t>
      </w:r>
      <w:r w:rsidRPr="003B6A36">
        <w:rPr>
          <w:rFonts w:eastAsia="Arial" w:cs="Arial"/>
          <w:i/>
        </w:rPr>
        <w:t xml:space="preserve"> E. coli</w:t>
      </w:r>
      <w:r w:rsidRPr="003B6A36">
        <w:rPr>
          <w:rFonts w:eastAsia="Arial" w:cs="Arial"/>
        </w:rPr>
        <w:t xml:space="preserve">. The authors concluded that resistance was likely related to cell surface components (intrinsic or inducible virulence factors) which </w:t>
      </w:r>
      <w:r>
        <w:rPr>
          <w:rFonts w:eastAsia="Arial" w:cs="Arial"/>
        </w:rPr>
        <w:t>reduced</w:t>
      </w:r>
      <w:r w:rsidRPr="003B6A36">
        <w:rPr>
          <w:rFonts w:eastAsia="Arial" w:cs="Arial"/>
        </w:rPr>
        <w:t xml:space="preserve"> the ability of lactoferrin to access and disrupt the peptidogly</w:t>
      </w:r>
      <w:r>
        <w:rPr>
          <w:rFonts w:eastAsia="Arial" w:cs="Arial"/>
        </w:rPr>
        <w:t>can cell wall.</w:t>
      </w:r>
    </w:p>
    <w:p w14:paraId="18CF6C8D" w14:textId="77777777" w:rsidR="003B6A36" w:rsidRDefault="003B6A36" w:rsidP="003B6A36">
      <w:pPr>
        <w:rPr>
          <w:rFonts w:eastAsia="Arial" w:cs="Arial"/>
        </w:rPr>
      </w:pPr>
    </w:p>
    <w:p w14:paraId="66CEBD3D" w14:textId="1AA5D20B" w:rsidR="003B6A36" w:rsidRDefault="003B6A36" w:rsidP="00F224C1">
      <w:pPr>
        <w:rPr>
          <w:rFonts w:eastAsia="Arial" w:cs="Arial"/>
        </w:rPr>
      </w:pPr>
      <w:r w:rsidRPr="003B6A36">
        <w:rPr>
          <w:rFonts w:eastAsia="Arial" w:cs="Arial"/>
        </w:rPr>
        <w:t>This effect is not considered to constitute a</w:t>
      </w:r>
      <w:r w:rsidR="00A8526B">
        <w:rPr>
          <w:rFonts w:eastAsia="Arial" w:cs="Arial"/>
        </w:rPr>
        <w:t xml:space="preserve"> significant</w:t>
      </w:r>
      <w:r w:rsidRPr="003B6A36">
        <w:rPr>
          <w:rFonts w:eastAsia="Arial" w:cs="Arial"/>
        </w:rPr>
        <w:t xml:space="preserve"> risk of the spread of antimicrobial resistance determinants </w:t>
      </w:r>
      <w:r w:rsidR="006B78D3">
        <w:rPr>
          <w:rFonts w:eastAsia="Arial" w:cs="Arial"/>
        </w:rPr>
        <w:t>between resistant</w:t>
      </w:r>
      <w:r w:rsidRPr="003B6A36">
        <w:rPr>
          <w:rFonts w:eastAsia="Arial" w:cs="Arial"/>
        </w:rPr>
        <w:t xml:space="preserve"> pathogenic bacterial species.</w:t>
      </w:r>
      <w:r>
        <w:rPr>
          <w:rFonts w:eastAsia="Arial" w:cs="Arial"/>
        </w:rPr>
        <w:t xml:space="preserve"> </w:t>
      </w:r>
      <w:proofErr w:type="spellStart"/>
      <w:r>
        <w:rPr>
          <w:rFonts w:eastAsia="Arial" w:cs="Arial"/>
        </w:rPr>
        <w:t>bLf</w:t>
      </w:r>
      <w:proofErr w:type="spellEnd"/>
      <w:r>
        <w:rPr>
          <w:rFonts w:eastAsia="Arial" w:cs="Arial"/>
        </w:rPr>
        <w:t xml:space="preserve"> has been shown to inhibit </w:t>
      </w:r>
      <w:r w:rsidRPr="003B6A36">
        <w:rPr>
          <w:rFonts w:eastAsia="Arial" w:cs="Arial"/>
        </w:rPr>
        <w:t>acquisition of antibiotic resistance</w:t>
      </w:r>
      <w:r>
        <w:rPr>
          <w:rFonts w:eastAsia="Arial" w:cs="Arial"/>
        </w:rPr>
        <w:t xml:space="preserve"> </w:t>
      </w:r>
      <w:r w:rsidRPr="003B6A36">
        <w:rPr>
          <w:rFonts w:eastAsia="Arial" w:cs="Arial"/>
        </w:rPr>
        <w:t>genes</w:t>
      </w:r>
      <w:r>
        <w:rPr>
          <w:rFonts w:eastAsia="Arial" w:cs="Arial"/>
        </w:rPr>
        <w:t xml:space="preserve"> by </w:t>
      </w:r>
      <w:r w:rsidRPr="005F0199">
        <w:rPr>
          <w:rFonts w:eastAsia="Arial" w:cs="Arial"/>
          <w:i/>
        </w:rPr>
        <w:t>S. pneumoniae</w:t>
      </w:r>
      <w:r w:rsidRPr="003B6A36">
        <w:rPr>
          <w:rFonts w:eastAsia="Arial" w:cs="Arial"/>
        </w:rPr>
        <w:t xml:space="preserve"> in </w:t>
      </w:r>
      <w:r w:rsidRPr="005F0199">
        <w:rPr>
          <w:rFonts w:eastAsia="Arial" w:cs="Arial"/>
          <w:i/>
        </w:rPr>
        <w:t>in vitro</w:t>
      </w:r>
      <w:r w:rsidRPr="003B6A36">
        <w:rPr>
          <w:rFonts w:eastAsia="Arial" w:cs="Arial"/>
        </w:rPr>
        <w:t xml:space="preserve"> transformation assays</w:t>
      </w:r>
      <w:r w:rsidR="006B78D3">
        <w:rPr>
          <w:rFonts w:eastAsia="Arial" w:cs="Arial"/>
        </w:rPr>
        <w:t xml:space="preserve"> (Angulo-Zamudio et al., 2019)</w:t>
      </w:r>
      <w:r w:rsidR="00A8526B">
        <w:rPr>
          <w:rFonts w:eastAsia="Arial" w:cs="Arial"/>
        </w:rPr>
        <w:t>. This is most likely related to its metal-dependent deoxyribonuclease</w:t>
      </w:r>
      <w:r w:rsidR="00A8526B" w:rsidRPr="00A8526B">
        <w:rPr>
          <w:rFonts w:eastAsia="Arial" w:cs="Arial"/>
        </w:rPr>
        <w:t xml:space="preserve"> </w:t>
      </w:r>
      <w:r w:rsidR="00A8526B">
        <w:rPr>
          <w:rFonts w:eastAsia="Arial" w:cs="Arial"/>
        </w:rPr>
        <w:t xml:space="preserve">catalytic activity (Zhao and Hutchens, 1994; </w:t>
      </w:r>
      <w:proofErr w:type="spellStart"/>
      <w:r w:rsidR="00A8526B">
        <w:rPr>
          <w:rFonts w:eastAsia="Arial" w:cs="Arial"/>
        </w:rPr>
        <w:t>Babina</w:t>
      </w:r>
      <w:proofErr w:type="spellEnd"/>
      <w:r w:rsidR="00A8526B">
        <w:rPr>
          <w:rFonts w:eastAsia="Arial" w:cs="Arial"/>
        </w:rPr>
        <w:t xml:space="preserve"> et al., 2004; Soboleva et al., 2018).</w:t>
      </w:r>
    </w:p>
    <w:p w14:paraId="03E88D7D" w14:textId="601A01B6" w:rsidR="0091662B" w:rsidRPr="00A423EA" w:rsidRDefault="0091662B" w:rsidP="00F224C1">
      <w:pPr>
        <w:rPr>
          <w:rFonts w:eastAsia="Arial" w:cs="Arial"/>
        </w:rPr>
      </w:pPr>
    </w:p>
    <w:p w14:paraId="36C2376A" w14:textId="77777777" w:rsidR="00617090" w:rsidRDefault="00F224C1" w:rsidP="00664637">
      <w:pPr>
        <w:rPr>
          <w:rFonts w:eastAsia="Arial" w:cs="Arial"/>
        </w:rPr>
      </w:pPr>
      <w:r w:rsidRPr="6A06BEFA">
        <w:rPr>
          <w:rFonts w:eastAsia="Arial" w:cs="Arial"/>
        </w:rPr>
        <w:t xml:space="preserve">No additional microbiological safety risks arise from addition of </w:t>
      </w:r>
      <w:proofErr w:type="spellStart"/>
      <w:r w:rsidRPr="6A06BEFA">
        <w:rPr>
          <w:rFonts w:eastAsia="Arial" w:cs="Arial"/>
        </w:rPr>
        <w:t>bLf</w:t>
      </w:r>
      <w:proofErr w:type="spellEnd"/>
      <w:r w:rsidRPr="6A06BEFA">
        <w:rPr>
          <w:rFonts w:eastAsia="Arial" w:cs="Arial"/>
        </w:rPr>
        <w:t xml:space="preserve"> to powdered infant formula products and its preparation and consumption beyond those encountered with </w:t>
      </w:r>
      <w:r w:rsidR="005C64BE">
        <w:rPr>
          <w:rFonts w:eastAsia="Arial" w:cs="Arial"/>
        </w:rPr>
        <w:t>IFP</w:t>
      </w:r>
      <w:r w:rsidRPr="6A06BEFA">
        <w:rPr>
          <w:rFonts w:eastAsia="Arial" w:cs="Arial"/>
        </w:rPr>
        <w:t xml:space="preserve"> that is not supplemented with </w:t>
      </w:r>
      <w:proofErr w:type="spellStart"/>
      <w:r w:rsidRPr="6A06BEFA">
        <w:rPr>
          <w:rFonts w:eastAsia="Arial" w:cs="Arial"/>
        </w:rPr>
        <w:t>bLf</w:t>
      </w:r>
      <w:proofErr w:type="spellEnd"/>
      <w:r w:rsidRPr="6A06BEFA">
        <w:rPr>
          <w:rFonts w:eastAsia="Arial" w:cs="Arial"/>
        </w:rPr>
        <w:t>.</w:t>
      </w:r>
    </w:p>
    <w:p w14:paraId="582D3623" w14:textId="5E6FA8E0" w:rsidR="00617090" w:rsidRPr="00617090" w:rsidRDefault="00617090" w:rsidP="00733CE2">
      <w:pPr>
        <w:pStyle w:val="Heading2"/>
        <w:rPr>
          <w:rFonts w:ascii="Segoe UI" w:hAnsi="Segoe UI" w:cs="Segoe UI"/>
          <w:sz w:val="18"/>
          <w:szCs w:val="18"/>
          <w:lang w:val="en-AU"/>
        </w:rPr>
      </w:pPr>
      <w:bookmarkStart w:id="74" w:name="_Toc111626697"/>
      <w:bookmarkStart w:id="75" w:name="_Toc112915007"/>
      <w:bookmarkStart w:id="76" w:name="_Toc113523054"/>
      <w:r w:rsidRPr="00617090">
        <w:t>3.</w:t>
      </w:r>
      <w:r w:rsidR="00181686">
        <w:t>3</w:t>
      </w:r>
      <w:r w:rsidR="009B216C">
        <w:tab/>
      </w:r>
      <w:r w:rsidRPr="00617090">
        <w:t>Dietary intake assessment</w:t>
      </w:r>
      <w:bookmarkEnd w:id="74"/>
      <w:bookmarkEnd w:id="75"/>
      <w:bookmarkEnd w:id="76"/>
    </w:p>
    <w:p w14:paraId="092BDA09" w14:textId="030241C2" w:rsidR="00617090" w:rsidRPr="00F035C5" w:rsidRDefault="00617090" w:rsidP="006406E3">
      <w:pPr>
        <w:pStyle w:val="Heading3"/>
        <w:rPr>
          <w:rFonts w:cs="Arial"/>
          <w:szCs w:val="22"/>
          <w:lang w:val="en-AU"/>
        </w:rPr>
      </w:pPr>
      <w:bookmarkStart w:id="77" w:name="_Toc111626698"/>
      <w:bookmarkStart w:id="78" w:name="_Toc112915008"/>
      <w:bookmarkStart w:id="79" w:name="_Toc113523055"/>
      <w:r w:rsidRPr="00617090">
        <w:t>3.</w:t>
      </w:r>
      <w:r w:rsidR="00181686">
        <w:t>3</w:t>
      </w:r>
      <w:r w:rsidRPr="00617090">
        <w:t>.1</w:t>
      </w:r>
      <w:r w:rsidR="009B216C">
        <w:tab/>
      </w:r>
      <w:r w:rsidRPr="00F035C5">
        <w:rPr>
          <w:rFonts w:cs="Arial"/>
          <w:szCs w:val="22"/>
        </w:rPr>
        <w:t>Objective </w:t>
      </w:r>
      <w:bookmarkEnd w:id="77"/>
      <w:bookmarkEnd w:id="78"/>
      <w:bookmarkEnd w:id="79"/>
    </w:p>
    <w:p w14:paraId="5221F548" w14:textId="2A370467" w:rsidR="00181686" w:rsidRPr="005B5A94" w:rsidRDefault="00617090" w:rsidP="00617090">
      <w:pPr>
        <w:widowControl/>
        <w:textAlignment w:val="baseline"/>
        <w:rPr>
          <w:rFonts w:cs="Arial"/>
          <w:lang w:val="en-AU" w:eastAsia="en-AU" w:bidi="ar-SA"/>
        </w:rPr>
      </w:pPr>
      <w:r w:rsidRPr="5D7CBC59">
        <w:rPr>
          <w:rFonts w:cs="Arial"/>
          <w:lang w:val="en-AU" w:eastAsia="en-AU" w:bidi="ar-SA"/>
        </w:rPr>
        <w:t>The objective of this dietary intake assessment is to estimate the dietary intake of b</w:t>
      </w:r>
      <w:proofErr w:type="spellStart"/>
      <w:r w:rsidRPr="5D7CBC59">
        <w:rPr>
          <w:rFonts w:cs="Arial"/>
          <w:lang w:eastAsia="en-AU" w:bidi="ar-SA"/>
        </w:rPr>
        <w:t>Lf</w:t>
      </w:r>
      <w:proofErr w:type="spellEnd"/>
      <w:r w:rsidRPr="5D7CBC59">
        <w:rPr>
          <w:rFonts w:cs="Arial"/>
          <w:i/>
          <w:lang w:eastAsia="en-AU" w:bidi="ar-SA"/>
        </w:rPr>
        <w:t xml:space="preserve"> </w:t>
      </w:r>
      <w:r w:rsidRPr="5D7CBC59">
        <w:rPr>
          <w:rFonts w:cs="Arial"/>
          <w:lang w:eastAsia="en-AU" w:bidi="ar-SA"/>
        </w:rPr>
        <w:t>from the proposed addition to infant formula, follow-on formula and infant formula for special dietary use. Infant formula is specified in the Code as being applicable for infants 0-6 months and follow-on formula from 6-12 months.  </w:t>
      </w:r>
    </w:p>
    <w:p w14:paraId="0E3C9C2C" w14:textId="6DFE9BE1" w:rsidR="00617090" w:rsidRPr="00F035C5" w:rsidRDefault="00617090" w:rsidP="006406E3">
      <w:pPr>
        <w:pStyle w:val="Heading3"/>
        <w:rPr>
          <w:rFonts w:cs="Arial"/>
          <w:szCs w:val="22"/>
          <w:lang w:val="en-AU"/>
        </w:rPr>
      </w:pPr>
      <w:bookmarkStart w:id="80" w:name="_Toc111626699"/>
      <w:bookmarkStart w:id="81" w:name="_Toc112915009"/>
      <w:bookmarkStart w:id="82" w:name="_Toc113523056"/>
      <w:r w:rsidRPr="00617090">
        <w:t>3.</w:t>
      </w:r>
      <w:r w:rsidR="00181686">
        <w:t>3</w:t>
      </w:r>
      <w:r w:rsidRPr="00617090">
        <w:t>.2</w:t>
      </w:r>
      <w:r w:rsidR="009B216C">
        <w:tab/>
      </w:r>
      <w:r w:rsidRPr="00617090">
        <w:t xml:space="preserve">Approach to estimating dietary intakes of </w:t>
      </w:r>
      <w:proofErr w:type="spellStart"/>
      <w:r w:rsidRPr="00F035C5">
        <w:rPr>
          <w:rFonts w:cs="Arial"/>
          <w:szCs w:val="22"/>
        </w:rPr>
        <w:t>bLf</w:t>
      </w:r>
      <w:proofErr w:type="spellEnd"/>
      <w:r w:rsidRPr="00F035C5">
        <w:rPr>
          <w:rFonts w:cs="Arial"/>
          <w:szCs w:val="22"/>
        </w:rPr>
        <w:t> </w:t>
      </w:r>
      <w:bookmarkEnd w:id="80"/>
      <w:bookmarkEnd w:id="81"/>
      <w:bookmarkEnd w:id="82"/>
    </w:p>
    <w:p w14:paraId="46400F10" w14:textId="265CDABD" w:rsidR="00617090" w:rsidRPr="0082002F" w:rsidRDefault="00617090" w:rsidP="00617090">
      <w:pPr>
        <w:widowControl/>
        <w:textAlignment w:val="baseline"/>
        <w:rPr>
          <w:rFonts w:cs="Arial"/>
          <w:lang w:eastAsia="en-AU" w:bidi="ar-SA"/>
        </w:rPr>
      </w:pPr>
      <w:r w:rsidRPr="7B6CE6C8">
        <w:rPr>
          <w:rFonts w:cs="Arial"/>
          <w:lang w:eastAsia="en-AU" w:bidi="ar-SA"/>
        </w:rPr>
        <w:t xml:space="preserve">Dietary intake assessments require data on the concentrations of the chemical of interest in the foods requested, </w:t>
      </w:r>
      <w:r w:rsidR="00372758" w:rsidRPr="7B6CE6C8">
        <w:rPr>
          <w:rFonts w:cs="Arial"/>
          <w:lang w:eastAsia="en-AU" w:bidi="ar-SA"/>
        </w:rPr>
        <w:t>including</w:t>
      </w:r>
      <w:r w:rsidRPr="7B6CE6C8">
        <w:rPr>
          <w:rFonts w:cs="Arial"/>
          <w:lang w:eastAsia="en-AU" w:bidi="ar-SA"/>
        </w:rPr>
        <w:t xml:space="preserve"> any naturally occurring sources and any current permissions for additions to food; and consumption data for the foods which are usually collected through a national nutrition survey. The dietary intakes of </w:t>
      </w:r>
      <w:proofErr w:type="spellStart"/>
      <w:r w:rsidRPr="7B6CE6C8">
        <w:rPr>
          <w:rFonts w:cs="Arial"/>
          <w:lang w:eastAsia="en-AU" w:bidi="ar-SA"/>
        </w:rPr>
        <w:t>bLf</w:t>
      </w:r>
      <w:proofErr w:type="spellEnd"/>
      <w:r w:rsidRPr="7B6CE6C8">
        <w:rPr>
          <w:rFonts w:cs="Arial"/>
          <w:lang w:eastAsia="en-AU" w:bidi="ar-SA"/>
        </w:rPr>
        <w:t xml:space="preserve"> for this assessment were estimated using: (1) the proposed </w:t>
      </w:r>
      <w:r w:rsidR="58ABA9EC" w:rsidRPr="7B6CE6C8">
        <w:rPr>
          <w:rFonts w:cs="Arial"/>
          <w:lang w:eastAsia="en-AU" w:bidi="ar-SA"/>
        </w:rPr>
        <w:t>maximum</w:t>
      </w:r>
      <w:r w:rsidR="17F3C703" w:rsidRPr="7B6CE6C8">
        <w:rPr>
          <w:rFonts w:cs="Arial"/>
          <w:lang w:eastAsia="en-AU" w:bidi="ar-SA"/>
        </w:rPr>
        <w:t xml:space="preserve"> permitted amount</w:t>
      </w:r>
      <w:r w:rsidRPr="7B6CE6C8">
        <w:rPr>
          <w:rFonts w:cs="Arial"/>
          <w:lang w:eastAsia="en-AU" w:bidi="ar-SA"/>
        </w:rPr>
        <w:t xml:space="preserve"> of </w:t>
      </w:r>
      <w:proofErr w:type="spellStart"/>
      <w:r w:rsidRPr="7B6CE6C8">
        <w:rPr>
          <w:rFonts w:cs="Arial"/>
          <w:lang w:eastAsia="en-AU" w:bidi="ar-SA"/>
        </w:rPr>
        <w:t>bLf</w:t>
      </w:r>
      <w:proofErr w:type="spellEnd"/>
      <w:r w:rsidRPr="7B6CE6C8">
        <w:rPr>
          <w:rFonts w:cs="Arial"/>
          <w:lang w:eastAsia="en-AU" w:bidi="ar-SA"/>
        </w:rPr>
        <w:t xml:space="preserve"> in infant formula and follow-on formula; and (2) model diets for infants aged </w:t>
      </w:r>
      <w:r w:rsidR="3A46AE14" w:rsidRPr="7B6CE6C8">
        <w:rPr>
          <w:rFonts w:cs="Arial"/>
          <w:lang w:eastAsia="en-AU" w:bidi="ar-SA"/>
        </w:rPr>
        <w:t>3 months</w:t>
      </w:r>
      <w:r w:rsidRPr="7B6CE6C8">
        <w:rPr>
          <w:rFonts w:cs="Arial"/>
          <w:lang w:eastAsia="en-AU" w:bidi="ar-SA"/>
        </w:rPr>
        <w:t xml:space="preserve"> and </w:t>
      </w:r>
      <w:r w:rsidR="3A46AE14" w:rsidRPr="7B6CE6C8">
        <w:rPr>
          <w:rFonts w:cs="Arial"/>
          <w:lang w:eastAsia="en-AU" w:bidi="ar-SA"/>
        </w:rPr>
        <w:t>9 months</w:t>
      </w:r>
      <w:r w:rsidRPr="7B6CE6C8">
        <w:rPr>
          <w:rFonts w:cs="Arial"/>
          <w:lang w:eastAsia="en-AU" w:bidi="ar-SA"/>
        </w:rPr>
        <w:t>.</w:t>
      </w:r>
    </w:p>
    <w:p w14:paraId="228EB2CE" w14:textId="1A546065" w:rsidR="00617090" w:rsidRPr="0082002F" w:rsidRDefault="00617090" w:rsidP="00617090">
      <w:pPr>
        <w:widowControl/>
        <w:textAlignment w:val="baseline"/>
        <w:rPr>
          <w:rFonts w:cs="Arial"/>
          <w:lang w:eastAsia="en-AU" w:bidi="ar-SA"/>
        </w:rPr>
      </w:pPr>
      <w:r w:rsidRPr="0082002F">
        <w:rPr>
          <w:rFonts w:cs="Arial"/>
          <w:lang w:eastAsia="en-AU" w:bidi="ar-SA"/>
        </w:rPr>
        <w:t> </w:t>
      </w:r>
    </w:p>
    <w:p w14:paraId="576E4214" w14:textId="7BD5D7A5" w:rsidR="00617090" w:rsidRPr="0082002F" w:rsidRDefault="00617090" w:rsidP="00617090">
      <w:pPr>
        <w:widowControl/>
        <w:textAlignment w:val="baseline"/>
        <w:rPr>
          <w:rFonts w:cs="Arial"/>
          <w:lang w:eastAsia="en-AU" w:bidi="ar-SA"/>
        </w:rPr>
      </w:pPr>
      <w:r w:rsidRPr="40B2F036">
        <w:rPr>
          <w:rFonts w:cs="Arial"/>
          <w:lang w:eastAsia="en-AU" w:bidi="ar-SA"/>
        </w:rPr>
        <w:t xml:space="preserve">Dietary intakes of </w:t>
      </w:r>
      <w:proofErr w:type="spellStart"/>
      <w:r w:rsidRPr="40B2F036">
        <w:rPr>
          <w:rFonts w:cs="Arial"/>
          <w:lang w:eastAsia="en-AU" w:bidi="ar-SA"/>
        </w:rPr>
        <w:t>hLf</w:t>
      </w:r>
      <w:proofErr w:type="spellEnd"/>
      <w:r w:rsidRPr="40B2F036">
        <w:rPr>
          <w:rFonts w:cs="Arial"/>
          <w:lang w:eastAsia="en-AU" w:bidi="ar-SA"/>
        </w:rPr>
        <w:t xml:space="preserve"> from human milk</w:t>
      </w:r>
      <w:r w:rsidR="0012022D" w:rsidRPr="40B2F036">
        <w:rPr>
          <w:rFonts w:cs="Arial"/>
          <w:lang w:eastAsia="en-AU" w:bidi="ar-SA"/>
        </w:rPr>
        <w:t xml:space="preserve"> and </w:t>
      </w:r>
      <w:proofErr w:type="spellStart"/>
      <w:r w:rsidR="0012022D" w:rsidRPr="40B2F036">
        <w:rPr>
          <w:rFonts w:cs="Arial"/>
          <w:lang w:eastAsia="en-AU" w:bidi="ar-SA"/>
        </w:rPr>
        <w:t>b</w:t>
      </w:r>
      <w:r w:rsidR="00C438AF" w:rsidRPr="40B2F036">
        <w:rPr>
          <w:rFonts w:cs="Arial"/>
          <w:lang w:eastAsia="en-AU" w:bidi="ar-SA"/>
        </w:rPr>
        <w:t>L</w:t>
      </w:r>
      <w:r w:rsidR="0012022D" w:rsidRPr="40B2F036">
        <w:rPr>
          <w:rFonts w:cs="Arial"/>
          <w:lang w:eastAsia="en-AU" w:bidi="ar-SA"/>
        </w:rPr>
        <w:t>f</w:t>
      </w:r>
      <w:proofErr w:type="spellEnd"/>
      <w:r w:rsidR="0012022D" w:rsidRPr="40B2F036">
        <w:rPr>
          <w:rFonts w:cs="Arial"/>
          <w:lang w:eastAsia="en-AU" w:bidi="ar-SA"/>
        </w:rPr>
        <w:t xml:space="preserve"> from bovine milk</w:t>
      </w:r>
      <w:r w:rsidRPr="40B2F036">
        <w:rPr>
          <w:rFonts w:cs="Arial"/>
          <w:lang w:eastAsia="en-AU" w:bidi="ar-SA"/>
        </w:rPr>
        <w:t xml:space="preserve"> were also estimated for comparative purposes.</w:t>
      </w:r>
    </w:p>
    <w:p w14:paraId="1FB172A6" w14:textId="0F474CE3" w:rsidR="3AFF527C" w:rsidRDefault="3AFF527C" w:rsidP="66531369">
      <w:pPr>
        <w:widowControl/>
        <w:rPr>
          <w:lang w:eastAsia="en-AU" w:bidi="ar-SA"/>
        </w:rPr>
      </w:pPr>
    </w:p>
    <w:p w14:paraId="3D5D5E82" w14:textId="250200EE" w:rsidR="00596430" w:rsidRDefault="0C10F811" w:rsidP="3AFF527C">
      <w:pPr>
        <w:widowControl/>
        <w:rPr>
          <w:lang w:eastAsia="en-AU" w:bidi="ar-SA"/>
        </w:rPr>
      </w:pPr>
      <w:r w:rsidRPr="66531369">
        <w:rPr>
          <w:lang w:eastAsia="en-AU" w:bidi="ar-SA"/>
        </w:rPr>
        <w:t xml:space="preserve">A dietary intake assessment for iron was not undertaken. This was because of the low iron content of the lactoferrin, and because there is a maximum permitted amount of iron specified in the Code for IFP, therefore infants would not be </w:t>
      </w:r>
      <w:r w:rsidR="27A24E1B" w:rsidRPr="66531369">
        <w:rPr>
          <w:lang w:eastAsia="en-AU" w:bidi="ar-SA"/>
        </w:rPr>
        <w:t>expected</w:t>
      </w:r>
      <w:r w:rsidRPr="66531369">
        <w:rPr>
          <w:lang w:eastAsia="en-AU" w:bidi="ar-SA"/>
        </w:rPr>
        <w:t xml:space="preserve"> to have higher iron intakes from formula containing </w:t>
      </w:r>
      <w:proofErr w:type="spellStart"/>
      <w:r w:rsidRPr="66531369">
        <w:rPr>
          <w:lang w:eastAsia="en-AU" w:bidi="ar-SA"/>
        </w:rPr>
        <w:t>bLf</w:t>
      </w:r>
      <w:proofErr w:type="spellEnd"/>
      <w:r w:rsidRPr="66531369">
        <w:rPr>
          <w:lang w:eastAsia="en-AU" w:bidi="ar-SA"/>
        </w:rPr>
        <w:t xml:space="preserve"> compared to other IFP.</w:t>
      </w:r>
    </w:p>
    <w:p w14:paraId="17113982" w14:textId="77777777" w:rsidR="0082002F" w:rsidRPr="0082002F" w:rsidRDefault="0082002F" w:rsidP="0082002F">
      <w:pPr>
        <w:widowControl/>
        <w:textAlignment w:val="baseline"/>
        <w:rPr>
          <w:rFonts w:cs="Arial"/>
          <w:lang w:eastAsia="en-AU" w:bidi="ar-SA"/>
        </w:rPr>
      </w:pPr>
      <w:r w:rsidRPr="0082002F">
        <w:rPr>
          <w:rFonts w:cs="Arial"/>
          <w:lang w:eastAsia="en-AU" w:bidi="ar-SA"/>
        </w:rPr>
        <w:t> </w:t>
      </w:r>
    </w:p>
    <w:p w14:paraId="1E5708C7" w14:textId="528E7BB4" w:rsidR="00617090" w:rsidRPr="0082002F" w:rsidRDefault="00617090" w:rsidP="00617090">
      <w:pPr>
        <w:widowControl/>
        <w:textAlignment w:val="baseline"/>
        <w:rPr>
          <w:rFonts w:cs="Arial"/>
          <w:szCs w:val="22"/>
          <w:lang w:val="en-AU" w:eastAsia="en-AU" w:bidi="ar-SA"/>
        </w:rPr>
      </w:pPr>
      <w:r w:rsidRPr="29CD503D">
        <w:rPr>
          <w:rFonts w:cs="Arial"/>
          <w:lang w:eastAsia="en-AU" w:bidi="ar-SA"/>
        </w:rPr>
        <w:t xml:space="preserve">A summary of the general FSANZ approach to conducting the dietary intake assessment for this </w:t>
      </w:r>
      <w:r w:rsidR="00BB0ADD" w:rsidRPr="005752CC">
        <w:rPr>
          <w:rFonts w:cs="Arial"/>
          <w:lang w:eastAsia="en-AU" w:bidi="ar-SA"/>
        </w:rPr>
        <w:t>Application</w:t>
      </w:r>
      <w:r w:rsidRPr="29CD503D">
        <w:rPr>
          <w:rFonts w:cs="Arial"/>
          <w:lang w:eastAsia="en-AU" w:bidi="ar-SA"/>
        </w:rPr>
        <w:t xml:space="preserve"> is in </w:t>
      </w:r>
      <w:r w:rsidRPr="0087538F">
        <w:t>Appendix 1. A detailed</w:t>
      </w:r>
      <w:r w:rsidRPr="29CD503D">
        <w:rPr>
          <w:rFonts w:cs="Arial"/>
          <w:lang w:eastAsia="en-AU" w:bidi="ar-SA"/>
        </w:rPr>
        <w:t xml:space="preserve"> discussion of the FSANZ methodology and approach to conducting dietary intake assessments is set out in </w:t>
      </w:r>
      <w:hyperlink r:id="rId22" w:history="1">
        <w:r w:rsidRPr="29CD503D">
          <w:rPr>
            <w:rStyle w:val="Hyperlink"/>
            <w:rFonts w:cs="Arial"/>
            <w:lang w:eastAsia="en-AU" w:bidi="ar-SA"/>
          </w:rPr>
          <w:t>Principles and Practices of Dietary Exposure Assessment for Food Regulatory Purposes</w:t>
        </w:r>
      </w:hyperlink>
      <w:bookmarkStart w:id="83" w:name="_Ref111038796"/>
      <w:r w:rsidR="001536C4" w:rsidRPr="29CD503D">
        <w:rPr>
          <w:rStyle w:val="FootnoteReference"/>
          <w:rFonts w:cs="Arial"/>
          <w:lang w:eastAsia="en-AU" w:bidi="ar-SA"/>
        </w:rPr>
        <w:footnoteReference w:id="7"/>
      </w:r>
      <w:bookmarkEnd w:id="83"/>
      <w:r w:rsidRPr="29CD503D">
        <w:rPr>
          <w:rFonts w:cs="Arial"/>
          <w:lang w:eastAsia="en-AU" w:bidi="ar-SA"/>
        </w:rPr>
        <w:t xml:space="preserve"> (Food Standards Australia New Zealand 2009</w:t>
      </w:r>
      <w:r w:rsidRPr="0082002F">
        <w:rPr>
          <w:rFonts w:cs="Arial"/>
          <w:szCs w:val="22"/>
          <w:lang w:eastAsia="en-AU" w:bidi="ar-SA"/>
        </w:rPr>
        <w:t>).</w:t>
      </w:r>
    </w:p>
    <w:p w14:paraId="0BF8836D" w14:textId="47C5FFCE" w:rsidR="00617090" w:rsidRPr="007E4A47" w:rsidRDefault="001D23BB" w:rsidP="00181686">
      <w:pPr>
        <w:pStyle w:val="Heading4"/>
        <w:rPr>
          <w:rFonts w:cs="Arial"/>
          <w:lang w:val="en-AU" w:eastAsia="en-AU"/>
        </w:rPr>
      </w:pPr>
      <w:r>
        <w:rPr>
          <w:lang w:eastAsia="en-AU"/>
        </w:rPr>
        <w:t>3.3.2.1</w:t>
      </w:r>
      <w:r w:rsidR="009B216C">
        <w:rPr>
          <w:lang w:eastAsia="en-AU"/>
        </w:rPr>
        <w:tab/>
      </w:r>
      <w:r w:rsidR="00617090" w:rsidRPr="00617090">
        <w:rPr>
          <w:lang w:eastAsia="en-AU"/>
        </w:rPr>
        <w:t xml:space="preserve">Consumption data </w:t>
      </w:r>
      <w:r w:rsidR="00617090" w:rsidRPr="007E4A47">
        <w:rPr>
          <w:rFonts w:cs="Arial"/>
          <w:lang w:eastAsia="en-AU"/>
        </w:rPr>
        <w:t>used </w:t>
      </w:r>
    </w:p>
    <w:p w14:paraId="57D6AADD" w14:textId="79447693" w:rsidR="00617090" w:rsidRPr="0082002F" w:rsidRDefault="00617090" w:rsidP="00617090">
      <w:pPr>
        <w:widowControl/>
        <w:textAlignment w:val="baseline"/>
        <w:rPr>
          <w:rFonts w:cs="Arial"/>
          <w:lang w:val="en-AU" w:eastAsia="en-AU" w:bidi="ar-SA"/>
        </w:rPr>
      </w:pPr>
      <w:r w:rsidRPr="5B6EF787">
        <w:rPr>
          <w:rFonts w:cs="Arial"/>
          <w:lang w:eastAsia="en-AU" w:bidi="ar-SA"/>
        </w:rPr>
        <w:t xml:space="preserve">The hazard identification and characterisation did not identify any population sub-groups for which there were specific safety considerations in relation to the intake of </w:t>
      </w:r>
      <w:proofErr w:type="spellStart"/>
      <w:r w:rsidRPr="5B6EF787">
        <w:rPr>
          <w:rFonts w:cs="Arial"/>
          <w:lang w:eastAsia="en-AU" w:bidi="ar-SA"/>
        </w:rPr>
        <w:t>bLf</w:t>
      </w:r>
      <w:proofErr w:type="spellEnd"/>
      <w:r w:rsidRPr="5B6EF787">
        <w:rPr>
          <w:rFonts w:cs="Arial"/>
          <w:lang w:eastAsia="en-AU" w:bidi="ar-SA"/>
        </w:rPr>
        <w:t xml:space="preserve">. The population groups that </w:t>
      </w:r>
      <w:r w:rsidR="005363A2" w:rsidRPr="5B6EF787">
        <w:rPr>
          <w:rFonts w:cs="Arial"/>
          <w:lang w:eastAsia="en-AU" w:bidi="ar-SA"/>
        </w:rPr>
        <w:t>were</w:t>
      </w:r>
      <w:r w:rsidRPr="5B6EF787">
        <w:rPr>
          <w:rFonts w:cs="Arial"/>
          <w:lang w:eastAsia="en-AU" w:bidi="ar-SA"/>
        </w:rPr>
        <w:t xml:space="preserve"> used for the dietary intake assessment are:</w:t>
      </w:r>
    </w:p>
    <w:p w14:paraId="6165B7F3" w14:textId="427B33B2" w:rsidR="00617090" w:rsidRPr="0082002F" w:rsidRDefault="00617090" w:rsidP="00617090">
      <w:pPr>
        <w:widowControl/>
        <w:textAlignment w:val="baseline"/>
        <w:rPr>
          <w:rFonts w:cs="Arial"/>
          <w:szCs w:val="22"/>
          <w:lang w:val="en-AU" w:eastAsia="en-AU" w:bidi="ar-SA"/>
        </w:rPr>
      </w:pPr>
      <w:r w:rsidRPr="00617090">
        <w:rPr>
          <w:rFonts w:cs="Arial"/>
          <w:szCs w:val="22"/>
          <w:lang w:eastAsia="en-AU" w:bidi="ar-SA"/>
        </w:rPr>
        <w:t> </w:t>
      </w:r>
    </w:p>
    <w:p w14:paraId="164ED30D" w14:textId="1A9297E5" w:rsidR="00617090" w:rsidRPr="00181686" w:rsidRDefault="00617090" w:rsidP="00181686">
      <w:pPr>
        <w:pStyle w:val="ListParagraph"/>
        <w:widowControl/>
        <w:numPr>
          <w:ilvl w:val="0"/>
          <w:numId w:val="8"/>
        </w:numPr>
        <w:textAlignment w:val="baseline"/>
        <w:rPr>
          <w:rFonts w:cs="Arial"/>
          <w:szCs w:val="22"/>
          <w:lang w:val="en-AU" w:eastAsia="en-AU" w:bidi="ar-SA"/>
        </w:rPr>
      </w:pPr>
      <w:r w:rsidRPr="00181686">
        <w:rPr>
          <w:rFonts w:cs="Arial"/>
          <w:szCs w:val="22"/>
          <w:lang w:eastAsia="en-AU" w:bidi="ar-SA"/>
        </w:rPr>
        <w:t>Infants aged 3 months – representing exclusively formula-fed / breastfed infants </w:t>
      </w:r>
    </w:p>
    <w:p w14:paraId="6903512B" w14:textId="705362C9" w:rsidR="00617090" w:rsidRPr="00181686" w:rsidRDefault="00617090" w:rsidP="00181686">
      <w:pPr>
        <w:pStyle w:val="ListParagraph"/>
        <w:widowControl/>
        <w:numPr>
          <w:ilvl w:val="0"/>
          <w:numId w:val="8"/>
        </w:numPr>
        <w:textAlignment w:val="baseline"/>
        <w:rPr>
          <w:rFonts w:cs="Arial"/>
          <w:szCs w:val="22"/>
          <w:lang w:val="en-AU" w:eastAsia="en-AU" w:bidi="ar-SA"/>
        </w:rPr>
      </w:pPr>
      <w:r w:rsidRPr="00181686">
        <w:rPr>
          <w:rFonts w:cs="Arial"/>
          <w:szCs w:val="22"/>
          <w:lang w:eastAsia="en-AU" w:bidi="ar-SA"/>
        </w:rPr>
        <w:t>Infants aged 9 months – representing infants who consume food as well as follow-on formula or human milk. </w:t>
      </w:r>
    </w:p>
    <w:p w14:paraId="3F4DC858" w14:textId="07E7DF54" w:rsidR="00617090" w:rsidRPr="0082002F" w:rsidRDefault="00617090" w:rsidP="00617090">
      <w:pPr>
        <w:widowControl/>
        <w:textAlignment w:val="baseline"/>
        <w:rPr>
          <w:rFonts w:cs="Arial"/>
          <w:szCs w:val="22"/>
          <w:lang w:val="en-AU" w:eastAsia="en-AU" w:bidi="ar-SA"/>
        </w:rPr>
      </w:pPr>
      <w:r w:rsidRPr="00617090">
        <w:rPr>
          <w:rFonts w:cs="Arial"/>
          <w:b/>
          <w:bCs/>
          <w:szCs w:val="22"/>
          <w:lang w:eastAsia="en-AU" w:bidi="ar-SA"/>
        </w:rPr>
        <w:t> </w:t>
      </w:r>
    </w:p>
    <w:p w14:paraId="2B633058" w14:textId="762B19F4" w:rsidR="00617090" w:rsidRPr="0082002F" w:rsidRDefault="00617090" w:rsidP="00617090">
      <w:pPr>
        <w:widowControl/>
        <w:textAlignment w:val="baseline"/>
        <w:rPr>
          <w:rFonts w:cs="Arial"/>
          <w:szCs w:val="22"/>
          <w:lang w:val="en-AU" w:eastAsia="en-AU" w:bidi="ar-SA"/>
        </w:rPr>
      </w:pPr>
      <w:r w:rsidRPr="40B2F036">
        <w:rPr>
          <w:rFonts w:cs="Arial"/>
          <w:lang w:eastAsia="en-AU" w:bidi="ar-SA"/>
        </w:rPr>
        <w:t xml:space="preserve">Model diets were used for the population groups 3 months and 9 months, to represent the consumption of infant formula or follow-on formula (where appropriate) for these groups. This was because food consumption data for individuals in this age group were not included in the most recent nationally representative nutrition surveys in Australia and New Zealand. How the model diets were constructed is outlined </w:t>
      </w:r>
      <w:r w:rsidRPr="0054610D">
        <w:t>in Appendix 1</w:t>
      </w:r>
      <w:r w:rsidRPr="40B2F036">
        <w:rPr>
          <w:rFonts w:cs="Arial"/>
          <w:lang w:eastAsia="en-AU" w:bidi="ar-SA"/>
        </w:rPr>
        <w:t>.</w:t>
      </w:r>
    </w:p>
    <w:p w14:paraId="174270E5" w14:textId="32DF0B24" w:rsidR="00617090" w:rsidRPr="0082002F" w:rsidRDefault="001D23BB" w:rsidP="00DC7E8D">
      <w:pPr>
        <w:pStyle w:val="Heading4"/>
        <w:rPr>
          <w:lang w:eastAsia="en-AU"/>
        </w:rPr>
      </w:pPr>
      <w:r>
        <w:rPr>
          <w:lang w:eastAsia="en-AU"/>
        </w:rPr>
        <w:t>3.3.2.2</w:t>
      </w:r>
      <w:r w:rsidR="009B216C">
        <w:rPr>
          <w:lang w:eastAsia="en-AU"/>
        </w:rPr>
        <w:tab/>
      </w:r>
      <w:r w:rsidR="00617090" w:rsidRPr="00617090">
        <w:rPr>
          <w:lang w:eastAsia="en-AU"/>
        </w:rPr>
        <w:t>Concentrations of Lactoferrin</w:t>
      </w:r>
    </w:p>
    <w:p w14:paraId="6AF1BB42" w14:textId="42F89D14" w:rsidR="00617090" w:rsidRPr="0082002F" w:rsidRDefault="001547A0" w:rsidP="001547A0">
      <w:pPr>
        <w:pStyle w:val="Heading5"/>
        <w:rPr>
          <w:lang w:eastAsia="en-AU"/>
        </w:rPr>
      </w:pPr>
      <w:r>
        <w:rPr>
          <w:lang w:eastAsia="en-AU"/>
        </w:rPr>
        <w:t xml:space="preserve">3.3.2.2.1 </w:t>
      </w:r>
      <w:r w:rsidR="00617090" w:rsidRPr="00617090">
        <w:rPr>
          <w:lang w:eastAsia="en-AU"/>
        </w:rPr>
        <w:t xml:space="preserve">Proposed concentrations of </w:t>
      </w:r>
      <w:proofErr w:type="spellStart"/>
      <w:r w:rsidR="00617090" w:rsidRPr="00617090">
        <w:rPr>
          <w:lang w:eastAsia="en-AU"/>
        </w:rPr>
        <w:t>bLf</w:t>
      </w:r>
      <w:proofErr w:type="spellEnd"/>
      <w:r w:rsidR="00617090" w:rsidRPr="00617090">
        <w:rPr>
          <w:lang w:eastAsia="en-AU"/>
        </w:rPr>
        <w:t xml:space="preserve"> in infant formula and follow-on formula</w:t>
      </w:r>
      <w:r w:rsidR="00397AB9">
        <w:rPr>
          <w:lang w:eastAsia="en-AU"/>
        </w:rPr>
        <w:t xml:space="preserve">, from the </w:t>
      </w:r>
      <w:r w:rsidR="00BB0ADD">
        <w:rPr>
          <w:lang w:eastAsia="en-AU"/>
        </w:rPr>
        <w:t>Application</w:t>
      </w:r>
    </w:p>
    <w:p w14:paraId="56A9CA69" w14:textId="1A9826B3" w:rsidR="00617090" w:rsidRDefault="00617090" w:rsidP="00617090">
      <w:pPr>
        <w:widowControl/>
        <w:textAlignment w:val="baseline"/>
        <w:rPr>
          <w:rFonts w:cs="Arial"/>
          <w:lang w:val="en-AU" w:eastAsia="en-AU" w:bidi="ar-SA"/>
        </w:rPr>
      </w:pPr>
      <w:r w:rsidRPr="1CBF8A5C">
        <w:rPr>
          <w:rFonts w:cs="Arial"/>
          <w:lang w:eastAsia="en-AU" w:bidi="ar-SA"/>
        </w:rPr>
        <w:t xml:space="preserve">The food categories requested in the </w:t>
      </w:r>
      <w:r w:rsidR="00BB0ADD">
        <w:rPr>
          <w:rFonts w:cs="Arial"/>
          <w:lang w:eastAsia="en-AU" w:bidi="ar-SA"/>
        </w:rPr>
        <w:t>Application</w:t>
      </w:r>
      <w:r w:rsidRPr="1CBF8A5C">
        <w:rPr>
          <w:rFonts w:cs="Arial"/>
          <w:lang w:eastAsia="en-AU" w:bidi="ar-SA"/>
        </w:rPr>
        <w:t xml:space="preserve"> to contain </w:t>
      </w:r>
      <w:proofErr w:type="spellStart"/>
      <w:r w:rsidRPr="1CBF8A5C">
        <w:rPr>
          <w:rFonts w:cs="Arial"/>
          <w:lang w:eastAsia="en-AU" w:bidi="ar-SA"/>
        </w:rPr>
        <w:t>bLf</w:t>
      </w:r>
      <w:proofErr w:type="spellEnd"/>
      <w:r w:rsidRPr="1CBF8A5C">
        <w:rPr>
          <w:rFonts w:cs="Arial"/>
          <w:lang w:eastAsia="en-AU" w:bidi="ar-SA"/>
        </w:rPr>
        <w:t xml:space="preserve"> and the proposed maximum </w:t>
      </w:r>
      <w:r w:rsidR="43C07C0E" w:rsidRPr="1CBF8A5C">
        <w:rPr>
          <w:rFonts w:cs="Arial"/>
          <w:lang w:eastAsia="en-AU" w:bidi="ar-SA"/>
        </w:rPr>
        <w:t>permitted amount</w:t>
      </w:r>
      <w:r w:rsidRPr="1CBF8A5C">
        <w:rPr>
          <w:rFonts w:cs="Arial"/>
          <w:lang w:eastAsia="en-AU" w:bidi="ar-SA"/>
        </w:rPr>
        <w:t xml:space="preserve"> (in mg/100 kJ</w:t>
      </w:r>
      <w:r w:rsidR="00CB2098" w:rsidRPr="1CBF8A5C">
        <w:rPr>
          <w:rFonts w:cs="Arial"/>
          <w:lang w:eastAsia="en-AU" w:bidi="ar-SA"/>
        </w:rPr>
        <w:t xml:space="preserve"> </w:t>
      </w:r>
      <w:r w:rsidR="4392D90B" w:rsidRPr="7B6CE6C8">
        <w:rPr>
          <w:rFonts w:cs="Arial"/>
          <w:lang w:eastAsia="en-AU" w:bidi="ar-SA"/>
        </w:rPr>
        <w:t>as requested by the applicant</w:t>
      </w:r>
      <w:r w:rsidR="6CF48BE1" w:rsidRPr="1CBF8A5C">
        <w:rPr>
          <w:rFonts w:cs="Arial"/>
          <w:lang w:eastAsia="en-AU" w:bidi="ar-SA"/>
        </w:rPr>
        <w:t xml:space="preserve"> and</w:t>
      </w:r>
      <w:r w:rsidR="4392D90B" w:rsidRPr="7B6CE6C8">
        <w:rPr>
          <w:rFonts w:cs="Arial"/>
          <w:lang w:eastAsia="en-AU" w:bidi="ar-SA"/>
        </w:rPr>
        <w:t xml:space="preserve"> the converted values in</w:t>
      </w:r>
      <w:r w:rsidR="00CB2098" w:rsidRPr="1CBF8A5C">
        <w:rPr>
          <w:rFonts w:cs="Arial"/>
          <w:lang w:eastAsia="en-AU" w:bidi="ar-SA"/>
        </w:rPr>
        <w:t xml:space="preserve"> mg/L</w:t>
      </w:r>
      <w:r w:rsidRPr="1CBF8A5C">
        <w:rPr>
          <w:rFonts w:cs="Arial"/>
          <w:lang w:eastAsia="en-AU" w:bidi="ar-SA"/>
        </w:rPr>
        <w:t>) are listed in</w:t>
      </w:r>
      <w:r w:rsidR="00F92294">
        <w:rPr>
          <w:rFonts w:cs="Arial"/>
          <w:lang w:eastAsia="en-AU" w:bidi="ar-SA"/>
        </w:rPr>
        <w:t xml:space="preserve"> Table 3.</w:t>
      </w:r>
    </w:p>
    <w:p w14:paraId="4AC70CAA" w14:textId="1A499738" w:rsidR="00617090" w:rsidRPr="0082002F" w:rsidRDefault="00617090" w:rsidP="00617090">
      <w:pPr>
        <w:widowControl/>
        <w:textAlignment w:val="baseline"/>
        <w:rPr>
          <w:rFonts w:cs="Arial"/>
          <w:szCs w:val="22"/>
          <w:lang w:val="en-AU" w:eastAsia="en-AU" w:bidi="ar-SA"/>
        </w:rPr>
      </w:pPr>
    </w:p>
    <w:p w14:paraId="2C51975E" w14:textId="2A99528C" w:rsidR="002D2918" w:rsidRDefault="008211A9" w:rsidP="008211A9">
      <w:pPr>
        <w:pStyle w:val="FSTableTitle"/>
      </w:pPr>
      <w:r>
        <w:t xml:space="preserve">Table 3 </w:t>
      </w:r>
      <w:r w:rsidRPr="00F84A0D">
        <w:t xml:space="preserve">Proposed maximum </w:t>
      </w:r>
      <w:r>
        <w:t>permitted amount</w:t>
      </w:r>
      <w:r w:rsidRPr="00F84A0D">
        <w:t xml:space="preserve"> of </w:t>
      </w:r>
      <w:proofErr w:type="spellStart"/>
      <w:r w:rsidRPr="00F84A0D">
        <w:t>bLf</w:t>
      </w:r>
      <w:proofErr w:type="spellEnd"/>
      <w:r w:rsidRPr="00F84A0D">
        <w:t xml:space="preserve"> in foods, from the </w:t>
      </w:r>
      <w:r>
        <w:t xml:space="preserve">Application </w:t>
      </w:r>
    </w:p>
    <w:p w14:paraId="4C81D9F6" w14:textId="77777777" w:rsidR="008211A9" w:rsidRPr="002D2918" w:rsidRDefault="008211A9" w:rsidP="002D2918"/>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
        <w:tblDescription w:val="Proposed maximum use levels of bLf in foods, from the "/>
      </w:tblPr>
      <w:tblGrid>
        <w:gridCol w:w="3675"/>
        <w:gridCol w:w="2699"/>
        <w:gridCol w:w="2656"/>
      </w:tblGrid>
      <w:tr w:rsidR="00617090" w:rsidRPr="00617090" w14:paraId="4D34BB7B" w14:textId="77777777" w:rsidTr="00DD4989">
        <w:trPr>
          <w:trHeight w:val="450"/>
        </w:trPr>
        <w:tc>
          <w:tcPr>
            <w:tcW w:w="3675" w:type="dxa"/>
            <w:shd w:val="clear" w:color="auto" w:fill="616571"/>
            <w:hideMark/>
          </w:tcPr>
          <w:p w14:paraId="4610778E" w14:textId="77777777" w:rsidR="00617090" w:rsidRPr="00617090" w:rsidRDefault="00617090" w:rsidP="000B0E3F">
            <w:pPr>
              <w:pStyle w:val="FSTableHeading"/>
              <w:rPr>
                <w:rFonts w:ascii="Times New Roman" w:hAnsi="Times New Roman"/>
                <w:sz w:val="24"/>
                <w:lang w:val="en-AU" w:eastAsia="en-AU" w:bidi="ar-SA"/>
              </w:rPr>
            </w:pPr>
            <w:r w:rsidRPr="00617090">
              <w:rPr>
                <w:lang w:eastAsia="en-AU" w:bidi="ar-SA"/>
              </w:rPr>
              <w:t> </w:t>
            </w:r>
            <w:r w:rsidRPr="000B0E3F">
              <w:rPr>
                <w:color w:val="FFFFFF" w:themeColor="background1"/>
                <w:lang w:val="en-AU" w:eastAsia="en-AU" w:bidi="ar-SA"/>
              </w:rPr>
              <w:t>Food</w:t>
            </w:r>
            <w:r w:rsidRPr="000B0E3F">
              <w:rPr>
                <w:color w:val="FFFFFF" w:themeColor="background1"/>
                <w:lang w:eastAsia="en-AU" w:bidi="ar-SA"/>
              </w:rPr>
              <w:t> </w:t>
            </w:r>
            <w:r w:rsidRPr="000B0E3F">
              <w:rPr>
                <w:color w:val="FFFFFF" w:themeColor="background1"/>
                <w:lang w:val="en-AU" w:eastAsia="en-AU" w:bidi="ar-SA"/>
              </w:rPr>
              <w:t> </w:t>
            </w:r>
          </w:p>
        </w:tc>
        <w:tc>
          <w:tcPr>
            <w:tcW w:w="2699" w:type="dxa"/>
            <w:shd w:val="clear" w:color="auto" w:fill="616571"/>
            <w:hideMark/>
          </w:tcPr>
          <w:p w14:paraId="413A5B9F" w14:textId="77777777" w:rsidR="003559A2" w:rsidRDefault="00617090" w:rsidP="000B0E3F">
            <w:pPr>
              <w:pStyle w:val="FSTableHeading"/>
              <w:rPr>
                <w:color w:val="FFFFFF" w:themeColor="background1"/>
                <w:lang w:eastAsia="en-AU" w:bidi="ar-SA"/>
              </w:rPr>
            </w:pPr>
            <w:r w:rsidRPr="7B6CE6C8">
              <w:rPr>
                <w:color w:val="FFFFFF" w:themeColor="background1"/>
                <w:lang w:val="en-AU" w:eastAsia="en-AU" w:bidi="ar-SA"/>
              </w:rPr>
              <w:t xml:space="preserve">Maximum </w:t>
            </w:r>
            <w:r w:rsidR="70A94928" w:rsidRPr="7B6CE6C8">
              <w:rPr>
                <w:color w:val="FFFFFF" w:themeColor="background1"/>
                <w:lang w:val="en-AU" w:eastAsia="en-AU" w:bidi="ar-SA"/>
              </w:rPr>
              <w:t xml:space="preserve">permitted </w:t>
            </w:r>
            <w:r w:rsidR="003559A2">
              <w:rPr>
                <w:color w:val="FFFFFF" w:themeColor="background1"/>
                <w:lang w:val="en-AU" w:eastAsia="en-AU" w:bidi="ar-SA"/>
              </w:rPr>
              <w:br/>
            </w:r>
            <w:r w:rsidR="538E64AD" w:rsidRPr="7A7FA9A5">
              <w:rPr>
                <w:color w:val="FFFFFF" w:themeColor="background1"/>
                <w:lang w:val="en-AU" w:eastAsia="en-AU" w:bidi="ar-SA"/>
              </w:rPr>
              <w:t>amount</w:t>
            </w:r>
            <w:r w:rsidR="00DD4989" w:rsidRPr="7B6CE6C8">
              <w:rPr>
                <w:color w:val="FFFFFF" w:themeColor="background1"/>
                <w:lang w:eastAsia="en-AU" w:bidi="ar-SA"/>
              </w:rPr>
              <w:t xml:space="preserve"> </w:t>
            </w:r>
          </w:p>
          <w:p w14:paraId="00C76B7D" w14:textId="51C9AE8E" w:rsidR="00617090" w:rsidRPr="00617090" w:rsidRDefault="00617090" w:rsidP="000B0E3F">
            <w:pPr>
              <w:pStyle w:val="FSTableHeading"/>
              <w:rPr>
                <w:rFonts w:ascii="Times New Roman" w:hAnsi="Times New Roman"/>
                <w:sz w:val="24"/>
                <w:lang w:val="en-AU" w:eastAsia="en-AU" w:bidi="ar-SA"/>
              </w:rPr>
            </w:pPr>
            <w:r w:rsidRPr="7B6CE6C8">
              <w:rPr>
                <w:color w:val="FFFFFF" w:themeColor="background1"/>
                <w:lang w:eastAsia="en-AU" w:bidi="ar-SA"/>
              </w:rPr>
              <w:t>(mg/100 kJ)</w:t>
            </w:r>
            <w:r w:rsidR="4392D90B" w:rsidRPr="7B6CE6C8">
              <w:rPr>
                <w:color w:val="FFFFFF" w:themeColor="background1"/>
                <w:vertAlign w:val="superscript"/>
                <w:lang w:eastAsia="en-AU" w:bidi="ar-SA"/>
              </w:rPr>
              <w:t>1</w:t>
            </w:r>
          </w:p>
        </w:tc>
        <w:tc>
          <w:tcPr>
            <w:tcW w:w="2656" w:type="dxa"/>
            <w:shd w:val="clear" w:color="auto" w:fill="616571"/>
            <w:hideMark/>
          </w:tcPr>
          <w:p w14:paraId="1A6B2B84" w14:textId="15010EE5" w:rsidR="00DD4989" w:rsidRDefault="58ABA9EC" w:rsidP="000B0E3F">
            <w:pPr>
              <w:pStyle w:val="FSTableHeading"/>
              <w:rPr>
                <w:lang w:eastAsia="en-AU" w:bidi="ar-SA"/>
              </w:rPr>
            </w:pPr>
            <w:r w:rsidRPr="7B6CE6C8">
              <w:rPr>
                <w:color w:val="FFFFFF" w:themeColor="background1"/>
                <w:lang w:val="en-AU" w:eastAsia="en-AU" w:bidi="ar-SA"/>
              </w:rPr>
              <w:t xml:space="preserve">Maximum </w:t>
            </w:r>
            <w:r w:rsidR="70B1CCD7" w:rsidRPr="7B6CE6C8">
              <w:rPr>
                <w:color w:val="FFFFFF" w:themeColor="background1"/>
                <w:lang w:val="en-AU" w:eastAsia="en-AU" w:bidi="ar-SA"/>
              </w:rPr>
              <w:t xml:space="preserve">permitted </w:t>
            </w:r>
            <w:r w:rsidR="6DFBF0EC" w:rsidRPr="7A7FA9A5">
              <w:rPr>
                <w:color w:val="FFFFFF" w:themeColor="background1"/>
                <w:lang w:val="en-AU" w:eastAsia="en-AU" w:bidi="ar-SA"/>
              </w:rPr>
              <w:t>amount</w:t>
            </w:r>
          </w:p>
          <w:p w14:paraId="7D735946" w14:textId="64A52BAD" w:rsidR="00617090" w:rsidRPr="00617090" w:rsidRDefault="00617090" w:rsidP="000B0E3F">
            <w:pPr>
              <w:pStyle w:val="FSTableHeading"/>
              <w:rPr>
                <w:rFonts w:ascii="Times New Roman" w:hAnsi="Times New Roman"/>
                <w:sz w:val="24"/>
                <w:lang w:val="en-AU" w:eastAsia="en-AU" w:bidi="ar-SA"/>
              </w:rPr>
            </w:pPr>
            <w:r w:rsidRPr="49954447">
              <w:rPr>
                <w:color w:val="FFFFFF" w:themeColor="background1"/>
                <w:lang w:eastAsia="en-AU" w:bidi="ar-SA"/>
              </w:rPr>
              <w:t>(mg/L)</w:t>
            </w:r>
            <w:r w:rsidR="00AC7056" w:rsidRPr="6D6C6E66">
              <w:rPr>
                <w:color w:val="FFFFFF" w:themeColor="background1"/>
                <w:sz w:val="16"/>
                <w:szCs w:val="16"/>
                <w:vertAlign w:val="superscript"/>
                <w:lang w:eastAsia="en-AU" w:bidi="ar-SA"/>
              </w:rPr>
              <w:t>2</w:t>
            </w:r>
          </w:p>
        </w:tc>
      </w:tr>
      <w:tr w:rsidR="00617090" w:rsidRPr="00617090" w14:paraId="63ED8D7F" w14:textId="77777777" w:rsidTr="00DD4989">
        <w:tc>
          <w:tcPr>
            <w:tcW w:w="3675" w:type="dxa"/>
            <w:shd w:val="clear" w:color="auto" w:fill="ECECEC"/>
            <w:hideMark/>
          </w:tcPr>
          <w:p w14:paraId="7B093605" w14:textId="77777777" w:rsidR="00617090" w:rsidRPr="00617090" w:rsidRDefault="00617090" w:rsidP="000B0E3F">
            <w:pPr>
              <w:pStyle w:val="FSTableText"/>
              <w:rPr>
                <w:rFonts w:ascii="Times New Roman" w:hAnsi="Times New Roman"/>
                <w:sz w:val="24"/>
                <w:lang w:val="en-AU" w:eastAsia="en-AU" w:bidi="ar-SA"/>
              </w:rPr>
            </w:pPr>
            <w:r w:rsidRPr="00617090">
              <w:rPr>
                <w:lang w:val="en-AU" w:eastAsia="en-AU" w:bidi="ar-SA"/>
              </w:rPr>
              <w:t xml:space="preserve">Infant </w:t>
            </w:r>
            <w:r w:rsidRPr="00617090">
              <w:rPr>
                <w:color w:val="2E3037"/>
                <w:lang w:val="en-AU" w:eastAsia="en-AU" w:bidi="ar-SA"/>
              </w:rPr>
              <w:t>formula</w:t>
            </w:r>
            <w:r w:rsidRPr="00617090">
              <w:rPr>
                <w:color w:val="2E3037"/>
                <w:lang w:eastAsia="en-AU" w:bidi="ar-SA"/>
              </w:rPr>
              <w:t> </w:t>
            </w:r>
            <w:r w:rsidRPr="00617090">
              <w:rPr>
                <w:color w:val="2E3037"/>
                <w:lang w:val="en-AU" w:eastAsia="en-AU" w:bidi="ar-SA"/>
              </w:rPr>
              <w:t> </w:t>
            </w:r>
          </w:p>
          <w:p w14:paraId="2B6A63F1" w14:textId="77777777" w:rsidR="00617090" w:rsidRPr="00617090" w:rsidRDefault="00617090" w:rsidP="000B0E3F">
            <w:pPr>
              <w:pStyle w:val="FSTableText"/>
              <w:rPr>
                <w:rFonts w:ascii="Times New Roman" w:hAnsi="Times New Roman"/>
                <w:sz w:val="24"/>
                <w:lang w:val="en-AU" w:eastAsia="en-AU" w:bidi="ar-SA"/>
              </w:rPr>
            </w:pPr>
            <w:r w:rsidRPr="00617090">
              <w:rPr>
                <w:lang w:val="en-AU" w:eastAsia="en-AU" w:bidi="ar-SA"/>
              </w:rPr>
              <w:t>(as prepared or ready-to-feed)</w:t>
            </w:r>
            <w:r w:rsidRPr="00617090">
              <w:rPr>
                <w:lang w:eastAsia="en-AU" w:bidi="ar-SA"/>
              </w:rPr>
              <w:t> </w:t>
            </w:r>
            <w:r w:rsidRPr="00617090">
              <w:rPr>
                <w:lang w:val="en-AU" w:eastAsia="en-AU" w:bidi="ar-SA"/>
              </w:rPr>
              <w:t> </w:t>
            </w:r>
          </w:p>
        </w:tc>
        <w:tc>
          <w:tcPr>
            <w:tcW w:w="2699" w:type="dxa"/>
            <w:shd w:val="clear" w:color="auto" w:fill="ECECEC"/>
            <w:hideMark/>
          </w:tcPr>
          <w:p w14:paraId="2B88CD6C" w14:textId="0551CFD7" w:rsidR="00617090" w:rsidRPr="00617090" w:rsidRDefault="00617090" w:rsidP="00DA06FC">
            <w:pPr>
              <w:pStyle w:val="FSTableText"/>
              <w:jc w:val="right"/>
              <w:rPr>
                <w:rFonts w:ascii="Times New Roman" w:hAnsi="Times New Roman"/>
                <w:sz w:val="24"/>
                <w:lang w:val="en-AU" w:eastAsia="en-AU" w:bidi="ar-SA"/>
              </w:rPr>
            </w:pPr>
            <w:r w:rsidRPr="00617090">
              <w:rPr>
                <w:lang w:val="en-AU" w:eastAsia="en-AU" w:bidi="ar-SA"/>
              </w:rPr>
              <w:t>40</w:t>
            </w:r>
            <w:r w:rsidRPr="00617090">
              <w:rPr>
                <w:lang w:eastAsia="en-AU" w:bidi="ar-SA"/>
              </w:rPr>
              <w:t> </w:t>
            </w:r>
          </w:p>
        </w:tc>
        <w:tc>
          <w:tcPr>
            <w:tcW w:w="2656" w:type="dxa"/>
            <w:shd w:val="clear" w:color="auto" w:fill="ECECEC"/>
            <w:hideMark/>
          </w:tcPr>
          <w:p w14:paraId="3A3D7CE7" w14:textId="6FD242F6" w:rsidR="00617090" w:rsidRPr="00617090" w:rsidRDefault="00617090" w:rsidP="00DA06FC">
            <w:pPr>
              <w:pStyle w:val="FSTableText"/>
              <w:jc w:val="right"/>
              <w:rPr>
                <w:rFonts w:ascii="Times New Roman" w:hAnsi="Times New Roman"/>
                <w:sz w:val="24"/>
                <w:lang w:val="en-AU" w:eastAsia="en-AU" w:bidi="ar-SA"/>
              </w:rPr>
            </w:pPr>
            <w:r w:rsidRPr="00617090">
              <w:rPr>
                <w:lang w:val="en-AU" w:eastAsia="en-AU" w:bidi="ar-SA"/>
              </w:rPr>
              <w:t>1109</w:t>
            </w:r>
          </w:p>
        </w:tc>
      </w:tr>
      <w:tr w:rsidR="00617090" w:rsidRPr="00617090" w14:paraId="60CB6171" w14:textId="77777777" w:rsidTr="00DD4989">
        <w:tc>
          <w:tcPr>
            <w:tcW w:w="3675" w:type="dxa"/>
            <w:shd w:val="clear" w:color="auto" w:fill="auto"/>
            <w:hideMark/>
          </w:tcPr>
          <w:p w14:paraId="2B5A2A56" w14:textId="77777777" w:rsidR="00617090" w:rsidRPr="00617090" w:rsidRDefault="00617090" w:rsidP="000B0E3F">
            <w:pPr>
              <w:pStyle w:val="FSTableText"/>
              <w:rPr>
                <w:rFonts w:ascii="Times New Roman" w:hAnsi="Times New Roman"/>
                <w:sz w:val="24"/>
                <w:lang w:val="en-AU" w:eastAsia="en-AU" w:bidi="ar-SA"/>
              </w:rPr>
            </w:pPr>
            <w:r w:rsidRPr="00617090">
              <w:rPr>
                <w:lang w:val="en-AU" w:eastAsia="en-AU" w:bidi="ar-SA"/>
              </w:rPr>
              <w:t>Follow-on formula</w:t>
            </w:r>
            <w:r w:rsidRPr="00617090">
              <w:rPr>
                <w:color w:val="2E3037"/>
                <w:lang w:eastAsia="en-AU" w:bidi="ar-SA"/>
              </w:rPr>
              <w:t> </w:t>
            </w:r>
            <w:r w:rsidRPr="00617090">
              <w:rPr>
                <w:color w:val="2E3037"/>
                <w:lang w:val="en-AU" w:eastAsia="en-AU" w:bidi="ar-SA"/>
              </w:rPr>
              <w:t> </w:t>
            </w:r>
          </w:p>
          <w:p w14:paraId="3D16FFFB" w14:textId="77777777" w:rsidR="00617090" w:rsidRPr="00617090" w:rsidRDefault="00617090" w:rsidP="000B0E3F">
            <w:pPr>
              <w:pStyle w:val="FSTableText"/>
              <w:rPr>
                <w:rFonts w:ascii="Times New Roman" w:hAnsi="Times New Roman"/>
                <w:sz w:val="24"/>
                <w:lang w:val="en-AU" w:eastAsia="en-AU" w:bidi="ar-SA"/>
              </w:rPr>
            </w:pPr>
            <w:r w:rsidRPr="00617090">
              <w:rPr>
                <w:lang w:val="en-AU" w:eastAsia="en-AU" w:bidi="ar-SA"/>
              </w:rPr>
              <w:t>(as prepared or ready-to-feed)</w:t>
            </w:r>
            <w:r w:rsidRPr="00617090">
              <w:rPr>
                <w:lang w:eastAsia="en-AU" w:bidi="ar-SA"/>
              </w:rPr>
              <w:t> </w:t>
            </w:r>
            <w:r w:rsidRPr="00617090">
              <w:rPr>
                <w:lang w:val="en-AU" w:eastAsia="en-AU" w:bidi="ar-SA"/>
              </w:rPr>
              <w:t> </w:t>
            </w:r>
          </w:p>
        </w:tc>
        <w:tc>
          <w:tcPr>
            <w:tcW w:w="2699" w:type="dxa"/>
            <w:shd w:val="clear" w:color="auto" w:fill="auto"/>
            <w:hideMark/>
          </w:tcPr>
          <w:p w14:paraId="366718C0" w14:textId="2E9F0B53" w:rsidR="00617090" w:rsidRPr="00617090" w:rsidRDefault="00617090" w:rsidP="00DA06FC">
            <w:pPr>
              <w:pStyle w:val="FSTableText"/>
              <w:jc w:val="right"/>
              <w:rPr>
                <w:rFonts w:ascii="Times New Roman" w:hAnsi="Times New Roman"/>
                <w:sz w:val="24"/>
                <w:lang w:val="en-AU" w:eastAsia="en-AU" w:bidi="ar-SA"/>
              </w:rPr>
            </w:pPr>
            <w:r w:rsidRPr="00617090">
              <w:rPr>
                <w:lang w:val="en-AU" w:eastAsia="en-AU" w:bidi="ar-SA"/>
              </w:rPr>
              <w:t>40</w:t>
            </w:r>
            <w:r w:rsidRPr="00617090">
              <w:rPr>
                <w:lang w:eastAsia="en-AU" w:bidi="ar-SA"/>
              </w:rPr>
              <w:t> </w:t>
            </w:r>
          </w:p>
        </w:tc>
        <w:tc>
          <w:tcPr>
            <w:tcW w:w="2656" w:type="dxa"/>
            <w:shd w:val="clear" w:color="auto" w:fill="auto"/>
            <w:hideMark/>
          </w:tcPr>
          <w:p w14:paraId="2C2D4C0D" w14:textId="705FB866" w:rsidR="00617090" w:rsidRPr="00617090" w:rsidRDefault="00617090" w:rsidP="00DA06FC">
            <w:pPr>
              <w:pStyle w:val="FSTableText"/>
              <w:jc w:val="right"/>
              <w:rPr>
                <w:rFonts w:ascii="Times New Roman" w:hAnsi="Times New Roman"/>
                <w:sz w:val="24"/>
                <w:lang w:val="en-AU" w:eastAsia="en-AU" w:bidi="ar-SA"/>
              </w:rPr>
            </w:pPr>
            <w:r w:rsidRPr="00617090">
              <w:rPr>
                <w:lang w:val="en-AU" w:eastAsia="en-AU" w:bidi="ar-SA"/>
              </w:rPr>
              <w:t>1109</w:t>
            </w:r>
          </w:p>
        </w:tc>
      </w:tr>
      <w:tr w:rsidR="00617090" w:rsidRPr="00617090" w14:paraId="7AEF81FC" w14:textId="77777777" w:rsidTr="00DD4989">
        <w:tc>
          <w:tcPr>
            <w:tcW w:w="3675" w:type="dxa"/>
            <w:shd w:val="clear" w:color="auto" w:fill="ECECEC"/>
            <w:hideMark/>
          </w:tcPr>
          <w:p w14:paraId="75661A44" w14:textId="2CBD05CA" w:rsidR="00617090" w:rsidRPr="00617090" w:rsidRDefault="00617090" w:rsidP="000B0E3F">
            <w:pPr>
              <w:pStyle w:val="FSTableText"/>
              <w:rPr>
                <w:rFonts w:ascii="Times New Roman" w:hAnsi="Times New Roman"/>
                <w:sz w:val="24"/>
                <w:lang w:val="en-AU" w:eastAsia="en-AU" w:bidi="ar-SA"/>
              </w:rPr>
            </w:pPr>
            <w:r w:rsidRPr="00617090">
              <w:rPr>
                <w:lang w:val="en-AU" w:eastAsia="en-AU" w:bidi="ar-SA"/>
              </w:rPr>
              <w:t>Infant formula for special dietary use </w:t>
            </w:r>
          </w:p>
          <w:p w14:paraId="690AAA52" w14:textId="77777777" w:rsidR="00617090" w:rsidRPr="00617090" w:rsidRDefault="00617090" w:rsidP="000B0E3F">
            <w:pPr>
              <w:pStyle w:val="FSTableText"/>
              <w:rPr>
                <w:rFonts w:ascii="Times New Roman" w:hAnsi="Times New Roman"/>
                <w:sz w:val="24"/>
                <w:lang w:val="en-AU" w:eastAsia="en-AU" w:bidi="ar-SA"/>
              </w:rPr>
            </w:pPr>
            <w:r w:rsidRPr="00617090">
              <w:rPr>
                <w:lang w:val="en-AU" w:eastAsia="en-AU" w:bidi="ar-SA"/>
              </w:rPr>
              <w:t>(as prepared or ready-to-feed)</w:t>
            </w:r>
            <w:r w:rsidRPr="00617090">
              <w:rPr>
                <w:lang w:eastAsia="en-AU" w:bidi="ar-SA"/>
              </w:rPr>
              <w:t> </w:t>
            </w:r>
            <w:r w:rsidRPr="00617090">
              <w:rPr>
                <w:lang w:val="en-AU" w:eastAsia="en-AU" w:bidi="ar-SA"/>
              </w:rPr>
              <w:t> </w:t>
            </w:r>
          </w:p>
        </w:tc>
        <w:tc>
          <w:tcPr>
            <w:tcW w:w="2699" w:type="dxa"/>
            <w:shd w:val="clear" w:color="auto" w:fill="ECECEC"/>
            <w:hideMark/>
          </w:tcPr>
          <w:p w14:paraId="5935034C" w14:textId="26824D0A" w:rsidR="00617090" w:rsidRPr="00617090" w:rsidRDefault="00617090" w:rsidP="00DA06FC">
            <w:pPr>
              <w:pStyle w:val="FSTableText"/>
              <w:jc w:val="right"/>
              <w:rPr>
                <w:rFonts w:ascii="Times New Roman" w:hAnsi="Times New Roman"/>
                <w:sz w:val="24"/>
                <w:lang w:val="en-AU" w:eastAsia="en-AU" w:bidi="ar-SA"/>
              </w:rPr>
            </w:pPr>
            <w:r w:rsidRPr="00617090">
              <w:rPr>
                <w:lang w:val="en-AU" w:eastAsia="en-AU" w:bidi="ar-SA"/>
              </w:rPr>
              <w:t>40</w:t>
            </w:r>
          </w:p>
        </w:tc>
        <w:tc>
          <w:tcPr>
            <w:tcW w:w="2656" w:type="dxa"/>
            <w:shd w:val="clear" w:color="auto" w:fill="ECECEC"/>
            <w:hideMark/>
          </w:tcPr>
          <w:p w14:paraId="61CC6FF2" w14:textId="23320396" w:rsidR="00617090" w:rsidRPr="00617090" w:rsidRDefault="00617090" w:rsidP="00DA06FC">
            <w:pPr>
              <w:pStyle w:val="FSTableText"/>
              <w:jc w:val="right"/>
              <w:rPr>
                <w:rFonts w:ascii="Times New Roman" w:hAnsi="Times New Roman"/>
                <w:sz w:val="24"/>
                <w:lang w:val="en-AU" w:eastAsia="en-AU" w:bidi="ar-SA"/>
              </w:rPr>
            </w:pPr>
            <w:r w:rsidRPr="00617090">
              <w:rPr>
                <w:lang w:val="en-AU" w:eastAsia="en-AU" w:bidi="ar-SA"/>
              </w:rPr>
              <w:t>1109</w:t>
            </w:r>
          </w:p>
        </w:tc>
      </w:tr>
    </w:tbl>
    <w:p w14:paraId="32B0A1BA" w14:textId="68337960" w:rsidR="00AC7056" w:rsidRPr="00AC7056" w:rsidRDefault="00617090" w:rsidP="0050585F">
      <w:pPr>
        <w:keepNext/>
        <w:keepLines/>
        <w:textAlignment w:val="baseline"/>
        <w:rPr>
          <w:rFonts w:cs="Arial"/>
          <w:bCs/>
          <w:sz w:val="16"/>
          <w:szCs w:val="16"/>
          <w:lang w:eastAsia="en-AU" w:bidi="ar-SA"/>
        </w:rPr>
      </w:pPr>
      <w:r w:rsidRPr="1CBF8A5C">
        <w:rPr>
          <w:rFonts w:cs="Arial"/>
          <w:b/>
          <w:bCs/>
          <w:sz w:val="16"/>
          <w:szCs w:val="16"/>
          <w:lang w:eastAsia="en-AU" w:bidi="ar-SA"/>
        </w:rPr>
        <w:t> </w:t>
      </w:r>
      <w:r w:rsidRPr="00AC7056">
        <w:rPr>
          <w:rFonts w:cs="Arial"/>
          <w:b/>
          <w:bCs/>
          <w:sz w:val="16"/>
          <w:szCs w:val="16"/>
          <w:vertAlign w:val="superscript"/>
          <w:lang w:eastAsia="en-AU" w:bidi="ar-SA"/>
        </w:rPr>
        <w:t>1</w:t>
      </w:r>
      <w:r w:rsidRPr="00AC7056">
        <w:rPr>
          <w:rFonts w:cs="Arial"/>
          <w:b/>
          <w:bCs/>
          <w:sz w:val="16"/>
          <w:szCs w:val="16"/>
          <w:lang w:eastAsia="en-AU" w:bidi="ar-SA"/>
        </w:rPr>
        <w:t xml:space="preserve"> </w:t>
      </w:r>
      <w:r w:rsidR="00AC7056">
        <w:rPr>
          <w:rFonts w:cs="Arial"/>
          <w:bCs/>
          <w:sz w:val="16"/>
          <w:szCs w:val="16"/>
          <w:lang w:eastAsia="en-AU" w:bidi="ar-SA"/>
        </w:rPr>
        <w:t>As requested by the applicant.</w:t>
      </w:r>
    </w:p>
    <w:p w14:paraId="515A900A" w14:textId="404B5F0F" w:rsidR="00617090" w:rsidRPr="00617090" w:rsidRDefault="00AC7056" w:rsidP="0050585F">
      <w:pPr>
        <w:keepNext/>
        <w:keepLines/>
        <w:textAlignment w:val="baseline"/>
        <w:rPr>
          <w:rFonts w:ascii="Segoe UI" w:hAnsi="Segoe UI" w:cs="Segoe UI"/>
          <w:sz w:val="18"/>
          <w:szCs w:val="18"/>
          <w:lang w:val="en-AU" w:eastAsia="en-AU" w:bidi="ar-SA"/>
        </w:rPr>
      </w:pPr>
      <w:r>
        <w:rPr>
          <w:rFonts w:cs="Arial"/>
          <w:b/>
          <w:bCs/>
          <w:sz w:val="16"/>
          <w:szCs w:val="16"/>
          <w:vertAlign w:val="superscript"/>
          <w:lang w:eastAsia="en-AU" w:bidi="ar-SA"/>
        </w:rPr>
        <w:t>2</w:t>
      </w:r>
      <w:r w:rsidR="00617090" w:rsidRPr="00F02419">
        <w:rPr>
          <w:rFonts w:cs="Arial"/>
          <w:b/>
          <w:bCs/>
          <w:sz w:val="16"/>
          <w:szCs w:val="16"/>
          <w:vertAlign w:val="superscript"/>
          <w:lang w:eastAsia="en-AU" w:bidi="ar-SA"/>
        </w:rPr>
        <w:t xml:space="preserve"> </w:t>
      </w:r>
      <w:r w:rsidR="00617090" w:rsidRPr="00F02419">
        <w:rPr>
          <w:rFonts w:cs="Arial"/>
          <w:sz w:val="16"/>
          <w:szCs w:val="16"/>
          <w:lang w:eastAsia="en-AU" w:bidi="ar-SA"/>
        </w:rPr>
        <w:t>T</w:t>
      </w:r>
      <w:r w:rsidR="00617090" w:rsidRPr="00617090">
        <w:rPr>
          <w:rFonts w:cs="Arial"/>
          <w:sz w:val="16"/>
          <w:szCs w:val="16"/>
          <w:lang w:eastAsia="en-AU" w:bidi="ar-SA"/>
        </w:rPr>
        <w:t xml:space="preserve">he value is calculated </w:t>
      </w:r>
      <w:r w:rsidR="00F02419">
        <w:rPr>
          <w:rFonts w:cs="Arial"/>
          <w:sz w:val="16"/>
          <w:szCs w:val="16"/>
          <w:lang w:eastAsia="en-AU" w:bidi="ar-SA"/>
        </w:rPr>
        <w:t xml:space="preserve">using </w:t>
      </w:r>
      <w:r w:rsidR="00617090" w:rsidRPr="00617090">
        <w:rPr>
          <w:rFonts w:cs="Arial"/>
          <w:sz w:val="16"/>
          <w:szCs w:val="16"/>
          <w:lang w:eastAsia="en-AU" w:bidi="ar-SA"/>
        </w:rPr>
        <w:t xml:space="preserve">the proposed concentration of </w:t>
      </w:r>
      <w:proofErr w:type="spellStart"/>
      <w:r w:rsidR="00617090" w:rsidRPr="00617090">
        <w:rPr>
          <w:rFonts w:cs="Arial"/>
          <w:sz w:val="16"/>
          <w:szCs w:val="16"/>
          <w:lang w:eastAsia="en-AU" w:bidi="ar-SA"/>
        </w:rPr>
        <w:t>bLf</w:t>
      </w:r>
      <w:proofErr w:type="spellEnd"/>
      <w:r w:rsidR="00617090" w:rsidRPr="00617090">
        <w:rPr>
          <w:rFonts w:cs="Arial"/>
          <w:sz w:val="16"/>
          <w:szCs w:val="16"/>
          <w:lang w:eastAsia="en-AU" w:bidi="ar-SA"/>
        </w:rPr>
        <w:t xml:space="preserve"> by applicant (40 mg/</w:t>
      </w:r>
      <w:r w:rsidR="00CB2098">
        <w:rPr>
          <w:rFonts w:cs="Arial"/>
          <w:sz w:val="16"/>
          <w:szCs w:val="16"/>
          <w:lang w:eastAsia="en-AU" w:bidi="ar-SA"/>
        </w:rPr>
        <w:t>100 kJ</w:t>
      </w:r>
      <w:r w:rsidR="00617090" w:rsidRPr="00617090">
        <w:rPr>
          <w:rFonts w:cs="Arial"/>
          <w:sz w:val="16"/>
          <w:szCs w:val="16"/>
          <w:lang w:eastAsia="en-AU" w:bidi="ar-SA"/>
        </w:rPr>
        <w:t xml:space="preserve">), </w:t>
      </w:r>
      <w:r w:rsidR="00F02419">
        <w:rPr>
          <w:rFonts w:cs="Arial"/>
          <w:sz w:val="16"/>
          <w:szCs w:val="16"/>
          <w:lang w:eastAsia="en-AU" w:bidi="ar-SA"/>
        </w:rPr>
        <w:t xml:space="preserve">the </w:t>
      </w:r>
      <w:r w:rsidR="00617090" w:rsidRPr="00617090">
        <w:rPr>
          <w:rFonts w:cs="Arial"/>
          <w:sz w:val="16"/>
          <w:szCs w:val="16"/>
          <w:lang w:eastAsia="en-AU" w:bidi="ar-SA"/>
        </w:rPr>
        <w:t>energy content of infant</w:t>
      </w:r>
      <w:r w:rsidR="00174539">
        <w:rPr>
          <w:rFonts w:cs="Arial"/>
          <w:sz w:val="16"/>
          <w:szCs w:val="16"/>
          <w:lang w:eastAsia="en-AU" w:bidi="ar-SA"/>
        </w:rPr>
        <w:t xml:space="preserve"> formula, 6-12 months, prepared with water</w:t>
      </w:r>
      <w:r w:rsidR="00617090" w:rsidRPr="00617090">
        <w:rPr>
          <w:rFonts w:cs="Arial"/>
          <w:sz w:val="16"/>
          <w:szCs w:val="16"/>
          <w:lang w:eastAsia="en-AU" w:bidi="ar-SA"/>
        </w:rPr>
        <w:t xml:space="preserve"> (264 kJ/100 g)</w:t>
      </w:r>
      <w:r w:rsidR="006E0A80">
        <w:rPr>
          <w:rFonts w:cs="Arial"/>
          <w:sz w:val="16"/>
          <w:szCs w:val="16"/>
          <w:lang w:eastAsia="en-AU" w:bidi="ar-SA"/>
        </w:rPr>
        <w:t xml:space="preserve"> (FSANZ 2016)</w:t>
      </w:r>
      <w:r w:rsidR="00617090" w:rsidRPr="00617090">
        <w:rPr>
          <w:rFonts w:cs="Arial"/>
          <w:sz w:val="16"/>
          <w:szCs w:val="16"/>
          <w:lang w:eastAsia="en-AU" w:bidi="ar-SA"/>
        </w:rPr>
        <w:t xml:space="preserve"> and the density of infant formula (1 L prepared infant/follow on formula is equivalent to 1</w:t>
      </w:r>
      <w:r w:rsidR="000C35BC">
        <w:rPr>
          <w:rFonts w:cs="Arial"/>
          <w:sz w:val="16"/>
          <w:szCs w:val="16"/>
          <w:lang w:eastAsia="en-AU" w:bidi="ar-SA"/>
        </w:rPr>
        <w:t>,</w:t>
      </w:r>
      <w:r w:rsidR="00617090" w:rsidRPr="00617090">
        <w:rPr>
          <w:rFonts w:cs="Arial"/>
          <w:sz w:val="16"/>
          <w:szCs w:val="16"/>
          <w:lang w:eastAsia="en-AU" w:bidi="ar-SA"/>
        </w:rPr>
        <w:t>050 g</w:t>
      </w:r>
      <w:r w:rsidR="00617090" w:rsidRPr="1CBF8A5C">
        <w:rPr>
          <w:rFonts w:cs="Arial"/>
          <w:sz w:val="16"/>
          <w:szCs w:val="16"/>
          <w:lang w:eastAsia="en-AU" w:bidi="ar-SA"/>
        </w:rPr>
        <w:t>).</w:t>
      </w:r>
    </w:p>
    <w:p w14:paraId="3E944602" w14:textId="70D7978E" w:rsidR="00617090" w:rsidRPr="0082002F" w:rsidRDefault="00912D35" w:rsidP="00F02419">
      <w:pPr>
        <w:pStyle w:val="Heading5"/>
        <w:rPr>
          <w:lang w:eastAsia="en-AU"/>
        </w:rPr>
      </w:pPr>
      <w:r>
        <w:rPr>
          <w:lang w:eastAsia="en-AU"/>
        </w:rPr>
        <w:t xml:space="preserve">3.3.2.2.2 </w:t>
      </w:r>
      <w:r>
        <w:rPr>
          <w:lang w:eastAsia="en-AU"/>
        </w:rPr>
        <w:tab/>
      </w:r>
      <w:r w:rsidR="00617090" w:rsidRPr="00617090">
        <w:rPr>
          <w:lang w:eastAsia="en-AU"/>
        </w:rPr>
        <w:t xml:space="preserve">Concentrations of </w:t>
      </w:r>
      <w:proofErr w:type="spellStart"/>
      <w:r w:rsidR="00617090" w:rsidRPr="00617090">
        <w:rPr>
          <w:lang w:eastAsia="en-AU"/>
        </w:rPr>
        <w:t>hLf</w:t>
      </w:r>
      <w:proofErr w:type="spellEnd"/>
      <w:r w:rsidR="00617090" w:rsidRPr="00617090">
        <w:rPr>
          <w:lang w:eastAsia="en-AU"/>
        </w:rPr>
        <w:t xml:space="preserve"> in mature human milk</w:t>
      </w:r>
    </w:p>
    <w:p w14:paraId="1C50A24C" w14:textId="2467BF50" w:rsidR="005D1E68" w:rsidRDefault="09B886AD" w:rsidP="00617090">
      <w:pPr>
        <w:widowControl/>
        <w:textAlignment w:val="baseline"/>
        <w:rPr>
          <w:rFonts w:cs="Arial"/>
          <w:lang w:eastAsia="en-AU" w:bidi="ar-SA"/>
        </w:rPr>
      </w:pPr>
      <w:r w:rsidRPr="29A90341">
        <w:rPr>
          <w:rFonts w:cs="Arial"/>
          <w:lang w:eastAsia="en-AU" w:bidi="ar-SA"/>
        </w:rPr>
        <w:t xml:space="preserve">The applicant reported </w:t>
      </w:r>
      <w:r w:rsidR="59873C56" w:rsidRPr="29A90341">
        <w:rPr>
          <w:rFonts w:cs="Arial"/>
          <w:lang w:eastAsia="en-AU" w:bidi="ar-SA"/>
        </w:rPr>
        <w:t xml:space="preserve">a range of concentrations </w:t>
      </w:r>
      <w:r w:rsidRPr="29A90341">
        <w:rPr>
          <w:rFonts w:cs="Arial"/>
          <w:lang w:eastAsia="en-AU" w:bidi="ar-SA"/>
        </w:rPr>
        <w:t xml:space="preserve">of </w:t>
      </w:r>
      <w:proofErr w:type="spellStart"/>
      <w:r w:rsidRPr="29A90341">
        <w:rPr>
          <w:rFonts w:cs="Arial"/>
          <w:lang w:eastAsia="en-AU" w:bidi="ar-SA"/>
        </w:rPr>
        <w:t>hLf</w:t>
      </w:r>
      <w:proofErr w:type="spellEnd"/>
      <w:r w:rsidRPr="29A90341">
        <w:rPr>
          <w:rFonts w:cs="Arial"/>
          <w:lang w:eastAsia="en-AU" w:bidi="ar-SA"/>
        </w:rPr>
        <w:t xml:space="preserve"> in human milk from </w:t>
      </w:r>
      <w:r w:rsidR="4F2DF515" w:rsidRPr="29A90341">
        <w:rPr>
          <w:rFonts w:cs="Arial"/>
          <w:lang w:eastAsia="en-AU" w:bidi="ar-SA"/>
        </w:rPr>
        <w:t xml:space="preserve">published Australian and international </w:t>
      </w:r>
      <w:r w:rsidR="25BF4B67" w:rsidRPr="29A90341">
        <w:rPr>
          <w:rFonts w:cs="Arial"/>
          <w:lang w:eastAsia="en-AU" w:bidi="ar-SA"/>
        </w:rPr>
        <w:t>studies</w:t>
      </w:r>
      <w:r w:rsidR="62803BE1" w:rsidRPr="29A90341">
        <w:rPr>
          <w:rFonts w:cs="Arial"/>
          <w:lang w:eastAsia="en-AU" w:bidi="ar-SA"/>
        </w:rPr>
        <w:t>, noting that concentrations var</w:t>
      </w:r>
      <w:r w:rsidR="6474411B" w:rsidRPr="29A90341">
        <w:rPr>
          <w:rFonts w:cs="Arial"/>
          <w:lang w:eastAsia="en-AU" w:bidi="ar-SA"/>
        </w:rPr>
        <w:t>y</w:t>
      </w:r>
      <w:r w:rsidR="62803BE1" w:rsidRPr="29A90341">
        <w:rPr>
          <w:rFonts w:cs="Arial"/>
          <w:lang w:eastAsia="en-AU" w:bidi="ar-SA"/>
        </w:rPr>
        <w:t xml:space="preserve"> depending </w:t>
      </w:r>
      <w:r w:rsidR="76629039" w:rsidRPr="29A90341">
        <w:rPr>
          <w:rFonts w:cs="Arial"/>
          <w:lang w:eastAsia="en-AU" w:bidi="ar-SA"/>
        </w:rPr>
        <w:t>o</w:t>
      </w:r>
      <w:r w:rsidR="62803BE1" w:rsidRPr="29A90341">
        <w:rPr>
          <w:rFonts w:cs="Arial"/>
          <w:lang w:eastAsia="en-AU" w:bidi="ar-SA"/>
        </w:rPr>
        <w:t>n</w:t>
      </w:r>
      <w:r w:rsidR="76629039" w:rsidRPr="29A90341">
        <w:rPr>
          <w:rFonts w:cs="Arial"/>
          <w:lang w:eastAsia="en-AU" w:bidi="ar-SA"/>
        </w:rPr>
        <w:t xml:space="preserve"> </w:t>
      </w:r>
      <w:r w:rsidR="002D3F47">
        <w:rPr>
          <w:rFonts w:cs="Arial"/>
          <w:lang w:eastAsia="en-AU" w:bidi="ar-SA"/>
        </w:rPr>
        <w:t xml:space="preserve">a number of factors, </w:t>
      </w:r>
      <w:r w:rsidR="08363083" w:rsidRPr="6DB8ED39">
        <w:rPr>
          <w:rFonts w:cs="Arial"/>
          <w:lang w:eastAsia="en-AU" w:bidi="ar-SA"/>
        </w:rPr>
        <w:t>primarily</w:t>
      </w:r>
      <w:r w:rsidR="002D3F47">
        <w:rPr>
          <w:rFonts w:cs="Arial"/>
          <w:lang w:eastAsia="en-AU" w:bidi="ar-SA"/>
        </w:rPr>
        <w:t xml:space="preserve"> </w:t>
      </w:r>
      <w:r w:rsidR="76629039" w:rsidRPr="29A90341">
        <w:rPr>
          <w:rFonts w:cs="Arial"/>
          <w:lang w:eastAsia="en-AU" w:bidi="ar-SA"/>
        </w:rPr>
        <w:t>the stage of lactation</w:t>
      </w:r>
      <w:r w:rsidR="6D76BDF1" w:rsidRPr="29A90341">
        <w:rPr>
          <w:rFonts w:cs="Arial"/>
          <w:lang w:eastAsia="en-AU" w:bidi="ar-SA"/>
        </w:rPr>
        <w:t xml:space="preserve"> and geography</w:t>
      </w:r>
      <w:r w:rsidR="1DADC6A1" w:rsidRPr="29A90341">
        <w:rPr>
          <w:rFonts w:cs="Arial"/>
          <w:lang w:eastAsia="en-AU" w:bidi="ar-SA"/>
        </w:rPr>
        <w:t>.</w:t>
      </w:r>
      <w:r w:rsidR="25BF4B67" w:rsidRPr="29A90341">
        <w:rPr>
          <w:rFonts w:cs="Arial"/>
          <w:lang w:eastAsia="en-AU" w:bidi="ar-SA"/>
        </w:rPr>
        <w:t xml:space="preserve"> In particular, the applicant highlighted </w:t>
      </w:r>
      <w:r w:rsidR="51449A37" w:rsidRPr="29A90341">
        <w:rPr>
          <w:rFonts w:cs="Arial"/>
          <w:lang w:eastAsia="en-AU" w:bidi="ar-SA"/>
        </w:rPr>
        <w:t>the</w:t>
      </w:r>
      <w:r w:rsidR="08A6CDF4" w:rsidRPr="29A90341">
        <w:rPr>
          <w:rFonts w:cs="Arial"/>
          <w:lang w:eastAsia="en-AU" w:bidi="ar-SA"/>
        </w:rPr>
        <w:t xml:space="preserve"> mean</w:t>
      </w:r>
      <w:r w:rsidR="345AAEAF" w:rsidRPr="29A90341">
        <w:rPr>
          <w:rFonts w:cs="Arial"/>
          <w:lang w:eastAsia="en-AU" w:bidi="ar-SA"/>
        </w:rPr>
        <w:t xml:space="preserve"> </w:t>
      </w:r>
      <w:proofErr w:type="spellStart"/>
      <w:r w:rsidR="345AAEAF" w:rsidRPr="29A90341">
        <w:rPr>
          <w:rFonts w:cs="Arial"/>
          <w:lang w:eastAsia="en-AU" w:bidi="ar-SA"/>
        </w:rPr>
        <w:t>hLf</w:t>
      </w:r>
      <w:proofErr w:type="spellEnd"/>
      <w:r w:rsidR="51449A37" w:rsidRPr="29A90341">
        <w:rPr>
          <w:rFonts w:cs="Arial"/>
          <w:lang w:eastAsia="en-AU" w:bidi="ar-SA"/>
        </w:rPr>
        <w:t xml:space="preserve"> </w:t>
      </w:r>
      <w:r w:rsidR="37CF786B" w:rsidRPr="29A90341">
        <w:rPr>
          <w:rFonts w:cs="Arial"/>
          <w:lang w:eastAsia="en-AU" w:bidi="ar-SA"/>
        </w:rPr>
        <w:t xml:space="preserve">concentrations in the human milk of </w:t>
      </w:r>
      <w:r w:rsidR="51449A37" w:rsidRPr="29A90341">
        <w:rPr>
          <w:rFonts w:cs="Arial"/>
          <w:lang w:eastAsia="en-AU" w:bidi="ar-SA"/>
        </w:rPr>
        <w:t>Australian Aboriginal and Caucasian women</w:t>
      </w:r>
      <w:r w:rsidR="08A6CDF4" w:rsidRPr="29A90341">
        <w:rPr>
          <w:rFonts w:cs="Arial"/>
          <w:lang w:eastAsia="en-AU" w:bidi="ar-SA"/>
        </w:rPr>
        <w:t xml:space="preserve">, which were </w:t>
      </w:r>
      <w:r w:rsidR="512CC7AD" w:rsidRPr="29A90341">
        <w:rPr>
          <w:rFonts w:cs="Arial"/>
          <w:lang w:eastAsia="en-AU" w:bidi="ar-SA"/>
        </w:rPr>
        <w:t xml:space="preserve">categorised </w:t>
      </w:r>
      <w:r w:rsidR="08A6CDF4" w:rsidRPr="29A90341">
        <w:rPr>
          <w:rFonts w:cs="Arial"/>
          <w:lang w:eastAsia="en-AU" w:bidi="ar-SA"/>
        </w:rPr>
        <w:t xml:space="preserve">by the </w:t>
      </w:r>
      <w:r w:rsidR="3CBB84F4" w:rsidRPr="29A90341">
        <w:rPr>
          <w:rFonts w:cs="Arial"/>
          <w:lang w:eastAsia="en-AU" w:bidi="ar-SA"/>
        </w:rPr>
        <w:t>author</w:t>
      </w:r>
      <w:r w:rsidR="0BA374BD" w:rsidRPr="29A90341">
        <w:rPr>
          <w:rFonts w:cs="Arial"/>
          <w:lang w:eastAsia="en-AU" w:bidi="ar-SA"/>
        </w:rPr>
        <w:t xml:space="preserve"> (Houghton et al. 1985)</w:t>
      </w:r>
      <w:r w:rsidR="3CBB84F4" w:rsidRPr="29A90341">
        <w:rPr>
          <w:rFonts w:cs="Arial"/>
          <w:lang w:eastAsia="en-AU" w:bidi="ar-SA"/>
        </w:rPr>
        <w:t xml:space="preserve"> </w:t>
      </w:r>
      <w:r w:rsidR="0BA374BD" w:rsidRPr="29A90341">
        <w:rPr>
          <w:rFonts w:cs="Arial"/>
          <w:lang w:eastAsia="en-AU" w:bidi="ar-SA"/>
        </w:rPr>
        <w:t xml:space="preserve">as per the </w:t>
      </w:r>
      <w:r w:rsidR="08A6CDF4" w:rsidRPr="29A90341">
        <w:rPr>
          <w:rFonts w:cs="Arial"/>
          <w:lang w:eastAsia="en-AU" w:bidi="ar-SA"/>
        </w:rPr>
        <w:t>number of days post-partum</w:t>
      </w:r>
      <w:r w:rsidR="69B4B85D" w:rsidRPr="29A90341">
        <w:rPr>
          <w:rFonts w:cs="Arial"/>
          <w:lang w:eastAsia="en-AU" w:bidi="ar-SA"/>
        </w:rPr>
        <w:t>, and by</w:t>
      </w:r>
      <w:r w:rsidR="3F4A7981" w:rsidRPr="29A90341">
        <w:rPr>
          <w:rFonts w:cs="Arial"/>
          <w:lang w:eastAsia="en-AU" w:bidi="ar-SA"/>
        </w:rPr>
        <w:t xml:space="preserve"> the</w:t>
      </w:r>
      <w:r w:rsidR="69B4B85D" w:rsidRPr="29A90341">
        <w:rPr>
          <w:rFonts w:cs="Arial"/>
          <w:lang w:eastAsia="en-AU" w:bidi="ar-SA"/>
        </w:rPr>
        <w:t xml:space="preserve"> percentage</w:t>
      </w:r>
      <w:r w:rsidR="3F4A7981" w:rsidRPr="29A90341">
        <w:rPr>
          <w:rFonts w:cs="Arial"/>
          <w:lang w:eastAsia="en-AU" w:bidi="ar-SA"/>
        </w:rPr>
        <w:t xml:space="preserve"> of the mother’s</w:t>
      </w:r>
      <w:r w:rsidR="69B4B85D" w:rsidRPr="29A90341">
        <w:rPr>
          <w:rFonts w:cs="Arial"/>
          <w:lang w:eastAsia="en-AU" w:bidi="ar-SA"/>
        </w:rPr>
        <w:t xml:space="preserve"> weight for height</w:t>
      </w:r>
      <w:r w:rsidR="70F08B3E" w:rsidRPr="29A90341">
        <w:rPr>
          <w:rFonts w:cs="Arial"/>
          <w:lang w:eastAsia="en-AU" w:bidi="ar-SA"/>
        </w:rPr>
        <w:t>.</w:t>
      </w:r>
      <w:r w:rsidR="096B76B7" w:rsidRPr="29A90341">
        <w:rPr>
          <w:rFonts w:cs="Arial"/>
          <w:lang w:eastAsia="en-AU" w:bidi="ar-SA"/>
        </w:rPr>
        <w:t xml:space="preserve"> For Australian women with a weight for height ≥ 90%, mean </w:t>
      </w:r>
      <w:proofErr w:type="spellStart"/>
      <w:r w:rsidR="096B76B7" w:rsidRPr="29A90341">
        <w:rPr>
          <w:rFonts w:cs="Arial"/>
          <w:lang w:eastAsia="en-AU" w:bidi="ar-SA"/>
        </w:rPr>
        <w:t>hLf</w:t>
      </w:r>
      <w:proofErr w:type="spellEnd"/>
      <w:r w:rsidR="096B76B7" w:rsidRPr="29A90341">
        <w:rPr>
          <w:rFonts w:cs="Arial"/>
          <w:lang w:eastAsia="en-AU" w:bidi="ar-SA"/>
        </w:rPr>
        <w:t xml:space="preserve"> in mature milk (≥ 15 days post-partum) </w:t>
      </w:r>
      <w:r w:rsidR="54CA6AB1" w:rsidRPr="29A90341">
        <w:rPr>
          <w:rFonts w:cs="Arial"/>
          <w:lang w:eastAsia="en-AU" w:bidi="ar-SA"/>
        </w:rPr>
        <w:t>wa</w:t>
      </w:r>
      <w:r w:rsidR="096B76B7" w:rsidRPr="29A90341">
        <w:rPr>
          <w:rFonts w:cs="Arial"/>
          <w:lang w:eastAsia="en-AU" w:bidi="ar-SA"/>
        </w:rPr>
        <w:t xml:space="preserve">s </w:t>
      </w:r>
      <w:r w:rsidR="6520DF58" w:rsidRPr="29A90341">
        <w:rPr>
          <w:rFonts w:cs="Arial"/>
          <w:lang w:eastAsia="en-AU" w:bidi="ar-SA"/>
        </w:rPr>
        <w:t xml:space="preserve">reported as </w:t>
      </w:r>
      <w:r w:rsidR="5B2937E9" w:rsidRPr="29A90341">
        <w:rPr>
          <w:rFonts w:cs="Arial"/>
          <w:lang w:eastAsia="en-AU" w:bidi="ar-SA"/>
        </w:rPr>
        <w:t>1230</w:t>
      </w:r>
      <w:r w:rsidR="002D3F47">
        <w:rPr>
          <w:rFonts w:cs="Arial"/>
          <w:lang w:eastAsia="en-AU" w:bidi="ar-SA"/>
        </w:rPr>
        <w:t> </w:t>
      </w:r>
      <w:r w:rsidR="5070B366" w:rsidRPr="29A90341">
        <w:rPr>
          <w:rFonts w:cs="Arial"/>
          <w:lang w:eastAsia="en-AU" w:bidi="ar-SA"/>
        </w:rPr>
        <w:t>m</w:t>
      </w:r>
      <w:r w:rsidR="096B76B7" w:rsidRPr="29A90341">
        <w:rPr>
          <w:rFonts w:cs="Arial"/>
          <w:lang w:eastAsia="en-AU" w:bidi="ar-SA"/>
        </w:rPr>
        <w:t>g</w:t>
      </w:r>
      <w:r w:rsidR="5070B366" w:rsidRPr="29A90341">
        <w:rPr>
          <w:rFonts w:cs="Arial"/>
          <w:lang w:eastAsia="en-AU" w:bidi="ar-SA"/>
        </w:rPr>
        <w:t>/L</w:t>
      </w:r>
      <w:r w:rsidR="096B76B7" w:rsidRPr="29A90341">
        <w:rPr>
          <w:rFonts w:cs="Arial"/>
          <w:lang w:eastAsia="en-AU" w:bidi="ar-SA"/>
        </w:rPr>
        <w:t xml:space="preserve"> </w:t>
      </w:r>
      <w:r w:rsidR="541D7BFC" w:rsidRPr="29A90341">
        <w:rPr>
          <w:rFonts w:cs="Arial"/>
          <w:lang w:eastAsia="en-AU" w:bidi="ar-SA"/>
        </w:rPr>
        <w:t>for Aboriginal women</w:t>
      </w:r>
      <w:r w:rsidR="54CA6AB1" w:rsidRPr="29A90341">
        <w:rPr>
          <w:rFonts w:cs="Arial"/>
          <w:lang w:eastAsia="en-AU" w:bidi="ar-SA"/>
        </w:rPr>
        <w:t xml:space="preserve"> (n=8)</w:t>
      </w:r>
      <w:r w:rsidR="541D7BFC" w:rsidRPr="29A90341">
        <w:rPr>
          <w:rFonts w:cs="Arial"/>
          <w:lang w:eastAsia="en-AU" w:bidi="ar-SA"/>
        </w:rPr>
        <w:t xml:space="preserve"> </w:t>
      </w:r>
      <w:r w:rsidR="096B76B7" w:rsidRPr="29A90341">
        <w:rPr>
          <w:rFonts w:cs="Arial"/>
          <w:lang w:eastAsia="en-AU" w:bidi="ar-SA"/>
        </w:rPr>
        <w:t xml:space="preserve">and </w:t>
      </w:r>
      <w:r w:rsidR="41D07194" w:rsidRPr="29A90341">
        <w:rPr>
          <w:rFonts w:cs="Arial"/>
          <w:lang w:eastAsia="en-AU" w:bidi="ar-SA"/>
        </w:rPr>
        <w:t>1420</w:t>
      </w:r>
      <w:r w:rsidR="541D7BFC" w:rsidRPr="29A90341">
        <w:rPr>
          <w:rFonts w:cs="Arial"/>
          <w:lang w:eastAsia="en-AU" w:bidi="ar-SA"/>
        </w:rPr>
        <w:t xml:space="preserve"> </w:t>
      </w:r>
      <w:r w:rsidR="5070B366" w:rsidRPr="29A90341">
        <w:rPr>
          <w:rFonts w:cs="Arial"/>
          <w:lang w:eastAsia="en-AU" w:bidi="ar-SA"/>
        </w:rPr>
        <w:t>m</w:t>
      </w:r>
      <w:r w:rsidR="541D7BFC" w:rsidRPr="29A90341">
        <w:rPr>
          <w:rFonts w:cs="Arial"/>
          <w:lang w:eastAsia="en-AU" w:bidi="ar-SA"/>
        </w:rPr>
        <w:t xml:space="preserve">g/L </w:t>
      </w:r>
      <w:r w:rsidR="096B76B7" w:rsidRPr="29A90341">
        <w:rPr>
          <w:rFonts w:cs="Arial"/>
          <w:lang w:eastAsia="en-AU" w:bidi="ar-SA"/>
        </w:rPr>
        <w:t>for Caucasian women</w:t>
      </w:r>
      <w:r w:rsidR="54CA6AB1" w:rsidRPr="29A90341">
        <w:rPr>
          <w:rFonts w:cs="Arial"/>
          <w:lang w:eastAsia="en-AU" w:bidi="ar-SA"/>
        </w:rPr>
        <w:t xml:space="preserve"> (n=16)</w:t>
      </w:r>
      <w:r w:rsidR="541D7BFC" w:rsidRPr="29A90341">
        <w:rPr>
          <w:rFonts w:cs="Arial"/>
          <w:lang w:eastAsia="en-AU" w:bidi="ar-SA"/>
        </w:rPr>
        <w:t xml:space="preserve"> (Houghton </w:t>
      </w:r>
      <w:r w:rsidR="725E1BB1" w:rsidRPr="29A90341">
        <w:rPr>
          <w:rFonts w:cs="Arial"/>
          <w:lang w:eastAsia="en-AU" w:bidi="ar-SA"/>
        </w:rPr>
        <w:t>et al</w:t>
      </w:r>
      <w:r w:rsidR="51B15ACF" w:rsidRPr="29A90341">
        <w:rPr>
          <w:rFonts w:cs="Arial"/>
          <w:lang w:eastAsia="en-AU" w:bidi="ar-SA"/>
        </w:rPr>
        <w:t>.</w:t>
      </w:r>
      <w:r w:rsidR="725E1BB1" w:rsidRPr="29A90341">
        <w:rPr>
          <w:rFonts w:cs="Arial"/>
          <w:lang w:eastAsia="en-AU" w:bidi="ar-SA"/>
        </w:rPr>
        <w:t xml:space="preserve"> </w:t>
      </w:r>
      <w:r w:rsidR="541D7BFC" w:rsidRPr="29A90341">
        <w:rPr>
          <w:rFonts w:cs="Arial"/>
          <w:lang w:eastAsia="en-AU" w:bidi="ar-SA"/>
        </w:rPr>
        <w:t>1985).</w:t>
      </w:r>
    </w:p>
    <w:p w14:paraId="13A16B7F" w14:textId="00B6EAFF" w:rsidR="00181075" w:rsidRDefault="00181075" w:rsidP="00617090">
      <w:pPr>
        <w:widowControl/>
        <w:textAlignment w:val="baseline"/>
        <w:rPr>
          <w:rFonts w:cs="Arial"/>
          <w:lang w:eastAsia="en-AU" w:bidi="ar-SA"/>
        </w:rPr>
      </w:pPr>
    </w:p>
    <w:p w14:paraId="2DBB7E9F" w14:textId="4B30A8AC" w:rsidR="00617090" w:rsidRPr="0082002F" w:rsidRDefault="00771964" w:rsidP="00617090">
      <w:pPr>
        <w:widowControl/>
        <w:textAlignment w:val="baseline"/>
        <w:rPr>
          <w:rFonts w:cs="Arial"/>
          <w:lang w:eastAsia="en-AU" w:bidi="ar-SA"/>
        </w:rPr>
      </w:pPr>
      <w:r w:rsidRPr="1C95CCE8">
        <w:rPr>
          <w:rFonts w:cs="Arial"/>
          <w:lang w:eastAsia="en-AU" w:bidi="ar-SA"/>
        </w:rPr>
        <w:t xml:space="preserve">In addition to the </w:t>
      </w:r>
      <w:r w:rsidR="005D17AD" w:rsidRPr="1C95CCE8">
        <w:rPr>
          <w:rFonts w:cs="Arial"/>
          <w:lang w:eastAsia="en-AU" w:bidi="ar-SA"/>
        </w:rPr>
        <w:t>studies cited by the applicant</w:t>
      </w:r>
      <w:r w:rsidRPr="1C95CCE8">
        <w:rPr>
          <w:rFonts w:cs="Arial"/>
          <w:lang w:eastAsia="en-AU" w:bidi="ar-SA"/>
        </w:rPr>
        <w:t xml:space="preserve">, </w:t>
      </w:r>
      <w:r w:rsidR="00617090" w:rsidRPr="1C95CCE8">
        <w:rPr>
          <w:rFonts w:cs="Arial"/>
          <w:lang w:eastAsia="en-AU" w:bidi="ar-SA"/>
        </w:rPr>
        <w:t xml:space="preserve">FSANZ </w:t>
      </w:r>
      <w:r w:rsidR="00D53E4B" w:rsidRPr="1C95CCE8">
        <w:rPr>
          <w:rFonts w:cs="Arial"/>
          <w:lang w:eastAsia="en-AU" w:bidi="ar-SA"/>
        </w:rPr>
        <w:t>conducted a search of</w:t>
      </w:r>
      <w:r w:rsidR="00617090" w:rsidRPr="1C95CCE8">
        <w:rPr>
          <w:rFonts w:cs="Arial"/>
          <w:lang w:eastAsia="en-AU" w:bidi="ar-SA"/>
        </w:rPr>
        <w:t xml:space="preserve"> the literature and </w:t>
      </w:r>
      <w:r w:rsidR="008A49C7" w:rsidRPr="1C95CCE8">
        <w:rPr>
          <w:rFonts w:cs="Arial"/>
          <w:lang w:eastAsia="en-AU" w:bidi="ar-SA"/>
        </w:rPr>
        <w:t>confirmed</w:t>
      </w:r>
      <w:r w:rsidR="00617090" w:rsidRPr="1C95CCE8">
        <w:rPr>
          <w:rFonts w:cs="Arial"/>
          <w:lang w:eastAsia="en-AU" w:bidi="ar-SA"/>
        </w:rPr>
        <w:t xml:space="preserve"> a range of mean </w:t>
      </w:r>
      <w:proofErr w:type="spellStart"/>
      <w:r w:rsidR="00617090" w:rsidRPr="1C95CCE8">
        <w:rPr>
          <w:rFonts w:cs="Arial"/>
          <w:lang w:eastAsia="en-AU" w:bidi="ar-SA"/>
        </w:rPr>
        <w:t>hLf</w:t>
      </w:r>
      <w:proofErr w:type="spellEnd"/>
      <w:r w:rsidR="00617090" w:rsidRPr="1C95CCE8">
        <w:rPr>
          <w:rFonts w:cs="Arial"/>
          <w:lang w:eastAsia="en-AU" w:bidi="ar-SA"/>
        </w:rPr>
        <w:t xml:space="preserve"> values in </w:t>
      </w:r>
      <w:r w:rsidR="00904E4F" w:rsidRPr="1C95CCE8">
        <w:rPr>
          <w:rFonts w:cs="Arial"/>
          <w:lang w:eastAsia="en-AU" w:bidi="ar-SA"/>
        </w:rPr>
        <w:t xml:space="preserve">mature </w:t>
      </w:r>
      <w:r w:rsidR="6F9C07CD" w:rsidRPr="7B6CE6C8">
        <w:rPr>
          <w:rFonts w:cs="Arial"/>
          <w:lang w:eastAsia="en-AU" w:bidi="ar-SA"/>
        </w:rPr>
        <w:t xml:space="preserve">human milk </w:t>
      </w:r>
      <w:r w:rsidR="00617090" w:rsidRPr="1C95CCE8">
        <w:rPr>
          <w:rFonts w:cs="Arial"/>
          <w:lang w:eastAsia="en-AU" w:bidi="ar-SA"/>
        </w:rPr>
        <w:t xml:space="preserve">(&gt;15 days and </w:t>
      </w:r>
      <w:r w:rsidR="004A5604" w:rsidRPr="1C95CCE8">
        <w:rPr>
          <w:rFonts w:cs="Arial"/>
          <w:lang w:eastAsia="en-AU" w:bidi="ar-SA"/>
        </w:rPr>
        <w:t>≤</w:t>
      </w:r>
      <w:r w:rsidR="00617090" w:rsidRPr="1C95CCE8">
        <w:rPr>
          <w:rFonts w:cs="Arial"/>
          <w:lang w:eastAsia="en-AU" w:bidi="ar-SA"/>
        </w:rPr>
        <w:t xml:space="preserve">12 months) </w:t>
      </w:r>
      <w:r w:rsidR="00B70119" w:rsidRPr="1C95CCE8">
        <w:rPr>
          <w:rFonts w:cs="Arial"/>
          <w:lang w:eastAsia="en-AU" w:bidi="ar-SA"/>
        </w:rPr>
        <w:t>between 1230 mg/L and 3390 mg/L</w:t>
      </w:r>
      <w:r w:rsidR="00E23D50" w:rsidRPr="1C95CCE8">
        <w:rPr>
          <w:rFonts w:cs="Arial"/>
          <w:lang w:eastAsia="en-AU" w:bidi="ar-SA"/>
        </w:rPr>
        <w:t xml:space="preserve"> </w:t>
      </w:r>
      <w:r w:rsidR="00175946" w:rsidRPr="1C95CCE8">
        <w:rPr>
          <w:rFonts w:cs="Arial"/>
          <w:lang w:eastAsia="en-AU" w:bidi="ar-SA"/>
        </w:rPr>
        <w:t>(</w:t>
      </w:r>
      <w:proofErr w:type="spellStart"/>
      <w:r w:rsidR="00617090" w:rsidRPr="1C95CCE8">
        <w:rPr>
          <w:rFonts w:cs="Arial"/>
          <w:lang w:eastAsia="en-AU" w:bidi="ar-SA"/>
        </w:rPr>
        <w:t>Czosnykowska</w:t>
      </w:r>
      <w:r w:rsidR="005931E6" w:rsidRPr="1C95CCE8">
        <w:rPr>
          <w:rFonts w:cs="Arial"/>
          <w:lang w:eastAsia="en-AU" w:bidi="ar-SA"/>
        </w:rPr>
        <w:t>-Lukacka</w:t>
      </w:r>
      <w:proofErr w:type="spellEnd"/>
      <w:r w:rsidR="00617090" w:rsidRPr="1C95CCE8">
        <w:rPr>
          <w:rFonts w:cs="Arial"/>
          <w:lang w:eastAsia="en-AU" w:bidi="ar-SA"/>
        </w:rPr>
        <w:t xml:space="preserve"> et al. 2019; Goldsmith et al.1983; Houghton et al.1985; Hirai et al. 1990; Lien et al. 2004; </w:t>
      </w:r>
      <w:proofErr w:type="spellStart"/>
      <w:r w:rsidR="00617090" w:rsidRPr="1C95CCE8">
        <w:rPr>
          <w:rFonts w:cs="Arial"/>
          <w:lang w:eastAsia="en-AU" w:bidi="ar-SA"/>
        </w:rPr>
        <w:t>Mastromarino</w:t>
      </w:r>
      <w:proofErr w:type="spellEnd"/>
      <w:r w:rsidR="00617090" w:rsidRPr="1C95CCE8">
        <w:rPr>
          <w:rFonts w:cs="Arial"/>
          <w:lang w:eastAsia="en-AU" w:bidi="ar-SA"/>
        </w:rPr>
        <w:t xml:space="preserve"> et al. 2014; Rai et al. 2014; Mo</w:t>
      </w:r>
      <w:r w:rsidR="006F2EE0" w:rsidRPr="1C95CCE8">
        <w:rPr>
          <w:rFonts w:cs="Arial"/>
          <w:lang w:eastAsia="en-AU" w:bidi="ar-SA"/>
        </w:rPr>
        <w:t>n</w:t>
      </w:r>
      <w:r w:rsidR="00617090" w:rsidRPr="1C95CCE8">
        <w:rPr>
          <w:rFonts w:cs="Arial"/>
          <w:lang w:eastAsia="en-AU" w:bidi="ar-SA"/>
        </w:rPr>
        <w:t xml:space="preserve">tagne et al. 2001; Liu </w:t>
      </w:r>
      <w:r w:rsidR="00A1308F" w:rsidRPr="1C95CCE8">
        <w:rPr>
          <w:rFonts w:cs="Arial"/>
          <w:lang w:eastAsia="en-AU" w:bidi="ar-SA"/>
        </w:rPr>
        <w:t>et al.</w:t>
      </w:r>
      <w:r w:rsidR="00617090" w:rsidRPr="1C95CCE8">
        <w:rPr>
          <w:rFonts w:cs="Arial"/>
          <w:lang w:eastAsia="en-AU" w:bidi="ar-SA"/>
        </w:rPr>
        <w:t xml:space="preserve"> 2022)</w:t>
      </w:r>
      <w:r w:rsidR="00E028A1" w:rsidRPr="1C95CCE8">
        <w:rPr>
          <w:rFonts w:cs="Arial"/>
          <w:lang w:eastAsia="en-AU" w:bidi="ar-SA"/>
        </w:rPr>
        <w:t xml:space="preserve">. </w:t>
      </w:r>
      <w:r w:rsidR="00122BE9" w:rsidRPr="1C95CCE8">
        <w:rPr>
          <w:rFonts w:cs="Arial"/>
          <w:lang w:eastAsia="en-AU" w:bidi="ar-SA"/>
        </w:rPr>
        <w:t xml:space="preserve">To reflect this range of values, </w:t>
      </w:r>
      <w:r w:rsidR="00617090" w:rsidRPr="1C95CCE8">
        <w:rPr>
          <w:rFonts w:cs="Arial"/>
          <w:lang w:eastAsia="en-AU" w:bidi="ar-SA"/>
        </w:rPr>
        <w:t xml:space="preserve">FSANZ used the </w:t>
      </w:r>
      <w:r w:rsidR="00497FF8" w:rsidRPr="1C95CCE8">
        <w:rPr>
          <w:rFonts w:cs="Arial"/>
          <w:lang w:eastAsia="en-AU" w:bidi="ar-SA"/>
        </w:rPr>
        <w:t>mi</w:t>
      </w:r>
      <w:r w:rsidR="00C911C7" w:rsidRPr="1C95CCE8">
        <w:rPr>
          <w:rFonts w:cs="Arial"/>
          <w:lang w:eastAsia="en-AU" w:bidi="ar-SA"/>
        </w:rPr>
        <w:t>d-point of the two means presented by Houghton</w:t>
      </w:r>
      <w:r w:rsidR="00175946" w:rsidRPr="1C95CCE8">
        <w:rPr>
          <w:rFonts w:cs="Arial"/>
          <w:lang w:eastAsia="en-AU" w:bidi="ar-SA"/>
        </w:rPr>
        <w:t xml:space="preserve"> </w:t>
      </w:r>
      <w:r w:rsidR="00A8293A" w:rsidRPr="1C95CCE8">
        <w:rPr>
          <w:rFonts w:cs="Arial"/>
          <w:lang w:eastAsia="en-AU" w:bidi="ar-SA"/>
        </w:rPr>
        <w:t xml:space="preserve">et al. </w:t>
      </w:r>
      <w:r w:rsidR="00175946" w:rsidRPr="1C95CCE8">
        <w:rPr>
          <w:rFonts w:cs="Arial"/>
          <w:lang w:eastAsia="en-AU" w:bidi="ar-SA"/>
        </w:rPr>
        <w:t>(1985)</w:t>
      </w:r>
      <w:r w:rsidR="00497FF8" w:rsidRPr="1C95CCE8">
        <w:rPr>
          <w:rFonts w:cs="Arial"/>
          <w:lang w:eastAsia="en-AU" w:bidi="ar-SA"/>
        </w:rPr>
        <w:t xml:space="preserve"> </w:t>
      </w:r>
      <w:r w:rsidR="009218E1" w:rsidRPr="1C95CCE8">
        <w:rPr>
          <w:rFonts w:cs="Arial"/>
          <w:lang w:eastAsia="en-AU" w:bidi="ar-SA"/>
        </w:rPr>
        <w:t xml:space="preserve">as a </w:t>
      </w:r>
      <w:r w:rsidR="6F9C07CD" w:rsidRPr="7B6CE6C8">
        <w:rPr>
          <w:rFonts w:cs="Arial"/>
          <w:lang w:eastAsia="en-AU" w:bidi="ar-SA"/>
        </w:rPr>
        <w:t>representative lower</w:t>
      </w:r>
      <w:r w:rsidR="009218E1" w:rsidRPr="1C95CCE8">
        <w:rPr>
          <w:rFonts w:cs="Arial"/>
          <w:lang w:eastAsia="en-AU" w:bidi="ar-SA"/>
        </w:rPr>
        <w:t xml:space="preserve"> concentration </w:t>
      </w:r>
      <w:r w:rsidR="00497FF8" w:rsidRPr="1C95CCE8">
        <w:rPr>
          <w:rFonts w:cs="Arial"/>
          <w:lang w:eastAsia="en-AU" w:bidi="ar-SA"/>
        </w:rPr>
        <w:t>(1325 mg/L) and</w:t>
      </w:r>
      <w:r w:rsidR="009218E1" w:rsidRPr="1C95CCE8">
        <w:rPr>
          <w:rFonts w:cs="Arial"/>
          <w:lang w:eastAsia="en-AU" w:bidi="ar-SA"/>
        </w:rPr>
        <w:t xml:space="preserve"> the</w:t>
      </w:r>
      <w:r w:rsidR="00497FF8" w:rsidRPr="1C95CCE8">
        <w:rPr>
          <w:rFonts w:cs="Arial"/>
          <w:lang w:eastAsia="en-AU" w:bidi="ar-SA"/>
        </w:rPr>
        <w:t xml:space="preserve"> </w:t>
      </w:r>
      <w:r w:rsidR="009218E1" w:rsidRPr="1C95CCE8">
        <w:rPr>
          <w:rFonts w:cs="Arial"/>
          <w:lang w:eastAsia="en-AU" w:bidi="ar-SA"/>
        </w:rPr>
        <w:t>mean</w:t>
      </w:r>
      <w:r w:rsidR="000C5520" w:rsidRPr="1C95CCE8">
        <w:rPr>
          <w:rFonts w:cs="Arial"/>
          <w:lang w:eastAsia="en-AU" w:bidi="ar-SA"/>
        </w:rPr>
        <w:t xml:space="preserve"> concentration of 3390 mg/L reported by </w:t>
      </w:r>
      <w:proofErr w:type="spellStart"/>
      <w:r w:rsidR="000C5520" w:rsidRPr="1C95CCE8">
        <w:rPr>
          <w:rFonts w:cs="Arial"/>
          <w:lang w:eastAsia="en-AU" w:bidi="ar-SA"/>
        </w:rPr>
        <w:t>Czosnykowska-Lukacka</w:t>
      </w:r>
      <w:proofErr w:type="spellEnd"/>
      <w:r w:rsidR="000C5520" w:rsidRPr="1C95CCE8">
        <w:rPr>
          <w:rFonts w:cs="Arial"/>
          <w:lang w:eastAsia="en-AU" w:bidi="ar-SA"/>
        </w:rPr>
        <w:t xml:space="preserve"> (2019)</w:t>
      </w:r>
      <w:r w:rsidR="009218E1" w:rsidRPr="1C95CCE8">
        <w:rPr>
          <w:rFonts w:cs="Arial"/>
          <w:lang w:eastAsia="en-AU" w:bidi="ar-SA"/>
        </w:rPr>
        <w:t xml:space="preserve"> </w:t>
      </w:r>
      <w:r w:rsidR="003F6961" w:rsidRPr="1C95CCE8">
        <w:rPr>
          <w:rFonts w:cs="Arial"/>
          <w:lang w:eastAsia="en-AU" w:bidi="ar-SA"/>
        </w:rPr>
        <w:t xml:space="preserve">as </w:t>
      </w:r>
      <w:r w:rsidR="00A75277">
        <w:rPr>
          <w:rFonts w:cs="Arial"/>
          <w:lang w:eastAsia="en-AU" w:bidi="ar-SA"/>
        </w:rPr>
        <w:t xml:space="preserve">a </w:t>
      </w:r>
      <w:r w:rsidR="2C898221" w:rsidRPr="7257D8F6">
        <w:rPr>
          <w:rFonts w:cs="Arial"/>
          <w:lang w:eastAsia="en-AU" w:bidi="ar-SA"/>
        </w:rPr>
        <w:t>representative</w:t>
      </w:r>
      <w:r w:rsidR="6F9C07CD" w:rsidRPr="7B6CE6C8">
        <w:rPr>
          <w:rFonts w:cs="Arial"/>
          <w:lang w:eastAsia="en-AU" w:bidi="ar-SA"/>
        </w:rPr>
        <w:t xml:space="preserve"> higher</w:t>
      </w:r>
      <w:r w:rsidR="6A4149A6" w:rsidRPr="1C95CCE8">
        <w:rPr>
          <w:rFonts w:cs="Arial"/>
          <w:lang w:eastAsia="en-AU" w:bidi="ar-SA"/>
        </w:rPr>
        <w:t xml:space="preserve"> </w:t>
      </w:r>
      <w:r w:rsidR="003F6961" w:rsidRPr="1C95CCE8">
        <w:rPr>
          <w:rFonts w:cs="Arial"/>
          <w:lang w:eastAsia="en-AU" w:bidi="ar-SA"/>
        </w:rPr>
        <w:t>concentration</w:t>
      </w:r>
      <w:r w:rsidR="00C44160" w:rsidRPr="1C95CCE8">
        <w:rPr>
          <w:rFonts w:cs="Arial"/>
          <w:lang w:eastAsia="en-AU" w:bidi="ar-SA"/>
        </w:rPr>
        <w:t xml:space="preserve"> </w:t>
      </w:r>
      <w:r w:rsidR="6F9C07CD" w:rsidRPr="7B6CE6C8">
        <w:rPr>
          <w:rFonts w:cs="Arial"/>
          <w:lang w:eastAsia="en-AU" w:bidi="ar-SA"/>
        </w:rPr>
        <w:t xml:space="preserve">in mature milk </w:t>
      </w:r>
      <w:r w:rsidR="00C44160" w:rsidRPr="1C95CCE8">
        <w:rPr>
          <w:rFonts w:cs="Arial"/>
          <w:lang w:eastAsia="en-AU" w:bidi="ar-SA"/>
        </w:rPr>
        <w:t xml:space="preserve">to estimate the dietary intake of </w:t>
      </w:r>
      <w:proofErr w:type="spellStart"/>
      <w:r w:rsidR="00C44160" w:rsidRPr="1C95CCE8">
        <w:rPr>
          <w:rFonts w:cs="Arial"/>
          <w:lang w:eastAsia="en-AU" w:bidi="ar-SA"/>
        </w:rPr>
        <w:t>hLf</w:t>
      </w:r>
      <w:proofErr w:type="spellEnd"/>
      <w:r w:rsidR="00C44160" w:rsidRPr="1C95CCE8">
        <w:rPr>
          <w:rFonts w:cs="Arial"/>
          <w:lang w:eastAsia="en-AU" w:bidi="ar-SA"/>
        </w:rPr>
        <w:t xml:space="preserve"> from human milk</w:t>
      </w:r>
      <w:r w:rsidR="003F6961" w:rsidRPr="1C95CCE8">
        <w:rPr>
          <w:rFonts w:cs="Arial"/>
          <w:lang w:eastAsia="en-AU" w:bidi="ar-SA"/>
        </w:rPr>
        <w:t xml:space="preserve">. </w:t>
      </w:r>
      <w:r w:rsidR="00495B47" w:rsidRPr="1C95CCE8">
        <w:rPr>
          <w:rFonts w:cs="Arial"/>
          <w:lang w:eastAsia="en-AU" w:bidi="ar-SA"/>
        </w:rPr>
        <w:t>The</w:t>
      </w:r>
      <w:r w:rsidR="00617090" w:rsidRPr="1C95CCE8">
        <w:rPr>
          <w:rFonts w:cs="Arial"/>
          <w:lang w:eastAsia="en-AU" w:bidi="ar-SA"/>
        </w:rPr>
        <w:t xml:space="preserve"> concentration</w:t>
      </w:r>
      <w:r w:rsidR="003F6961" w:rsidRPr="1C95CCE8">
        <w:rPr>
          <w:rFonts w:cs="Arial"/>
          <w:lang w:eastAsia="en-AU" w:bidi="ar-SA"/>
        </w:rPr>
        <w:t>s</w:t>
      </w:r>
      <w:r w:rsidR="00617090" w:rsidRPr="1C95CCE8">
        <w:rPr>
          <w:rFonts w:cs="Arial"/>
          <w:lang w:eastAsia="en-AU" w:bidi="ar-SA"/>
        </w:rPr>
        <w:t xml:space="preserve"> of </w:t>
      </w:r>
      <w:proofErr w:type="spellStart"/>
      <w:r w:rsidR="00617090" w:rsidRPr="1C95CCE8">
        <w:rPr>
          <w:rFonts w:cs="Arial"/>
          <w:lang w:eastAsia="en-AU" w:bidi="ar-SA"/>
        </w:rPr>
        <w:t>hLf</w:t>
      </w:r>
      <w:proofErr w:type="spellEnd"/>
      <w:r w:rsidR="00617090" w:rsidRPr="1C95CCE8">
        <w:rPr>
          <w:rFonts w:cs="Arial"/>
          <w:lang w:eastAsia="en-AU" w:bidi="ar-SA"/>
        </w:rPr>
        <w:t xml:space="preserve"> </w:t>
      </w:r>
      <w:r w:rsidR="004F4A84" w:rsidRPr="1C95CCE8">
        <w:rPr>
          <w:rFonts w:cs="Arial"/>
          <w:lang w:eastAsia="en-AU" w:bidi="ar-SA"/>
        </w:rPr>
        <w:t>considered in this assessment</w:t>
      </w:r>
      <w:r w:rsidR="00617090" w:rsidRPr="1C95CCE8">
        <w:rPr>
          <w:rFonts w:cs="Arial"/>
          <w:lang w:eastAsia="en-AU" w:bidi="ar-SA"/>
        </w:rPr>
        <w:t xml:space="preserve"> </w:t>
      </w:r>
      <w:r w:rsidR="00524903" w:rsidRPr="1C95CCE8">
        <w:rPr>
          <w:rFonts w:cs="Arial"/>
          <w:lang w:eastAsia="en-AU" w:bidi="ar-SA"/>
        </w:rPr>
        <w:t>are</w:t>
      </w:r>
      <w:r w:rsidR="00617090" w:rsidRPr="1C95CCE8">
        <w:rPr>
          <w:rFonts w:cs="Arial"/>
          <w:lang w:eastAsia="en-AU" w:bidi="ar-SA"/>
        </w:rPr>
        <w:t xml:space="preserve"> greater than the </w:t>
      </w:r>
      <w:r w:rsidR="00A75277">
        <w:rPr>
          <w:rFonts w:cs="Arial"/>
          <w:lang w:eastAsia="en-AU" w:bidi="ar-SA"/>
        </w:rPr>
        <w:t xml:space="preserve">proposed </w:t>
      </w:r>
      <w:r w:rsidR="58ABA9EC" w:rsidRPr="1C95CCE8">
        <w:rPr>
          <w:rFonts w:cs="Arial"/>
          <w:lang w:eastAsia="en-AU" w:bidi="ar-SA"/>
        </w:rPr>
        <w:t xml:space="preserve">maximum </w:t>
      </w:r>
      <w:r w:rsidR="6EEDEEA6" w:rsidRPr="1C95CCE8">
        <w:rPr>
          <w:rFonts w:cs="Arial"/>
          <w:lang w:eastAsia="en-AU" w:bidi="ar-SA"/>
        </w:rPr>
        <w:t>permitted amount</w:t>
      </w:r>
      <w:r w:rsidR="00617090" w:rsidRPr="1C95CCE8">
        <w:rPr>
          <w:rFonts w:cs="Arial"/>
          <w:lang w:eastAsia="en-AU" w:bidi="ar-SA"/>
        </w:rPr>
        <w:t xml:space="preserve"> of </w:t>
      </w:r>
      <w:proofErr w:type="spellStart"/>
      <w:r w:rsidR="00617090" w:rsidRPr="1C95CCE8">
        <w:rPr>
          <w:rFonts w:cs="Arial"/>
          <w:lang w:eastAsia="en-AU" w:bidi="ar-SA"/>
        </w:rPr>
        <w:t>bLf</w:t>
      </w:r>
      <w:proofErr w:type="spellEnd"/>
      <w:r w:rsidR="00617090" w:rsidRPr="1C95CCE8">
        <w:rPr>
          <w:rFonts w:cs="Arial"/>
          <w:lang w:eastAsia="en-AU" w:bidi="ar-SA"/>
        </w:rPr>
        <w:t xml:space="preserve"> proposed in th</w:t>
      </w:r>
      <w:r w:rsidR="003F6961" w:rsidRPr="1C95CCE8">
        <w:rPr>
          <w:rFonts w:cs="Arial"/>
          <w:lang w:eastAsia="en-AU" w:bidi="ar-SA"/>
        </w:rPr>
        <w:t>e</w:t>
      </w:r>
      <w:r w:rsidR="00617090" w:rsidRPr="1C95CCE8">
        <w:rPr>
          <w:rFonts w:cs="Arial"/>
          <w:lang w:eastAsia="en-AU" w:bidi="ar-SA"/>
        </w:rPr>
        <w:t xml:space="preserve"> </w:t>
      </w:r>
      <w:r w:rsidR="00BB0ADD">
        <w:rPr>
          <w:rFonts w:cs="Arial"/>
          <w:lang w:eastAsia="en-AU" w:bidi="ar-SA"/>
        </w:rPr>
        <w:t>Application</w:t>
      </w:r>
      <w:r w:rsidR="00E028A1" w:rsidRPr="1C95CCE8">
        <w:rPr>
          <w:rFonts w:cs="Arial"/>
          <w:lang w:eastAsia="en-AU" w:bidi="ar-SA"/>
        </w:rPr>
        <w:t xml:space="preserve"> (refer t</w:t>
      </w:r>
      <w:r w:rsidR="008211A9">
        <w:rPr>
          <w:rFonts w:cs="Arial"/>
          <w:lang w:eastAsia="en-AU" w:bidi="ar-SA"/>
        </w:rPr>
        <w:t>o Table 4)</w:t>
      </w:r>
      <w:r w:rsidR="00617090" w:rsidRPr="002C2B9A">
        <w:rPr>
          <w:rFonts w:cs="Arial"/>
          <w:lang w:eastAsia="en-AU" w:bidi="ar-SA"/>
        </w:rPr>
        <w:t>.</w:t>
      </w:r>
    </w:p>
    <w:p w14:paraId="0CF5588E" w14:textId="69734DA2" w:rsidR="00617090" w:rsidRPr="002F61F5" w:rsidRDefault="00912D35" w:rsidP="00F02419">
      <w:pPr>
        <w:pStyle w:val="Heading5"/>
        <w:rPr>
          <w:rFonts w:cs="Arial"/>
          <w:lang w:val="en-AU" w:eastAsia="en-AU"/>
        </w:rPr>
      </w:pPr>
      <w:r>
        <w:rPr>
          <w:lang w:eastAsia="en-AU"/>
        </w:rPr>
        <w:t>3.3.2.2.3</w:t>
      </w:r>
      <w:r>
        <w:rPr>
          <w:lang w:eastAsia="en-AU"/>
        </w:rPr>
        <w:tab/>
      </w:r>
      <w:r w:rsidR="00617090" w:rsidRPr="00617090">
        <w:rPr>
          <w:lang w:eastAsia="en-AU"/>
        </w:rPr>
        <w:t xml:space="preserve">Concentrations of </w:t>
      </w:r>
      <w:proofErr w:type="spellStart"/>
      <w:r w:rsidR="00617090" w:rsidRPr="00617090">
        <w:rPr>
          <w:lang w:eastAsia="en-AU"/>
        </w:rPr>
        <w:t>bLf</w:t>
      </w:r>
      <w:proofErr w:type="spellEnd"/>
      <w:r w:rsidR="00617090" w:rsidRPr="00617090">
        <w:rPr>
          <w:lang w:eastAsia="en-AU"/>
        </w:rPr>
        <w:t xml:space="preserve"> in domestic mammalian </w:t>
      </w:r>
      <w:r w:rsidR="00617090" w:rsidRPr="002F61F5">
        <w:rPr>
          <w:rFonts w:cs="Arial"/>
          <w:lang w:eastAsia="en-AU"/>
        </w:rPr>
        <w:t>milks </w:t>
      </w:r>
    </w:p>
    <w:p w14:paraId="3B52FB4E" w14:textId="4A117BC1" w:rsidR="00617090" w:rsidRDefault="00617090" w:rsidP="00617090">
      <w:pPr>
        <w:widowControl/>
        <w:textAlignment w:val="baseline"/>
        <w:rPr>
          <w:rFonts w:cs="Arial"/>
          <w:lang w:val="en-AU" w:eastAsia="en-AU" w:bidi="ar-SA"/>
        </w:rPr>
      </w:pPr>
      <w:r w:rsidRPr="6997ACF1">
        <w:rPr>
          <w:rFonts w:cs="Arial"/>
          <w:lang w:eastAsia="en-AU" w:bidi="ar-SA"/>
        </w:rPr>
        <w:t xml:space="preserve">Infant formula and follow-on formula are made with domestic mammalian milk bases, particularly </w:t>
      </w:r>
      <w:r w:rsidR="63521D73" w:rsidRPr="1086EF3B">
        <w:rPr>
          <w:rFonts w:cs="Arial"/>
          <w:lang w:eastAsia="en-AU" w:bidi="ar-SA"/>
        </w:rPr>
        <w:t>cow</w:t>
      </w:r>
      <w:r w:rsidR="00032429">
        <w:rPr>
          <w:rFonts w:cs="Arial"/>
          <w:lang w:eastAsia="en-AU" w:bidi="ar-SA"/>
        </w:rPr>
        <w:t>’s</w:t>
      </w:r>
      <w:r w:rsidRPr="6997ACF1">
        <w:rPr>
          <w:rFonts w:cs="Arial"/>
          <w:lang w:eastAsia="en-AU" w:bidi="ar-SA"/>
        </w:rPr>
        <w:t xml:space="preserve"> milk and </w:t>
      </w:r>
      <w:r w:rsidR="63521D73" w:rsidRPr="1086EF3B">
        <w:rPr>
          <w:rFonts w:cs="Arial"/>
          <w:lang w:eastAsia="en-AU" w:bidi="ar-SA"/>
        </w:rPr>
        <w:t>goat</w:t>
      </w:r>
      <w:r w:rsidR="00032429">
        <w:rPr>
          <w:rFonts w:cs="Arial"/>
          <w:lang w:eastAsia="en-AU" w:bidi="ar-SA"/>
        </w:rPr>
        <w:t>’s</w:t>
      </w:r>
      <w:r w:rsidRPr="6997ACF1">
        <w:rPr>
          <w:rFonts w:cs="Arial"/>
          <w:lang w:eastAsia="en-AU" w:bidi="ar-SA"/>
        </w:rPr>
        <w:t xml:space="preserve"> milk. The milk itself and other foods made from </w:t>
      </w:r>
      <w:r w:rsidR="63521D73" w:rsidRPr="1086EF3B">
        <w:rPr>
          <w:rFonts w:cs="Arial"/>
          <w:lang w:eastAsia="en-AU" w:bidi="ar-SA"/>
        </w:rPr>
        <w:t>cow</w:t>
      </w:r>
      <w:r w:rsidR="00FD158C">
        <w:rPr>
          <w:rFonts w:cs="Arial"/>
          <w:lang w:eastAsia="en-AU" w:bidi="ar-SA"/>
        </w:rPr>
        <w:t>’s</w:t>
      </w:r>
      <w:r w:rsidR="63521D73" w:rsidRPr="1086EF3B">
        <w:rPr>
          <w:rFonts w:cs="Arial"/>
          <w:lang w:eastAsia="en-AU" w:bidi="ar-SA"/>
        </w:rPr>
        <w:t>, sheep</w:t>
      </w:r>
      <w:r w:rsidR="00FD158C">
        <w:rPr>
          <w:rFonts w:cs="Arial"/>
          <w:lang w:eastAsia="en-AU" w:bidi="ar-SA"/>
        </w:rPr>
        <w:t>’s</w:t>
      </w:r>
      <w:r w:rsidRPr="6997ACF1">
        <w:rPr>
          <w:rFonts w:cs="Arial"/>
          <w:lang w:eastAsia="en-AU" w:bidi="ar-SA"/>
        </w:rPr>
        <w:t xml:space="preserve"> and </w:t>
      </w:r>
      <w:r w:rsidR="63521D73" w:rsidRPr="1086EF3B">
        <w:rPr>
          <w:rFonts w:cs="Arial"/>
          <w:lang w:eastAsia="en-AU" w:bidi="ar-SA"/>
        </w:rPr>
        <w:t>goat</w:t>
      </w:r>
      <w:r w:rsidR="00FD158C">
        <w:rPr>
          <w:rFonts w:cs="Arial"/>
          <w:lang w:eastAsia="en-AU" w:bidi="ar-SA"/>
        </w:rPr>
        <w:t>’s</w:t>
      </w:r>
      <w:r w:rsidRPr="6997ACF1">
        <w:rPr>
          <w:rFonts w:cs="Arial"/>
          <w:lang w:eastAsia="en-AU" w:bidi="ar-SA"/>
        </w:rPr>
        <w:t xml:space="preserve"> milk could be consumed by Australian and New Zealand infants. Consequently, the sources of naturally occurring </w:t>
      </w:r>
      <w:proofErr w:type="spellStart"/>
      <w:r w:rsidRPr="6997ACF1">
        <w:rPr>
          <w:rFonts w:cs="Arial"/>
          <w:lang w:eastAsia="en-AU" w:bidi="ar-SA"/>
        </w:rPr>
        <w:t>bLf</w:t>
      </w:r>
      <w:proofErr w:type="spellEnd"/>
      <w:r w:rsidRPr="6997ACF1">
        <w:rPr>
          <w:rFonts w:cs="Arial"/>
          <w:lang w:eastAsia="en-AU" w:bidi="ar-SA"/>
        </w:rPr>
        <w:t xml:space="preserve"> from domestic mammalian milks were investigated. </w:t>
      </w:r>
    </w:p>
    <w:p w14:paraId="1C05B999" w14:textId="62FDDE89" w:rsidR="004C1D33" w:rsidRDefault="004C1D33" w:rsidP="00617090">
      <w:pPr>
        <w:widowControl/>
        <w:textAlignment w:val="baseline"/>
        <w:rPr>
          <w:rFonts w:cs="Segoe UI"/>
          <w:lang w:val="en-AU" w:eastAsia="en-AU" w:bidi="ar-SA"/>
        </w:rPr>
      </w:pPr>
    </w:p>
    <w:p w14:paraId="24CAF53A" w14:textId="483351E6" w:rsidR="00643947" w:rsidRPr="00FE775A" w:rsidRDefault="00617090" w:rsidP="1C95CCE8">
      <w:pPr>
        <w:widowControl/>
        <w:textAlignment w:val="baseline"/>
        <w:rPr>
          <w:rFonts w:cs="Arial"/>
          <w:b/>
          <w:bCs/>
          <w:lang w:val="en-AU" w:eastAsia="en-AU" w:bidi="ar-SA"/>
        </w:rPr>
      </w:pPr>
      <w:r w:rsidRPr="1C95CCE8">
        <w:rPr>
          <w:rFonts w:cs="Arial"/>
          <w:lang w:eastAsia="en-AU" w:bidi="ar-SA"/>
        </w:rPr>
        <w:t xml:space="preserve">Several authors reported the mean concentration of </w:t>
      </w:r>
      <w:proofErr w:type="spellStart"/>
      <w:r w:rsidRPr="1C95CCE8">
        <w:rPr>
          <w:rFonts w:cs="Arial"/>
          <w:lang w:eastAsia="en-AU" w:bidi="ar-SA"/>
        </w:rPr>
        <w:t>bLf</w:t>
      </w:r>
      <w:proofErr w:type="spellEnd"/>
      <w:r w:rsidRPr="1C95CCE8">
        <w:rPr>
          <w:rFonts w:cs="Arial"/>
          <w:lang w:eastAsia="en-AU" w:bidi="ar-SA"/>
        </w:rPr>
        <w:t xml:space="preserve"> in mature </w:t>
      </w:r>
      <w:r w:rsidR="00CE738D">
        <w:rPr>
          <w:rFonts w:cs="Arial"/>
          <w:lang w:eastAsia="en-AU" w:bidi="ar-SA"/>
        </w:rPr>
        <w:t>cow’s</w:t>
      </w:r>
      <w:r w:rsidRPr="1C95CCE8">
        <w:rPr>
          <w:rFonts w:cs="Arial"/>
          <w:lang w:eastAsia="en-AU" w:bidi="ar-SA"/>
        </w:rPr>
        <w:t xml:space="preserve"> milk </w:t>
      </w:r>
      <w:r w:rsidR="00B67687" w:rsidRPr="1C95CCE8">
        <w:rPr>
          <w:rFonts w:cs="Arial"/>
          <w:lang w:eastAsia="en-AU" w:bidi="ar-SA"/>
        </w:rPr>
        <w:t xml:space="preserve">between </w:t>
      </w:r>
      <w:r w:rsidR="00DC701E" w:rsidRPr="1C95CCE8">
        <w:rPr>
          <w:rFonts w:cs="Arial"/>
          <w:lang w:eastAsia="en-AU" w:bidi="ar-SA"/>
        </w:rPr>
        <w:t>80-17</w:t>
      </w:r>
      <w:r w:rsidR="007F0230" w:rsidRPr="1C95CCE8">
        <w:rPr>
          <w:rFonts w:cs="Arial"/>
          <w:lang w:eastAsia="en-AU" w:bidi="ar-SA"/>
        </w:rPr>
        <w:t>7</w:t>
      </w:r>
      <w:r w:rsidRPr="1C95CCE8">
        <w:rPr>
          <w:rFonts w:cs="Arial"/>
          <w:lang w:eastAsia="en-AU" w:bidi="ar-SA"/>
        </w:rPr>
        <w:t xml:space="preserve"> mg/L</w:t>
      </w:r>
      <w:r w:rsidR="006C491C" w:rsidRPr="1C95CCE8">
        <w:rPr>
          <w:rFonts w:cs="Arial"/>
          <w:lang w:eastAsia="en-AU" w:bidi="ar-SA"/>
        </w:rPr>
        <w:t xml:space="preserve"> and in </w:t>
      </w:r>
      <w:r w:rsidR="00CE738D">
        <w:rPr>
          <w:rFonts w:cs="Arial"/>
          <w:lang w:eastAsia="en-AU" w:bidi="ar-SA"/>
        </w:rPr>
        <w:t>goat’s</w:t>
      </w:r>
      <w:r w:rsidR="006C491C" w:rsidRPr="1C95CCE8">
        <w:rPr>
          <w:rFonts w:cs="Arial"/>
          <w:lang w:eastAsia="en-AU" w:bidi="ar-SA"/>
        </w:rPr>
        <w:t xml:space="preserve"> and sheep</w:t>
      </w:r>
      <w:r w:rsidR="00093306">
        <w:rPr>
          <w:rFonts w:cs="Arial"/>
          <w:lang w:eastAsia="en-AU" w:bidi="ar-SA"/>
        </w:rPr>
        <w:t>’s</w:t>
      </w:r>
      <w:r w:rsidR="006C491C" w:rsidRPr="1C95CCE8">
        <w:rPr>
          <w:rFonts w:cs="Arial"/>
          <w:lang w:eastAsia="en-AU" w:bidi="ar-SA"/>
        </w:rPr>
        <w:t xml:space="preserve"> milk between 17-166 mg/L (Chen </w:t>
      </w:r>
      <w:r w:rsidR="00FB7937" w:rsidRPr="1C95CCE8">
        <w:rPr>
          <w:rFonts w:cs="Arial"/>
          <w:lang w:eastAsia="en-AU" w:bidi="ar-SA"/>
        </w:rPr>
        <w:t>and Mao</w:t>
      </w:r>
      <w:r w:rsidR="006C491C" w:rsidRPr="1C95CCE8">
        <w:rPr>
          <w:rFonts w:cs="Arial"/>
          <w:lang w:eastAsia="en-AU" w:bidi="ar-SA"/>
        </w:rPr>
        <w:t xml:space="preserve"> 2004, Cheng et al. 2008; </w:t>
      </w:r>
      <w:r w:rsidR="006C491C">
        <w:t>El-</w:t>
      </w:r>
      <w:proofErr w:type="spellStart"/>
      <w:r w:rsidR="006C491C">
        <w:t>Hawiet</w:t>
      </w:r>
      <w:proofErr w:type="spellEnd"/>
      <w:r w:rsidR="006C491C">
        <w:t xml:space="preserve"> 2017, </w:t>
      </w:r>
      <w:r w:rsidR="006C491C" w:rsidRPr="1C95CCE8">
        <w:rPr>
          <w:rFonts w:cs="Arial"/>
          <w:lang w:eastAsia="en-AU" w:bidi="ar-SA"/>
        </w:rPr>
        <w:t>Hagiwara et al. 2003;</w:t>
      </w:r>
      <w:r w:rsidR="006C491C">
        <w:t xml:space="preserve"> </w:t>
      </w:r>
      <w:r w:rsidR="006C491C" w:rsidRPr="1C95CCE8">
        <w:rPr>
          <w:rFonts w:cs="Arial"/>
          <w:lang w:eastAsia="en-AU" w:bidi="ar-SA"/>
        </w:rPr>
        <w:t xml:space="preserve">Hiss et al. 2008, Nisbet et al. 2013, </w:t>
      </w:r>
      <w:proofErr w:type="spellStart"/>
      <w:r w:rsidR="006C491C" w:rsidRPr="1C95CCE8">
        <w:rPr>
          <w:rFonts w:cs="Arial"/>
          <w:lang w:eastAsia="en-AU" w:bidi="ar-SA"/>
        </w:rPr>
        <w:t>Rainard</w:t>
      </w:r>
      <w:proofErr w:type="spellEnd"/>
      <w:r w:rsidR="006C491C" w:rsidRPr="1C95CCE8">
        <w:rPr>
          <w:rFonts w:cs="Arial"/>
          <w:lang w:eastAsia="en-AU" w:bidi="ar-SA"/>
        </w:rPr>
        <w:t xml:space="preserve"> et al. 1982, and Wang et al. 2018)</w:t>
      </w:r>
      <w:r w:rsidR="00643947" w:rsidRPr="1C95CCE8">
        <w:rPr>
          <w:rFonts w:cs="Arial"/>
          <w:lang w:eastAsia="en-AU" w:bidi="ar-SA"/>
        </w:rPr>
        <w:t>.</w:t>
      </w:r>
      <w:r w:rsidR="00100AD5" w:rsidRPr="1C95CCE8">
        <w:rPr>
          <w:rFonts w:cs="Arial"/>
          <w:lang w:eastAsia="en-AU" w:bidi="ar-SA"/>
        </w:rPr>
        <w:t xml:space="preserve"> The applicant noted that </w:t>
      </w:r>
      <w:proofErr w:type="spellStart"/>
      <w:r w:rsidR="00B14CAD" w:rsidRPr="1C95CCE8">
        <w:rPr>
          <w:rFonts w:cs="Arial"/>
          <w:lang w:eastAsia="en-AU" w:bidi="ar-SA"/>
        </w:rPr>
        <w:t>bLf</w:t>
      </w:r>
      <w:proofErr w:type="spellEnd"/>
      <w:r w:rsidR="00B14CAD" w:rsidRPr="1C95CCE8">
        <w:rPr>
          <w:rFonts w:cs="Arial"/>
          <w:lang w:eastAsia="en-AU" w:bidi="ar-SA"/>
        </w:rPr>
        <w:t xml:space="preserve"> concentrations can vary depending on the animal and stage of lactation, and cited a typical concentration value of 100 mg/L</w:t>
      </w:r>
      <w:r w:rsidR="00751373" w:rsidRPr="1C95CCE8">
        <w:rPr>
          <w:rFonts w:cs="Arial"/>
          <w:lang w:eastAsia="en-AU" w:bidi="ar-SA"/>
        </w:rPr>
        <w:t xml:space="preserve"> which falls </w:t>
      </w:r>
      <w:r w:rsidR="00656698" w:rsidRPr="1C95CCE8">
        <w:rPr>
          <w:rFonts w:cs="Arial"/>
          <w:lang w:eastAsia="en-AU" w:bidi="ar-SA"/>
        </w:rPr>
        <w:t>in the</w:t>
      </w:r>
      <w:r w:rsidR="00746A12" w:rsidRPr="1C95CCE8">
        <w:rPr>
          <w:rFonts w:cs="Arial"/>
          <w:lang w:eastAsia="en-AU" w:bidi="ar-SA"/>
        </w:rPr>
        <w:t xml:space="preserve"> range</w:t>
      </w:r>
      <w:r w:rsidR="00FF0FB5" w:rsidRPr="1C95CCE8">
        <w:rPr>
          <w:rFonts w:cs="Arial"/>
          <w:lang w:eastAsia="en-AU" w:bidi="ar-SA"/>
        </w:rPr>
        <w:t>s</w:t>
      </w:r>
      <w:r w:rsidR="00746A12" w:rsidRPr="1C95CCE8">
        <w:rPr>
          <w:rFonts w:cs="Arial"/>
          <w:lang w:eastAsia="en-AU" w:bidi="ar-SA"/>
        </w:rPr>
        <w:t xml:space="preserve"> </w:t>
      </w:r>
      <w:r w:rsidR="00751373" w:rsidRPr="1C95CCE8">
        <w:rPr>
          <w:rFonts w:cs="Arial"/>
          <w:lang w:eastAsia="en-AU" w:bidi="ar-SA"/>
        </w:rPr>
        <w:t>reported</w:t>
      </w:r>
      <w:r w:rsidR="00746A12" w:rsidRPr="1C95CCE8">
        <w:rPr>
          <w:rFonts w:cs="Arial"/>
          <w:lang w:eastAsia="en-AU" w:bidi="ar-SA"/>
        </w:rPr>
        <w:t xml:space="preserve"> in the literature</w:t>
      </w:r>
      <w:r w:rsidR="00751373" w:rsidRPr="1C95CCE8">
        <w:rPr>
          <w:rFonts w:cs="Arial"/>
          <w:lang w:eastAsia="en-AU" w:bidi="ar-SA"/>
        </w:rPr>
        <w:t>.</w:t>
      </w:r>
      <w:r w:rsidR="00746A12" w:rsidRPr="1C95CCE8">
        <w:rPr>
          <w:rFonts w:cs="Arial"/>
          <w:lang w:eastAsia="en-AU" w:bidi="ar-SA"/>
        </w:rPr>
        <w:t xml:space="preserve"> </w:t>
      </w:r>
      <w:r w:rsidR="00921BFB" w:rsidRPr="1C95CCE8">
        <w:rPr>
          <w:rFonts w:cs="Arial"/>
          <w:lang w:eastAsia="en-AU" w:bidi="ar-SA"/>
        </w:rPr>
        <w:t>T</w:t>
      </w:r>
      <w:r w:rsidR="0020524D" w:rsidRPr="1C95CCE8">
        <w:rPr>
          <w:rFonts w:cs="Arial"/>
          <w:lang w:eastAsia="en-AU" w:bidi="ar-SA"/>
        </w:rPr>
        <w:t>he applicant</w:t>
      </w:r>
      <w:r w:rsidR="00921BFB" w:rsidRPr="1C95CCE8">
        <w:rPr>
          <w:rFonts w:cs="Arial"/>
          <w:lang w:eastAsia="en-AU" w:bidi="ar-SA"/>
        </w:rPr>
        <w:t xml:space="preserve"> also</w:t>
      </w:r>
      <w:r w:rsidR="0020524D" w:rsidRPr="1C95CCE8">
        <w:rPr>
          <w:rFonts w:cs="Arial"/>
          <w:lang w:eastAsia="en-AU" w:bidi="ar-SA"/>
        </w:rPr>
        <w:t xml:space="preserve"> </w:t>
      </w:r>
      <w:r w:rsidR="00A24913" w:rsidRPr="1C95CCE8">
        <w:rPr>
          <w:rFonts w:cs="Arial"/>
          <w:lang w:eastAsia="en-AU" w:bidi="ar-SA"/>
        </w:rPr>
        <w:t xml:space="preserve">estimated </w:t>
      </w:r>
      <w:r w:rsidR="0020524D" w:rsidRPr="1C95CCE8">
        <w:rPr>
          <w:rFonts w:cs="Arial"/>
          <w:lang w:eastAsia="en-AU" w:bidi="ar-SA"/>
        </w:rPr>
        <w:t xml:space="preserve">the content of </w:t>
      </w:r>
      <w:proofErr w:type="spellStart"/>
      <w:r w:rsidR="0020524D" w:rsidRPr="1C95CCE8">
        <w:rPr>
          <w:rFonts w:cs="Arial"/>
          <w:lang w:eastAsia="en-AU" w:bidi="ar-SA"/>
        </w:rPr>
        <w:t>bLf</w:t>
      </w:r>
      <w:proofErr w:type="spellEnd"/>
      <w:r w:rsidR="0020524D" w:rsidRPr="1C95CCE8">
        <w:rPr>
          <w:rFonts w:cs="Arial"/>
          <w:lang w:eastAsia="en-AU" w:bidi="ar-SA"/>
        </w:rPr>
        <w:t xml:space="preserve"> in standard, </w:t>
      </w:r>
      <w:r w:rsidR="00B93CB5" w:rsidRPr="1C95CCE8">
        <w:rPr>
          <w:rFonts w:cs="Arial"/>
          <w:lang w:eastAsia="en-AU" w:bidi="ar-SA"/>
        </w:rPr>
        <w:t xml:space="preserve">made-up </w:t>
      </w:r>
      <w:r w:rsidR="0020524D" w:rsidRPr="1C95CCE8">
        <w:rPr>
          <w:rFonts w:cs="Arial"/>
          <w:lang w:eastAsia="en-AU" w:bidi="ar-SA"/>
        </w:rPr>
        <w:t xml:space="preserve">not-fortified </w:t>
      </w:r>
      <w:r w:rsidR="00921BFB" w:rsidRPr="1C95CCE8">
        <w:rPr>
          <w:rFonts w:cs="Arial"/>
          <w:lang w:eastAsia="en-AU" w:bidi="ar-SA"/>
        </w:rPr>
        <w:t xml:space="preserve">infant </w:t>
      </w:r>
      <w:r w:rsidR="0020524D" w:rsidRPr="1C95CCE8">
        <w:rPr>
          <w:rFonts w:cs="Arial"/>
          <w:lang w:eastAsia="en-AU" w:bidi="ar-SA"/>
        </w:rPr>
        <w:t>formula to be 10-27 mg/L</w:t>
      </w:r>
      <w:r w:rsidR="00820EB4" w:rsidRPr="1C95CCE8">
        <w:rPr>
          <w:rFonts w:cs="Arial"/>
          <w:lang w:eastAsia="en-AU" w:bidi="ar-SA"/>
        </w:rPr>
        <w:t xml:space="preserve"> (refer to</w:t>
      </w:r>
      <w:r w:rsidR="005A7A51">
        <w:rPr>
          <w:rFonts w:cs="Arial"/>
          <w:lang w:eastAsia="en-AU" w:bidi="ar-SA"/>
        </w:rPr>
        <w:t xml:space="preserve"> Table 4). </w:t>
      </w:r>
    </w:p>
    <w:p w14:paraId="3299B469" w14:textId="192E6D7E" w:rsidR="00617090" w:rsidRPr="0082002F" w:rsidRDefault="00617090" w:rsidP="00617090">
      <w:pPr>
        <w:widowControl/>
        <w:textAlignment w:val="baseline"/>
        <w:rPr>
          <w:rFonts w:cs="Arial"/>
          <w:lang w:eastAsia="en-AU" w:bidi="ar-SA"/>
        </w:rPr>
      </w:pPr>
    </w:p>
    <w:p w14:paraId="2D25515B" w14:textId="1EBF31BF" w:rsidR="00B9042F" w:rsidRDefault="00834335" w:rsidP="00617090">
      <w:pPr>
        <w:widowControl/>
        <w:textAlignment w:val="baseline"/>
        <w:rPr>
          <w:rFonts w:cs="Arial"/>
          <w:lang w:eastAsia="en-AU" w:bidi="ar-SA"/>
        </w:rPr>
      </w:pPr>
      <w:r>
        <w:rPr>
          <w:rFonts w:cs="Arial"/>
          <w:lang w:eastAsia="en-AU" w:bidi="ar-SA"/>
        </w:rPr>
        <w:t xml:space="preserve">In the risk assessment for </w:t>
      </w:r>
      <w:r w:rsidR="00BB0ADD">
        <w:rPr>
          <w:rFonts w:cs="Arial"/>
          <w:lang w:eastAsia="en-AU" w:bidi="ar-SA"/>
        </w:rPr>
        <w:t>Application</w:t>
      </w:r>
      <w:r w:rsidR="002D3F47">
        <w:rPr>
          <w:rFonts w:cs="Arial"/>
          <w:lang w:eastAsia="en-AU" w:bidi="ar-SA"/>
        </w:rPr>
        <w:t xml:space="preserve"> </w:t>
      </w:r>
      <w:r>
        <w:rPr>
          <w:rFonts w:cs="Arial"/>
          <w:lang w:eastAsia="en-AU" w:bidi="ar-SA"/>
        </w:rPr>
        <w:t>A1</w:t>
      </w:r>
      <w:r w:rsidR="00CF4A82">
        <w:rPr>
          <w:rFonts w:cs="Arial"/>
          <w:lang w:eastAsia="en-AU" w:bidi="ar-SA"/>
        </w:rPr>
        <w:t>1</w:t>
      </w:r>
      <w:r>
        <w:rPr>
          <w:rFonts w:cs="Arial"/>
          <w:lang w:eastAsia="en-AU" w:bidi="ar-SA"/>
        </w:rPr>
        <w:t>55</w:t>
      </w:r>
      <w:r w:rsidR="00CF4A82">
        <w:rPr>
          <w:rFonts w:cs="Arial"/>
          <w:lang w:eastAsia="en-AU" w:bidi="ar-SA"/>
        </w:rPr>
        <w:t xml:space="preserve">, </w:t>
      </w:r>
      <w:r w:rsidR="002D3F47">
        <w:rPr>
          <w:rFonts w:cs="Arial"/>
          <w:lang w:eastAsia="en-AU" w:bidi="ar-SA"/>
        </w:rPr>
        <w:t xml:space="preserve">the </w:t>
      </w:r>
      <w:r w:rsidR="00261CB5">
        <w:rPr>
          <w:rFonts w:cs="Arial"/>
          <w:lang w:eastAsia="en-AU" w:bidi="ar-SA"/>
        </w:rPr>
        <w:t xml:space="preserve">mean consumption of </w:t>
      </w:r>
      <w:r w:rsidR="00CE738D" w:rsidRPr="29A90341">
        <w:rPr>
          <w:rFonts w:cs="Arial"/>
          <w:lang w:eastAsia="en-AU" w:bidi="ar-SA"/>
        </w:rPr>
        <w:t>cow’s</w:t>
      </w:r>
      <w:r w:rsidR="002C72F5">
        <w:rPr>
          <w:rFonts w:cs="Arial"/>
          <w:lang w:eastAsia="en-AU" w:bidi="ar-SA"/>
        </w:rPr>
        <w:t xml:space="preserve"> milk and all of its products</w:t>
      </w:r>
      <w:r w:rsidR="008D3E37">
        <w:rPr>
          <w:rFonts w:cs="Arial"/>
          <w:lang w:eastAsia="en-AU" w:bidi="ar-SA"/>
        </w:rPr>
        <w:t xml:space="preserve"> (e.g. cheese)</w:t>
      </w:r>
      <w:r w:rsidR="002C72F5">
        <w:rPr>
          <w:rFonts w:cs="Arial"/>
          <w:lang w:eastAsia="en-AU" w:bidi="ar-SA"/>
        </w:rPr>
        <w:t>, expressed in milk equivalen</w:t>
      </w:r>
      <w:r w:rsidR="002D3F47">
        <w:rPr>
          <w:rFonts w:cs="Arial"/>
          <w:lang w:eastAsia="en-AU" w:bidi="ar-SA"/>
        </w:rPr>
        <w:t>ts</w:t>
      </w:r>
      <w:r w:rsidR="0028412B">
        <w:rPr>
          <w:rFonts w:cs="Arial"/>
          <w:lang w:eastAsia="en-AU" w:bidi="ar-SA"/>
        </w:rPr>
        <w:t>,</w:t>
      </w:r>
      <w:r w:rsidR="000D5D09">
        <w:rPr>
          <w:rFonts w:cs="Arial"/>
          <w:lang w:eastAsia="en-AU" w:bidi="ar-SA"/>
        </w:rPr>
        <w:t xml:space="preserve"> for 2-3 year old Australian children </w:t>
      </w:r>
      <w:r w:rsidR="00070AD6">
        <w:rPr>
          <w:rFonts w:cs="Arial"/>
          <w:lang w:eastAsia="en-AU" w:bidi="ar-SA"/>
        </w:rPr>
        <w:t>in the 2011-12 National Nutrition and Physical Activity Survey</w:t>
      </w:r>
      <w:r w:rsidR="008A77CD">
        <w:rPr>
          <w:rFonts w:cs="Arial"/>
          <w:lang w:eastAsia="en-AU" w:bidi="ar-SA"/>
        </w:rPr>
        <w:t xml:space="preserve"> (2011-12 NNPAS)</w:t>
      </w:r>
      <w:r w:rsidR="00070AD6">
        <w:rPr>
          <w:rFonts w:cs="Arial"/>
          <w:lang w:eastAsia="en-AU" w:bidi="ar-SA"/>
        </w:rPr>
        <w:t xml:space="preserve"> </w:t>
      </w:r>
      <w:r w:rsidR="002C72F5">
        <w:rPr>
          <w:rFonts w:cs="Arial"/>
          <w:lang w:eastAsia="en-AU" w:bidi="ar-SA"/>
        </w:rPr>
        <w:t xml:space="preserve">was </w:t>
      </w:r>
      <w:r w:rsidR="000D5D09">
        <w:rPr>
          <w:rFonts w:cs="Arial"/>
          <w:lang w:eastAsia="en-AU" w:bidi="ar-SA"/>
        </w:rPr>
        <w:t>707</w:t>
      </w:r>
      <w:r w:rsidR="001079BA">
        <w:rPr>
          <w:rFonts w:cs="Arial"/>
          <w:lang w:eastAsia="en-AU" w:bidi="ar-SA"/>
        </w:rPr>
        <w:t> </w:t>
      </w:r>
      <w:r w:rsidR="000D5D09">
        <w:rPr>
          <w:rFonts w:cs="Arial"/>
          <w:lang w:eastAsia="en-AU" w:bidi="ar-SA"/>
        </w:rPr>
        <w:t>g/day</w:t>
      </w:r>
      <w:r w:rsidR="00AA33FC">
        <w:rPr>
          <w:rFonts w:cs="Arial"/>
          <w:lang w:eastAsia="en-AU" w:bidi="ar-SA"/>
        </w:rPr>
        <w:t xml:space="preserve"> </w:t>
      </w:r>
      <w:r w:rsidR="00CE3E6F" w:rsidRPr="09C87751">
        <w:rPr>
          <w:rFonts w:cs="Arial"/>
          <w:lang w:eastAsia="en-AU" w:bidi="ar-SA"/>
        </w:rPr>
        <w:t>(FSANZ</w:t>
      </w:r>
      <w:r w:rsidR="00027BB6" w:rsidRPr="09C87751">
        <w:rPr>
          <w:rFonts w:cs="Arial"/>
          <w:lang w:eastAsia="en-AU" w:bidi="ar-SA"/>
        </w:rPr>
        <w:t xml:space="preserve"> 2019)</w:t>
      </w:r>
      <w:r w:rsidR="00090E40" w:rsidRPr="09C87751">
        <w:rPr>
          <w:rFonts w:cs="Arial"/>
          <w:lang w:eastAsia="en-AU" w:bidi="ar-SA"/>
        </w:rPr>
        <w:t>.</w:t>
      </w:r>
      <w:r w:rsidR="001C0184">
        <w:rPr>
          <w:rFonts w:cs="Arial"/>
          <w:lang w:eastAsia="en-AU" w:bidi="ar-SA"/>
        </w:rPr>
        <w:t xml:space="preserve"> Although it is not recommended for infants to consume </w:t>
      </w:r>
      <w:r w:rsidR="00CE738D" w:rsidRPr="29A90341">
        <w:rPr>
          <w:rFonts w:cs="Arial"/>
          <w:lang w:eastAsia="en-AU" w:bidi="ar-SA"/>
        </w:rPr>
        <w:t>cow’s</w:t>
      </w:r>
      <w:r w:rsidR="001C0184">
        <w:rPr>
          <w:rFonts w:cs="Arial"/>
          <w:lang w:eastAsia="en-AU" w:bidi="ar-SA"/>
        </w:rPr>
        <w:t xml:space="preserve"> milk as a drink until </w:t>
      </w:r>
      <w:r w:rsidR="003D32BE">
        <w:rPr>
          <w:rFonts w:cs="Arial"/>
          <w:lang w:eastAsia="en-AU" w:bidi="ar-SA"/>
        </w:rPr>
        <w:t xml:space="preserve">after </w:t>
      </w:r>
      <w:r w:rsidR="001C0184">
        <w:rPr>
          <w:rFonts w:cs="Arial"/>
          <w:lang w:eastAsia="en-AU" w:bidi="ar-SA"/>
        </w:rPr>
        <w:t xml:space="preserve">12 months of age, infants over the age of 6 months may consume </w:t>
      </w:r>
      <w:r w:rsidR="00CE738D" w:rsidRPr="29A90341">
        <w:rPr>
          <w:rFonts w:cs="Arial"/>
          <w:lang w:eastAsia="en-AU" w:bidi="ar-SA"/>
        </w:rPr>
        <w:t>cow’s</w:t>
      </w:r>
      <w:r w:rsidR="001C0184">
        <w:rPr>
          <w:rFonts w:cs="Arial"/>
          <w:lang w:eastAsia="en-AU" w:bidi="ar-SA"/>
        </w:rPr>
        <w:t xml:space="preserve"> milk in products such as </w:t>
      </w:r>
      <w:r w:rsidR="002E4109">
        <w:rPr>
          <w:rFonts w:cs="Arial"/>
          <w:lang w:eastAsia="en-AU" w:bidi="ar-SA"/>
        </w:rPr>
        <w:t xml:space="preserve">full-fat </w:t>
      </w:r>
      <w:r w:rsidR="001C0184">
        <w:rPr>
          <w:rFonts w:cs="Arial"/>
          <w:lang w:eastAsia="en-AU" w:bidi="ar-SA"/>
        </w:rPr>
        <w:t>yoghurt, cheese and custard (NHMRC 201</w:t>
      </w:r>
      <w:r w:rsidR="00A92847">
        <w:rPr>
          <w:rFonts w:cs="Arial"/>
          <w:lang w:eastAsia="en-AU" w:bidi="ar-SA"/>
        </w:rPr>
        <w:t>2</w:t>
      </w:r>
      <w:r w:rsidR="001C0184">
        <w:rPr>
          <w:rFonts w:cs="Arial"/>
          <w:lang w:eastAsia="en-AU" w:bidi="ar-SA"/>
        </w:rPr>
        <w:t xml:space="preserve">). </w:t>
      </w:r>
      <w:r w:rsidR="009558F3">
        <w:rPr>
          <w:rFonts w:cs="Arial"/>
          <w:lang w:eastAsia="en-AU" w:bidi="ar-SA"/>
        </w:rPr>
        <w:t>In a conservative approach, a</w:t>
      </w:r>
      <w:r w:rsidR="00AD4902">
        <w:rPr>
          <w:rFonts w:cs="Arial"/>
          <w:lang w:eastAsia="en-AU" w:bidi="ar-SA"/>
        </w:rPr>
        <w:t xml:space="preserve">ssuming </w:t>
      </w:r>
      <w:r w:rsidR="00E03C17" w:rsidRPr="09C87751">
        <w:rPr>
          <w:rFonts w:cs="Arial"/>
          <w:lang w:eastAsia="en-AU" w:bidi="ar-SA"/>
        </w:rPr>
        <w:t xml:space="preserve">9 month old </w:t>
      </w:r>
      <w:r w:rsidR="0010577B">
        <w:rPr>
          <w:rFonts w:cs="Arial"/>
          <w:lang w:eastAsia="en-AU" w:bidi="ar-SA"/>
        </w:rPr>
        <w:t>infant</w:t>
      </w:r>
      <w:r w:rsidR="00096C4E">
        <w:rPr>
          <w:rFonts w:cs="Arial"/>
          <w:lang w:eastAsia="en-AU" w:bidi="ar-SA"/>
        </w:rPr>
        <w:t>s consume</w:t>
      </w:r>
      <w:r w:rsidR="005E628E">
        <w:rPr>
          <w:rFonts w:cs="Arial"/>
          <w:lang w:eastAsia="en-AU" w:bidi="ar-SA"/>
        </w:rPr>
        <w:t xml:space="preserve"> </w:t>
      </w:r>
      <w:r w:rsidR="00A060A2">
        <w:rPr>
          <w:rFonts w:cs="Arial"/>
          <w:lang w:eastAsia="en-AU" w:bidi="ar-SA"/>
        </w:rPr>
        <w:t xml:space="preserve">a mean of </w:t>
      </w:r>
      <w:r w:rsidR="005E628E">
        <w:rPr>
          <w:rFonts w:cs="Arial"/>
          <w:lang w:eastAsia="en-AU" w:bidi="ar-SA"/>
        </w:rPr>
        <w:t xml:space="preserve">707 g of </w:t>
      </w:r>
      <w:r w:rsidR="00CE738D" w:rsidRPr="29A90341">
        <w:rPr>
          <w:rFonts w:cs="Arial"/>
          <w:lang w:eastAsia="en-AU" w:bidi="ar-SA"/>
        </w:rPr>
        <w:t>cow’s</w:t>
      </w:r>
      <w:r w:rsidR="005E628E">
        <w:rPr>
          <w:rFonts w:cs="Arial"/>
          <w:lang w:eastAsia="en-AU" w:bidi="ar-SA"/>
        </w:rPr>
        <w:t xml:space="preserve"> milk </w:t>
      </w:r>
      <w:r w:rsidR="006F4BC5">
        <w:rPr>
          <w:rFonts w:cs="Arial"/>
          <w:lang w:eastAsia="en-AU" w:bidi="ar-SA"/>
        </w:rPr>
        <w:t xml:space="preserve">as </w:t>
      </w:r>
      <w:r w:rsidR="00CE738D" w:rsidRPr="29A90341">
        <w:rPr>
          <w:rFonts w:cs="Arial"/>
          <w:lang w:eastAsia="en-AU" w:bidi="ar-SA"/>
        </w:rPr>
        <w:t>cow’s</w:t>
      </w:r>
      <w:r w:rsidR="006F4BC5">
        <w:rPr>
          <w:rFonts w:cs="Arial"/>
          <w:lang w:eastAsia="en-AU" w:bidi="ar-SA"/>
        </w:rPr>
        <w:t xml:space="preserve"> milk eq</w:t>
      </w:r>
      <w:r w:rsidR="00E62E25">
        <w:rPr>
          <w:rFonts w:cs="Arial"/>
          <w:lang w:eastAsia="en-AU" w:bidi="ar-SA"/>
        </w:rPr>
        <w:t>u</w:t>
      </w:r>
      <w:r w:rsidR="006F4BC5">
        <w:rPr>
          <w:rFonts w:cs="Arial"/>
          <w:lang w:eastAsia="en-AU" w:bidi="ar-SA"/>
        </w:rPr>
        <w:t>ivalen</w:t>
      </w:r>
      <w:r w:rsidR="003D32BE">
        <w:rPr>
          <w:rFonts w:cs="Arial"/>
          <w:lang w:eastAsia="en-AU" w:bidi="ar-SA"/>
        </w:rPr>
        <w:t>ts</w:t>
      </w:r>
      <w:r w:rsidR="006F4BC5">
        <w:rPr>
          <w:rFonts w:cs="Arial"/>
          <w:lang w:eastAsia="en-AU" w:bidi="ar-SA"/>
        </w:rPr>
        <w:t xml:space="preserve"> </w:t>
      </w:r>
      <w:r w:rsidR="00B607AF">
        <w:rPr>
          <w:rFonts w:cs="Arial"/>
          <w:lang w:eastAsia="en-AU" w:bidi="ar-SA"/>
        </w:rPr>
        <w:t>(not including infant formula)</w:t>
      </w:r>
      <w:r w:rsidR="00E03C17" w:rsidRPr="09C87751">
        <w:rPr>
          <w:rFonts w:cs="Arial"/>
          <w:lang w:eastAsia="en-AU" w:bidi="ar-SA"/>
        </w:rPr>
        <w:t xml:space="preserve">, the </w:t>
      </w:r>
      <w:r w:rsidR="009C209F" w:rsidRPr="09C87751">
        <w:rPr>
          <w:rFonts w:cs="Arial"/>
          <w:lang w:eastAsia="en-AU" w:bidi="ar-SA"/>
        </w:rPr>
        <w:t>estimated</w:t>
      </w:r>
      <w:r w:rsidR="00AE61AD">
        <w:rPr>
          <w:rFonts w:cs="Arial"/>
          <w:lang w:eastAsia="en-AU" w:bidi="ar-SA"/>
        </w:rPr>
        <w:t xml:space="preserve"> mean</w:t>
      </w:r>
      <w:r w:rsidR="009C209F" w:rsidRPr="09C87751">
        <w:rPr>
          <w:rFonts w:cs="Arial"/>
          <w:lang w:eastAsia="en-AU" w:bidi="ar-SA"/>
        </w:rPr>
        <w:t xml:space="preserve"> </w:t>
      </w:r>
      <w:r w:rsidR="00ED4CCE" w:rsidRPr="09C87751">
        <w:rPr>
          <w:rFonts w:cs="Arial"/>
          <w:lang w:eastAsia="en-AU" w:bidi="ar-SA"/>
        </w:rPr>
        <w:t xml:space="preserve">dietary </w:t>
      </w:r>
      <w:r w:rsidR="005A653E">
        <w:rPr>
          <w:rFonts w:cs="Arial"/>
          <w:lang w:eastAsia="en-AU" w:bidi="ar-SA"/>
        </w:rPr>
        <w:t>intake</w:t>
      </w:r>
      <w:r w:rsidR="009C209F" w:rsidRPr="09C87751">
        <w:rPr>
          <w:rFonts w:cs="Arial"/>
          <w:lang w:eastAsia="en-AU" w:bidi="ar-SA"/>
        </w:rPr>
        <w:t xml:space="preserve"> of </w:t>
      </w:r>
      <w:proofErr w:type="spellStart"/>
      <w:r w:rsidR="009C209F" w:rsidRPr="09C87751">
        <w:rPr>
          <w:rFonts w:cs="Arial"/>
          <w:lang w:eastAsia="en-AU" w:bidi="ar-SA"/>
        </w:rPr>
        <w:t>bLf</w:t>
      </w:r>
      <w:proofErr w:type="spellEnd"/>
      <w:r w:rsidR="009C209F" w:rsidRPr="09C87751">
        <w:rPr>
          <w:rFonts w:cs="Arial"/>
          <w:lang w:eastAsia="en-AU" w:bidi="ar-SA"/>
        </w:rPr>
        <w:t xml:space="preserve"> </w:t>
      </w:r>
      <w:r w:rsidR="00034094">
        <w:rPr>
          <w:rFonts w:cs="Arial"/>
          <w:lang w:eastAsia="en-AU" w:bidi="ar-SA"/>
        </w:rPr>
        <w:t xml:space="preserve">would be </w:t>
      </w:r>
      <w:r w:rsidR="00CD155B">
        <w:rPr>
          <w:rFonts w:cs="Arial"/>
          <w:lang w:eastAsia="en-AU" w:bidi="ar-SA"/>
        </w:rPr>
        <w:t>approximately 70</w:t>
      </w:r>
      <w:r w:rsidR="00236D2C" w:rsidRPr="09C87751">
        <w:rPr>
          <w:rFonts w:cs="Arial"/>
          <w:lang w:eastAsia="en-AU" w:bidi="ar-SA"/>
        </w:rPr>
        <w:t xml:space="preserve"> mg/day</w:t>
      </w:r>
      <w:r w:rsidR="000C35BC">
        <w:rPr>
          <w:rStyle w:val="FootnoteReference"/>
          <w:rFonts w:cs="Arial"/>
          <w:lang w:eastAsia="en-AU" w:bidi="ar-SA"/>
        </w:rPr>
        <w:footnoteReference w:id="8"/>
      </w:r>
      <w:r w:rsidR="00FA5DAA">
        <w:rPr>
          <w:rFonts w:cs="Arial"/>
          <w:lang w:eastAsia="en-AU" w:bidi="ar-SA"/>
        </w:rPr>
        <w:t>.</w:t>
      </w:r>
      <w:r w:rsidR="00B7474E" w:rsidRPr="29A90341">
        <w:rPr>
          <w:rFonts w:cs="Arial"/>
          <w:lang w:eastAsia="en-AU" w:bidi="ar-SA"/>
        </w:rPr>
        <w:t xml:space="preserve"> As 9 month old</w:t>
      </w:r>
      <w:r w:rsidR="00B7474E">
        <w:rPr>
          <w:rFonts w:cs="Arial"/>
          <w:lang w:eastAsia="en-AU" w:bidi="ar-SA"/>
        </w:rPr>
        <w:t xml:space="preserve"> infants should not be consuming milk as a beverage, t</w:t>
      </w:r>
      <w:r w:rsidR="004328E8">
        <w:rPr>
          <w:rFonts w:cs="Arial"/>
          <w:lang w:eastAsia="en-AU" w:bidi="ar-SA"/>
        </w:rPr>
        <w:t>his is likely an overestimation of intake.</w:t>
      </w:r>
    </w:p>
    <w:p w14:paraId="2B5CA57E" w14:textId="77777777" w:rsidR="00B9042F" w:rsidRDefault="00B9042F" w:rsidP="00617090">
      <w:pPr>
        <w:widowControl/>
        <w:textAlignment w:val="baseline"/>
        <w:rPr>
          <w:rFonts w:cs="Arial"/>
          <w:lang w:eastAsia="en-AU" w:bidi="ar-SA"/>
        </w:rPr>
      </w:pPr>
    </w:p>
    <w:p w14:paraId="6F16AF64" w14:textId="22F657FA" w:rsidR="00DE5F78" w:rsidRPr="00BC1BDA" w:rsidRDefault="006C6DAE" w:rsidP="00617090">
      <w:pPr>
        <w:widowControl/>
        <w:textAlignment w:val="baseline"/>
        <w:rPr>
          <w:rFonts w:cs="Arial"/>
          <w:lang w:eastAsia="en-AU" w:bidi="ar-SA"/>
        </w:rPr>
      </w:pPr>
      <w:r>
        <w:rPr>
          <w:rFonts w:cs="Arial"/>
          <w:lang w:eastAsia="en-AU" w:bidi="ar-SA"/>
        </w:rPr>
        <w:t>As included in the risk assessment for A1155 (FSANZ 2019), n</w:t>
      </w:r>
      <w:r w:rsidR="00193FAE" w:rsidRPr="09C87751">
        <w:rPr>
          <w:rFonts w:cs="Arial"/>
          <w:lang w:eastAsia="en-AU" w:bidi="ar-SA"/>
        </w:rPr>
        <w:t xml:space="preserve">o child aged 2-3 years </w:t>
      </w:r>
      <w:r w:rsidR="004003DF">
        <w:rPr>
          <w:rFonts w:cs="Arial"/>
          <w:lang w:eastAsia="en-AU" w:bidi="ar-SA"/>
        </w:rPr>
        <w:t>specifically</w:t>
      </w:r>
      <w:r w:rsidR="00193FAE" w:rsidRPr="09C87751">
        <w:rPr>
          <w:rFonts w:cs="Arial"/>
          <w:lang w:eastAsia="en-AU" w:bidi="ar-SA"/>
        </w:rPr>
        <w:t xml:space="preserve"> reported eating </w:t>
      </w:r>
      <w:r w:rsidR="00CE738D">
        <w:rPr>
          <w:rFonts w:cs="Arial"/>
          <w:lang w:eastAsia="en-AU" w:bidi="ar-SA"/>
        </w:rPr>
        <w:t>goat’s</w:t>
      </w:r>
      <w:r w:rsidR="00193FAE" w:rsidRPr="09C87751">
        <w:rPr>
          <w:rFonts w:cs="Arial"/>
          <w:lang w:eastAsia="en-AU" w:bidi="ar-SA"/>
        </w:rPr>
        <w:t xml:space="preserve"> cheese or </w:t>
      </w:r>
      <w:r w:rsidR="00CE738D">
        <w:rPr>
          <w:rFonts w:cs="Arial"/>
          <w:lang w:eastAsia="en-AU" w:bidi="ar-SA"/>
        </w:rPr>
        <w:t>goat’s</w:t>
      </w:r>
      <w:r w:rsidR="00193FAE" w:rsidRPr="09C87751">
        <w:rPr>
          <w:rFonts w:cs="Arial"/>
          <w:lang w:eastAsia="en-AU" w:bidi="ar-SA"/>
        </w:rPr>
        <w:t xml:space="preserve"> milk either on its own or as an ingredient in mixed foods (e.g. salad) in the 2011-12 NNPAS. The</w:t>
      </w:r>
      <w:r w:rsidR="005E3CDE">
        <w:rPr>
          <w:rFonts w:cs="Arial"/>
          <w:lang w:eastAsia="en-AU" w:bidi="ar-SA"/>
        </w:rPr>
        <w:t>refore the</w:t>
      </w:r>
      <w:r w:rsidR="00193FAE" w:rsidRPr="09C87751">
        <w:rPr>
          <w:rFonts w:cs="Arial"/>
          <w:lang w:eastAsia="en-AU" w:bidi="ar-SA"/>
        </w:rPr>
        <w:t xml:space="preserve"> contribution of </w:t>
      </w:r>
      <w:r w:rsidR="00CE738D">
        <w:rPr>
          <w:rFonts w:cs="Arial"/>
          <w:lang w:eastAsia="en-AU" w:bidi="ar-SA"/>
        </w:rPr>
        <w:t>goat’s</w:t>
      </w:r>
      <w:r w:rsidR="00193FAE" w:rsidRPr="09C87751">
        <w:rPr>
          <w:rFonts w:cs="Arial"/>
          <w:lang w:eastAsia="en-AU" w:bidi="ar-SA"/>
        </w:rPr>
        <w:t xml:space="preserve"> milk foods to naturally occurring </w:t>
      </w:r>
      <w:proofErr w:type="spellStart"/>
      <w:r w:rsidR="00BC1BDA" w:rsidRPr="09C87751">
        <w:rPr>
          <w:rFonts w:cs="Arial"/>
          <w:lang w:eastAsia="en-AU" w:bidi="ar-SA"/>
        </w:rPr>
        <w:t>bLf</w:t>
      </w:r>
      <w:proofErr w:type="spellEnd"/>
      <w:r w:rsidR="00193FAE" w:rsidRPr="09C87751">
        <w:rPr>
          <w:rFonts w:cs="Arial"/>
          <w:lang w:eastAsia="en-AU" w:bidi="ar-SA"/>
        </w:rPr>
        <w:t xml:space="preserve"> dietary intakes is likely to be minima</w:t>
      </w:r>
      <w:r w:rsidR="00BC1BDA" w:rsidRPr="09C87751">
        <w:rPr>
          <w:rFonts w:cs="Arial"/>
          <w:lang w:eastAsia="en-AU" w:bidi="ar-SA"/>
        </w:rPr>
        <w:t>l.</w:t>
      </w:r>
    </w:p>
    <w:p w14:paraId="10D0855F" w14:textId="77777777" w:rsidR="002D2918" w:rsidRDefault="002D2918" w:rsidP="002D2918">
      <w:pPr>
        <w:pStyle w:val="FSTableTitle"/>
      </w:pPr>
    </w:p>
    <w:p w14:paraId="057BF214" w14:textId="77777777" w:rsidR="005A7A51" w:rsidRDefault="005A7A51" w:rsidP="005A7A51">
      <w:pPr>
        <w:pStyle w:val="FSTableTitle"/>
      </w:pPr>
    </w:p>
    <w:p w14:paraId="4494A091" w14:textId="415C3E1A" w:rsidR="005A7A51" w:rsidRPr="002D2918" w:rsidRDefault="005A7A51" w:rsidP="00003FB4">
      <w:pPr>
        <w:pStyle w:val="FSTableTitle"/>
      </w:pPr>
      <w:r>
        <w:t xml:space="preserve">Table 4 </w:t>
      </w:r>
      <w:r w:rsidRPr="000E2BF6">
        <w:t xml:space="preserve">Comparison of mean </w:t>
      </w:r>
      <w:proofErr w:type="spellStart"/>
      <w:r w:rsidRPr="000E2BF6">
        <w:t>Lf</w:t>
      </w:r>
      <w:proofErr w:type="spellEnd"/>
      <w:r w:rsidRPr="000E2BF6">
        <w:t xml:space="preserve"> concentrations of mature </w:t>
      </w:r>
      <w:r>
        <w:t>cow’s</w:t>
      </w:r>
      <w:r w:rsidRPr="000E2BF6">
        <w:t xml:space="preserve"> milk, </w:t>
      </w:r>
      <w:r>
        <w:t>goat’s</w:t>
      </w:r>
      <w:r w:rsidRPr="000E2BF6">
        <w:t xml:space="preserve"> milk and human milk and the proposed permissions in infant formula and follow-on formula</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2 "/>
        <w:tblDescription w:val="Comparison of mean Lf concentrations of mature cows’ milk, goats’ milk and human milk and the proposed permissions in infant formula and follow-on formula  "/>
      </w:tblPr>
      <w:tblGrid>
        <w:gridCol w:w="2685"/>
        <w:gridCol w:w="2400"/>
        <w:gridCol w:w="3960"/>
      </w:tblGrid>
      <w:tr w:rsidR="00617090" w:rsidRPr="00617090" w14:paraId="78D37F62" w14:textId="77777777" w:rsidTr="002D2918">
        <w:trPr>
          <w:trHeight w:val="1635"/>
        </w:trPr>
        <w:tc>
          <w:tcPr>
            <w:tcW w:w="2685" w:type="dxa"/>
            <w:tcBorders>
              <w:top w:val="single" w:sz="6" w:space="0" w:color="auto"/>
              <w:left w:val="single" w:sz="6" w:space="0" w:color="auto"/>
              <w:bottom w:val="single" w:sz="6" w:space="0" w:color="auto"/>
              <w:right w:val="single" w:sz="6" w:space="0" w:color="auto"/>
            </w:tcBorders>
            <w:shd w:val="clear" w:color="auto" w:fill="616571"/>
            <w:hideMark/>
          </w:tcPr>
          <w:p w14:paraId="1172146F" w14:textId="77777777" w:rsidR="00617090" w:rsidRPr="00617090" w:rsidRDefault="00617090" w:rsidP="00602BF8">
            <w:pPr>
              <w:pStyle w:val="FSTableHeading"/>
              <w:rPr>
                <w:rFonts w:ascii="Times New Roman" w:hAnsi="Times New Roman"/>
                <w:sz w:val="24"/>
                <w:lang w:val="en-AU" w:eastAsia="en-AU" w:bidi="ar-SA"/>
              </w:rPr>
            </w:pPr>
            <w:r w:rsidRPr="00617090">
              <w:rPr>
                <w:lang w:eastAsia="en-AU" w:bidi="ar-SA"/>
              </w:rPr>
              <w:t> </w:t>
            </w:r>
            <w:r w:rsidRPr="00617090">
              <w:rPr>
                <w:lang w:val="en-AU" w:eastAsia="en-AU" w:bidi="ar-SA"/>
              </w:rPr>
              <w:t> </w:t>
            </w:r>
          </w:p>
        </w:tc>
        <w:tc>
          <w:tcPr>
            <w:tcW w:w="2400" w:type="dxa"/>
            <w:tcBorders>
              <w:top w:val="single" w:sz="6" w:space="0" w:color="auto"/>
              <w:left w:val="single" w:sz="6" w:space="0" w:color="auto"/>
              <w:bottom w:val="single" w:sz="6" w:space="0" w:color="auto"/>
              <w:right w:val="single" w:sz="6" w:space="0" w:color="auto"/>
            </w:tcBorders>
            <w:shd w:val="clear" w:color="auto" w:fill="616571"/>
            <w:hideMark/>
          </w:tcPr>
          <w:p w14:paraId="6086A99C" w14:textId="65F0A3C1" w:rsidR="00617090" w:rsidRPr="00617090" w:rsidRDefault="00A75948" w:rsidP="00602BF8">
            <w:pPr>
              <w:pStyle w:val="FSTableHeading"/>
              <w:rPr>
                <w:rFonts w:ascii="Times New Roman" w:hAnsi="Times New Roman"/>
                <w:b w:val="0"/>
                <w:bCs/>
                <w:color w:val="FFFFFF"/>
                <w:sz w:val="24"/>
                <w:lang w:val="en-AU" w:eastAsia="en-AU" w:bidi="ar-SA"/>
              </w:rPr>
            </w:pPr>
            <w:r w:rsidRPr="441E6C12">
              <w:rPr>
                <w:color w:val="FFFFFF" w:themeColor="background1"/>
                <w:lang w:eastAsia="en-AU" w:bidi="ar-SA"/>
              </w:rPr>
              <w:t>Mean l</w:t>
            </w:r>
            <w:r w:rsidR="00617090" w:rsidRPr="441E6C12">
              <w:rPr>
                <w:color w:val="FFFFFF" w:themeColor="background1"/>
                <w:lang w:eastAsia="en-AU" w:bidi="ar-SA"/>
              </w:rPr>
              <w:t>actoferrin concentration (mg/L)</w:t>
            </w:r>
          </w:p>
          <w:p w14:paraId="2925A3DC" w14:textId="77777777" w:rsidR="00617090" w:rsidRPr="00617090" w:rsidRDefault="00617090" w:rsidP="00602BF8">
            <w:pPr>
              <w:pStyle w:val="FSTableHeading"/>
              <w:rPr>
                <w:rFonts w:ascii="Times New Roman" w:hAnsi="Times New Roman"/>
                <w:sz w:val="24"/>
                <w:lang w:val="en-AU" w:eastAsia="en-AU" w:bidi="ar-SA"/>
              </w:rPr>
            </w:pPr>
            <w:r w:rsidRPr="00617090">
              <w:rPr>
                <w:lang w:val="en-AU" w:eastAsia="en-AU" w:bidi="ar-SA"/>
              </w:rPr>
              <w:t> </w:t>
            </w:r>
          </w:p>
        </w:tc>
        <w:tc>
          <w:tcPr>
            <w:tcW w:w="3960" w:type="dxa"/>
            <w:tcBorders>
              <w:top w:val="single" w:sz="6" w:space="0" w:color="auto"/>
              <w:left w:val="single" w:sz="6" w:space="0" w:color="auto"/>
              <w:bottom w:val="single" w:sz="6" w:space="0" w:color="auto"/>
              <w:right w:val="single" w:sz="6" w:space="0" w:color="auto"/>
            </w:tcBorders>
            <w:shd w:val="clear" w:color="auto" w:fill="616571"/>
            <w:hideMark/>
          </w:tcPr>
          <w:p w14:paraId="240BEEC3" w14:textId="77777777" w:rsidR="00617090" w:rsidRPr="00617090" w:rsidRDefault="00617090" w:rsidP="00602BF8">
            <w:pPr>
              <w:pStyle w:val="FSTableHeading"/>
              <w:rPr>
                <w:rFonts w:ascii="Times New Roman" w:hAnsi="Times New Roman"/>
                <w:sz w:val="24"/>
                <w:lang w:val="en-AU" w:eastAsia="en-AU" w:bidi="ar-SA"/>
              </w:rPr>
            </w:pPr>
            <w:r w:rsidRPr="00602BF8">
              <w:rPr>
                <w:color w:val="FFFFFF" w:themeColor="background1"/>
                <w:lang w:eastAsia="en-AU" w:bidi="ar-SA"/>
              </w:rPr>
              <w:t>References</w:t>
            </w:r>
            <w:r w:rsidRPr="00602BF8">
              <w:rPr>
                <w:color w:val="FFFFFF" w:themeColor="background1"/>
                <w:lang w:val="en-AU" w:eastAsia="en-AU" w:bidi="ar-SA"/>
              </w:rPr>
              <w:t> </w:t>
            </w:r>
          </w:p>
        </w:tc>
      </w:tr>
      <w:tr w:rsidR="00617090" w:rsidRPr="00617090" w14:paraId="446968C7" w14:textId="77777777" w:rsidTr="002D2918">
        <w:trPr>
          <w:trHeight w:val="270"/>
        </w:trPr>
        <w:tc>
          <w:tcPr>
            <w:tcW w:w="2685" w:type="dxa"/>
            <w:tcBorders>
              <w:top w:val="single" w:sz="6" w:space="0" w:color="auto"/>
              <w:left w:val="single" w:sz="6" w:space="0" w:color="auto"/>
              <w:bottom w:val="single" w:sz="6" w:space="0" w:color="auto"/>
              <w:right w:val="single" w:sz="6" w:space="0" w:color="auto"/>
            </w:tcBorders>
            <w:shd w:val="clear" w:color="auto" w:fill="ECECEC"/>
            <w:hideMark/>
          </w:tcPr>
          <w:p w14:paraId="64CADCEB" w14:textId="74B10A26" w:rsidR="00617090" w:rsidRPr="00617090" w:rsidRDefault="00CE738D" w:rsidP="00602BF8">
            <w:pPr>
              <w:pStyle w:val="FSTableText"/>
              <w:rPr>
                <w:rFonts w:ascii="Times New Roman" w:hAnsi="Times New Roman"/>
                <w:color w:val="2E3037"/>
                <w:sz w:val="24"/>
                <w:lang w:val="en-AU" w:eastAsia="en-AU" w:bidi="ar-SA"/>
              </w:rPr>
            </w:pPr>
            <w:r w:rsidRPr="441E6C12">
              <w:rPr>
                <w:lang w:eastAsia="en-AU" w:bidi="ar-SA"/>
              </w:rPr>
              <w:t>Cow’s</w:t>
            </w:r>
            <w:r w:rsidR="00617090" w:rsidRPr="441E6C12">
              <w:rPr>
                <w:lang w:eastAsia="en-AU" w:bidi="ar-SA"/>
              </w:rPr>
              <w:t xml:space="preserve"> Milk</w:t>
            </w:r>
            <w:r w:rsidR="00617090" w:rsidRPr="441E6C12">
              <w:rPr>
                <w:lang w:val="en-AU" w:eastAsia="en-AU" w:bidi="ar-SA"/>
              </w:rPr>
              <w:t> </w:t>
            </w:r>
            <w:r w:rsidR="00F9737B" w:rsidRPr="441E6C12">
              <w:rPr>
                <w:lang w:val="en-AU" w:eastAsia="en-AU" w:bidi="ar-SA"/>
              </w:rPr>
              <w:t>(mature)</w:t>
            </w:r>
          </w:p>
        </w:tc>
        <w:tc>
          <w:tcPr>
            <w:tcW w:w="2400" w:type="dxa"/>
            <w:tcBorders>
              <w:top w:val="single" w:sz="6" w:space="0" w:color="auto"/>
              <w:left w:val="single" w:sz="6" w:space="0" w:color="auto"/>
              <w:bottom w:val="single" w:sz="6" w:space="0" w:color="auto"/>
              <w:right w:val="single" w:sz="6" w:space="0" w:color="auto"/>
            </w:tcBorders>
            <w:shd w:val="clear" w:color="auto" w:fill="ECECEC"/>
            <w:hideMark/>
          </w:tcPr>
          <w:p w14:paraId="558A0933" w14:textId="3C2FF013" w:rsidR="00617090" w:rsidRPr="00617090" w:rsidRDefault="00F44737" w:rsidP="004F5DEF">
            <w:pPr>
              <w:pStyle w:val="FSTableText"/>
              <w:jc w:val="center"/>
              <w:rPr>
                <w:rFonts w:ascii="Times New Roman" w:hAnsi="Times New Roman"/>
                <w:color w:val="2E3037"/>
                <w:sz w:val="24"/>
                <w:lang w:val="en-AU" w:eastAsia="en-AU" w:bidi="ar-SA"/>
              </w:rPr>
            </w:pPr>
            <w:r>
              <w:rPr>
                <w:color w:val="000000"/>
                <w:lang w:eastAsia="en-AU" w:bidi="ar-SA"/>
              </w:rPr>
              <w:t>80-17</w:t>
            </w:r>
            <w:r w:rsidR="00994551">
              <w:rPr>
                <w:color w:val="000000"/>
                <w:lang w:val="en-AU" w:eastAsia="en-AU" w:bidi="ar-SA"/>
              </w:rPr>
              <w:t>7</w:t>
            </w:r>
          </w:p>
        </w:tc>
        <w:tc>
          <w:tcPr>
            <w:tcW w:w="3960" w:type="dxa"/>
            <w:tcBorders>
              <w:top w:val="single" w:sz="6" w:space="0" w:color="auto"/>
              <w:left w:val="single" w:sz="6" w:space="0" w:color="auto"/>
              <w:bottom w:val="single" w:sz="6" w:space="0" w:color="auto"/>
              <w:right w:val="single" w:sz="6" w:space="0" w:color="auto"/>
            </w:tcBorders>
            <w:shd w:val="clear" w:color="auto" w:fill="ECECEC"/>
            <w:hideMark/>
          </w:tcPr>
          <w:p w14:paraId="2B8FBD99" w14:textId="594478B1" w:rsidR="00617090" w:rsidRPr="00617090" w:rsidRDefault="20C0F7A4" w:rsidP="00602BF8">
            <w:pPr>
              <w:pStyle w:val="FSTableText"/>
              <w:rPr>
                <w:rFonts w:ascii="Times New Roman" w:hAnsi="Times New Roman"/>
                <w:color w:val="2E3037"/>
                <w:sz w:val="24"/>
                <w:lang w:val="en-AU" w:eastAsia="en-AU" w:bidi="ar-SA"/>
              </w:rPr>
            </w:pPr>
            <w:r w:rsidRPr="1C95CCE8">
              <w:rPr>
                <w:color w:val="2E3037"/>
                <w:lang w:eastAsia="en-AU" w:bidi="ar-SA"/>
              </w:rPr>
              <w:t xml:space="preserve">Chen and Mao, 2004; </w:t>
            </w:r>
            <w:r w:rsidR="00617090" w:rsidRPr="1C95CCE8">
              <w:rPr>
                <w:color w:val="2E3037"/>
                <w:lang w:eastAsia="en-AU" w:bidi="ar-SA"/>
              </w:rPr>
              <w:t>Cheng et al. 2008; Hagiwara et al. 2003</w:t>
            </w:r>
            <w:r w:rsidR="001536C4" w:rsidRPr="1C95CCE8">
              <w:rPr>
                <w:color w:val="2E3037"/>
                <w:lang w:eastAsia="en-AU" w:bidi="ar-SA"/>
              </w:rPr>
              <w:t>;</w:t>
            </w:r>
            <w:r w:rsidR="4253C6E1" w:rsidRPr="1C95CCE8">
              <w:rPr>
                <w:color w:val="2E3037"/>
                <w:lang w:eastAsia="en-AU" w:bidi="ar-SA"/>
              </w:rPr>
              <w:t xml:space="preserve"> </w:t>
            </w:r>
            <w:proofErr w:type="spellStart"/>
            <w:r w:rsidR="00617090" w:rsidRPr="1C95CCE8">
              <w:rPr>
                <w:color w:val="2E3037"/>
                <w:lang w:eastAsia="en-AU" w:bidi="ar-SA"/>
              </w:rPr>
              <w:t>Rainard</w:t>
            </w:r>
            <w:proofErr w:type="spellEnd"/>
            <w:r w:rsidR="00617090" w:rsidRPr="1C95CCE8">
              <w:rPr>
                <w:color w:val="2E3037"/>
                <w:lang w:eastAsia="en-AU" w:bidi="ar-SA"/>
              </w:rPr>
              <w:t xml:space="preserve"> et al. 1982</w:t>
            </w:r>
            <w:r w:rsidR="00617090" w:rsidRPr="1C95CCE8">
              <w:rPr>
                <w:color w:val="2E3037"/>
                <w:lang w:val="en-AU" w:eastAsia="en-AU" w:bidi="ar-SA"/>
              </w:rPr>
              <w:t> </w:t>
            </w:r>
          </w:p>
        </w:tc>
      </w:tr>
      <w:tr w:rsidR="00617090" w:rsidRPr="00617090" w14:paraId="260EBB62" w14:textId="77777777" w:rsidTr="002D2918">
        <w:trPr>
          <w:trHeight w:val="27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AE57E1A" w14:textId="2FC3DEF6" w:rsidR="00617090" w:rsidRPr="00617090" w:rsidRDefault="00CE738D" w:rsidP="00602BF8">
            <w:pPr>
              <w:pStyle w:val="FSTableText"/>
              <w:rPr>
                <w:rFonts w:ascii="Times New Roman" w:hAnsi="Times New Roman"/>
                <w:color w:val="2E3037"/>
                <w:sz w:val="24"/>
                <w:lang w:val="en-AU" w:eastAsia="en-AU" w:bidi="ar-SA"/>
              </w:rPr>
            </w:pPr>
            <w:r w:rsidRPr="1DF23D1D">
              <w:rPr>
                <w:lang w:eastAsia="en-AU" w:bidi="ar-SA"/>
              </w:rPr>
              <w:t>Goat’s</w:t>
            </w:r>
            <w:r w:rsidR="00364D06" w:rsidRPr="1DF23D1D">
              <w:rPr>
                <w:lang w:eastAsia="en-AU" w:bidi="ar-SA"/>
              </w:rPr>
              <w:t xml:space="preserve"> </w:t>
            </w:r>
            <w:r w:rsidR="00617090" w:rsidRPr="1DF23D1D">
              <w:rPr>
                <w:lang w:eastAsia="en-AU" w:bidi="ar-SA"/>
              </w:rPr>
              <w:t>Milk</w:t>
            </w:r>
            <w:r w:rsidR="00617090" w:rsidRPr="1DF23D1D">
              <w:rPr>
                <w:lang w:val="en-AU" w:eastAsia="en-AU" w:bidi="ar-SA"/>
              </w:rPr>
              <w:t> </w:t>
            </w:r>
            <w:r w:rsidR="00652399" w:rsidRPr="1DF23D1D">
              <w:rPr>
                <w:lang w:val="en-AU" w:eastAsia="en-AU" w:bidi="ar-SA"/>
              </w:rPr>
              <w:t>and Sheep Milk</w:t>
            </w:r>
            <w:r w:rsidR="0C9A03B6" w:rsidRPr="1DF23D1D">
              <w:rPr>
                <w:lang w:val="en-AU" w:eastAsia="en-AU" w:bidi="ar-SA"/>
              </w:rPr>
              <w:t xml:space="preserve"> </w:t>
            </w:r>
            <w:r w:rsidR="0C9A03B6" w:rsidRPr="6666BEF2">
              <w:rPr>
                <w:lang w:val="en-AU" w:eastAsia="en-AU" w:bidi="ar-SA"/>
              </w:rPr>
              <w:t>(mature</w:t>
            </w:r>
            <w:r w:rsidR="0C9A03B6" w:rsidRPr="1DF23D1D">
              <w:rPr>
                <w:lang w:val="en-AU" w:eastAsia="en-AU" w:bidi="ar-SA"/>
              </w:rPr>
              <w:t>)</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1235CD2" w14:textId="7676FE5A" w:rsidR="00617090" w:rsidRPr="00617090" w:rsidRDefault="001639AD" w:rsidP="004F5DEF">
            <w:pPr>
              <w:pStyle w:val="FSTableText"/>
              <w:jc w:val="center"/>
              <w:rPr>
                <w:rFonts w:ascii="Times New Roman" w:hAnsi="Times New Roman"/>
                <w:color w:val="2E3037"/>
                <w:sz w:val="24"/>
                <w:lang w:val="en-AU" w:eastAsia="en-AU" w:bidi="ar-SA"/>
              </w:rPr>
            </w:pPr>
            <w:r>
              <w:rPr>
                <w:color w:val="000000"/>
                <w:lang w:eastAsia="en-AU" w:bidi="ar-SA"/>
              </w:rPr>
              <w:t>17-166</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74ACD906" w14:textId="20A7FB42" w:rsidR="00617090" w:rsidRPr="00617090" w:rsidRDefault="00617090" w:rsidP="00602BF8">
            <w:pPr>
              <w:pStyle w:val="FSTableText"/>
              <w:rPr>
                <w:rFonts w:ascii="Times New Roman" w:hAnsi="Times New Roman"/>
                <w:color w:val="2E3037"/>
                <w:sz w:val="24"/>
                <w:lang w:val="en-AU" w:eastAsia="en-AU" w:bidi="ar-SA"/>
              </w:rPr>
            </w:pPr>
            <w:r w:rsidRPr="1C95CCE8">
              <w:rPr>
                <w:color w:val="2E3037"/>
                <w:lang w:eastAsia="en-AU" w:bidi="ar-SA"/>
              </w:rPr>
              <w:t xml:space="preserve">Chen </w:t>
            </w:r>
            <w:r w:rsidR="6A37AA8D" w:rsidRPr="1C95CCE8">
              <w:rPr>
                <w:color w:val="2E3037"/>
                <w:lang w:eastAsia="en-AU" w:bidi="ar-SA"/>
              </w:rPr>
              <w:t>and Mao</w:t>
            </w:r>
            <w:r w:rsidRPr="1C95CCE8">
              <w:rPr>
                <w:color w:val="2E3037"/>
                <w:lang w:eastAsia="en-AU" w:bidi="ar-SA"/>
              </w:rPr>
              <w:t>, 2004; Hiss et al. 2008</w:t>
            </w:r>
            <w:r w:rsidR="001536C4" w:rsidRPr="1C95CCE8">
              <w:rPr>
                <w:color w:val="2E3037"/>
                <w:lang w:eastAsia="en-AU" w:bidi="ar-SA"/>
              </w:rPr>
              <w:t>;</w:t>
            </w:r>
            <w:r w:rsidR="4F9FF487" w:rsidRPr="1C95CCE8">
              <w:rPr>
                <w:color w:val="2E3037"/>
                <w:lang w:eastAsia="en-AU" w:bidi="ar-SA"/>
              </w:rPr>
              <w:t xml:space="preserve"> El</w:t>
            </w:r>
            <w:r w:rsidR="0C45B0F3" w:rsidRPr="1C95CCE8">
              <w:rPr>
                <w:color w:val="2E3037"/>
                <w:lang w:eastAsia="en-AU" w:bidi="ar-SA"/>
              </w:rPr>
              <w:t>-</w:t>
            </w:r>
            <w:proofErr w:type="spellStart"/>
            <w:r w:rsidR="0C45B0F3" w:rsidRPr="1C95CCE8">
              <w:rPr>
                <w:color w:val="2E3037"/>
                <w:lang w:eastAsia="en-AU" w:bidi="ar-SA"/>
              </w:rPr>
              <w:t>Hawiet</w:t>
            </w:r>
            <w:proofErr w:type="spellEnd"/>
            <w:r w:rsidR="0C45B0F3" w:rsidRPr="1C95CCE8">
              <w:rPr>
                <w:color w:val="2E3037"/>
                <w:lang w:eastAsia="en-AU" w:bidi="ar-SA"/>
              </w:rPr>
              <w:t xml:space="preserve"> 2017; </w:t>
            </w:r>
            <w:r w:rsidRPr="1C95CCE8">
              <w:rPr>
                <w:color w:val="2E3037"/>
                <w:lang w:eastAsia="en-AU" w:bidi="ar-SA"/>
              </w:rPr>
              <w:t>Nisbet et al. 2013</w:t>
            </w:r>
            <w:r w:rsidR="4A08A065" w:rsidRPr="1C95CCE8">
              <w:rPr>
                <w:color w:val="2E3037"/>
                <w:lang w:eastAsia="en-AU" w:bidi="ar-SA"/>
              </w:rPr>
              <w:t>; Wang et al</w:t>
            </w:r>
            <w:r w:rsidR="43AB91E2" w:rsidRPr="1C95CCE8">
              <w:rPr>
                <w:color w:val="2E3037"/>
                <w:lang w:eastAsia="en-AU" w:bidi="ar-SA"/>
              </w:rPr>
              <w:t>. 2018</w:t>
            </w:r>
            <w:r w:rsidRPr="1C95CCE8">
              <w:rPr>
                <w:color w:val="2E3037"/>
                <w:lang w:val="en-AU" w:eastAsia="en-AU" w:bidi="ar-SA"/>
              </w:rPr>
              <w:t> </w:t>
            </w:r>
          </w:p>
        </w:tc>
      </w:tr>
      <w:tr w:rsidR="005E3CDE" w:rsidRPr="00617090" w14:paraId="1A4E9D58" w14:textId="77777777" w:rsidTr="002D2918">
        <w:trPr>
          <w:trHeight w:val="270"/>
        </w:trPr>
        <w:tc>
          <w:tcPr>
            <w:tcW w:w="2685" w:type="dxa"/>
            <w:tcBorders>
              <w:top w:val="single" w:sz="6" w:space="0" w:color="auto"/>
              <w:left w:val="single" w:sz="6" w:space="0" w:color="auto"/>
              <w:bottom w:val="single" w:sz="6" w:space="0" w:color="auto"/>
              <w:right w:val="single" w:sz="6" w:space="0" w:color="auto"/>
            </w:tcBorders>
            <w:shd w:val="clear" w:color="auto" w:fill="ECECEC"/>
          </w:tcPr>
          <w:p w14:paraId="53C8F0C4" w14:textId="6145C343" w:rsidR="005E3CDE" w:rsidRPr="00617090" w:rsidRDefault="005E3CDE" w:rsidP="00602BF8">
            <w:pPr>
              <w:pStyle w:val="FSTableText"/>
              <w:rPr>
                <w:color w:val="2E3037"/>
                <w:lang w:eastAsia="en-AU" w:bidi="ar-SA"/>
              </w:rPr>
            </w:pPr>
            <w:r w:rsidRPr="1C95CCE8">
              <w:rPr>
                <w:color w:val="2E3037"/>
                <w:lang w:eastAsia="en-AU" w:bidi="ar-SA"/>
              </w:rPr>
              <w:t>Infant formula / follow on formula (unfortified)</w:t>
            </w:r>
          </w:p>
        </w:tc>
        <w:tc>
          <w:tcPr>
            <w:tcW w:w="2400" w:type="dxa"/>
            <w:tcBorders>
              <w:top w:val="single" w:sz="6" w:space="0" w:color="auto"/>
              <w:left w:val="single" w:sz="6" w:space="0" w:color="auto"/>
              <w:bottom w:val="single" w:sz="6" w:space="0" w:color="auto"/>
              <w:right w:val="single" w:sz="6" w:space="0" w:color="auto"/>
            </w:tcBorders>
            <w:shd w:val="clear" w:color="auto" w:fill="ECECEC"/>
          </w:tcPr>
          <w:p w14:paraId="5EC97002" w14:textId="4E08C632" w:rsidR="005E3CDE" w:rsidRPr="00617090" w:rsidRDefault="005E3CDE" w:rsidP="004F5DEF">
            <w:pPr>
              <w:pStyle w:val="FSTableText"/>
              <w:jc w:val="center"/>
              <w:rPr>
                <w:color w:val="000000"/>
                <w:lang w:eastAsia="en-AU" w:bidi="ar-SA"/>
              </w:rPr>
            </w:pPr>
            <w:r>
              <w:rPr>
                <w:color w:val="000000"/>
                <w:lang w:eastAsia="en-AU" w:bidi="ar-SA"/>
              </w:rPr>
              <w:t>10-27</w:t>
            </w:r>
          </w:p>
        </w:tc>
        <w:tc>
          <w:tcPr>
            <w:tcW w:w="3960" w:type="dxa"/>
            <w:tcBorders>
              <w:top w:val="single" w:sz="6" w:space="0" w:color="auto"/>
              <w:left w:val="single" w:sz="6" w:space="0" w:color="auto"/>
              <w:bottom w:val="single" w:sz="6" w:space="0" w:color="auto"/>
              <w:right w:val="single" w:sz="6" w:space="0" w:color="auto"/>
            </w:tcBorders>
            <w:shd w:val="clear" w:color="auto" w:fill="ECECEC"/>
          </w:tcPr>
          <w:p w14:paraId="70DAF0A3" w14:textId="61A324E0" w:rsidR="005E3CDE" w:rsidRPr="001A64A9" w:rsidRDefault="005E3CDE" w:rsidP="00602BF8">
            <w:pPr>
              <w:pStyle w:val="FSTableText"/>
              <w:rPr>
                <w:color w:val="2E3037"/>
                <w:lang w:val="en-AU" w:eastAsia="en-AU" w:bidi="ar-SA"/>
              </w:rPr>
            </w:pPr>
            <w:r>
              <w:rPr>
                <w:color w:val="2E3037"/>
                <w:lang w:val="en-AU" w:eastAsia="en-AU" w:bidi="ar-SA"/>
              </w:rPr>
              <w:t>From</w:t>
            </w:r>
            <w:r w:rsidR="00994551">
              <w:rPr>
                <w:color w:val="2E3037"/>
                <w:lang w:val="en-AU" w:eastAsia="en-AU" w:bidi="ar-SA"/>
              </w:rPr>
              <w:t xml:space="preserve"> the</w:t>
            </w:r>
            <w:r>
              <w:rPr>
                <w:color w:val="2E3037"/>
                <w:lang w:val="en-AU" w:eastAsia="en-AU" w:bidi="ar-SA"/>
              </w:rPr>
              <w:t xml:space="preserve"> </w:t>
            </w:r>
            <w:r w:rsidR="00BB0ADD">
              <w:rPr>
                <w:color w:val="2E3037"/>
                <w:lang w:val="en-AU" w:eastAsia="en-AU" w:bidi="ar-SA"/>
              </w:rPr>
              <w:t>Application</w:t>
            </w:r>
          </w:p>
        </w:tc>
      </w:tr>
      <w:tr w:rsidR="00617090" w:rsidRPr="00617090" w14:paraId="704C07E8" w14:textId="77777777" w:rsidTr="00EF759B">
        <w:trPr>
          <w:trHeight w:val="27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E37705A" w14:textId="4DBDC47F" w:rsidR="00617090" w:rsidRPr="00617090" w:rsidRDefault="00617090" w:rsidP="00602BF8">
            <w:pPr>
              <w:pStyle w:val="FSTableText"/>
              <w:rPr>
                <w:rFonts w:ascii="Times New Roman" w:hAnsi="Times New Roman"/>
                <w:color w:val="2E3037"/>
                <w:sz w:val="24"/>
                <w:lang w:val="en-AU" w:eastAsia="en-AU" w:bidi="ar-SA"/>
              </w:rPr>
            </w:pPr>
            <w:r w:rsidRPr="00617090">
              <w:rPr>
                <w:color w:val="2E3037"/>
                <w:lang w:eastAsia="en-AU" w:bidi="ar-SA"/>
              </w:rPr>
              <w:t>Infant formula / follow on formula</w:t>
            </w:r>
            <w:r w:rsidR="001A64A9">
              <w:rPr>
                <w:color w:val="2E3037"/>
                <w:lang w:eastAsia="en-AU" w:bidi="ar-SA"/>
              </w:rPr>
              <w:t xml:space="preserve"> (proposed)</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FDDE6B0" w14:textId="4645FE0C" w:rsidR="00617090" w:rsidRPr="00617090" w:rsidRDefault="00617090" w:rsidP="004F5DEF">
            <w:pPr>
              <w:pStyle w:val="FSTableText"/>
              <w:jc w:val="center"/>
              <w:rPr>
                <w:rFonts w:ascii="Times New Roman" w:hAnsi="Times New Roman"/>
                <w:color w:val="2E3037"/>
                <w:sz w:val="24"/>
                <w:lang w:val="en-AU" w:eastAsia="en-AU" w:bidi="ar-SA"/>
              </w:rPr>
            </w:pPr>
            <w:r w:rsidRPr="00617090">
              <w:rPr>
                <w:color w:val="000000"/>
                <w:lang w:eastAsia="en-AU" w:bidi="ar-SA"/>
              </w:rPr>
              <w:t>1109</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0EE7DE68" w14:textId="7BD55F45" w:rsidR="00617090" w:rsidRPr="001A64A9" w:rsidRDefault="371B74B2" w:rsidP="00602BF8">
            <w:pPr>
              <w:pStyle w:val="FSTableText"/>
              <w:rPr>
                <w:rFonts w:ascii="Times New Roman" w:hAnsi="Times New Roman"/>
                <w:color w:val="2E3037"/>
                <w:lang w:val="en-AU" w:eastAsia="en-AU" w:bidi="ar-SA"/>
              </w:rPr>
            </w:pPr>
            <w:r w:rsidRPr="7B6CE6C8">
              <w:rPr>
                <w:color w:val="2E3037"/>
                <w:lang w:val="en-AU" w:eastAsia="en-AU" w:bidi="ar-SA"/>
              </w:rPr>
              <w:t xml:space="preserve">Calculated from the proposed </w:t>
            </w:r>
            <w:r w:rsidR="2F9627F3" w:rsidRPr="7B6CE6C8">
              <w:rPr>
                <w:color w:val="2E3037"/>
                <w:lang w:val="en-AU" w:eastAsia="en-AU" w:bidi="ar-SA"/>
              </w:rPr>
              <w:t>maximum</w:t>
            </w:r>
            <w:r w:rsidR="0ACFEEEF" w:rsidRPr="7B6CE6C8">
              <w:rPr>
                <w:color w:val="2E3037"/>
                <w:lang w:val="en-AU" w:eastAsia="en-AU" w:bidi="ar-SA"/>
              </w:rPr>
              <w:t xml:space="preserve"> permitted amount</w:t>
            </w:r>
            <w:r w:rsidRPr="7B6CE6C8">
              <w:rPr>
                <w:color w:val="2E3037"/>
                <w:lang w:val="en-AU" w:eastAsia="en-AU" w:bidi="ar-SA"/>
              </w:rPr>
              <w:t xml:space="preserve"> in the </w:t>
            </w:r>
            <w:r w:rsidR="00BB0ADD">
              <w:rPr>
                <w:color w:val="2E3037"/>
                <w:lang w:val="en-AU" w:eastAsia="en-AU" w:bidi="ar-SA"/>
              </w:rPr>
              <w:t>Application</w:t>
            </w:r>
          </w:p>
        </w:tc>
      </w:tr>
      <w:tr w:rsidR="00617090" w:rsidRPr="00617090" w14:paraId="07D163E0" w14:textId="77777777" w:rsidTr="00EF759B">
        <w:trPr>
          <w:trHeight w:val="270"/>
        </w:trPr>
        <w:tc>
          <w:tcPr>
            <w:tcW w:w="2685" w:type="dxa"/>
            <w:tcBorders>
              <w:top w:val="single" w:sz="6" w:space="0" w:color="auto"/>
              <w:left w:val="single" w:sz="6" w:space="0" w:color="auto"/>
              <w:bottom w:val="single" w:sz="6" w:space="0" w:color="auto"/>
              <w:right w:val="single" w:sz="6" w:space="0" w:color="auto"/>
            </w:tcBorders>
            <w:shd w:val="clear" w:color="auto" w:fill="ECECEC"/>
            <w:hideMark/>
          </w:tcPr>
          <w:p w14:paraId="2FD83E1A" w14:textId="14D1B285" w:rsidR="00617090" w:rsidRPr="00617090" w:rsidRDefault="00617090" w:rsidP="00602BF8">
            <w:pPr>
              <w:pStyle w:val="FSTableText"/>
              <w:rPr>
                <w:rFonts w:ascii="Times New Roman" w:hAnsi="Times New Roman"/>
                <w:color w:val="2E3037"/>
                <w:sz w:val="24"/>
                <w:lang w:val="en-AU" w:eastAsia="en-AU" w:bidi="ar-SA"/>
              </w:rPr>
            </w:pPr>
            <w:r w:rsidRPr="450CD230">
              <w:rPr>
                <w:lang w:eastAsia="en-AU" w:bidi="ar-SA"/>
              </w:rPr>
              <w:t>Human milk</w:t>
            </w:r>
            <w:r w:rsidRPr="450CD230">
              <w:rPr>
                <w:lang w:val="en-AU" w:eastAsia="en-AU" w:bidi="ar-SA"/>
              </w:rPr>
              <w:t> </w:t>
            </w:r>
            <w:r w:rsidR="00F9737B" w:rsidRPr="450CD230">
              <w:rPr>
                <w:lang w:val="en-AU" w:eastAsia="en-AU" w:bidi="ar-SA"/>
              </w:rPr>
              <w:t>(mature)</w:t>
            </w:r>
          </w:p>
        </w:tc>
        <w:tc>
          <w:tcPr>
            <w:tcW w:w="2400" w:type="dxa"/>
            <w:tcBorders>
              <w:top w:val="single" w:sz="6" w:space="0" w:color="auto"/>
              <w:left w:val="single" w:sz="6" w:space="0" w:color="auto"/>
              <w:bottom w:val="single" w:sz="6" w:space="0" w:color="auto"/>
              <w:right w:val="single" w:sz="6" w:space="0" w:color="auto"/>
            </w:tcBorders>
            <w:shd w:val="clear" w:color="auto" w:fill="ECECEC"/>
            <w:hideMark/>
          </w:tcPr>
          <w:p w14:paraId="15D337CD" w14:textId="062FE529" w:rsidR="00617090" w:rsidRPr="00617090" w:rsidRDefault="00617090" w:rsidP="004F5DEF">
            <w:pPr>
              <w:pStyle w:val="FSTableText"/>
              <w:jc w:val="center"/>
              <w:rPr>
                <w:rFonts w:ascii="Times New Roman" w:hAnsi="Times New Roman"/>
                <w:color w:val="2E3037"/>
                <w:sz w:val="24"/>
                <w:lang w:val="en-AU" w:eastAsia="en-AU" w:bidi="ar-SA"/>
              </w:rPr>
            </w:pPr>
            <w:r w:rsidRPr="1C95CCE8">
              <w:rPr>
                <w:lang w:eastAsia="en-AU" w:bidi="ar-SA"/>
              </w:rPr>
              <w:t>1</w:t>
            </w:r>
            <w:r w:rsidR="682914DA" w:rsidRPr="1C95CCE8">
              <w:rPr>
                <w:lang w:eastAsia="en-AU" w:bidi="ar-SA"/>
              </w:rPr>
              <w:t>230</w:t>
            </w:r>
            <w:r w:rsidRPr="1C95CCE8">
              <w:rPr>
                <w:lang w:eastAsia="en-AU" w:bidi="ar-SA"/>
              </w:rPr>
              <w:t>-</w:t>
            </w:r>
            <w:r w:rsidR="0074706D" w:rsidRPr="1C95CCE8">
              <w:rPr>
                <w:lang w:eastAsia="en-AU" w:bidi="ar-SA"/>
              </w:rPr>
              <w:t>3390</w:t>
            </w:r>
          </w:p>
        </w:tc>
        <w:tc>
          <w:tcPr>
            <w:tcW w:w="3960" w:type="dxa"/>
            <w:tcBorders>
              <w:top w:val="single" w:sz="6" w:space="0" w:color="auto"/>
              <w:left w:val="single" w:sz="6" w:space="0" w:color="auto"/>
              <w:bottom w:val="single" w:sz="6" w:space="0" w:color="auto"/>
              <w:right w:val="single" w:sz="6" w:space="0" w:color="auto"/>
            </w:tcBorders>
            <w:shd w:val="clear" w:color="auto" w:fill="ECECEC"/>
            <w:hideMark/>
          </w:tcPr>
          <w:p w14:paraId="63106A78" w14:textId="31DACC35" w:rsidR="00617090" w:rsidRPr="00617090" w:rsidRDefault="00617090" w:rsidP="00602BF8">
            <w:pPr>
              <w:pStyle w:val="FSTableText"/>
              <w:rPr>
                <w:rFonts w:ascii="Times New Roman" w:hAnsi="Times New Roman"/>
                <w:color w:val="2E3037"/>
                <w:sz w:val="24"/>
                <w:lang w:val="en-AU" w:eastAsia="en-AU" w:bidi="ar-SA"/>
              </w:rPr>
            </w:pPr>
            <w:proofErr w:type="spellStart"/>
            <w:r w:rsidRPr="1C95CCE8">
              <w:rPr>
                <w:color w:val="2E3037"/>
                <w:lang w:eastAsia="en-AU" w:bidi="ar-SA"/>
              </w:rPr>
              <w:t>Czosnykowska</w:t>
            </w:r>
            <w:r w:rsidR="330AF724" w:rsidRPr="1C95CCE8">
              <w:rPr>
                <w:color w:val="2E3037"/>
                <w:lang w:eastAsia="en-AU" w:bidi="ar-SA"/>
              </w:rPr>
              <w:t>-</w:t>
            </w:r>
            <w:r w:rsidR="3B1472C0" w:rsidRPr="1C95CCE8">
              <w:rPr>
                <w:color w:val="2E3037"/>
                <w:lang w:eastAsia="en-AU" w:bidi="ar-SA"/>
              </w:rPr>
              <w:t>Lukacka</w:t>
            </w:r>
            <w:proofErr w:type="spellEnd"/>
            <w:r w:rsidRPr="1C95CCE8">
              <w:rPr>
                <w:color w:val="2E3037"/>
                <w:lang w:eastAsia="en-AU" w:bidi="ar-SA"/>
              </w:rPr>
              <w:t xml:space="preserve"> et al. 2019; Goldsmith et al.1983; Hirai et al. 1990; Houghton et al.</w:t>
            </w:r>
            <w:r w:rsidR="4C803E94" w:rsidRPr="1C95CCE8">
              <w:rPr>
                <w:color w:val="2E3037"/>
                <w:lang w:eastAsia="en-AU" w:bidi="ar-SA"/>
              </w:rPr>
              <w:t xml:space="preserve">1985; </w:t>
            </w:r>
            <w:r w:rsidRPr="1C95CCE8">
              <w:rPr>
                <w:color w:val="2E3037"/>
                <w:lang w:eastAsia="en-AU" w:bidi="ar-SA"/>
              </w:rPr>
              <w:t xml:space="preserve">Lien et al. 2004; </w:t>
            </w:r>
            <w:proofErr w:type="spellStart"/>
            <w:r w:rsidRPr="1C95CCE8">
              <w:rPr>
                <w:color w:val="2E3037"/>
                <w:lang w:eastAsia="en-AU" w:bidi="ar-SA"/>
              </w:rPr>
              <w:t>Mastromarino</w:t>
            </w:r>
            <w:proofErr w:type="spellEnd"/>
            <w:r w:rsidRPr="1C95CCE8">
              <w:rPr>
                <w:color w:val="2E3037"/>
                <w:lang w:eastAsia="en-AU" w:bidi="ar-SA"/>
              </w:rPr>
              <w:t xml:space="preserve"> et al. 2014; Rai et al. 2014; Mo</w:t>
            </w:r>
            <w:r w:rsidR="006F2EE0" w:rsidRPr="1C95CCE8">
              <w:rPr>
                <w:color w:val="2E3037"/>
                <w:lang w:eastAsia="en-AU" w:bidi="ar-SA"/>
              </w:rPr>
              <w:t>n</w:t>
            </w:r>
            <w:r w:rsidRPr="1C95CCE8">
              <w:rPr>
                <w:color w:val="2E3037"/>
                <w:lang w:eastAsia="en-AU" w:bidi="ar-SA"/>
              </w:rPr>
              <w:t>tagne et al. 2001; Liu et al. 2022</w:t>
            </w:r>
            <w:r w:rsidRPr="1C95CCE8">
              <w:rPr>
                <w:color w:val="2E3037"/>
                <w:lang w:val="en-AU" w:eastAsia="en-AU" w:bidi="ar-SA"/>
              </w:rPr>
              <w:t> </w:t>
            </w:r>
          </w:p>
        </w:tc>
      </w:tr>
    </w:tbl>
    <w:p w14:paraId="06F13988" w14:textId="77777777" w:rsidR="00617090" w:rsidRPr="0082002F" w:rsidRDefault="00617090" w:rsidP="00575932">
      <w:pPr>
        <w:keepNext/>
        <w:keepLines/>
        <w:widowControl/>
        <w:textAlignment w:val="baseline"/>
        <w:rPr>
          <w:rFonts w:cs="Arial"/>
          <w:szCs w:val="22"/>
          <w:lang w:val="en-AU" w:eastAsia="en-AU" w:bidi="ar-SA"/>
        </w:rPr>
      </w:pPr>
      <w:r w:rsidRPr="0082002F">
        <w:rPr>
          <w:rFonts w:cs="Arial"/>
          <w:szCs w:val="22"/>
          <w:lang w:val="en-AU" w:eastAsia="en-AU" w:bidi="ar-SA"/>
        </w:rPr>
        <w:t> </w:t>
      </w:r>
    </w:p>
    <w:p w14:paraId="6F38CFE0" w14:textId="71FF59E4" w:rsidR="00617090" w:rsidRPr="0082002F" w:rsidRDefault="001D23BB" w:rsidP="00AC6333">
      <w:pPr>
        <w:pStyle w:val="Heading4"/>
        <w:rPr>
          <w:lang w:eastAsia="en-AU"/>
        </w:rPr>
      </w:pPr>
      <w:r>
        <w:rPr>
          <w:lang w:eastAsia="en-AU"/>
        </w:rPr>
        <w:t>3.3.2.3</w:t>
      </w:r>
      <w:r w:rsidR="009B216C">
        <w:rPr>
          <w:lang w:eastAsia="en-AU"/>
        </w:rPr>
        <w:tab/>
      </w:r>
      <w:r w:rsidR="00617090" w:rsidRPr="00617090">
        <w:rPr>
          <w:lang w:eastAsia="en-AU"/>
        </w:rPr>
        <w:t>Assumptions and limitations of the dietary intake assessment  </w:t>
      </w:r>
    </w:p>
    <w:p w14:paraId="718BAA6D" w14:textId="71E93A37" w:rsidR="00617090" w:rsidRPr="0082002F" w:rsidRDefault="00617090" w:rsidP="00AC6333">
      <w:pPr>
        <w:keepNext/>
        <w:keepLines/>
        <w:widowControl/>
        <w:textAlignment w:val="baseline"/>
        <w:rPr>
          <w:rFonts w:cs="Arial"/>
          <w:szCs w:val="22"/>
          <w:lang w:eastAsia="en-AU" w:bidi="ar-SA"/>
        </w:rPr>
      </w:pPr>
      <w:r w:rsidRPr="00617090">
        <w:rPr>
          <w:rFonts w:cs="Arial"/>
          <w:szCs w:val="22"/>
          <w:lang w:eastAsia="en-AU" w:bidi="ar-SA"/>
        </w:rPr>
        <w:t xml:space="preserve">The aim of the dietary intake assessment was to make the most realistic estimation of dietary intakes of </w:t>
      </w:r>
      <w:proofErr w:type="spellStart"/>
      <w:r w:rsidRPr="00617090">
        <w:rPr>
          <w:rFonts w:cs="Arial"/>
          <w:szCs w:val="22"/>
          <w:lang w:eastAsia="en-AU" w:bidi="ar-SA"/>
        </w:rPr>
        <w:t>bLf</w:t>
      </w:r>
      <w:proofErr w:type="spellEnd"/>
      <w:r w:rsidRPr="00617090">
        <w:rPr>
          <w:rFonts w:cs="Arial"/>
          <w:szCs w:val="22"/>
          <w:lang w:eastAsia="en-AU" w:bidi="ar-SA"/>
        </w:rPr>
        <w:t xml:space="preserve"> as possible. However, where significant uncertainties in the data existed, conservative assumptions were generally used to ensure that the estimated dietary intake was not an underestimate of intake. </w:t>
      </w:r>
    </w:p>
    <w:p w14:paraId="161600BA" w14:textId="62B0BE4D" w:rsidR="00617090" w:rsidRPr="0082002F" w:rsidRDefault="00617090" w:rsidP="0082002F">
      <w:pPr>
        <w:rPr>
          <w:lang w:eastAsia="en-AU" w:bidi="ar-SA"/>
        </w:rPr>
      </w:pPr>
      <w:r w:rsidRPr="00617090">
        <w:rPr>
          <w:lang w:eastAsia="en-AU" w:bidi="ar-SA"/>
        </w:rPr>
        <w:t> </w:t>
      </w:r>
    </w:p>
    <w:p w14:paraId="65268D0D" w14:textId="3F61223F" w:rsidR="00617090" w:rsidRPr="0082002F" w:rsidRDefault="00617090" w:rsidP="0082002F">
      <w:pPr>
        <w:rPr>
          <w:lang w:eastAsia="en-AU" w:bidi="ar-SA"/>
        </w:rPr>
      </w:pPr>
      <w:r w:rsidRPr="00617090">
        <w:rPr>
          <w:lang w:eastAsia="en-AU" w:bidi="ar-SA"/>
        </w:rPr>
        <w:t>Assumptions made in the dietary intake assessment included: </w:t>
      </w:r>
    </w:p>
    <w:p w14:paraId="12FE0F61" w14:textId="63545BD7" w:rsidR="00617090" w:rsidRPr="0082002F" w:rsidRDefault="00617090" w:rsidP="0082002F">
      <w:pPr>
        <w:rPr>
          <w:lang w:eastAsia="en-AU" w:bidi="ar-SA"/>
        </w:rPr>
      </w:pPr>
      <w:r w:rsidRPr="00617090">
        <w:rPr>
          <w:lang w:eastAsia="en-AU" w:bidi="ar-SA"/>
        </w:rPr>
        <w:t> </w:t>
      </w:r>
    </w:p>
    <w:p w14:paraId="37A0C60B" w14:textId="2417453D" w:rsidR="00617090" w:rsidRPr="001D23BB" w:rsidRDefault="00617090" w:rsidP="001D23BB">
      <w:pPr>
        <w:pStyle w:val="ListParagraph"/>
        <w:widowControl/>
        <w:numPr>
          <w:ilvl w:val="0"/>
          <w:numId w:val="9"/>
        </w:numPr>
        <w:textAlignment w:val="baseline"/>
        <w:rPr>
          <w:rFonts w:cs="Arial"/>
          <w:szCs w:val="22"/>
          <w:lang w:val="en-AU" w:eastAsia="en-AU" w:bidi="ar-SA"/>
        </w:rPr>
      </w:pPr>
      <w:r w:rsidRPr="001D23BB">
        <w:rPr>
          <w:rFonts w:cs="Arial"/>
          <w:szCs w:val="22"/>
          <w:lang w:eastAsia="en-AU" w:bidi="ar-SA"/>
        </w:rPr>
        <w:t xml:space="preserve">unless otherwise specified, all foods within a category contain </w:t>
      </w:r>
      <w:proofErr w:type="spellStart"/>
      <w:r w:rsidRPr="001D23BB">
        <w:rPr>
          <w:rFonts w:cs="Arial"/>
          <w:szCs w:val="22"/>
          <w:lang w:eastAsia="en-AU" w:bidi="ar-SA"/>
        </w:rPr>
        <w:t>bLf</w:t>
      </w:r>
      <w:proofErr w:type="spellEnd"/>
      <w:r w:rsidRPr="001D23BB">
        <w:rPr>
          <w:rFonts w:cs="Arial"/>
          <w:szCs w:val="22"/>
          <w:lang w:eastAsia="en-AU" w:bidi="ar-SA"/>
        </w:rPr>
        <w:t xml:space="preserve"> at the concentrations specified </w:t>
      </w:r>
      <w:r w:rsidR="00DD4CD6">
        <w:rPr>
          <w:rFonts w:cs="Arial"/>
          <w:szCs w:val="22"/>
          <w:lang w:eastAsia="en-AU" w:bidi="ar-SA"/>
        </w:rPr>
        <w:t xml:space="preserve">in Table 3 </w:t>
      </w:r>
      <w:r w:rsidRPr="001D23BB">
        <w:rPr>
          <w:rFonts w:cs="Arial"/>
          <w:szCs w:val="22"/>
          <w:lang w:eastAsia="en-AU" w:bidi="ar-SA"/>
        </w:rPr>
        <w:t>for infant formula and follow-on formula</w:t>
      </w:r>
    </w:p>
    <w:p w14:paraId="2DDA6A9D" w14:textId="1C79BDFD" w:rsidR="00617090" w:rsidRPr="001D23BB" w:rsidRDefault="00617090" w:rsidP="001D23BB">
      <w:pPr>
        <w:pStyle w:val="ListParagraph"/>
        <w:widowControl/>
        <w:numPr>
          <w:ilvl w:val="0"/>
          <w:numId w:val="9"/>
        </w:numPr>
        <w:textAlignment w:val="baseline"/>
        <w:rPr>
          <w:rFonts w:cs="Arial"/>
          <w:szCs w:val="22"/>
          <w:lang w:val="en-AU" w:eastAsia="en-AU" w:bidi="ar-SA"/>
        </w:rPr>
      </w:pPr>
      <w:r w:rsidRPr="001D23BB">
        <w:rPr>
          <w:rFonts w:cs="Arial"/>
          <w:szCs w:val="22"/>
          <w:lang w:eastAsia="en-AU" w:bidi="ar-SA"/>
        </w:rPr>
        <w:t>1 litre of infant formula and follow-on formula equals 1</w:t>
      </w:r>
      <w:r w:rsidR="00E6426E">
        <w:rPr>
          <w:rFonts w:cs="Arial"/>
          <w:szCs w:val="22"/>
          <w:lang w:eastAsia="en-AU" w:bidi="ar-SA"/>
        </w:rPr>
        <w:t>,</w:t>
      </w:r>
      <w:r w:rsidRPr="001D23BB">
        <w:rPr>
          <w:rFonts w:cs="Arial"/>
          <w:szCs w:val="22"/>
          <w:lang w:eastAsia="en-AU" w:bidi="ar-SA"/>
        </w:rPr>
        <w:t>050 g</w:t>
      </w:r>
    </w:p>
    <w:p w14:paraId="2F38E1FA" w14:textId="4C60E846" w:rsidR="00617090" w:rsidRPr="001D23BB" w:rsidRDefault="00617090" w:rsidP="001D23BB">
      <w:pPr>
        <w:pStyle w:val="ListParagraph"/>
        <w:widowControl/>
        <w:numPr>
          <w:ilvl w:val="0"/>
          <w:numId w:val="9"/>
        </w:numPr>
        <w:textAlignment w:val="baseline"/>
        <w:rPr>
          <w:rFonts w:cs="Arial"/>
          <w:szCs w:val="22"/>
          <w:lang w:val="en-AU" w:eastAsia="en-AU" w:bidi="ar-SA"/>
        </w:rPr>
      </w:pPr>
      <w:r w:rsidRPr="001D23BB">
        <w:rPr>
          <w:rFonts w:cs="Arial"/>
          <w:szCs w:val="22"/>
          <w:lang w:eastAsia="en-AU" w:bidi="ar-SA"/>
        </w:rPr>
        <w:t>1 litre of human milk equals 1</w:t>
      </w:r>
      <w:r w:rsidR="00E6426E">
        <w:rPr>
          <w:rFonts w:cs="Arial"/>
          <w:szCs w:val="22"/>
          <w:lang w:eastAsia="en-AU" w:bidi="ar-SA"/>
        </w:rPr>
        <w:t>,</w:t>
      </w:r>
      <w:r w:rsidRPr="001D23BB">
        <w:rPr>
          <w:rFonts w:cs="Arial"/>
          <w:szCs w:val="22"/>
          <w:lang w:eastAsia="en-AU" w:bidi="ar-SA"/>
        </w:rPr>
        <w:t>04</w:t>
      </w:r>
      <w:r w:rsidR="001D2689">
        <w:rPr>
          <w:rFonts w:cs="Arial"/>
          <w:szCs w:val="22"/>
          <w:lang w:eastAsia="en-AU" w:bidi="ar-SA"/>
        </w:rPr>
        <w:t>0</w:t>
      </w:r>
      <w:r w:rsidRPr="001D23BB">
        <w:rPr>
          <w:rFonts w:cs="Arial"/>
          <w:szCs w:val="22"/>
          <w:lang w:eastAsia="en-AU" w:bidi="ar-SA"/>
        </w:rPr>
        <w:t> g</w:t>
      </w:r>
    </w:p>
    <w:p w14:paraId="3441FE9A" w14:textId="0E1B2214" w:rsidR="00617090" w:rsidRPr="001D23BB" w:rsidRDefault="00617090" w:rsidP="001D23BB">
      <w:pPr>
        <w:pStyle w:val="ListParagraph"/>
        <w:widowControl/>
        <w:numPr>
          <w:ilvl w:val="0"/>
          <w:numId w:val="9"/>
        </w:numPr>
        <w:textAlignment w:val="baseline"/>
        <w:rPr>
          <w:rFonts w:cs="Arial"/>
          <w:szCs w:val="22"/>
          <w:lang w:val="en-AU" w:eastAsia="en-AU" w:bidi="ar-SA"/>
        </w:rPr>
      </w:pPr>
      <w:r w:rsidRPr="001D23BB">
        <w:rPr>
          <w:rFonts w:cs="Arial"/>
          <w:szCs w:val="22"/>
          <w:lang w:eastAsia="en-AU" w:bidi="ar-SA"/>
        </w:rPr>
        <w:t xml:space="preserve">there is 100% market penetration of the infant formula and follow-on formula containing </w:t>
      </w:r>
      <w:proofErr w:type="spellStart"/>
      <w:r w:rsidRPr="001D23BB">
        <w:rPr>
          <w:rFonts w:cs="Arial"/>
          <w:szCs w:val="22"/>
          <w:lang w:eastAsia="en-AU" w:bidi="ar-SA"/>
        </w:rPr>
        <w:t>bLf</w:t>
      </w:r>
      <w:proofErr w:type="spellEnd"/>
    </w:p>
    <w:p w14:paraId="62D1180F" w14:textId="138F7F5B" w:rsidR="00617090" w:rsidRPr="001D23BB" w:rsidRDefault="00617090" w:rsidP="001D23BB">
      <w:pPr>
        <w:pStyle w:val="ListParagraph"/>
        <w:widowControl/>
        <w:numPr>
          <w:ilvl w:val="0"/>
          <w:numId w:val="9"/>
        </w:numPr>
        <w:textAlignment w:val="baseline"/>
        <w:rPr>
          <w:rFonts w:cs="Arial"/>
          <w:szCs w:val="22"/>
          <w:lang w:val="en-AU" w:eastAsia="en-AU" w:bidi="ar-SA"/>
        </w:rPr>
      </w:pPr>
      <w:r w:rsidRPr="001D23BB">
        <w:rPr>
          <w:rFonts w:cs="Arial"/>
          <w:szCs w:val="22"/>
          <w:lang w:eastAsia="en-AU" w:bidi="ar-SA"/>
        </w:rPr>
        <w:t>infants aged 3 months are exclusively infant formula fed</w:t>
      </w:r>
    </w:p>
    <w:p w14:paraId="0A94E78C" w14:textId="056AE52D" w:rsidR="00617090" w:rsidRPr="001D23BB" w:rsidRDefault="00617090" w:rsidP="001D23BB">
      <w:pPr>
        <w:pStyle w:val="ListParagraph"/>
        <w:widowControl/>
        <w:numPr>
          <w:ilvl w:val="0"/>
          <w:numId w:val="9"/>
        </w:numPr>
        <w:textAlignment w:val="baseline"/>
        <w:rPr>
          <w:rFonts w:cs="Arial"/>
          <w:szCs w:val="22"/>
          <w:lang w:val="en-AU" w:eastAsia="en-AU" w:bidi="ar-SA"/>
        </w:rPr>
      </w:pPr>
      <w:r w:rsidRPr="001D23BB">
        <w:rPr>
          <w:rFonts w:cs="Arial"/>
          <w:szCs w:val="22"/>
          <w:lang w:eastAsia="en-AU" w:bidi="ar-SA"/>
        </w:rPr>
        <w:t>infants aged 9 months consume follow-on formula</w:t>
      </w:r>
    </w:p>
    <w:p w14:paraId="0D838F26" w14:textId="7C8C7A92" w:rsidR="00617090" w:rsidRPr="001D23BB" w:rsidRDefault="00617090" w:rsidP="001D23BB">
      <w:pPr>
        <w:pStyle w:val="ListParagraph"/>
        <w:widowControl/>
        <w:numPr>
          <w:ilvl w:val="0"/>
          <w:numId w:val="9"/>
        </w:numPr>
        <w:textAlignment w:val="baseline"/>
        <w:rPr>
          <w:rFonts w:cs="Arial"/>
          <w:szCs w:val="22"/>
          <w:lang w:val="en-AU" w:eastAsia="en-AU" w:bidi="ar-SA"/>
        </w:rPr>
      </w:pPr>
      <w:r w:rsidRPr="001D23BB">
        <w:rPr>
          <w:rFonts w:cs="Arial"/>
          <w:szCs w:val="22"/>
          <w:lang w:eastAsia="en-AU" w:bidi="ar-SA"/>
        </w:rPr>
        <w:t>consumption of foods as outlined in the model diets represent current food consumption amounts for Australian and New Zealand children aged 3 months and 9 months</w:t>
      </w:r>
    </w:p>
    <w:p w14:paraId="0B175B82" w14:textId="3608C81F" w:rsidR="00617090" w:rsidRPr="001D23BB" w:rsidRDefault="00617090" w:rsidP="001D23BB">
      <w:pPr>
        <w:pStyle w:val="ListParagraph"/>
        <w:widowControl/>
        <w:numPr>
          <w:ilvl w:val="0"/>
          <w:numId w:val="9"/>
        </w:numPr>
        <w:textAlignment w:val="baseline"/>
        <w:rPr>
          <w:rFonts w:cs="Arial"/>
          <w:szCs w:val="22"/>
          <w:lang w:val="en-AU" w:eastAsia="en-AU" w:bidi="ar-SA"/>
        </w:rPr>
      </w:pPr>
      <w:r w:rsidRPr="001D23BB">
        <w:rPr>
          <w:rFonts w:cs="Arial"/>
          <w:szCs w:val="22"/>
          <w:lang w:eastAsia="en-AU" w:bidi="ar-SA"/>
        </w:rPr>
        <w:t xml:space="preserve">there is no contribution to </w:t>
      </w:r>
      <w:proofErr w:type="spellStart"/>
      <w:r w:rsidRPr="001D23BB">
        <w:rPr>
          <w:rFonts w:cs="Arial"/>
          <w:szCs w:val="22"/>
          <w:lang w:eastAsia="en-AU" w:bidi="ar-SA"/>
        </w:rPr>
        <w:t>bLf</w:t>
      </w:r>
      <w:proofErr w:type="spellEnd"/>
      <w:r w:rsidRPr="001D23BB">
        <w:rPr>
          <w:rFonts w:cs="Arial"/>
          <w:szCs w:val="22"/>
          <w:lang w:eastAsia="en-AU" w:bidi="ar-SA"/>
        </w:rPr>
        <w:t xml:space="preserve"> intakes through foods and beverages other than from infant formula and follow-on formula</w:t>
      </w:r>
    </w:p>
    <w:p w14:paraId="1A1E2E45" w14:textId="3DEDE378" w:rsidR="00617090" w:rsidRPr="001D23BB" w:rsidRDefault="00617090" w:rsidP="001D23BB">
      <w:pPr>
        <w:pStyle w:val="ListParagraph"/>
        <w:widowControl/>
        <w:numPr>
          <w:ilvl w:val="0"/>
          <w:numId w:val="9"/>
        </w:numPr>
        <w:textAlignment w:val="baseline"/>
        <w:rPr>
          <w:rFonts w:cs="Arial"/>
          <w:szCs w:val="22"/>
          <w:lang w:val="en-AU" w:eastAsia="en-AU" w:bidi="ar-SA"/>
        </w:rPr>
      </w:pPr>
      <w:r w:rsidRPr="001D23BB">
        <w:rPr>
          <w:rFonts w:cs="Arial"/>
          <w:szCs w:val="22"/>
          <w:lang w:eastAsia="en-AU" w:bidi="ar-SA"/>
        </w:rPr>
        <w:t xml:space="preserve">there is no contribution to </w:t>
      </w:r>
      <w:proofErr w:type="spellStart"/>
      <w:r w:rsidRPr="001D23BB">
        <w:rPr>
          <w:rFonts w:cs="Arial"/>
          <w:szCs w:val="22"/>
          <w:lang w:eastAsia="en-AU" w:bidi="ar-SA"/>
        </w:rPr>
        <w:t>bLf</w:t>
      </w:r>
      <w:proofErr w:type="spellEnd"/>
      <w:r w:rsidRPr="001D23BB">
        <w:rPr>
          <w:rFonts w:cs="Arial"/>
          <w:szCs w:val="22"/>
          <w:lang w:eastAsia="en-AU" w:bidi="ar-SA"/>
        </w:rPr>
        <w:t xml:space="preserve"> intakes through the use of or complementary or other medicines.</w:t>
      </w:r>
    </w:p>
    <w:p w14:paraId="12E1CEB5" w14:textId="36825CEA" w:rsidR="00617090" w:rsidRPr="0091332B" w:rsidRDefault="00617090" w:rsidP="00617090">
      <w:pPr>
        <w:widowControl/>
        <w:textAlignment w:val="baseline"/>
        <w:rPr>
          <w:rFonts w:cs="Arial"/>
          <w:szCs w:val="22"/>
          <w:lang w:val="en-AU" w:eastAsia="en-AU" w:bidi="ar-SA"/>
        </w:rPr>
      </w:pPr>
    </w:p>
    <w:p w14:paraId="1CEC8659" w14:textId="4BDB1805" w:rsidR="00617090" w:rsidRPr="0091332B" w:rsidRDefault="00617090" w:rsidP="00617090">
      <w:pPr>
        <w:widowControl/>
        <w:textAlignment w:val="baseline"/>
      </w:pPr>
      <w:r w:rsidRPr="00617090">
        <w:rPr>
          <w:rFonts w:cs="Arial"/>
          <w:szCs w:val="22"/>
          <w:lang w:eastAsia="en-AU" w:bidi="ar-SA"/>
        </w:rPr>
        <w:t>In addition to the specific assumptions made in relation to this dietary intake assessment, there are a number of limitations associated with the nutrition surveys from which the food consumption data used for the assessment are based. A discussion of these limitations is included in Section 6 of the</w:t>
      </w:r>
      <w:r w:rsidR="001536C4">
        <w:rPr>
          <w:rFonts w:cs="Arial"/>
          <w:szCs w:val="22"/>
          <w:lang w:eastAsia="en-AU" w:bidi="ar-SA"/>
        </w:rPr>
        <w:t xml:space="preserve"> </w:t>
      </w:r>
      <w:hyperlink r:id="rId23" w:history="1">
        <w:r w:rsidR="001536C4" w:rsidRPr="00707C7D">
          <w:rPr>
            <w:rStyle w:val="Hyperlink"/>
            <w:lang w:bidi="ar-SA"/>
          </w:rPr>
          <w:t>Principles and Practices of Dietary Exposure Assessment for Food Regulatory Purposes</w:t>
        </w:r>
      </w:hyperlink>
      <w:r w:rsidR="00707C7D" w:rsidRPr="00707C7D">
        <w:rPr>
          <w:color w:val="2B579A"/>
          <w:shd w:val="clear" w:color="auto" w:fill="E6E6E6"/>
          <w:vertAlign w:val="superscript"/>
          <w:lang w:bidi="ar-SA"/>
        </w:rPr>
        <w:fldChar w:fldCharType="begin"/>
      </w:r>
      <w:r w:rsidR="00707C7D" w:rsidRPr="00707C7D">
        <w:rPr>
          <w:vertAlign w:val="superscript"/>
          <w:lang w:bidi="ar-SA"/>
        </w:rPr>
        <w:instrText xml:space="preserve"> NOTEREF _Ref111038796 \h </w:instrText>
      </w:r>
      <w:r w:rsidR="00707C7D">
        <w:rPr>
          <w:vertAlign w:val="superscript"/>
          <w:lang w:bidi="ar-SA"/>
        </w:rPr>
        <w:instrText xml:space="preserve"> \* MERGEFORMAT </w:instrText>
      </w:r>
      <w:r w:rsidR="00707C7D" w:rsidRPr="00707C7D">
        <w:rPr>
          <w:color w:val="2B579A"/>
          <w:shd w:val="clear" w:color="auto" w:fill="E6E6E6"/>
          <w:vertAlign w:val="superscript"/>
          <w:lang w:bidi="ar-SA"/>
        </w:rPr>
      </w:r>
      <w:r w:rsidR="00707C7D" w:rsidRPr="00707C7D">
        <w:rPr>
          <w:color w:val="2B579A"/>
          <w:shd w:val="clear" w:color="auto" w:fill="E6E6E6"/>
          <w:vertAlign w:val="superscript"/>
          <w:lang w:bidi="ar-SA"/>
        </w:rPr>
        <w:fldChar w:fldCharType="separate"/>
      </w:r>
      <w:r w:rsidR="00707C7D" w:rsidRPr="00707C7D">
        <w:rPr>
          <w:vertAlign w:val="superscript"/>
          <w:lang w:bidi="ar-SA"/>
        </w:rPr>
        <w:t>4</w:t>
      </w:r>
      <w:r w:rsidR="00707C7D" w:rsidRPr="00707C7D">
        <w:rPr>
          <w:color w:val="2B579A"/>
          <w:shd w:val="clear" w:color="auto" w:fill="E6E6E6"/>
          <w:vertAlign w:val="superscript"/>
          <w:lang w:bidi="ar-SA"/>
        </w:rPr>
        <w:fldChar w:fldCharType="end"/>
      </w:r>
      <w:r w:rsidR="001536C4" w:rsidRPr="00045126">
        <w:rPr>
          <w:rFonts w:cs="Arial"/>
          <w:szCs w:val="22"/>
          <w:lang w:eastAsia="en-AU" w:bidi="ar-SA"/>
        </w:rPr>
        <w:t xml:space="preserve"> </w:t>
      </w:r>
      <w:r w:rsidR="001536C4" w:rsidRPr="00617090">
        <w:rPr>
          <w:rFonts w:cs="Arial"/>
          <w:szCs w:val="22"/>
          <w:lang w:eastAsia="en-AU" w:bidi="ar-SA"/>
        </w:rPr>
        <w:t>(Food Standards Australia New Zealand 2009</w:t>
      </w:r>
      <w:r w:rsidR="001536C4" w:rsidRPr="0091332B">
        <w:t>). </w:t>
      </w:r>
    </w:p>
    <w:p w14:paraId="38EACCCA" w14:textId="3ACC15CB" w:rsidR="00617090" w:rsidRPr="0091332B" w:rsidRDefault="00617090" w:rsidP="006406E3">
      <w:pPr>
        <w:pStyle w:val="Heading3"/>
      </w:pPr>
      <w:bookmarkStart w:id="84" w:name="_Toc111626700"/>
      <w:bookmarkStart w:id="85" w:name="_Toc112915010"/>
      <w:bookmarkStart w:id="86" w:name="_Toc113523057"/>
      <w:r w:rsidRPr="00617090">
        <w:t>3.</w:t>
      </w:r>
      <w:r w:rsidR="001D23BB">
        <w:t>3</w:t>
      </w:r>
      <w:r w:rsidRPr="00617090">
        <w:t>.3</w:t>
      </w:r>
      <w:r w:rsidR="009B216C">
        <w:tab/>
      </w:r>
      <w:r w:rsidRPr="00617090">
        <w:t>Estimated dietary intakes </w:t>
      </w:r>
      <w:bookmarkEnd w:id="84"/>
      <w:bookmarkEnd w:id="85"/>
      <w:bookmarkEnd w:id="86"/>
      <w:r w:rsidRPr="0091332B">
        <w:t> </w:t>
      </w:r>
    </w:p>
    <w:p w14:paraId="22BF2DA9" w14:textId="6037D73B" w:rsidR="00617090" w:rsidRPr="0091332B" w:rsidRDefault="001D23BB" w:rsidP="00AC6333">
      <w:pPr>
        <w:pStyle w:val="Heading4"/>
        <w:rPr>
          <w:lang w:eastAsia="en-AU"/>
        </w:rPr>
      </w:pPr>
      <w:r>
        <w:rPr>
          <w:lang w:eastAsia="en-AU"/>
        </w:rPr>
        <w:t>3.3.3.1</w:t>
      </w:r>
      <w:r w:rsidR="009B216C">
        <w:rPr>
          <w:lang w:eastAsia="en-AU"/>
        </w:rPr>
        <w:tab/>
      </w:r>
      <w:r>
        <w:rPr>
          <w:lang w:eastAsia="en-AU"/>
        </w:rPr>
        <w:t xml:space="preserve">Estimated dietary intake of </w:t>
      </w:r>
      <w:proofErr w:type="spellStart"/>
      <w:r w:rsidR="00617090" w:rsidRPr="00617090">
        <w:rPr>
          <w:lang w:eastAsia="en-AU"/>
        </w:rPr>
        <w:t>hLf</w:t>
      </w:r>
      <w:proofErr w:type="spellEnd"/>
      <w:r w:rsidR="00617090" w:rsidRPr="00617090">
        <w:rPr>
          <w:lang w:eastAsia="en-AU"/>
        </w:rPr>
        <w:t xml:space="preserve"> from human milk </w:t>
      </w:r>
      <w:r w:rsidR="00617090" w:rsidRPr="0091332B">
        <w:rPr>
          <w:lang w:eastAsia="en-AU"/>
        </w:rPr>
        <w:t> </w:t>
      </w:r>
    </w:p>
    <w:p w14:paraId="1B4782CA" w14:textId="054345A1" w:rsidR="00617090" w:rsidRPr="0091332B" w:rsidRDefault="09B886AD" w:rsidP="00617090">
      <w:pPr>
        <w:widowControl/>
        <w:textAlignment w:val="baseline"/>
        <w:rPr>
          <w:rFonts w:cs="Arial"/>
          <w:lang w:val="en-AU" w:eastAsia="en-AU" w:bidi="ar-SA"/>
        </w:rPr>
      </w:pPr>
      <w:r w:rsidRPr="29A90341">
        <w:rPr>
          <w:rFonts w:cs="Arial"/>
          <w:lang w:eastAsia="en-AU" w:bidi="ar-SA"/>
        </w:rPr>
        <w:t xml:space="preserve">When it is assumed that infants aged &lt;12 months are consuming </w:t>
      </w:r>
      <w:r w:rsidR="00532CA4">
        <w:rPr>
          <w:rFonts w:cs="Arial"/>
          <w:lang w:eastAsia="en-AU" w:bidi="ar-SA"/>
        </w:rPr>
        <w:t xml:space="preserve">mature </w:t>
      </w:r>
      <w:r w:rsidRPr="29A90341">
        <w:rPr>
          <w:rFonts w:cs="Arial"/>
          <w:lang w:eastAsia="en-AU" w:bidi="ar-SA"/>
        </w:rPr>
        <w:t xml:space="preserve">human milk (and no infant formula or follow-on formula), the estimated mean and </w:t>
      </w:r>
      <w:r w:rsidR="00A75277">
        <w:rPr>
          <w:rFonts w:cs="Arial"/>
          <w:lang w:eastAsia="en-AU" w:bidi="ar-SA"/>
        </w:rPr>
        <w:t>90</w:t>
      </w:r>
      <w:r w:rsidR="00A75277" w:rsidRPr="00A75277">
        <w:rPr>
          <w:rFonts w:cs="Arial"/>
          <w:vertAlign w:val="superscript"/>
          <w:lang w:eastAsia="en-AU" w:bidi="ar-SA"/>
        </w:rPr>
        <w:t>th</w:t>
      </w:r>
      <w:r w:rsidR="00A75277">
        <w:rPr>
          <w:rFonts w:cs="Arial"/>
          <w:lang w:eastAsia="en-AU" w:bidi="ar-SA"/>
        </w:rPr>
        <w:t xml:space="preserve"> percentile</w:t>
      </w:r>
      <w:r w:rsidRPr="29A90341">
        <w:rPr>
          <w:rFonts w:cs="Arial"/>
          <w:lang w:eastAsia="en-AU" w:bidi="ar-SA"/>
        </w:rPr>
        <w:t xml:space="preserve"> </w:t>
      </w:r>
      <w:r w:rsidR="00A75277">
        <w:rPr>
          <w:rFonts w:cs="Arial"/>
          <w:lang w:eastAsia="en-AU" w:bidi="ar-SA"/>
        </w:rPr>
        <w:t>(</w:t>
      </w:r>
      <w:r w:rsidRPr="29A90341">
        <w:rPr>
          <w:rFonts w:cs="Arial"/>
          <w:lang w:eastAsia="en-AU" w:bidi="ar-SA"/>
        </w:rPr>
        <w:t>P90</w:t>
      </w:r>
      <w:r w:rsidR="00A75277">
        <w:rPr>
          <w:rFonts w:cs="Arial"/>
          <w:lang w:eastAsia="en-AU" w:bidi="ar-SA"/>
        </w:rPr>
        <w:t>)</w:t>
      </w:r>
      <w:r w:rsidRPr="29A90341">
        <w:rPr>
          <w:rFonts w:cs="Arial"/>
          <w:lang w:eastAsia="en-AU" w:bidi="ar-SA"/>
        </w:rPr>
        <w:t xml:space="preserve"> intakes of </w:t>
      </w:r>
      <w:proofErr w:type="spellStart"/>
      <w:r w:rsidRPr="29A90341">
        <w:rPr>
          <w:rFonts w:cs="Arial"/>
          <w:lang w:eastAsia="en-AU" w:bidi="ar-SA"/>
        </w:rPr>
        <w:t>hLF</w:t>
      </w:r>
      <w:proofErr w:type="spellEnd"/>
      <w:r w:rsidRPr="29A90341">
        <w:rPr>
          <w:rFonts w:cs="Arial"/>
          <w:lang w:eastAsia="en-AU" w:bidi="ar-SA"/>
        </w:rPr>
        <w:t xml:space="preserve"> from human milk </w:t>
      </w:r>
      <w:r w:rsidR="00532CA4" w:rsidRPr="136EF9D9">
        <w:rPr>
          <w:rFonts w:cs="Arial"/>
          <w:lang w:eastAsia="en-AU" w:bidi="ar-SA"/>
        </w:rPr>
        <w:t>are</w:t>
      </w:r>
      <w:r w:rsidRPr="29A90341">
        <w:rPr>
          <w:rFonts w:cs="Arial"/>
          <w:lang w:eastAsia="en-AU" w:bidi="ar-SA"/>
        </w:rPr>
        <w:t xml:space="preserve"> </w:t>
      </w:r>
      <w:r w:rsidR="3148CB9D" w:rsidRPr="29A90341">
        <w:rPr>
          <w:rFonts w:cs="Arial"/>
          <w:lang w:eastAsia="en-AU" w:bidi="ar-SA"/>
        </w:rPr>
        <w:t>97</w:t>
      </w:r>
      <w:r w:rsidR="001D52FA" w:rsidRPr="29A90341">
        <w:rPr>
          <w:rFonts w:cs="Arial"/>
          <w:lang w:eastAsia="en-AU" w:bidi="ar-SA"/>
        </w:rPr>
        <w:t>5</w:t>
      </w:r>
      <w:r w:rsidR="7C202B63" w:rsidRPr="29A90341">
        <w:rPr>
          <w:rFonts w:cs="Arial"/>
          <w:lang w:eastAsia="en-AU" w:bidi="ar-SA"/>
        </w:rPr>
        <w:t>-</w:t>
      </w:r>
      <w:r w:rsidR="798124A4" w:rsidRPr="29A90341">
        <w:rPr>
          <w:rFonts w:cs="Arial"/>
          <w:lang w:eastAsia="en-AU" w:bidi="ar-SA"/>
        </w:rPr>
        <w:t>2</w:t>
      </w:r>
      <w:r w:rsidR="001D52FA" w:rsidRPr="29A90341">
        <w:rPr>
          <w:rFonts w:cs="Arial"/>
          <w:lang w:eastAsia="en-AU" w:bidi="ar-SA"/>
        </w:rPr>
        <w:t>494</w:t>
      </w:r>
      <w:r w:rsidRPr="29A90341">
        <w:rPr>
          <w:rFonts w:cs="Arial"/>
          <w:lang w:eastAsia="en-AU" w:bidi="ar-SA"/>
        </w:rPr>
        <w:t> </w:t>
      </w:r>
      <w:r w:rsidR="15340431" w:rsidRPr="29A90341">
        <w:rPr>
          <w:rFonts w:cs="Arial"/>
          <w:lang w:eastAsia="en-AU" w:bidi="ar-SA"/>
        </w:rPr>
        <w:t>m</w:t>
      </w:r>
      <w:r w:rsidRPr="29A90341">
        <w:rPr>
          <w:rFonts w:cs="Arial"/>
          <w:lang w:eastAsia="en-AU" w:bidi="ar-SA"/>
        </w:rPr>
        <w:t xml:space="preserve">g/day and </w:t>
      </w:r>
      <w:r w:rsidR="0CB07B6C" w:rsidRPr="29A90341">
        <w:rPr>
          <w:rFonts w:cs="Arial"/>
          <w:lang w:eastAsia="en-AU" w:bidi="ar-SA"/>
        </w:rPr>
        <w:t>19</w:t>
      </w:r>
      <w:r w:rsidR="001D52FA" w:rsidRPr="29A90341">
        <w:rPr>
          <w:rFonts w:cs="Arial"/>
          <w:lang w:eastAsia="en-AU" w:bidi="ar-SA"/>
        </w:rPr>
        <w:t>49</w:t>
      </w:r>
      <w:r w:rsidR="6862CA58" w:rsidRPr="29A90341">
        <w:rPr>
          <w:rFonts w:cs="Arial"/>
          <w:lang w:eastAsia="en-AU" w:bidi="ar-SA"/>
        </w:rPr>
        <w:t>-</w:t>
      </w:r>
      <w:r w:rsidR="001D52FA" w:rsidRPr="29A90341">
        <w:rPr>
          <w:rFonts w:cs="Arial"/>
          <w:lang w:eastAsia="en-AU" w:bidi="ar-SA"/>
        </w:rPr>
        <w:t>4987</w:t>
      </w:r>
      <w:r w:rsidRPr="29A90341">
        <w:rPr>
          <w:rFonts w:cs="Arial"/>
          <w:lang w:eastAsia="en-AU" w:bidi="ar-SA"/>
        </w:rPr>
        <w:t xml:space="preserve"> </w:t>
      </w:r>
      <w:r w:rsidR="3177FB7A" w:rsidRPr="29A90341">
        <w:rPr>
          <w:rFonts w:cs="Arial"/>
          <w:lang w:eastAsia="en-AU" w:bidi="ar-SA"/>
        </w:rPr>
        <w:t>m</w:t>
      </w:r>
      <w:r w:rsidRPr="29A90341">
        <w:rPr>
          <w:rFonts w:cs="Arial"/>
          <w:lang w:eastAsia="en-AU" w:bidi="ar-SA"/>
        </w:rPr>
        <w:t xml:space="preserve">g/day </w:t>
      </w:r>
      <w:r w:rsidR="00532CA4">
        <w:rPr>
          <w:rFonts w:cs="Arial"/>
          <w:lang w:eastAsia="en-AU" w:bidi="ar-SA"/>
        </w:rPr>
        <w:t>respectively</w:t>
      </w:r>
      <w:r w:rsidRPr="29A90341">
        <w:rPr>
          <w:rFonts w:cs="Arial"/>
          <w:lang w:eastAsia="en-AU" w:bidi="ar-SA"/>
        </w:rPr>
        <w:t xml:space="preserve"> for 3 month old infants and </w:t>
      </w:r>
      <w:r w:rsidR="13422420" w:rsidRPr="29A90341">
        <w:rPr>
          <w:rFonts w:cs="Arial"/>
          <w:lang w:eastAsia="en-AU" w:bidi="ar-SA"/>
        </w:rPr>
        <w:t>65</w:t>
      </w:r>
      <w:r w:rsidR="001D52FA" w:rsidRPr="29A90341">
        <w:rPr>
          <w:rFonts w:cs="Arial"/>
          <w:lang w:eastAsia="en-AU" w:bidi="ar-SA"/>
        </w:rPr>
        <w:t>6</w:t>
      </w:r>
      <w:r w:rsidR="1839016E" w:rsidRPr="29A90341">
        <w:rPr>
          <w:rFonts w:cs="Arial"/>
          <w:lang w:eastAsia="en-AU" w:bidi="ar-SA"/>
        </w:rPr>
        <w:t>-</w:t>
      </w:r>
      <w:r w:rsidR="1AFC338E" w:rsidRPr="29A90341">
        <w:rPr>
          <w:rFonts w:cs="Arial"/>
          <w:lang w:eastAsia="en-AU" w:bidi="ar-SA"/>
        </w:rPr>
        <w:t>167</w:t>
      </w:r>
      <w:r w:rsidR="001D52FA" w:rsidRPr="29A90341">
        <w:rPr>
          <w:rFonts w:cs="Arial"/>
          <w:lang w:eastAsia="en-AU" w:bidi="ar-SA"/>
        </w:rPr>
        <w:t>9</w:t>
      </w:r>
      <w:r w:rsidR="1839016E" w:rsidRPr="29A90341">
        <w:rPr>
          <w:rFonts w:cs="Arial"/>
          <w:lang w:eastAsia="en-AU" w:bidi="ar-SA"/>
        </w:rPr>
        <w:t xml:space="preserve"> </w:t>
      </w:r>
      <w:r w:rsidR="62FCE37A" w:rsidRPr="29A90341">
        <w:rPr>
          <w:rFonts w:cs="Arial"/>
          <w:lang w:eastAsia="en-AU" w:bidi="ar-SA"/>
        </w:rPr>
        <w:t>m</w:t>
      </w:r>
      <w:r w:rsidRPr="29A90341">
        <w:rPr>
          <w:rFonts w:cs="Arial"/>
          <w:lang w:eastAsia="en-AU" w:bidi="ar-SA"/>
        </w:rPr>
        <w:t xml:space="preserve">g/day and </w:t>
      </w:r>
      <w:r w:rsidR="4BF7D147" w:rsidRPr="29A90341">
        <w:rPr>
          <w:rFonts w:cs="Arial"/>
          <w:lang w:eastAsia="en-AU" w:bidi="ar-SA"/>
        </w:rPr>
        <w:t>13</w:t>
      </w:r>
      <w:r w:rsidR="001D52FA" w:rsidRPr="29A90341">
        <w:rPr>
          <w:rFonts w:cs="Arial"/>
          <w:lang w:eastAsia="en-AU" w:bidi="ar-SA"/>
        </w:rPr>
        <w:t>12</w:t>
      </w:r>
      <w:r w:rsidR="1839016E" w:rsidRPr="29A90341">
        <w:rPr>
          <w:rFonts w:cs="Arial"/>
          <w:lang w:eastAsia="en-AU" w:bidi="ar-SA"/>
        </w:rPr>
        <w:t>-</w:t>
      </w:r>
      <w:r w:rsidR="39BE333E" w:rsidRPr="29A90341">
        <w:rPr>
          <w:rFonts w:cs="Arial"/>
          <w:lang w:eastAsia="en-AU" w:bidi="ar-SA"/>
        </w:rPr>
        <w:t>33</w:t>
      </w:r>
      <w:r w:rsidR="001D52FA" w:rsidRPr="29A90341">
        <w:rPr>
          <w:rFonts w:cs="Arial"/>
          <w:lang w:eastAsia="en-AU" w:bidi="ar-SA"/>
        </w:rPr>
        <w:t>5</w:t>
      </w:r>
      <w:r w:rsidR="39BE333E" w:rsidRPr="29A90341">
        <w:rPr>
          <w:rFonts w:cs="Arial"/>
          <w:lang w:eastAsia="en-AU" w:bidi="ar-SA"/>
        </w:rPr>
        <w:t>7</w:t>
      </w:r>
      <w:r w:rsidRPr="29A90341">
        <w:rPr>
          <w:rFonts w:cs="Arial"/>
          <w:lang w:eastAsia="en-AU" w:bidi="ar-SA"/>
        </w:rPr>
        <w:t xml:space="preserve"> </w:t>
      </w:r>
      <w:r w:rsidR="0B268C05" w:rsidRPr="29A90341">
        <w:rPr>
          <w:rFonts w:cs="Arial"/>
          <w:lang w:eastAsia="en-AU" w:bidi="ar-SA"/>
        </w:rPr>
        <w:t>m</w:t>
      </w:r>
      <w:r w:rsidRPr="29A90341">
        <w:rPr>
          <w:rFonts w:cs="Arial"/>
          <w:lang w:eastAsia="en-AU" w:bidi="ar-SA"/>
        </w:rPr>
        <w:t xml:space="preserve">g/day </w:t>
      </w:r>
      <w:r w:rsidR="00532CA4">
        <w:rPr>
          <w:rFonts w:cs="Arial"/>
          <w:lang w:eastAsia="en-AU" w:bidi="ar-SA"/>
        </w:rPr>
        <w:t>respectively</w:t>
      </w:r>
      <w:r w:rsidR="00532CA4" w:rsidRPr="29A90341">
        <w:rPr>
          <w:rFonts w:cs="Arial"/>
          <w:lang w:eastAsia="en-AU" w:bidi="ar-SA"/>
        </w:rPr>
        <w:t xml:space="preserve"> </w:t>
      </w:r>
      <w:r w:rsidRPr="29A90341">
        <w:rPr>
          <w:rFonts w:cs="Arial"/>
          <w:lang w:eastAsia="en-AU" w:bidi="ar-SA"/>
        </w:rPr>
        <w:t>for 9 month old infants</w:t>
      </w:r>
      <w:r w:rsidR="0091332B" w:rsidRPr="450CD230">
        <w:rPr>
          <w:rFonts w:cs="Arial"/>
          <w:lang w:eastAsia="en-AU" w:bidi="ar-SA"/>
        </w:rPr>
        <w:t>.</w:t>
      </w:r>
      <w:r w:rsidR="05D9E5FA" w:rsidRPr="29A90341">
        <w:rPr>
          <w:rFonts w:cs="Arial"/>
          <w:lang w:val="en-AU" w:eastAsia="en-AU" w:bidi="ar-SA"/>
        </w:rPr>
        <w:t xml:space="preserve"> </w:t>
      </w:r>
    </w:p>
    <w:p w14:paraId="2171436B" w14:textId="3FDD7790" w:rsidR="00617090" w:rsidRPr="0091332B" w:rsidRDefault="00617090" w:rsidP="00617090">
      <w:pPr>
        <w:widowControl/>
        <w:textAlignment w:val="baseline"/>
        <w:rPr>
          <w:rFonts w:cs="Arial"/>
          <w:lang w:eastAsia="en-AU" w:bidi="ar-SA"/>
        </w:rPr>
      </w:pPr>
      <w:r w:rsidRPr="0091332B">
        <w:rPr>
          <w:rFonts w:cs="Arial"/>
          <w:lang w:eastAsia="en-AU" w:bidi="ar-SA"/>
        </w:rPr>
        <w:t> </w:t>
      </w:r>
    </w:p>
    <w:p w14:paraId="11343704" w14:textId="484F138E" w:rsidR="00617090" w:rsidRPr="0091332B" w:rsidRDefault="09B886AD" w:rsidP="00617090">
      <w:pPr>
        <w:widowControl/>
        <w:textAlignment w:val="baseline"/>
        <w:rPr>
          <w:rFonts w:cs="Arial"/>
          <w:lang w:val="en-AU" w:eastAsia="en-AU" w:bidi="ar-SA"/>
        </w:rPr>
      </w:pPr>
      <w:r w:rsidRPr="29A90341">
        <w:rPr>
          <w:rFonts w:cs="Arial"/>
          <w:lang w:eastAsia="en-AU" w:bidi="ar-SA"/>
        </w:rPr>
        <w:t xml:space="preserve">On a grams per kilogram body weight per day basis, the estimated mean and P90 dietary intakes of </w:t>
      </w:r>
      <w:proofErr w:type="spellStart"/>
      <w:r w:rsidRPr="29A90341">
        <w:rPr>
          <w:rFonts w:cs="Arial"/>
          <w:lang w:eastAsia="en-AU" w:bidi="ar-SA"/>
        </w:rPr>
        <w:t>hLf</w:t>
      </w:r>
      <w:proofErr w:type="spellEnd"/>
      <w:r w:rsidRPr="29A90341">
        <w:rPr>
          <w:rFonts w:cs="Arial"/>
          <w:lang w:eastAsia="en-AU" w:bidi="ar-SA"/>
        </w:rPr>
        <w:t xml:space="preserve"> from </w:t>
      </w:r>
      <w:r w:rsidR="00A75277">
        <w:rPr>
          <w:rFonts w:cs="Arial"/>
          <w:lang w:eastAsia="en-AU" w:bidi="ar-SA"/>
        </w:rPr>
        <w:t xml:space="preserve">mature </w:t>
      </w:r>
      <w:r w:rsidRPr="29A90341">
        <w:rPr>
          <w:rFonts w:cs="Arial"/>
          <w:lang w:eastAsia="en-AU" w:bidi="ar-SA"/>
        </w:rPr>
        <w:t xml:space="preserve">human milk </w:t>
      </w:r>
      <w:r w:rsidR="00532CA4">
        <w:rPr>
          <w:rFonts w:cs="Arial"/>
          <w:lang w:eastAsia="en-AU" w:bidi="ar-SA"/>
        </w:rPr>
        <w:t>are</w:t>
      </w:r>
      <w:r w:rsidRPr="29A90341">
        <w:rPr>
          <w:rFonts w:cs="Arial"/>
          <w:lang w:eastAsia="en-AU" w:bidi="ar-SA"/>
        </w:rPr>
        <w:t xml:space="preserve"> </w:t>
      </w:r>
      <w:r w:rsidR="01F24BA9" w:rsidRPr="29A90341">
        <w:rPr>
          <w:rFonts w:cs="Arial"/>
          <w:lang w:eastAsia="en-AU" w:bidi="ar-SA"/>
        </w:rPr>
        <w:t>15</w:t>
      </w:r>
      <w:r w:rsidR="001D52FA" w:rsidRPr="29A90341">
        <w:rPr>
          <w:rFonts w:cs="Arial"/>
          <w:lang w:eastAsia="en-AU" w:bidi="ar-SA"/>
        </w:rPr>
        <w:t>2</w:t>
      </w:r>
      <w:r w:rsidR="5CACF03B" w:rsidRPr="29A90341">
        <w:rPr>
          <w:rFonts w:cs="Arial"/>
          <w:lang w:eastAsia="en-AU" w:bidi="ar-SA"/>
        </w:rPr>
        <w:t>-</w:t>
      </w:r>
      <w:r w:rsidR="17168162" w:rsidRPr="29A90341">
        <w:rPr>
          <w:rFonts w:cs="Arial"/>
          <w:lang w:eastAsia="en-AU" w:bidi="ar-SA"/>
        </w:rPr>
        <w:t>39</w:t>
      </w:r>
      <w:r w:rsidR="001D52FA" w:rsidRPr="29A90341">
        <w:rPr>
          <w:rFonts w:cs="Arial"/>
          <w:lang w:eastAsia="en-AU" w:bidi="ar-SA"/>
        </w:rPr>
        <w:t>0</w:t>
      </w:r>
      <w:r w:rsidRPr="29A90341">
        <w:rPr>
          <w:rFonts w:cs="Arial"/>
          <w:lang w:eastAsia="en-AU" w:bidi="ar-SA"/>
        </w:rPr>
        <w:t> </w:t>
      </w:r>
      <w:r w:rsidR="0910489C" w:rsidRPr="29A90341">
        <w:rPr>
          <w:rFonts w:cs="Arial"/>
          <w:lang w:eastAsia="en-AU" w:bidi="ar-SA"/>
        </w:rPr>
        <w:t>m</w:t>
      </w:r>
      <w:r w:rsidRPr="29A90341">
        <w:rPr>
          <w:rFonts w:cs="Arial"/>
          <w:lang w:eastAsia="en-AU" w:bidi="ar-SA"/>
        </w:rPr>
        <w:t xml:space="preserve">g/kg </w:t>
      </w:r>
      <w:proofErr w:type="spellStart"/>
      <w:r w:rsidRPr="29A90341">
        <w:rPr>
          <w:rFonts w:cs="Arial"/>
          <w:lang w:eastAsia="en-AU" w:bidi="ar-SA"/>
        </w:rPr>
        <w:t>bw</w:t>
      </w:r>
      <w:proofErr w:type="spellEnd"/>
      <w:r w:rsidRPr="29A90341">
        <w:rPr>
          <w:rFonts w:cs="Arial"/>
          <w:lang w:eastAsia="en-AU" w:bidi="ar-SA"/>
        </w:rPr>
        <w:t>/day and</w:t>
      </w:r>
      <w:r w:rsidR="027888AE" w:rsidRPr="29A90341">
        <w:rPr>
          <w:rFonts w:cs="Arial"/>
          <w:lang w:eastAsia="en-AU" w:bidi="ar-SA"/>
        </w:rPr>
        <w:t xml:space="preserve"> </w:t>
      </w:r>
      <w:r w:rsidR="371BE02C" w:rsidRPr="29A90341">
        <w:rPr>
          <w:rFonts w:cs="Arial"/>
          <w:lang w:eastAsia="en-AU" w:bidi="ar-SA"/>
        </w:rPr>
        <w:t>30</w:t>
      </w:r>
      <w:r w:rsidR="001D52FA" w:rsidRPr="29A90341">
        <w:rPr>
          <w:rFonts w:cs="Arial"/>
          <w:lang w:eastAsia="en-AU" w:bidi="ar-SA"/>
        </w:rPr>
        <w:t>5</w:t>
      </w:r>
      <w:r w:rsidR="18B59D2C" w:rsidRPr="29A90341">
        <w:rPr>
          <w:rFonts w:cs="Arial"/>
          <w:lang w:eastAsia="en-AU" w:bidi="ar-SA"/>
        </w:rPr>
        <w:t>-</w:t>
      </w:r>
      <w:r w:rsidR="0D1E912F" w:rsidRPr="29A90341">
        <w:rPr>
          <w:rFonts w:cs="Arial"/>
          <w:lang w:eastAsia="en-AU" w:bidi="ar-SA"/>
        </w:rPr>
        <w:t>7</w:t>
      </w:r>
      <w:r w:rsidR="001D52FA" w:rsidRPr="29A90341">
        <w:rPr>
          <w:rFonts w:cs="Arial"/>
          <w:lang w:eastAsia="en-AU" w:bidi="ar-SA"/>
        </w:rPr>
        <w:t>79</w:t>
      </w:r>
      <w:r w:rsidRPr="29A90341">
        <w:rPr>
          <w:rFonts w:cs="Arial"/>
          <w:lang w:eastAsia="en-AU" w:bidi="ar-SA"/>
        </w:rPr>
        <w:t xml:space="preserve"> </w:t>
      </w:r>
      <w:r w:rsidR="4A3A39E0" w:rsidRPr="29A90341">
        <w:rPr>
          <w:rFonts w:cs="Arial"/>
          <w:lang w:eastAsia="en-AU" w:bidi="ar-SA"/>
        </w:rPr>
        <w:t>m</w:t>
      </w:r>
      <w:r w:rsidRPr="29A90341">
        <w:rPr>
          <w:rFonts w:cs="Arial"/>
          <w:lang w:eastAsia="en-AU" w:bidi="ar-SA"/>
        </w:rPr>
        <w:t xml:space="preserve">g/kg </w:t>
      </w:r>
      <w:proofErr w:type="spellStart"/>
      <w:r w:rsidRPr="29A90341">
        <w:rPr>
          <w:rFonts w:cs="Arial"/>
          <w:lang w:eastAsia="en-AU" w:bidi="ar-SA"/>
        </w:rPr>
        <w:t>bw</w:t>
      </w:r>
      <w:proofErr w:type="spellEnd"/>
      <w:r w:rsidRPr="29A90341">
        <w:rPr>
          <w:rFonts w:cs="Arial"/>
          <w:lang w:eastAsia="en-AU" w:bidi="ar-SA"/>
        </w:rPr>
        <w:t xml:space="preserve">/day </w:t>
      </w:r>
      <w:r w:rsidR="00532CA4">
        <w:rPr>
          <w:rFonts w:cs="Arial"/>
          <w:lang w:eastAsia="en-AU" w:bidi="ar-SA"/>
        </w:rPr>
        <w:t>respectively</w:t>
      </w:r>
      <w:r w:rsidR="00532CA4" w:rsidRPr="29A90341">
        <w:rPr>
          <w:rFonts w:cs="Arial"/>
          <w:lang w:eastAsia="en-AU" w:bidi="ar-SA"/>
        </w:rPr>
        <w:t xml:space="preserve"> </w:t>
      </w:r>
      <w:r w:rsidRPr="29A90341">
        <w:rPr>
          <w:rFonts w:cs="Arial"/>
          <w:lang w:eastAsia="en-AU" w:bidi="ar-SA"/>
        </w:rPr>
        <w:t xml:space="preserve">for 3 month old infants and </w:t>
      </w:r>
      <w:r w:rsidR="1EAB7235" w:rsidRPr="29A90341">
        <w:rPr>
          <w:rFonts w:cs="Arial"/>
          <w:lang w:eastAsia="en-AU" w:bidi="ar-SA"/>
        </w:rPr>
        <w:t>74</w:t>
      </w:r>
      <w:r w:rsidR="5BE2D051" w:rsidRPr="29A90341">
        <w:rPr>
          <w:rFonts w:cs="Arial"/>
          <w:lang w:eastAsia="en-AU" w:bidi="ar-SA"/>
        </w:rPr>
        <w:t>-</w:t>
      </w:r>
      <w:r w:rsidR="07EC2446" w:rsidRPr="29A90341">
        <w:rPr>
          <w:rFonts w:cs="Arial"/>
          <w:lang w:eastAsia="en-AU" w:bidi="ar-SA"/>
        </w:rPr>
        <w:t>18</w:t>
      </w:r>
      <w:r w:rsidR="001D52FA" w:rsidRPr="29A90341">
        <w:rPr>
          <w:rFonts w:cs="Arial"/>
          <w:lang w:eastAsia="en-AU" w:bidi="ar-SA"/>
        </w:rPr>
        <w:t>9</w:t>
      </w:r>
      <w:r w:rsidRPr="29A90341">
        <w:rPr>
          <w:rFonts w:cs="Arial"/>
          <w:lang w:eastAsia="en-AU" w:bidi="ar-SA"/>
        </w:rPr>
        <w:t> </w:t>
      </w:r>
      <w:r w:rsidR="5A3AED51" w:rsidRPr="29A90341">
        <w:rPr>
          <w:rFonts w:cs="Arial"/>
          <w:lang w:eastAsia="en-AU" w:bidi="ar-SA"/>
        </w:rPr>
        <w:t>m</w:t>
      </w:r>
      <w:r w:rsidRPr="29A90341">
        <w:rPr>
          <w:rFonts w:cs="Arial"/>
          <w:lang w:eastAsia="en-AU" w:bidi="ar-SA"/>
        </w:rPr>
        <w:t xml:space="preserve">g/kg </w:t>
      </w:r>
      <w:proofErr w:type="spellStart"/>
      <w:r w:rsidRPr="29A90341">
        <w:rPr>
          <w:rFonts w:cs="Arial"/>
          <w:lang w:eastAsia="en-AU" w:bidi="ar-SA"/>
        </w:rPr>
        <w:t>bw</w:t>
      </w:r>
      <w:proofErr w:type="spellEnd"/>
      <w:r w:rsidRPr="29A90341">
        <w:rPr>
          <w:rFonts w:cs="Arial"/>
          <w:lang w:eastAsia="en-AU" w:bidi="ar-SA"/>
        </w:rPr>
        <w:t xml:space="preserve">/day and </w:t>
      </w:r>
      <w:r w:rsidR="1253A58F" w:rsidRPr="29A90341">
        <w:rPr>
          <w:rFonts w:cs="Arial"/>
          <w:lang w:eastAsia="en-AU" w:bidi="ar-SA"/>
        </w:rPr>
        <w:t>147</w:t>
      </w:r>
      <w:r w:rsidR="5BE2D051" w:rsidRPr="29A90341">
        <w:rPr>
          <w:rFonts w:cs="Arial"/>
          <w:lang w:eastAsia="en-AU" w:bidi="ar-SA"/>
        </w:rPr>
        <w:t>-</w:t>
      </w:r>
      <w:r w:rsidR="4D7D1029" w:rsidRPr="29A90341">
        <w:rPr>
          <w:rFonts w:cs="Arial"/>
          <w:lang w:eastAsia="en-AU" w:bidi="ar-SA"/>
        </w:rPr>
        <w:t>37</w:t>
      </w:r>
      <w:r w:rsidR="001D52FA" w:rsidRPr="29A90341">
        <w:rPr>
          <w:rFonts w:cs="Arial"/>
          <w:lang w:eastAsia="en-AU" w:bidi="ar-SA"/>
        </w:rPr>
        <w:t>7</w:t>
      </w:r>
      <w:r w:rsidRPr="29A90341">
        <w:rPr>
          <w:rFonts w:cs="Arial"/>
          <w:lang w:eastAsia="en-AU" w:bidi="ar-SA"/>
        </w:rPr>
        <w:t> </w:t>
      </w:r>
      <w:r w:rsidR="4F5251F8" w:rsidRPr="29A90341">
        <w:rPr>
          <w:rFonts w:cs="Arial"/>
          <w:lang w:eastAsia="en-AU" w:bidi="ar-SA"/>
        </w:rPr>
        <w:t>m</w:t>
      </w:r>
      <w:r w:rsidRPr="29A90341">
        <w:rPr>
          <w:rFonts w:cs="Arial"/>
          <w:lang w:eastAsia="en-AU" w:bidi="ar-SA"/>
        </w:rPr>
        <w:t xml:space="preserve">g/kg </w:t>
      </w:r>
      <w:proofErr w:type="spellStart"/>
      <w:r w:rsidRPr="29A90341">
        <w:rPr>
          <w:rFonts w:cs="Arial"/>
          <w:lang w:eastAsia="en-AU" w:bidi="ar-SA"/>
        </w:rPr>
        <w:t>bw</w:t>
      </w:r>
      <w:proofErr w:type="spellEnd"/>
      <w:r w:rsidRPr="29A90341">
        <w:rPr>
          <w:rFonts w:cs="Arial"/>
          <w:lang w:eastAsia="en-AU" w:bidi="ar-SA"/>
        </w:rPr>
        <w:t xml:space="preserve">/day </w:t>
      </w:r>
      <w:r w:rsidR="00532CA4">
        <w:rPr>
          <w:rFonts w:cs="Arial"/>
          <w:lang w:eastAsia="en-AU" w:bidi="ar-SA"/>
        </w:rPr>
        <w:t>respectively</w:t>
      </w:r>
      <w:r w:rsidR="00532CA4" w:rsidRPr="29A90341">
        <w:rPr>
          <w:rFonts w:cs="Arial"/>
          <w:lang w:eastAsia="en-AU" w:bidi="ar-SA"/>
        </w:rPr>
        <w:t xml:space="preserve"> </w:t>
      </w:r>
      <w:r w:rsidRPr="29A90341">
        <w:rPr>
          <w:rFonts w:cs="Arial"/>
          <w:lang w:eastAsia="en-AU" w:bidi="ar-SA"/>
        </w:rPr>
        <w:t>for 9 month old infants.</w:t>
      </w:r>
    </w:p>
    <w:p w14:paraId="1B2F5173" w14:textId="3FAB2643" w:rsidR="00617090" w:rsidRPr="0091332B" w:rsidRDefault="00617090" w:rsidP="00617090">
      <w:pPr>
        <w:widowControl/>
        <w:textAlignment w:val="baseline"/>
        <w:rPr>
          <w:rFonts w:cs="Arial"/>
          <w:szCs w:val="22"/>
          <w:lang w:eastAsia="en-AU" w:bidi="ar-SA"/>
        </w:rPr>
      </w:pPr>
      <w:r w:rsidRPr="00617090" w:rsidDel="009778A2">
        <w:rPr>
          <w:rFonts w:cs="Arial"/>
          <w:szCs w:val="22"/>
          <w:lang w:eastAsia="en-AU" w:bidi="ar-SA"/>
        </w:rPr>
        <w:t> </w:t>
      </w:r>
    </w:p>
    <w:p w14:paraId="015456B6" w14:textId="3D4BDB00" w:rsidR="00617090" w:rsidRPr="0091332B" w:rsidRDefault="00617090" w:rsidP="00617090">
      <w:pPr>
        <w:widowControl/>
        <w:textAlignment w:val="baseline"/>
        <w:rPr>
          <w:rFonts w:cs="Arial"/>
          <w:lang w:val="en-AU" w:eastAsia="en-AU" w:bidi="ar-SA"/>
        </w:rPr>
      </w:pPr>
      <w:r w:rsidRPr="3A440085">
        <w:rPr>
          <w:rFonts w:cs="Arial"/>
          <w:lang w:eastAsia="en-AU" w:bidi="ar-SA"/>
        </w:rPr>
        <w:t xml:space="preserve">Further details are presented </w:t>
      </w:r>
      <w:r w:rsidR="00003FB4">
        <w:rPr>
          <w:rFonts w:cs="Arial"/>
          <w:lang w:eastAsia="en-AU" w:bidi="ar-SA"/>
        </w:rPr>
        <w:t xml:space="preserve">in Table 5. </w:t>
      </w:r>
    </w:p>
    <w:p w14:paraId="1B8F44DC" w14:textId="6B3F8773" w:rsidR="00617090" w:rsidRPr="0091332B" w:rsidRDefault="00617090" w:rsidP="00617090">
      <w:pPr>
        <w:widowControl/>
        <w:textAlignment w:val="baseline"/>
        <w:rPr>
          <w:rFonts w:cs="Arial"/>
          <w:lang w:eastAsia="en-AU" w:bidi="ar-SA"/>
        </w:rPr>
      </w:pPr>
      <w:r w:rsidRPr="0091332B">
        <w:rPr>
          <w:rFonts w:cs="Arial"/>
          <w:lang w:eastAsia="en-AU" w:bidi="ar-SA"/>
        </w:rPr>
        <w:t> </w:t>
      </w:r>
    </w:p>
    <w:p w14:paraId="2C8A6F4D" w14:textId="711A4B00" w:rsidR="002D2918" w:rsidRDefault="00681A8D" w:rsidP="002D2918">
      <w:pPr>
        <w:pStyle w:val="FSTableTitle"/>
      </w:pPr>
      <w:r>
        <w:t xml:space="preserve">Table 5 </w:t>
      </w:r>
      <w:r w:rsidR="00003FB4" w:rsidRPr="00357F50">
        <w:t xml:space="preserve">Estimated dietary intakes of </w:t>
      </w:r>
      <w:proofErr w:type="spellStart"/>
      <w:r w:rsidR="00003FB4" w:rsidRPr="00357F50">
        <w:t>hLf</w:t>
      </w:r>
      <w:proofErr w:type="spellEnd"/>
      <w:r w:rsidR="00003FB4" w:rsidRPr="00357F50">
        <w:t xml:space="preserve"> for infants aged 3 months and 9 months consuming </w:t>
      </w:r>
      <w:r w:rsidR="00003FB4">
        <w:t xml:space="preserve">mature </w:t>
      </w:r>
      <w:r w:rsidR="00003FB4" w:rsidRPr="00357F50">
        <w:t xml:space="preserve">human milk </w:t>
      </w:r>
      <w:r w:rsidR="00003FB4">
        <w:t>based on</w:t>
      </w:r>
      <w:r w:rsidR="00003FB4" w:rsidRPr="00357F50">
        <w:t xml:space="preserve"> 2 different </w:t>
      </w:r>
      <w:proofErr w:type="spellStart"/>
      <w:r w:rsidR="00003FB4" w:rsidRPr="00357F50">
        <w:t>hLf</w:t>
      </w:r>
      <w:proofErr w:type="spellEnd"/>
      <w:r w:rsidR="00003FB4" w:rsidRPr="00357F50">
        <w:t xml:space="preserve"> concentrations</w:t>
      </w:r>
    </w:p>
    <w:tbl>
      <w:tblPr>
        <w:tblW w:w="89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3"/>
        <w:tblDescription w:val="Estimated dietary intakes of hLf for infants aged 3 months and 9 months consuming human milk  "/>
      </w:tblPr>
      <w:tblGrid>
        <w:gridCol w:w="4536"/>
        <w:gridCol w:w="1843"/>
        <w:gridCol w:w="1276"/>
        <w:gridCol w:w="1276"/>
      </w:tblGrid>
      <w:tr w:rsidR="00617090" w:rsidRPr="00617090" w14:paraId="2CF8307B" w14:textId="77777777" w:rsidTr="00E02744">
        <w:trPr>
          <w:trHeight w:val="300"/>
        </w:trPr>
        <w:tc>
          <w:tcPr>
            <w:tcW w:w="4536" w:type="dxa"/>
            <w:tcBorders>
              <w:top w:val="nil"/>
              <w:left w:val="nil"/>
              <w:bottom w:val="nil"/>
              <w:right w:val="nil"/>
            </w:tcBorders>
            <w:shd w:val="clear" w:color="auto" w:fill="616571"/>
            <w:hideMark/>
          </w:tcPr>
          <w:p w14:paraId="7F2CC191" w14:textId="77777777" w:rsidR="00617090" w:rsidRPr="00617090" w:rsidRDefault="00617090" w:rsidP="0050585F">
            <w:pPr>
              <w:keepNext/>
              <w:keepLines/>
              <w:ind w:left="165"/>
              <w:textAlignment w:val="baseline"/>
              <w:rPr>
                <w:rFonts w:ascii="Times New Roman" w:hAnsi="Times New Roman"/>
                <w:b/>
                <w:bCs/>
                <w:color w:val="FFFFFF"/>
                <w:sz w:val="24"/>
                <w:lang w:val="en-AU" w:eastAsia="en-AU" w:bidi="ar-SA"/>
              </w:rPr>
            </w:pPr>
            <w:r w:rsidRPr="00617090">
              <w:rPr>
                <w:rFonts w:cs="Arial"/>
                <w:b/>
                <w:bCs/>
                <w:color w:val="FFFFFF"/>
                <w:sz w:val="20"/>
                <w:szCs w:val="20"/>
                <w:lang w:val="en-AU" w:eastAsia="en-AU" w:bidi="ar-SA"/>
              </w:rPr>
              <w:t> </w:t>
            </w:r>
          </w:p>
        </w:tc>
        <w:tc>
          <w:tcPr>
            <w:tcW w:w="1843" w:type="dxa"/>
            <w:tcBorders>
              <w:top w:val="nil"/>
              <w:left w:val="nil"/>
              <w:bottom w:val="nil"/>
              <w:right w:val="nil"/>
            </w:tcBorders>
            <w:shd w:val="clear" w:color="auto" w:fill="616571"/>
            <w:hideMark/>
          </w:tcPr>
          <w:p w14:paraId="730AD062" w14:textId="77777777" w:rsidR="00617090" w:rsidRPr="009E72CB" w:rsidRDefault="00617090" w:rsidP="009E72CB">
            <w:pPr>
              <w:pStyle w:val="FSTableHeading"/>
              <w:rPr>
                <w:rFonts w:ascii="Times New Roman" w:hAnsi="Times New Roman"/>
                <w:color w:val="FFFFFF" w:themeColor="background1"/>
                <w:sz w:val="24"/>
                <w:lang w:val="en-AU" w:eastAsia="en-AU" w:bidi="ar-SA"/>
              </w:rPr>
            </w:pPr>
            <w:r w:rsidRPr="009E72CB">
              <w:rPr>
                <w:color w:val="FFFFFF" w:themeColor="background1"/>
                <w:lang w:eastAsia="en-AU" w:bidi="ar-SA"/>
              </w:rPr>
              <w:t>Unit</w:t>
            </w:r>
            <w:r w:rsidRPr="009E72CB">
              <w:rPr>
                <w:color w:val="FFFFFF" w:themeColor="background1"/>
                <w:lang w:val="en-AU" w:eastAsia="en-AU" w:bidi="ar-SA"/>
              </w:rPr>
              <w:t> </w:t>
            </w:r>
          </w:p>
        </w:tc>
        <w:tc>
          <w:tcPr>
            <w:tcW w:w="1276" w:type="dxa"/>
            <w:tcBorders>
              <w:top w:val="nil"/>
              <w:left w:val="nil"/>
              <w:bottom w:val="nil"/>
              <w:right w:val="nil"/>
            </w:tcBorders>
            <w:shd w:val="clear" w:color="auto" w:fill="616571"/>
            <w:hideMark/>
          </w:tcPr>
          <w:p w14:paraId="00E9316C" w14:textId="77777777" w:rsidR="00617090" w:rsidRPr="009E72CB" w:rsidRDefault="00617090" w:rsidP="009E72CB">
            <w:pPr>
              <w:pStyle w:val="FSTableHeading"/>
              <w:rPr>
                <w:rFonts w:ascii="Times New Roman" w:hAnsi="Times New Roman"/>
                <w:color w:val="FFFFFF" w:themeColor="background1"/>
                <w:sz w:val="24"/>
                <w:lang w:val="en-AU" w:eastAsia="en-AU" w:bidi="ar-SA"/>
              </w:rPr>
            </w:pPr>
            <w:r w:rsidRPr="009E72CB">
              <w:rPr>
                <w:color w:val="FFFFFF" w:themeColor="background1"/>
                <w:lang w:eastAsia="en-AU" w:bidi="ar-SA"/>
              </w:rPr>
              <w:t>3 months</w:t>
            </w:r>
            <w:r w:rsidRPr="009E72CB">
              <w:rPr>
                <w:color w:val="FFFFFF" w:themeColor="background1"/>
                <w:lang w:val="en-AU" w:eastAsia="en-AU" w:bidi="ar-SA"/>
              </w:rPr>
              <w:t> </w:t>
            </w:r>
          </w:p>
        </w:tc>
        <w:tc>
          <w:tcPr>
            <w:tcW w:w="1276" w:type="dxa"/>
            <w:tcBorders>
              <w:top w:val="nil"/>
              <w:left w:val="nil"/>
              <w:bottom w:val="nil"/>
              <w:right w:val="nil"/>
            </w:tcBorders>
            <w:shd w:val="clear" w:color="auto" w:fill="616571"/>
            <w:hideMark/>
          </w:tcPr>
          <w:p w14:paraId="0D19AC6B" w14:textId="77777777" w:rsidR="00617090" w:rsidRPr="009E72CB" w:rsidRDefault="00617090" w:rsidP="009E72CB">
            <w:pPr>
              <w:pStyle w:val="FSTableHeading"/>
              <w:rPr>
                <w:rFonts w:ascii="Times New Roman" w:hAnsi="Times New Roman"/>
                <w:color w:val="FFFFFF" w:themeColor="background1"/>
                <w:sz w:val="24"/>
                <w:lang w:val="en-AU" w:eastAsia="en-AU" w:bidi="ar-SA"/>
              </w:rPr>
            </w:pPr>
            <w:r w:rsidRPr="009E72CB">
              <w:rPr>
                <w:color w:val="FFFFFF" w:themeColor="background1"/>
                <w:lang w:eastAsia="en-AU" w:bidi="ar-SA"/>
              </w:rPr>
              <w:t>9 months</w:t>
            </w:r>
            <w:r w:rsidRPr="009E72CB">
              <w:rPr>
                <w:color w:val="FFFFFF" w:themeColor="background1"/>
                <w:lang w:val="en-AU" w:eastAsia="en-AU" w:bidi="ar-SA"/>
              </w:rPr>
              <w:t> </w:t>
            </w:r>
          </w:p>
        </w:tc>
      </w:tr>
      <w:tr w:rsidR="00617090" w:rsidRPr="00617090" w14:paraId="3E63F86B" w14:textId="77777777" w:rsidTr="00E02744">
        <w:trPr>
          <w:trHeight w:val="300"/>
        </w:trPr>
        <w:tc>
          <w:tcPr>
            <w:tcW w:w="4536" w:type="dxa"/>
            <w:tcBorders>
              <w:top w:val="nil"/>
              <w:left w:val="nil"/>
              <w:bottom w:val="nil"/>
              <w:right w:val="nil"/>
            </w:tcBorders>
            <w:shd w:val="clear" w:color="auto" w:fill="D9D9D9" w:themeFill="background1" w:themeFillShade="D9"/>
            <w:hideMark/>
          </w:tcPr>
          <w:p w14:paraId="4868B916" w14:textId="3E6A98AB" w:rsidR="00617090" w:rsidRPr="00617090" w:rsidRDefault="00617090" w:rsidP="009E72CB">
            <w:pPr>
              <w:pStyle w:val="FSTableText"/>
              <w:rPr>
                <w:rFonts w:ascii="Times New Roman" w:hAnsi="Times New Roman"/>
                <w:sz w:val="24"/>
                <w:lang w:val="en-AU" w:eastAsia="en-AU" w:bidi="ar-SA"/>
              </w:rPr>
            </w:pPr>
            <w:r w:rsidRPr="00617090">
              <w:rPr>
                <w:lang w:eastAsia="en-AU" w:bidi="ar-SA"/>
              </w:rPr>
              <w:t>Recommended energy intake</w:t>
            </w:r>
            <w:r w:rsidRPr="0091332B">
              <w:rPr>
                <w:szCs w:val="16"/>
                <w:vertAlign w:val="superscript"/>
                <w:lang w:eastAsia="en-AU" w:bidi="ar-SA"/>
              </w:rPr>
              <w:t>1</w:t>
            </w:r>
          </w:p>
        </w:tc>
        <w:tc>
          <w:tcPr>
            <w:tcW w:w="1843" w:type="dxa"/>
            <w:tcBorders>
              <w:top w:val="nil"/>
              <w:left w:val="nil"/>
              <w:bottom w:val="nil"/>
              <w:right w:val="nil"/>
            </w:tcBorders>
            <w:shd w:val="clear" w:color="auto" w:fill="D9D9D9" w:themeFill="background1" w:themeFillShade="D9"/>
            <w:hideMark/>
          </w:tcPr>
          <w:p w14:paraId="74914D61" w14:textId="77777777" w:rsidR="00617090" w:rsidRPr="00D63C12" w:rsidRDefault="00617090" w:rsidP="009E72CB">
            <w:pPr>
              <w:pStyle w:val="FSTableText"/>
              <w:rPr>
                <w:lang w:eastAsia="en-AU" w:bidi="ar-SA"/>
              </w:rPr>
            </w:pPr>
            <w:r w:rsidRPr="00617090">
              <w:rPr>
                <w:lang w:eastAsia="en-AU" w:bidi="ar-SA"/>
              </w:rPr>
              <w:t xml:space="preserve">kJ/kg </w:t>
            </w:r>
            <w:proofErr w:type="spellStart"/>
            <w:r w:rsidRPr="00617090">
              <w:rPr>
                <w:lang w:eastAsia="en-AU" w:bidi="ar-SA"/>
              </w:rPr>
              <w:t>bw</w:t>
            </w:r>
            <w:proofErr w:type="spellEnd"/>
            <w:r w:rsidRPr="00617090">
              <w:rPr>
                <w:lang w:eastAsia="en-AU" w:bidi="ar-SA"/>
              </w:rPr>
              <w:t>/day</w:t>
            </w:r>
            <w:r w:rsidRPr="00D63C12">
              <w:rPr>
                <w:lang w:eastAsia="en-AU" w:bidi="ar-SA"/>
              </w:rPr>
              <w:t> </w:t>
            </w:r>
          </w:p>
        </w:tc>
        <w:tc>
          <w:tcPr>
            <w:tcW w:w="1276" w:type="dxa"/>
            <w:tcBorders>
              <w:top w:val="nil"/>
              <w:left w:val="nil"/>
              <w:bottom w:val="nil"/>
              <w:right w:val="nil"/>
            </w:tcBorders>
            <w:shd w:val="clear" w:color="auto" w:fill="D9D9D9" w:themeFill="background1" w:themeFillShade="D9"/>
            <w:hideMark/>
          </w:tcPr>
          <w:p w14:paraId="0552763B" w14:textId="4A0878F1" w:rsidR="00617090" w:rsidRPr="00D63C12" w:rsidRDefault="00617090" w:rsidP="00FC6998">
            <w:pPr>
              <w:pStyle w:val="FSTableText"/>
              <w:tabs>
                <w:tab w:val="decimal" w:pos="706"/>
              </w:tabs>
              <w:rPr>
                <w:lang w:eastAsia="en-AU" w:bidi="ar-SA"/>
              </w:rPr>
            </w:pPr>
            <w:r w:rsidRPr="00617090">
              <w:rPr>
                <w:lang w:eastAsia="en-AU" w:bidi="ar-SA"/>
              </w:rPr>
              <w:t>343</w:t>
            </w:r>
          </w:p>
        </w:tc>
        <w:tc>
          <w:tcPr>
            <w:tcW w:w="1276" w:type="dxa"/>
            <w:tcBorders>
              <w:top w:val="nil"/>
              <w:left w:val="nil"/>
              <w:bottom w:val="nil"/>
              <w:right w:val="nil"/>
            </w:tcBorders>
            <w:shd w:val="clear" w:color="auto" w:fill="D9D9D9" w:themeFill="background1" w:themeFillShade="D9"/>
            <w:hideMark/>
          </w:tcPr>
          <w:p w14:paraId="478E6FCD" w14:textId="44BE7783" w:rsidR="00617090" w:rsidRPr="00D63C12" w:rsidRDefault="00617090" w:rsidP="007416B2">
            <w:pPr>
              <w:pStyle w:val="FSTableText"/>
              <w:tabs>
                <w:tab w:val="decimal" w:pos="994"/>
              </w:tabs>
              <w:rPr>
                <w:lang w:eastAsia="en-AU" w:bidi="ar-SA"/>
              </w:rPr>
            </w:pPr>
            <w:r w:rsidRPr="00617090">
              <w:rPr>
                <w:lang w:eastAsia="en-AU" w:bidi="ar-SA"/>
              </w:rPr>
              <w:t>330</w:t>
            </w:r>
          </w:p>
        </w:tc>
      </w:tr>
      <w:tr w:rsidR="00617090" w:rsidRPr="00617090" w14:paraId="467AA536" w14:textId="77777777" w:rsidTr="00E02744">
        <w:trPr>
          <w:trHeight w:val="300"/>
        </w:trPr>
        <w:tc>
          <w:tcPr>
            <w:tcW w:w="4536" w:type="dxa"/>
            <w:tcBorders>
              <w:top w:val="nil"/>
              <w:left w:val="nil"/>
              <w:bottom w:val="nil"/>
              <w:right w:val="nil"/>
            </w:tcBorders>
            <w:shd w:val="clear" w:color="auto" w:fill="auto"/>
            <w:hideMark/>
          </w:tcPr>
          <w:p w14:paraId="1C3DFEC2" w14:textId="7EEDB694" w:rsidR="00617090" w:rsidRPr="00617090" w:rsidRDefault="00617090" w:rsidP="009E72CB">
            <w:pPr>
              <w:pStyle w:val="FSTableText"/>
              <w:rPr>
                <w:rFonts w:ascii="Times New Roman" w:hAnsi="Times New Roman"/>
                <w:sz w:val="24"/>
                <w:lang w:val="en-AU" w:eastAsia="en-AU" w:bidi="ar-SA"/>
              </w:rPr>
            </w:pPr>
            <w:r w:rsidRPr="00617090">
              <w:rPr>
                <w:lang w:eastAsia="en-AU" w:bidi="ar-SA"/>
              </w:rPr>
              <w:t>P50 body weight</w:t>
            </w:r>
            <w:r w:rsidRPr="0091332B">
              <w:rPr>
                <w:szCs w:val="16"/>
                <w:vertAlign w:val="superscript"/>
                <w:lang w:eastAsia="en-AU" w:bidi="ar-SA"/>
              </w:rPr>
              <w:t>2</w:t>
            </w:r>
          </w:p>
        </w:tc>
        <w:tc>
          <w:tcPr>
            <w:tcW w:w="1843" w:type="dxa"/>
            <w:tcBorders>
              <w:top w:val="nil"/>
              <w:left w:val="nil"/>
              <w:bottom w:val="nil"/>
              <w:right w:val="nil"/>
            </w:tcBorders>
            <w:shd w:val="clear" w:color="auto" w:fill="auto"/>
            <w:hideMark/>
          </w:tcPr>
          <w:p w14:paraId="116322CF" w14:textId="77777777" w:rsidR="00617090" w:rsidRPr="00D63C12" w:rsidRDefault="00617090" w:rsidP="009E72CB">
            <w:pPr>
              <w:pStyle w:val="FSTableText"/>
              <w:rPr>
                <w:lang w:eastAsia="en-AU" w:bidi="ar-SA"/>
              </w:rPr>
            </w:pPr>
            <w:r w:rsidRPr="00617090">
              <w:rPr>
                <w:lang w:eastAsia="en-AU" w:bidi="ar-SA"/>
              </w:rPr>
              <w:t>kg</w:t>
            </w:r>
            <w:r w:rsidRPr="00D63C12">
              <w:rPr>
                <w:lang w:eastAsia="en-AU" w:bidi="ar-SA"/>
              </w:rPr>
              <w:t> </w:t>
            </w:r>
          </w:p>
        </w:tc>
        <w:tc>
          <w:tcPr>
            <w:tcW w:w="1276" w:type="dxa"/>
            <w:tcBorders>
              <w:top w:val="nil"/>
              <w:left w:val="nil"/>
              <w:bottom w:val="nil"/>
              <w:right w:val="nil"/>
            </w:tcBorders>
            <w:shd w:val="clear" w:color="auto" w:fill="auto"/>
            <w:hideMark/>
          </w:tcPr>
          <w:p w14:paraId="233B19DF" w14:textId="42149C34" w:rsidR="00617090" w:rsidRPr="00D63C12" w:rsidRDefault="00617090" w:rsidP="00FC6998">
            <w:pPr>
              <w:pStyle w:val="FSTableText"/>
              <w:tabs>
                <w:tab w:val="decimal" w:pos="706"/>
              </w:tabs>
              <w:rPr>
                <w:lang w:eastAsia="en-AU" w:bidi="ar-SA"/>
              </w:rPr>
            </w:pPr>
            <w:r w:rsidRPr="00617090">
              <w:rPr>
                <w:lang w:eastAsia="en-AU" w:bidi="ar-SA"/>
              </w:rPr>
              <w:t>6.4</w:t>
            </w:r>
          </w:p>
        </w:tc>
        <w:tc>
          <w:tcPr>
            <w:tcW w:w="1276" w:type="dxa"/>
            <w:tcBorders>
              <w:top w:val="nil"/>
              <w:left w:val="nil"/>
              <w:bottom w:val="nil"/>
              <w:right w:val="nil"/>
            </w:tcBorders>
            <w:shd w:val="clear" w:color="auto" w:fill="auto"/>
            <w:hideMark/>
          </w:tcPr>
          <w:p w14:paraId="2D5C3C1B" w14:textId="59FBB574" w:rsidR="00617090" w:rsidRPr="00D63C12" w:rsidRDefault="00617090" w:rsidP="007416B2">
            <w:pPr>
              <w:pStyle w:val="FSTableText"/>
              <w:tabs>
                <w:tab w:val="decimal" w:pos="994"/>
              </w:tabs>
              <w:rPr>
                <w:lang w:eastAsia="en-AU" w:bidi="ar-SA"/>
              </w:rPr>
            </w:pPr>
            <w:r w:rsidRPr="00617090">
              <w:rPr>
                <w:lang w:eastAsia="en-AU" w:bidi="ar-SA"/>
              </w:rPr>
              <w:t>8.9</w:t>
            </w:r>
          </w:p>
        </w:tc>
      </w:tr>
      <w:tr w:rsidR="00617090" w:rsidRPr="00617090" w14:paraId="29ECF138" w14:textId="77777777" w:rsidTr="00E02744">
        <w:trPr>
          <w:trHeight w:val="300"/>
        </w:trPr>
        <w:tc>
          <w:tcPr>
            <w:tcW w:w="4536" w:type="dxa"/>
            <w:tcBorders>
              <w:top w:val="nil"/>
              <w:left w:val="nil"/>
              <w:bottom w:val="nil"/>
              <w:right w:val="nil"/>
            </w:tcBorders>
            <w:shd w:val="clear" w:color="auto" w:fill="D9D9D9" w:themeFill="background1" w:themeFillShade="D9"/>
            <w:hideMark/>
          </w:tcPr>
          <w:p w14:paraId="6A20D471" w14:textId="6B3651F1" w:rsidR="00617090" w:rsidRPr="00617090" w:rsidRDefault="00617090" w:rsidP="009E72CB">
            <w:pPr>
              <w:pStyle w:val="FSTableText"/>
              <w:rPr>
                <w:rFonts w:ascii="Times New Roman" w:hAnsi="Times New Roman"/>
                <w:sz w:val="24"/>
                <w:lang w:val="en-AU" w:eastAsia="en-AU" w:bidi="ar-SA"/>
              </w:rPr>
            </w:pPr>
            <w:r w:rsidRPr="00617090">
              <w:rPr>
                <w:lang w:eastAsia="en-AU" w:bidi="ar-SA"/>
              </w:rPr>
              <w:t>Recommended energy intake</w:t>
            </w:r>
          </w:p>
        </w:tc>
        <w:tc>
          <w:tcPr>
            <w:tcW w:w="1843" w:type="dxa"/>
            <w:tcBorders>
              <w:top w:val="nil"/>
              <w:left w:val="nil"/>
              <w:bottom w:val="nil"/>
              <w:right w:val="nil"/>
            </w:tcBorders>
            <w:shd w:val="clear" w:color="auto" w:fill="D9D9D9" w:themeFill="background1" w:themeFillShade="D9"/>
            <w:hideMark/>
          </w:tcPr>
          <w:p w14:paraId="0882EC5D" w14:textId="77777777" w:rsidR="00617090" w:rsidRPr="00D63C12" w:rsidRDefault="00617090" w:rsidP="009E72CB">
            <w:pPr>
              <w:pStyle w:val="FSTableText"/>
              <w:rPr>
                <w:lang w:eastAsia="en-AU" w:bidi="ar-SA"/>
              </w:rPr>
            </w:pPr>
            <w:r w:rsidRPr="00617090">
              <w:rPr>
                <w:lang w:eastAsia="en-AU" w:bidi="ar-SA"/>
              </w:rPr>
              <w:t>kJ/day</w:t>
            </w:r>
            <w:r w:rsidRPr="00D63C12">
              <w:rPr>
                <w:lang w:eastAsia="en-AU" w:bidi="ar-SA"/>
              </w:rPr>
              <w:t> </w:t>
            </w:r>
          </w:p>
        </w:tc>
        <w:tc>
          <w:tcPr>
            <w:tcW w:w="1276" w:type="dxa"/>
            <w:tcBorders>
              <w:top w:val="nil"/>
              <w:left w:val="nil"/>
              <w:bottom w:val="nil"/>
              <w:right w:val="nil"/>
            </w:tcBorders>
            <w:shd w:val="clear" w:color="auto" w:fill="D9D9D9" w:themeFill="background1" w:themeFillShade="D9"/>
            <w:hideMark/>
          </w:tcPr>
          <w:p w14:paraId="21B2622F" w14:textId="2BB94AE3" w:rsidR="00617090" w:rsidRPr="00D63C12" w:rsidRDefault="00617090" w:rsidP="00FC6998">
            <w:pPr>
              <w:pStyle w:val="FSTableText"/>
              <w:tabs>
                <w:tab w:val="decimal" w:pos="706"/>
              </w:tabs>
              <w:rPr>
                <w:lang w:eastAsia="en-AU" w:bidi="ar-SA"/>
              </w:rPr>
            </w:pPr>
            <w:r w:rsidRPr="00617090">
              <w:rPr>
                <w:lang w:eastAsia="en-AU" w:bidi="ar-SA"/>
              </w:rPr>
              <w:t>2195</w:t>
            </w:r>
          </w:p>
        </w:tc>
        <w:tc>
          <w:tcPr>
            <w:tcW w:w="1276" w:type="dxa"/>
            <w:tcBorders>
              <w:top w:val="nil"/>
              <w:left w:val="nil"/>
              <w:bottom w:val="nil"/>
              <w:right w:val="nil"/>
            </w:tcBorders>
            <w:shd w:val="clear" w:color="auto" w:fill="D9D9D9" w:themeFill="background1" w:themeFillShade="D9"/>
            <w:hideMark/>
          </w:tcPr>
          <w:p w14:paraId="536D79F8" w14:textId="286D0D51" w:rsidR="00617090" w:rsidRPr="00D63C12" w:rsidRDefault="00617090" w:rsidP="007416B2">
            <w:pPr>
              <w:pStyle w:val="FSTableText"/>
              <w:tabs>
                <w:tab w:val="decimal" w:pos="994"/>
              </w:tabs>
              <w:rPr>
                <w:lang w:eastAsia="en-AU" w:bidi="ar-SA"/>
              </w:rPr>
            </w:pPr>
            <w:r w:rsidRPr="00617090">
              <w:rPr>
                <w:lang w:eastAsia="en-AU" w:bidi="ar-SA"/>
              </w:rPr>
              <w:t>2937</w:t>
            </w:r>
          </w:p>
        </w:tc>
      </w:tr>
      <w:tr w:rsidR="00617090" w:rsidRPr="00617090" w14:paraId="784D7B32" w14:textId="77777777" w:rsidTr="00E02744">
        <w:trPr>
          <w:trHeight w:val="360"/>
        </w:trPr>
        <w:tc>
          <w:tcPr>
            <w:tcW w:w="4536" w:type="dxa"/>
            <w:tcBorders>
              <w:top w:val="nil"/>
              <w:left w:val="nil"/>
              <w:bottom w:val="nil"/>
              <w:right w:val="nil"/>
            </w:tcBorders>
            <w:shd w:val="clear" w:color="auto" w:fill="auto"/>
            <w:hideMark/>
          </w:tcPr>
          <w:p w14:paraId="01EEA7D2" w14:textId="60D6A210" w:rsidR="00617090" w:rsidRPr="00617090" w:rsidRDefault="5DAB665B" w:rsidP="009E72CB">
            <w:pPr>
              <w:pStyle w:val="FSTableText"/>
              <w:rPr>
                <w:rFonts w:ascii="Times New Roman" w:hAnsi="Times New Roman"/>
                <w:sz w:val="24"/>
                <w:lang w:val="en-AU" w:eastAsia="en-AU" w:bidi="ar-SA"/>
              </w:rPr>
            </w:pPr>
            <w:r w:rsidRPr="1C95CCE8">
              <w:rPr>
                <w:lang w:eastAsia="en-AU" w:bidi="ar-SA"/>
              </w:rPr>
              <w:t xml:space="preserve">Amount of </w:t>
            </w:r>
            <w:r w:rsidR="78D7910C" w:rsidRPr="1C95CCE8">
              <w:rPr>
                <w:lang w:eastAsia="en-AU" w:bidi="ar-SA"/>
              </w:rPr>
              <w:t xml:space="preserve">human </w:t>
            </w:r>
            <w:r w:rsidRPr="1C95CCE8">
              <w:rPr>
                <w:lang w:eastAsia="en-AU" w:bidi="ar-SA"/>
              </w:rPr>
              <w:t xml:space="preserve">milk </w:t>
            </w:r>
            <w:r w:rsidR="78D7910C" w:rsidRPr="1C95CCE8">
              <w:rPr>
                <w:lang w:eastAsia="en-AU" w:bidi="ar-SA"/>
              </w:rPr>
              <w:t xml:space="preserve">required to meet </w:t>
            </w:r>
            <w:r w:rsidR="00617090" w:rsidRPr="1C95CCE8">
              <w:rPr>
                <w:lang w:eastAsia="en-AU" w:bidi="ar-SA"/>
              </w:rPr>
              <w:t>100% energy requirements</w:t>
            </w:r>
            <w:r w:rsidR="00617090" w:rsidRPr="0091332B">
              <w:rPr>
                <w:szCs w:val="16"/>
                <w:vertAlign w:val="superscript"/>
                <w:lang w:eastAsia="en-AU" w:bidi="ar-SA"/>
              </w:rPr>
              <w:t>3</w:t>
            </w:r>
            <w:r w:rsidR="00617090" w:rsidRPr="0091332B">
              <w:rPr>
                <w:szCs w:val="16"/>
                <w:lang w:val="en-AU" w:eastAsia="en-AU" w:bidi="ar-SA"/>
              </w:rPr>
              <w:t> </w:t>
            </w:r>
          </w:p>
        </w:tc>
        <w:tc>
          <w:tcPr>
            <w:tcW w:w="1843" w:type="dxa"/>
            <w:tcBorders>
              <w:top w:val="nil"/>
              <w:left w:val="nil"/>
              <w:bottom w:val="nil"/>
              <w:right w:val="nil"/>
            </w:tcBorders>
            <w:shd w:val="clear" w:color="auto" w:fill="auto"/>
            <w:hideMark/>
          </w:tcPr>
          <w:p w14:paraId="3BA8D8CA" w14:textId="77777777" w:rsidR="00617090" w:rsidRPr="00D63C12" w:rsidRDefault="00617090" w:rsidP="009E72CB">
            <w:pPr>
              <w:pStyle w:val="FSTableText"/>
              <w:rPr>
                <w:lang w:eastAsia="en-AU" w:bidi="ar-SA"/>
              </w:rPr>
            </w:pPr>
            <w:r w:rsidRPr="00617090">
              <w:rPr>
                <w:lang w:eastAsia="en-AU" w:bidi="ar-SA"/>
              </w:rPr>
              <w:t>g/day</w:t>
            </w:r>
            <w:r w:rsidRPr="00D63C12">
              <w:rPr>
                <w:lang w:eastAsia="en-AU" w:bidi="ar-SA"/>
              </w:rPr>
              <w:t> </w:t>
            </w:r>
          </w:p>
        </w:tc>
        <w:tc>
          <w:tcPr>
            <w:tcW w:w="1276" w:type="dxa"/>
            <w:tcBorders>
              <w:top w:val="nil"/>
              <w:left w:val="nil"/>
              <w:bottom w:val="nil"/>
              <w:right w:val="nil"/>
            </w:tcBorders>
            <w:shd w:val="clear" w:color="auto" w:fill="auto"/>
            <w:hideMark/>
          </w:tcPr>
          <w:p w14:paraId="57918B62" w14:textId="7E7AB1B0" w:rsidR="00617090" w:rsidRPr="00D63C12" w:rsidRDefault="00FA2E2D" w:rsidP="00FC6998">
            <w:pPr>
              <w:pStyle w:val="FSTableText"/>
              <w:tabs>
                <w:tab w:val="decimal" w:pos="706"/>
              </w:tabs>
              <w:rPr>
                <w:lang w:eastAsia="en-AU" w:bidi="ar-SA"/>
              </w:rPr>
            </w:pPr>
            <w:r>
              <w:rPr>
                <w:lang w:eastAsia="en-AU" w:bidi="ar-SA"/>
              </w:rPr>
              <w:t>765</w:t>
            </w:r>
          </w:p>
        </w:tc>
        <w:tc>
          <w:tcPr>
            <w:tcW w:w="1276" w:type="dxa"/>
            <w:tcBorders>
              <w:top w:val="nil"/>
              <w:left w:val="nil"/>
              <w:bottom w:val="nil"/>
              <w:right w:val="nil"/>
            </w:tcBorders>
            <w:shd w:val="clear" w:color="auto" w:fill="auto"/>
            <w:hideMark/>
          </w:tcPr>
          <w:p w14:paraId="059D22D2" w14:textId="7AA49EA9" w:rsidR="00617090" w:rsidRPr="00D63C12" w:rsidRDefault="00617090" w:rsidP="007416B2">
            <w:pPr>
              <w:pStyle w:val="FSTableText"/>
              <w:tabs>
                <w:tab w:val="decimal" w:pos="994"/>
              </w:tabs>
              <w:rPr>
                <w:lang w:eastAsia="en-AU" w:bidi="ar-SA"/>
              </w:rPr>
            </w:pPr>
            <w:r w:rsidRPr="00617090">
              <w:rPr>
                <w:lang w:eastAsia="en-AU" w:bidi="ar-SA"/>
              </w:rPr>
              <w:t>n/a</w:t>
            </w:r>
          </w:p>
        </w:tc>
      </w:tr>
      <w:tr w:rsidR="00617090" w:rsidRPr="00617090" w14:paraId="7D8E31D9" w14:textId="77777777" w:rsidTr="00E02744">
        <w:trPr>
          <w:trHeight w:val="360"/>
        </w:trPr>
        <w:tc>
          <w:tcPr>
            <w:tcW w:w="4536" w:type="dxa"/>
            <w:tcBorders>
              <w:top w:val="nil"/>
              <w:left w:val="nil"/>
              <w:bottom w:val="nil"/>
              <w:right w:val="nil"/>
            </w:tcBorders>
            <w:shd w:val="clear" w:color="auto" w:fill="D9D9D9" w:themeFill="background1" w:themeFillShade="D9"/>
            <w:hideMark/>
          </w:tcPr>
          <w:p w14:paraId="4F7C341C" w14:textId="1C661027" w:rsidR="00617090" w:rsidRPr="00617090" w:rsidRDefault="00FA2E2D" w:rsidP="009E72CB">
            <w:pPr>
              <w:pStyle w:val="FSTableText"/>
              <w:rPr>
                <w:rFonts w:ascii="Times New Roman" w:hAnsi="Times New Roman"/>
                <w:sz w:val="24"/>
                <w:lang w:val="en-AU" w:eastAsia="en-AU" w:bidi="ar-SA"/>
              </w:rPr>
            </w:pPr>
            <w:r>
              <w:rPr>
                <w:lang w:eastAsia="en-AU" w:bidi="ar-SA"/>
              </w:rPr>
              <w:t xml:space="preserve">Amount of human milk required to meet </w:t>
            </w:r>
            <w:r w:rsidR="00617090" w:rsidRPr="00617090">
              <w:rPr>
                <w:lang w:eastAsia="en-AU" w:bidi="ar-SA"/>
              </w:rPr>
              <w:t>50% energy requirements</w:t>
            </w:r>
            <w:r w:rsidR="00617090" w:rsidRPr="0091332B">
              <w:rPr>
                <w:szCs w:val="16"/>
                <w:vertAlign w:val="superscript"/>
                <w:lang w:eastAsia="en-AU" w:bidi="ar-SA"/>
              </w:rPr>
              <w:t>3</w:t>
            </w:r>
            <w:r w:rsidR="00617090" w:rsidRPr="0091332B">
              <w:rPr>
                <w:szCs w:val="16"/>
                <w:lang w:val="en-AU" w:eastAsia="en-AU" w:bidi="ar-SA"/>
              </w:rPr>
              <w:t> </w:t>
            </w:r>
          </w:p>
        </w:tc>
        <w:tc>
          <w:tcPr>
            <w:tcW w:w="1843" w:type="dxa"/>
            <w:tcBorders>
              <w:top w:val="nil"/>
              <w:left w:val="nil"/>
              <w:bottom w:val="nil"/>
              <w:right w:val="nil"/>
            </w:tcBorders>
            <w:shd w:val="clear" w:color="auto" w:fill="D9D9D9" w:themeFill="background1" w:themeFillShade="D9"/>
            <w:hideMark/>
          </w:tcPr>
          <w:p w14:paraId="6AE7F541" w14:textId="77777777" w:rsidR="00617090" w:rsidRPr="00D63C12" w:rsidRDefault="00617090" w:rsidP="009E72CB">
            <w:pPr>
              <w:pStyle w:val="FSTableText"/>
              <w:rPr>
                <w:lang w:eastAsia="en-AU" w:bidi="ar-SA"/>
              </w:rPr>
            </w:pPr>
            <w:r w:rsidRPr="00617090">
              <w:rPr>
                <w:lang w:eastAsia="en-AU" w:bidi="ar-SA"/>
              </w:rPr>
              <w:t>g/day</w:t>
            </w:r>
            <w:r w:rsidRPr="00D63C12">
              <w:rPr>
                <w:lang w:eastAsia="en-AU" w:bidi="ar-SA"/>
              </w:rPr>
              <w:t> </w:t>
            </w:r>
          </w:p>
        </w:tc>
        <w:tc>
          <w:tcPr>
            <w:tcW w:w="1276" w:type="dxa"/>
            <w:tcBorders>
              <w:top w:val="nil"/>
              <w:left w:val="nil"/>
              <w:bottom w:val="nil"/>
              <w:right w:val="nil"/>
            </w:tcBorders>
            <w:shd w:val="clear" w:color="auto" w:fill="D9D9D9" w:themeFill="background1" w:themeFillShade="D9"/>
            <w:hideMark/>
          </w:tcPr>
          <w:p w14:paraId="5FB8ABB5" w14:textId="43FFBB3A" w:rsidR="00617090" w:rsidRPr="00D63C12" w:rsidRDefault="00617090" w:rsidP="00FC6998">
            <w:pPr>
              <w:pStyle w:val="FSTableText"/>
              <w:tabs>
                <w:tab w:val="decimal" w:pos="706"/>
              </w:tabs>
              <w:rPr>
                <w:lang w:eastAsia="en-AU" w:bidi="ar-SA"/>
              </w:rPr>
            </w:pPr>
            <w:r w:rsidRPr="00617090">
              <w:rPr>
                <w:lang w:eastAsia="en-AU" w:bidi="ar-SA"/>
              </w:rPr>
              <w:t>n/a</w:t>
            </w:r>
          </w:p>
        </w:tc>
        <w:tc>
          <w:tcPr>
            <w:tcW w:w="1276" w:type="dxa"/>
            <w:tcBorders>
              <w:top w:val="nil"/>
              <w:left w:val="nil"/>
              <w:bottom w:val="nil"/>
              <w:right w:val="nil"/>
            </w:tcBorders>
            <w:shd w:val="clear" w:color="auto" w:fill="D9D9D9" w:themeFill="background1" w:themeFillShade="D9"/>
            <w:hideMark/>
          </w:tcPr>
          <w:p w14:paraId="4AA02A93" w14:textId="1867A91E" w:rsidR="00617090" w:rsidRPr="00D63C12" w:rsidRDefault="00FA2E2D" w:rsidP="007416B2">
            <w:pPr>
              <w:pStyle w:val="FSTableText"/>
              <w:tabs>
                <w:tab w:val="decimal" w:pos="994"/>
              </w:tabs>
              <w:rPr>
                <w:lang w:eastAsia="en-AU" w:bidi="ar-SA"/>
              </w:rPr>
            </w:pPr>
            <w:r>
              <w:rPr>
                <w:lang w:eastAsia="en-AU" w:bidi="ar-SA"/>
              </w:rPr>
              <w:t>515</w:t>
            </w:r>
          </w:p>
        </w:tc>
      </w:tr>
      <w:tr w:rsidR="00320BE8" w:rsidRPr="00617090" w14:paraId="731FED62" w14:textId="77777777" w:rsidTr="00E02744">
        <w:trPr>
          <w:trHeight w:val="270"/>
        </w:trPr>
        <w:tc>
          <w:tcPr>
            <w:tcW w:w="4536" w:type="dxa"/>
            <w:vMerge w:val="restart"/>
            <w:tcBorders>
              <w:top w:val="nil"/>
              <w:left w:val="nil"/>
              <w:right w:val="nil"/>
            </w:tcBorders>
            <w:shd w:val="clear" w:color="auto" w:fill="auto"/>
          </w:tcPr>
          <w:p w14:paraId="7D6283C9" w14:textId="1B5916C4" w:rsidR="00320BE8" w:rsidRPr="00617090" w:rsidRDefault="2BC9D80A" w:rsidP="009E72CB">
            <w:pPr>
              <w:pStyle w:val="FSTableText"/>
              <w:rPr>
                <w:lang w:eastAsia="en-AU" w:bidi="ar-SA"/>
              </w:rPr>
            </w:pPr>
            <w:r w:rsidRPr="2275DB76">
              <w:rPr>
                <w:lang w:eastAsia="en-AU" w:bidi="ar-SA"/>
              </w:rPr>
              <w:t xml:space="preserve">Mean dietary intake of </w:t>
            </w:r>
            <w:proofErr w:type="spellStart"/>
            <w:r w:rsidRPr="2275DB76">
              <w:rPr>
                <w:lang w:eastAsia="en-AU" w:bidi="ar-SA"/>
              </w:rPr>
              <w:t>hLf</w:t>
            </w:r>
            <w:proofErr w:type="spellEnd"/>
            <w:r w:rsidRPr="2275DB76">
              <w:rPr>
                <w:lang w:eastAsia="en-AU" w:bidi="ar-SA"/>
              </w:rPr>
              <w:t xml:space="preserve"> from human milk</w:t>
            </w:r>
            <w:r w:rsidR="3FAE0303" w:rsidRPr="2275DB76">
              <w:rPr>
                <w:lang w:eastAsia="en-AU" w:bidi="ar-SA"/>
              </w:rPr>
              <w:t xml:space="preserve"> </w:t>
            </w:r>
            <w:r w:rsidR="005C179D">
              <w:rPr>
                <w:lang w:eastAsia="en-AU" w:bidi="ar-SA"/>
              </w:rPr>
              <w:br/>
            </w:r>
            <w:r w:rsidR="3FAE0303" w:rsidRPr="2275DB76">
              <w:rPr>
                <w:lang w:eastAsia="en-AU" w:bidi="ar-SA"/>
              </w:rPr>
              <w:t>(</w:t>
            </w:r>
            <w:r w:rsidR="00A75277">
              <w:rPr>
                <w:lang w:eastAsia="en-AU" w:bidi="ar-SA"/>
              </w:rPr>
              <w:t>low</w:t>
            </w:r>
            <w:r w:rsidR="3FAE0303" w:rsidRPr="2275DB76">
              <w:rPr>
                <w:lang w:eastAsia="en-AU" w:bidi="ar-SA"/>
              </w:rPr>
              <w:t xml:space="preserve"> concentration)</w:t>
            </w:r>
            <w:r w:rsidRPr="2275DB76">
              <w:rPr>
                <w:sz w:val="16"/>
                <w:szCs w:val="16"/>
                <w:vertAlign w:val="superscript"/>
                <w:lang w:eastAsia="en-AU" w:bidi="ar-SA"/>
              </w:rPr>
              <w:t xml:space="preserve"> </w:t>
            </w:r>
            <w:r w:rsidRPr="3A440085">
              <w:rPr>
                <w:vertAlign w:val="superscript"/>
                <w:lang w:eastAsia="en-AU" w:bidi="ar-SA"/>
              </w:rPr>
              <w:t>4</w:t>
            </w:r>
            <w:r w:rsidRPr="2275DB76">
              <w:rPr>
                <w:sz w:val="16"/>
                <w:szCs w:val="16"/>
                <w:lang w:val="en-AU" w:eastAsia="en-AU" w:bidi="ar-SA"/>
              </w:rPr>
              <w:t xml:space="preserve"> </w:t>
            </w:r>
          </w:p>
        </w:tc>
        <w:tc>
          <w:tcPr>
            <w:tcW w:w="1843" w:type="dxa"/>
            <w:tcBorders>
              <w:top w:val="nil"/>
              <w:left w:val="nil"/>
              <w:bottom w:val="nil"/>
              <w:right w:val="nil"/>
            </w:tcBorders>
            <w:shd w:val="clear" w:color="auto" w:fill="auto"/>
          </w:tcPr>
          <w:p w14:paraId="4766A284" w14:textId="604C72EB" w:rsidR="00320BE8" w:rsidRPr="00617090" w:rsidRDefault="12B04A98" w:rsidP="009E72CB">
            <w:pPr>
              <w:pStyle w:val="FSTableText"/>
              <w:rPr>
                <w:lang w:eastAsia="en-AU" w:bidi="ar-SA"/>
              </w:rPr>
            </w:pPr>
            <w:r w:rsidRPr="2275DB76">
              <w:rPr>
                <w:lang w:eastAsia="en-AU" w:bidi="ar-SA"/>
              </w:rPr>
              <w:t>m</w:t>
            </w:r>
            <w:r w:rsidR="2BC9D80A" w:rsidRPr="2275DB76">
              <w:rPr>
                <w:lang w:eastAsia="en-AU" w:bidi="ar-SA"/>
              </w:rPr>
              <w:t>g/day </w:t>
            </w:r>
          </w:p>
        </w:tc>
        <w:tc>
          <w:tcPr>
            <w:tcW w:w="1276" w:type="dxa"/>
            <w:tcBorders>
              <w:top w:val="nil"/>
              <w:left w:val="nil"/>
              <w:bottom w:val="nil"/>
              <w:right w:val="nil"/>
            </w:tcBorders>
            <w:shd w:val="clear" w:color="auto" w:fill="auto"/>
          </w:tcPr>
          <w:p w14:paraId="47757C64" w14:textId="216EB0B7" w:rsidR="00320BE8" w:rsidRPr="00617090" w:rsidRDefault="263A46F9" w:rsidP="00FC6998">
            <w:pPr>
              <w:pStyle w:val="FSTableText"/>
              <w:tabs>
                <w:tab w:val="decimal" w:pos="706"/>
              </w:tabs>
              <w:rPr>
                <w:lang w:eastAsia="en-AU" w:bidi="ar-SA"/>
              </w:rPr>
            </w:pPr>
            <w:r w:rsidRPr="29A90341">
              <w:rPr>
                <w:lang w:eastAsia="en-AU" w:bidi="ar-SA"/>
              </w:rPr>
              <w:t>9</w:t>
            </w:r>
            <w:r w:rsidR="660DA785" w:rsidRPr="29A90341">
              <w:rPr>
                <w:lang w:eastAsia="en-AU" w:bidi="ar-SA"/>
              </w:rPr>
              <w:t>7</w:t>
            </w:r>
            <w:r w:rsidR="00B7474E" w:rsidRPr="29A90341">
              <w:rPr>
                <w:lang w:eastAsia="en-AU" w:bidi="ar-SA"/>
              </w:rPr>
              <w:t>5</w:t>
            </w:r>
          </w:p>
        </w:tc>
        <w:tc>
          <w:tcPr>
            <w:tcW w:w="1276" w:type="dxa"/>
            <w:tcBorders>
              <w:top w:val="nil"/>
              <w:left w:val="nil"/>
              <w:bottom w:val="nil"/>
              <w:right w:val="nil"/>
            </w:tcBorders>
            <w:shd w:val="clear" w:color="auto" w:fill="auto"/>
          </w:tcPr>
          <w:p w14:paraId="0131EB63" w14:textId="47E97050" w:rsidR="00320BE8" w:rsidRPr="00617090" w:rsidRDefault="60174057" w:rsidP="007416B2">
            <w:pPr>
              <w:pStyle w:val="FSTableText"/>
              <w:tabs>
                <w:tab w:val="decimal" w:pos="994"/>
              </w:tabs>
              <w:rPr>
                <w:lang w:eastAsia="en-AU" w:bidi="ar-SA"/>
              </w:rPr>
            </w:pPr>
            <w:r w:rsidRPr="29A90341">
              <w:rPr>
                <w:lang w:eastAsia="en-AU" w:bidi="ar-SA"/>
              </w:rPr>
              <w:t>65</w:t>
            </w:r>
            <w:r w:rsidR="00B7474E" w:rsidRPr="29A90341">
              <w:rPr>
                <w:lang w:eastAsia="en-AU" w:bidi="ar-SA"/>
              </w:rPr>
              <w:t>6</w:t>
            </w:r>
          </w:p>
        </w:tc>
      </w:tr>
      <w:tr w:rsidR="00320BE8" w:rsidRPr="00617090" w14:paraId="1C3C7CA4" w14:textId="77777777" w:rsidTr="00E02744">
        <w:trPr>
          <w:trHeight w:val="270"/>
        </w:trPr>
        <w:tc>
          <w:tcPr>
            <w:tcW w:w="4536" w:type="dxa"/>
            <w:vMerge/>
          </w:tcPr>
          <w:p w14:paraId="42F79773" w14:textId="77777777" w:rsidR="00320BE8" w:rsidRPr="00617090" w:rsidRDefault="00320BE8" w:rsidP="009E72CB">
            <w:pPr>
              <w:pStyle w:val="FSTableText"/>
              <w:rPr>
                <w:lang w:eastAsia="en-AU" w:bidi="ar-SA"/>
              </w:rPr>
            </w:pPr>
          </w:p>
        </w:tc>
        <w:tc>
          <w:tcPr>
            <w:tcW w:w="1843" w:type="dxa"/>
            <w:tcBorders>
              <w:top w:val="nil"/>
              <w:left w:val="nil"/>
              <w:bottom w:val="nil"/>
              <w:right w:val="nil"/>
            </w:tcBorders>
            <w:shd w:val="clear" w:color="auto" w:fill="auto"/>
          </w:tcPr>
          <w:p w14:paraId="2F79E9F3" w14:textId="3B22DC4D" w:rsidR="00320BE8" w:rsidRPr="00617090" w:rsidRDefault="21F40D92" w:rsidP="009E72CB">
            <w:pPr>
              <w:pStyle w:val="FSTableText"/>
              <w:rPr>
                <w:lang w:eastAsia="en-AU" w:bidi="ar-SA"/>
              </w:rPr>
            </w:pPr>
            <w:r w:rsidRPr="2275DB76">
              <w:rPr>
                <w:lang w:eastAsia="en-AU" w:bidi="ar-SA"/>
              </w:rPr>
              <w:t>m</w:t>
            </w:r>
            <w:r w:rsidR="2BC9D80A" w:rsidRPr="2275DB76">
              <w:rPr>
                <w:lang w:eastAsia="en-AU" w:bidi="ar-SA"/>
              </w:rPr>
              <w:t xml:space="preserve">g/kg </w:t>
            </w:r>
            <w:proofErr w:type="spellStart"/>
            <w:r w:rsidR="2BC9D80A" w:rsidRPr="2275DB76">
              <w:rPr>
                <w:lang w:eastAsia="en-AU" w:bidi="ar-SA"/>
              </w:rPr>
              <w:t>bw</w:t>
            </w:r>
            <w:proofErr w:type="spellEnd"/>
            <w:r w:rsidR="2BC9D80A" w:rsidRPr="2275DB76">
              <w:rPr>
                <w:lang w:eastAsia="en-AU" w:bidi="ar-SA"/>
              </w:rPr>
              <w:t>/day </w:t>
            </w:r>
          </w:p>
        </w:tc>
        <w:tc>
          <w:tcPr>
            <w:tcW w:w="1276" w:type="dxa"/>
            <w:tcBorders>
              <w:top w:val="nil"/>
              <w:left w:val="nil"/>
              <w:bottom w:val="nil"/>
              <w:right w:val="nil"/>
            </w:tcBorders>
            <w:shd w:val="clear" w:color="auto" w:fill="auto"/>
          </w:tcPr>
          <w:p w14:paraId="7310DA94" w14:textId="1F8485D2" w:rsidR="00320BE8" w:rsidRPr="00617090" w:rsidRDefault="0FF16381" w:rsidP="00FC6998">
            <w:pPr>
              <w:pStyle w:val="FSTableText"/>
              <w:tabs>
                <w:tab w:val="decimal" w:pos="706"/>
              </w:tabs>
              <w:rPr>
                <w:lang w:eastAsia="en-AU" w:bidi="ar-SA"/>
              </w:rPr>
            </w:pPr>
            <w:r w:rsidRPr="29A90341">
              <w:rPr>
                <w:lang w:eastAsia="en-AU" w:bidi="ar-SA"/>
              </w:rPr>
              <w:t>1</w:t>
            </w:r>
            <w:r w:rsidR="7872C321" w:rsidRPr="29A90341">
              <w:rPr>
                <w:lang w:eastAsia="en-AU" w:bidi="ar-SA"/>
              </w:rPr>
              <w:t>5</w:t>
            </w:r>
            <w:r w:rsidR="00B7474E" w:rsidRPr="29A90341">
              <w:rPr>
                <w:lang w:eastAsia="en-AU" w:bidi="ar-SA"/>
              </w:rPr>
              <w:t>2</w:t>
            </w:r>
          </w:p>
        </w:tc>
        <w:tc>
          <w:tcPr>
            <w:tcW w:w="1276" w:type="dxa"/>
            <w:tcBorders>
              <w:top w:val="nil"/>
              <w:left w:val="nil"/>
              <w:bottom w:val="nil"/>
              <w:right w:val="nil"/>
            </w:tcBorders>
            <w:shd w:val="clear" w:color="auto" w:fill="auto"/>
          </w:tcPr>
          <w:p w14:paraId="689E4EA8" w14:textId="5F4C59E3" w:rsidR="00320BE8" w:rsidRPr="00617090" w:rsidRDefault="649CD014" w:rsidP="007416B2">
            <w:pPr>
              <w:pStyle w:val="FSTableText"/>
              <w:tabs>
                <w:tab w:val="decimal" w:pos="994"/>
              </w:tabs>
              <w:rPr>
                <w:szCs w:val="22"/>
              </w:rPr>
            </w:pPr>
            <w:r w:rsidRPr="2275DB76">
              <w:rPr>
                <w:lang w:eastAsia="en-AU" w:bidi="ar-SA"/>
              </w:rPr>
              <w:t>74</w:t>
            </w:r>
          </w:p>
        </w:tc>
      </w:tr>
      <w:tr w:rsidR="000B6362" w:rsidRPr="00617090" w14:paraId="2E15F9B4" w14:textId="77777777" w:rsidTr="00E02744">
        <w:trPr>
          <w:trHeight w:val="270"/>
        </w:trPr>
        <w:tc>
          <w:tcPr>
            <w:tcW w:w="4536" w:type="dxa"/>
            <w:vMerge w:val="restart"/>
            <w:tcBorders>
              <w:top w:val="nil"/>
              <w:left w:val="nil"/>
              <w:right w:val="nil"/>
            </w:tcBorders>
            <w:shd w:val="clear" w:color="auto" w:fill="D9D9D9" w:themeFill="background1" w:themeFillShade="D9"/>
          </w:tcPr>
          <w:p w14:paraId="5D72E71F" w14:textId="43CB2C7A" w:rsidR="000B6362" w:rsidRPr="00075587" w:rsidRDefault="000B6362" w:rsidP="009E72CB">
            <w:pPr>
              <w:pStyle w:val="FSTableText"/>
              <w:rPr>
                <w:vertAlign w:val="superscript"/>
                <w:lang w:eastAsia="en-AU" w:bidi="ar-SA"/>
              </w:rPr>
            </w:pPr>
            <w:r w:rsidRPr="00617090">
              <w:rPr>
                <w:lang w:eastAsia="en-AU" w:bidi="ar-SA"/>
              </w:rPr>
              <w:t xml:space="preserve">P90 dietary intake </w:t>
            </w:r>
            <w:proofErr w:type="spellStart"/>
            <w:r w:rsidRPr="00617090">
              <w:rPr>
                <w:lang w:eastAsia="en-AU" w:bidi="ar-SA"/>
              </w:rPr>
              <w:t>hLF</w:t>
            </w:r>
            <w:proofErr w:type="spellEnd"/>
            <w:r w:rsidRPr="00617090">
              <w:rPr>
                <w:lang w:eastAsia="en-AU" w:bidi="ar-SA"/>
              </w:rPr>
              <w:t xml:space="preserve"> from human milk</w:t>
            </w:r>
            <w:r w:rsidR="001D1A0A">
              <w:rPr>
                <w:lang w:eastAsia="en-AU" w:bidi="ar-SA"/>
              </w:rPr>
              <w:t xml:space="preserve"> </w:t>
            </w:r>
            <w:r w:rsidR="005C179D">
              <w:rPr>
                <w:lang w:eastAsia="en-AU" w:bidi="ar-SA"/>
              </w:rPr>
              <w:br/>
            </w:r>
            <w:r w:rsidR="001D1A0A">
              <w:rPr>
                <w:lang w:eastAsia="en-AU" w:bidi="ar-SA"/>
              </w:rPr>
              <w:t>(</w:t>
            </w:r>
            <w:r w:rsidR="00A75277">
              <w:rPr>
                <w:lang w:eastAsia="en-AU" w:bidi="ar-SA"/>
              </w:rPr>
              <w:t>low</w:t>
            </w:r>
            <w:r w:rsidR="001D1A0A">
              <w:rPr>
                <w:lang w:eastAsia="en-AU" w:bidi="ar-SA"/>
              </w:rPr>
              <w:t xml:space="preserve"> concentration)</w:t>
            </w:r>
            <w:r w:rsidR="00075587">
              <w:rPr>
                <w:vertAlign w:val="superscript"/>
                <w:lang w:eastAsia="en-AU" w:bidi="ar-SA"/>
              </w:rPr>
              <w:t>4</w:t>
            </w:r>
          </w:p>
        </w:tc>
        <w:tc>
          <w:tcPr>
            <w:tcW w:w="1843" w:type="dxa"/>
            <w:tcBorders>
              <w:top w:val="nil"/>
              <w:left w:val="nil"/>
              <w:bottom w:val="nil"/>
              <w:right w:val="nil"/>
            </w:tcBorders>
            <w:shd w:val="clear" w:color="auto" w:fill="D9D9D9" w:themeFill="background1" w:themeFillShade="D9"/>
          </w:tcPr>
          <w:p w14:paraId="1C197A36" w14:textId="166DD6E3" w:rsidR="000B6362" w:rsidRPr="00617090" w:rsidRDefault="17FD370F" w:rsidP="009E72CB">
            <w:pPr>
              <w:pStyle w:val="FSTableText"/>
              <w:rPr>
                <w:lang w:eastAsia="en-AU" w:bidi="ar-SA"/>
              </w:rPr>
            </w:pPr>
            <w:r w:rsidRPr="2275DB76">
              <w:rPr>
                <w:lang w:eastAsia="en-AU" w:bidi="ar-SA"/>
              </w:rPr>
              <w:t>m</w:t>
            </w:r>
            <w:r w:rsidR="745972C4" w:rsidRPr="2275DB76">
              <w:rPr>
                <w:lang w:eastAsia="en-AU" w:bidi="ar-SA"/>
              </w:rPr>
              <w:t>g/day </w:t>
            </w:r>
          </w:p>
        </w:tc>
        <w:tc>
          <w:tcPr>
            <w:tcW w:w="1276" w:type="dxa"/>
            <w:tcBorders>
              <w:top w:val="nil"/>
              <w:left w:val="nil"/>
              <w:bottom w:val="nil"/>
              <w:right w:val="nil"/>
            </w:tcBorders>
            <w:shd w:val="clear" w:color="auto" w:fill="D9D9D9" w:themeFill="background1" w:themeFillShade="D9"/>
          </w:tcPr>
          <w:p w14:paraId="18723D51" w14:textId="71553CE7" w:rsidR="000B6362" w:rsidRPr="00617090" w:rsidRDefault="29F5C47F" w:rsidP="00FC6998">
            <w:pPr>
              <w:pStyle w:val="FSTableText"/>
              <w:tabs>
                <w:tab w:val="decimal" w:pos="706"/>
              </w:tabs>
              <w:rPr>
                <w:lang w:eastAsia="en-AU" w:bidi="ar-SA"/>
              </w:rPr>
            </w:pPr>
            <w:r w:rsidRPr="29A90341">
              <w:rPr>
                <w:lang w:eastAsia="en-AU" w:bidi="ar-SA"/>
              </w:rPr>
              <w:t>19</w:t>
            </w:r>
            <w:r w:rsidR="00B7474E" w:rsidRPr="29A90341">
              <w:rPr>
                <w:lang w:eastAsia="en-AU" w:bidi="ar-SA"/>
              </w:rPr>
              <w:t>49</w:t>
            </w:r>
          </w:p>
        </w:tc>
        <w:tc>
          <w:tcPr>
            <w:tcW w:w="1276" w:type="dxa"/>
            <w:tcBorders>
              <w:top w:val="nil"/>
              <w:left w:val="nil"/>
              <w:bottom w:val="nil"/>
              <w:right w:val="nil"/>
            </w:tcBorders>
            <w:shd w:val="clear" w:color="auto" w:fill="D9D9D9" w:themeFill="background1" w:themeFillShade="D9"/>
          </w:tcPr>
          <w:p w14:paraId="71A6FBC7" w14:textId="2BDBDDAD" w:rsidR="000B6362" w:rsidRPr="00617090" w:rsidRDefault="6981422D" w:rsidP="007416B2">
            <w:pPr>
              <w:pStyle w:val="FSTableText"/>
              <w:tabs>
                <w:tab w:val="decimal" w:pos="994"/>
              </w:tabs>
              <w:rPr>
                <w:lang w:eastAsia="en-AU" w:bidi="ar-SA"/>
              </w:rPr>
            </w:pPr>
            <w:r w:rsidRPr="29A90341">
              <w:rPr>
                <w:lang w:eastAsia="en-AU" w:bidi="ar-SA"/>
              </w:rPr>
              <w:t>13</w:t>
            </w:r>
            <w:r w:rsidR="00B7474E" w:rsidRPr="29A90341">
              <w:rPr>
                <w:lang w:eastAsia="en-AU" w:bidi="ar-SA"/>
              </w:rPr>
              <w:t>12</w:t>
            </w:r>
          </w:p>
        </w:tc>
      </w:tr>
      <w:tr w:rsidR="000B6362" w:rsidRPr="00617090" w14:paraId="0C11305C" w14:textId="77777777" w:rsidTr="00E02744">
        <w:trPr>
          <w:trHeight w:val="270"/>
        </w:trPr>
        <w:tc>
          <w:tcPr>
            <w:tcW w:w="4536" w:type="dxa"/>
            <w:vMerge/>
          </w:tcPr>
          <w:p w14:paraId="62090862" w14:textId="77777777" w:rsidR="000B6362" w:rsidRPr="00617090" w:rsidRDefault="000B6362" w:rsidP="009E72CB">
            <w:pPr>
              <w:pStyle w:val="FSTableText"/>
              <w:rPr>
                <w:lang w:eastAsia="en-AU" w:bidi="ar-SA"/>
              </w:rPr>
            </w:pPr>
          </w:p>
        </w:tc>
        <w:tc>
          <w:tcPr>
            <w:tcW w:w="1843" w:type="dxa"/>
            <w:tcBorders>
              <w:top w:val="nil"/>
              <w:left w:val="nil"/>
              <w:bottom w:val="nil"/>
              <w:right w:val="nil"/>
            </w:tcBorders>
            <w:shd w:val="clear" w:color="auto" w:fill="D9D9D9" w:themeFill="background1" w:themeFillShade="D9"/>
          </w:tcPr>
          <w:p w14:paraId="0F938B25" w14:textId="5AE6A9DC" w:rsidR="000B6362" w:rsidRPr="00617090" w:rsidRDefault="638F354C" w:rsidP="009E72CB">
            <w:pPr>
              <w:pStyle w:val="FSTableText"/>
              <w:rPr>
                <w:lang w:eastAsia="en-AU" w:bidi="ar-SA"/>
              </w:rPr>
            </w:pPr>
            <w:r w:rsidRPr="2275DB76">
              <w:rPr>
                <w:lang w:eastAsia="en-AU" w:bidi="ar-SA"/>
              </w:rPr>
              <w:t>m</w:t>
            </w:r>
            <w:r w:rsidR="745972C4" w:rsidRPr="2275DB76">
              <w:rPr>
                <w:lang w:eastAsia="en-AU" w:bidi="ar-SA"/>
              </w:rPr>
              <w:t xml:space="preserve">g/kg </w:t>
            </w:r>
            <w:proofErr w:type="spellStart"/>
            <w:r w:rsidR="745972C4" w:rsidRPr="2275DB76">
              <w:rPr>
                <w:lang w:eastAsia="en-AU" w:bidi="ar-SA"/>
              </w:rPr>
              <w:t>bw</w:t>
            </w:r>
            <w:proofErr w:type="spellEnd"/>
            <w:r w:rsidR="745972C4" w:rsidRPr="2275DB76">
              <w:rPr>
                <w:lang w:eastAsia="en-AU" w:bidi="ar-SA"/>
              </w:rPr>
              <w:t>/day </w:t>
            </w:r>
          </w:p>
        </w:tc>
        <w:tc>
          <w:tcPr>
            <w:tcW w:w="1276" w:type="dxa"/>
            <w:tcBorders>
              <w:top w:val="nil"/>
              <w:left w:val="nil"/>
              <w:bottom w:val="nil"/>
              <w:right w:val="nil"/>
            </w:tcBorders>
            <w:shd w:val="clear" w:color="auto" w:fill="D9D9D9" w:themeFill="background1" w:themeFillShade="D9"/>
          </w:tcPr>
          <w:p w14:paraId="2A4DC15E" w14:textId="75FB43D2" w:rsidR="000B6362" w:rsidRPr="00617090" w:rsidRDefault="49EDF0D0" w:rsidP="00FC6998">
            <w:pPr>
              <w:pStyle w:val="FSTableText"/>
              <w:tabs>
                <w:tab w:val="decimal" w:pos="706"/>
              </w:tabs>
              <w:rPr>
                <w:lang w:eastAsia="en-AU" w:bidi="ar-SA"/>
              </w:rPr>
            </w:pPr>
            <w:r w:rsidRPr="29A90341">
              <w:rPr>
                <w:lang w:eastAsia="en-AU" w:bidi="ar-SA"/>
              </w:rPr>
              <w:t>30</w:t>
            </w:r>
            <w:r w:rsidR="00B7474E" w:rsidRPr="29A90341">
              <w:rPr>
                <w:lang w:eastAsia="en-AU" w:bidi="ar-SA"/>
              </w:rPr>
              <w:t>5</w:t>
            </w:r>
          </w:p>
        </w:tc>
        <w:tc>
          <w:tcPr>
            <w:tcW w:w="1276" w:type="dxa"/>
            <w:tcBorders>
              <w:top w:val="nil"/>
              <w:left w:val="nil"/>
              <w:bottom w:val="nil"/>
              <w:right w:val="nil"/>
            </w:tcBorders>
            <w:shd w:val="clear" w:color="auto" w:fill="D9D9D9" w:themeFill="background1" w:themeFillShade="D9"/>
          </w:tcPr>
          <w:p w14:paraId="03FFEC19" w14:textId="669F03E1" w:rsidR="000B6362" w:rsidRPr="00617090" w:rsidRDefault="065A5AB5" w:rsidP="007416B2">
            <w:pPr>
              <w:pStyle w:val="FSTableText"/>
              <w:tabs>
                <w:tab w:val="decimal" w:pos="994"/>
              </w:tabs>
              <w:rPr>
                <w:szCs w:val="22"/>
              </w:rPr>
            </w:pPr>
            <w:r w:rsidRPr="2275DB76">
              <w:rPr>
                <w:lang w:eastAsia="en-AU" w:bidi="ar-SA"/>
              </w:rPr>
              <w:t>147</w:t>
            </w:r>
          </w:p>
        </w:tc>
      </w:tr>
      <w:tr w:rsidR="001105FA" w:rsidRPr="00617090" w14:paraId="1076B67D" w14:textId="77777777" w:rsidTr="00E02744">
        <w:trPr>
          <w:trHeight w:val="270"/>
        </w:trPr>
        <w:tc>
          <w:tcPr>
            <w:tcW w:w="4536" w:type="dxa"/>
            <w:vMerge w:val="restart"/>
            <w:tcBorders>
              <w:top w:val="nil"/>
              <w:left w:val="nil"/>
              <w:bottom w:val="nil"/>
              <w:right w:val="nil"/>
            </w:tcBorders>
            <w:shd w:val="clear" w:color="auto" w:fill="auto"/>
            <w:hideMark/>
          </w:tcPr>
          <w:p w14:paraId="4F647AF1" w14:textId="77777777" w:rsidR="001D1A0A" w:rsidRDefault="001105FA" w:rsidP="009E72CB">
            <w:pPr>
              <w:pStyle w:val="FSTableText"/>
              <w:rPr>
                <w:color w:val="2E3037"/>
                <w:lang w:eastAsia="en-AU" w:bidi="ar-SA"/>
              </w:rPr>
            </w:pPr>
            <w:r w:rsidRPr="00617090">
              <w:rPr>
                <w:lang w:eastAsia="en-AU" w:bidi="ar-SA"/>
              </w:rPr>
              <w:t xml:space="preserve">Mean dietary intake of </w:t>
            </w:r>
            <w:proofErr w:type="spellStart"/>
            <w:r w:rsidRPr="00617090">
              <w:rPr>
                <w:lang w:eastAsia="en-AU" w:bidi="ar-SA"/>
              </w:rPr>
              <w:t>hLf</w:t>
            </w:r>
            <w:proofErr w:type="spellEnd"/>
            <w:r w:rsidRPr="00617090">
              <w:rPr>
                <w:lang w:eastAsia="en-AU" w:bidi="ar-SA"/>
              </w:rPr>
              <w:t xml:space="preserve"> from human milk</w:t>
            </w:r>
          </w:p>
          <w:p w14:paraId="3E80B1E4" w14:textId="01B4F382" w:rsidR="001105FA" w:rsidRPr="00617090" w:rsidRDefault="001D1A0A" w:rsidP="009E72CB">
            <w:pPr>
              <w:pStyle w:val="FSTableText"/>
              <w:rPr>
                <w:rFonts w:ascii="Times New Roman" w:hAnsi="Times New Roman"/>
                <w:sz w:val="24"/>
                <w:lang w:val="en-AU" w:eastAsia="en-AU" w:bidi="ar-SA"/>
              </w:rPr>
            </w:pPr>
            <w:r w:rsidRPr="00A965DB">
              <w:rPr>
                <w:lang w:eastAsia="en-AU" w:bidi="ar-SA"/>
              </w:rPr>
              <w:t>(</w:t>
            </w:r>
            <w:r w:rsidR="00A75277">
              <w:rPr>
                <w:lang w:eastAsia="en-AU" w:bidi="ar-SA"/>
              </w:rPr>
              <w:t>high</w:t>
            </w:r>
            <w:r w:rsidRPr="00A965DB">
              <w:rPr>
                <w:lang w:eastAsia="en-AU" w:bidi="ar-SA"/>
              </w:rPr>
              <w:t xml:space="preserve"> concentration)</w:t>
            </w:r>
            <w:r w:rsidR="001105FA" w:rsidRPr="00BB7A20">
              <w:rPr>
                <w:vertAlign w:val="superscript"/>
                <w:lang w:eastAsia="en-AU" w:bidi="ar-SA"/>
              </w:rPr>
              <w:t>5</w:t>
            </w:r>
          </w:p>
        </w:tc>
        <w:tc>
          <w:tcPr>
            <w:tcW w:w="1843" w:type="dxa"/>
            <w:tcBorders>
              <w:top w:val="nil"/>
              <w:left w:val="nil"/>
              <w:bottom w:val="nil"/>
              <w:right w:val="nil"/>
            </w:tcBorders>
            <w:shd w:val="clear" w:color="auto" w:fill="auto"/>
            <w:hideMark/>
          </w:tcPr>
          <w:p w14:paraId="6A355590" w14:textId="5A3A5A20" w:rsidR="001105FA" w:rsidRPr="00654FFB" w:rsidRDefault="7BBA07EE" w:rsidP="009E72CB">
            <w:pPr>
              <w:pStyle w:val="FSTableText"/>
              <w:rPr>
                <w:lang w:eastAsia="en-AU" w:bidi="ar-SA"/>
              </w:rPr>
            </w:pPr>
            <w:r w:rsidRPr="2275DB76">
              <w:rPr>
                <w:lang w:eastAsia="en-AU" w:bidi="ar-SA"/>
              </w:rPr>
              <w:t>m</w:t>
            </w:r>
            <w:r w:rsidR="5B2365E4" w:rsidRPr="2275DB76">
              <w:rPr>
                <w:lang w:eastAsia="en-AU" w:bidi="ar-SA"/>
              </w:rPr>
              <w:t>g/day </w:t>
            </w:r>
          </w:p>
        </w:tc>
        <w:tc>
          <w:tcPr>
            <w:tcW w:w="1276" w:type="dxa"/>
            <w:tcBorders>
              <w:top w:val="nil"/>
              <w:left w:val="nil"/>
              <w:bottom w:val="nil"/>
              <w:right w:val="nil"/>
            </w:tcBorders>
            <w:shd w:val="clear" w:color="auto" w:fill="auto"/>
          </w:tcPr>
          <w:p w14:paraId="1B205812" w14:textId="3C3D6074" w:rsidR="001105FA" w:rsidRPr="00654FFB" w:rsidRDefault="12355AF7" w:rsidP="00FC6998">
            <w:pPr>
              <w:pStyle w:val="FSTableText"/>
              <w:tabs>
                <w:tab w:val="decimal" w:pos="706"/>
              </w:tabs>
              <w:rPr>
                <w:lang w:eastAsia="en-AU" w:bidi="ar-SA"/>
              </w:rPr>
            </w:pPr>
            <w:r w:rsidRPr="29A90341">
              <w:rPr>
                <w:lang w:eastAsia="en-AU" w:bidi="ar-SA"/>
              </w:rPr>
              <w:t>2</w:t>
            </w:r>
            <w:r w:rsidR="001D52FA" w:rsidRPr="29A90341">
              <w:rPr>
                <w:lang w:eastAsia="en-AU" w:bidi="ar-SA"/>
              </w:rPr>
              <w:t>494</w:t>
            </w:r>
          </w:p>
        </w:tc>
        <w:tc>
          <w:tcPr>
            <w:tcW w:w="1276" w:type="dxa"/>
            <w:tcBorders>
              <w:top w:val="nil"/>
              <w:left w:val="nil"/>
              <w:bottom w:val="nil"/>
              <w:right w:val="nil"/>
            </w:tcBorders>
            <w:shd w:val="clear" w:color="auto" w:fill="auto"/>
          </w:tcPr>
          <w:p w14:paraId="42DF6D73" w14:textId="08F8CA38" w:rsidR="001105FA" w:rsidRPr="00654FFB" w:rsidRDefault="5AE34FB7" w:rsidP="007416B2">
            <w:pPr>
              <w:pStyle w:val="FSTableText"/>
              <w:tabs>
                <w:tab w:val="decimal" w:pos="994"/>
              </w:tabs>
              <w:rPr>
                <w:lang w:eastAsia="en-AU" w:bidi="ar-SA"/>
              </w:rPr>
            </w:pPr>
            <w:r w:rsidRPr="29A90341">
              <w:rPr>
                <w:lang w:eastAsia="en-AU" w:bidi="ar-SA"/>
              </w:rPr>
              <w:t>167</w:t>
            </w:r>
            <w:r w:rsidR="001D52FA" w:rsidRPr="29A90341">
              <w:rPr>
                <w:lang w:eastAsia="en-AU" w:bidi="ar-SA"/>
              </w:rPr>
              <w:t>9</w:t>
            </w:r>
          </w:p>
        </w:tc>
      </w:tr>
      <w:tr w:rsidR="001105FA" w:rsidRPr="00617090" w14:paraId="42CFF653" w14:textId="77777777" w:rsidTr="00E02744">
        <w:trPr>
          <w:trHeight w:val="270"/>
        </w:trPr>
        <w:tc>
          <w:tcPr>
            <w:tcW w:w="4536" w:type="dxa"/>
            <w:vMerge/>
            <w:vAlign w:val="center"/>
            <w:hideMark/>
          </w:tcPr>
          <w:p w14:paraId="3543877E" w14:textId="77777777" w:rsidR="001105FA" w:rsidRPr="00617090" w:rsidRDefault="001105FA" w:rsidP="009E72CB">
            <w:pPr>
              <w:pStyle w:val="FSTableText"/>
              <w:rPr>
                <w:rFonts w:ascii="Times New Roman" w:hAnsi="Times New Roman"/>
                <w:sz w:val="24"/>
                <w:lang w:val="en-AU" w:eastAsia="en-AU" w:bidi="ar-SA"/>
              </w:rPr>
            </w:pPr>
          </w:p>
        </w:tc>
        <w:tc>
          <w:tcPr>
            <w:tcW w:w="1843" w:type="dxa"/>
            <w:tcBorders>
              <w:top w:val="nil"/>
              <w:left w:val="nil"/>
              <w:bottom w:val="nil"/>
              <w:right w:val="nil"/>
            </w:tcBorders>
            <w:shd w:val="clear" w:color="auto" w:fill="auto"/>
            <w:hideMark/>
          </w:tcPr>
          <w:p w14:paraId="7AB1BB72" w14:textId="76AD5071" w:rsidR="001105FA" w:rsidRPr="00654FFB" w:rsidRDefault="7BBA07EE" w:rsidP="009E72CB">
            <w:pPr>
              <w:pStyle w:val="FSTableText"/>
              <w:rPr>
                <w:lang w:eastAsia="en-AU" w:bidi="ar-SA"/>
              </w:rPr>
            </w:pPr>
            <w:r w:rsidRPr="2275DB76">
              <w:rPr>
                <w:lang w:eastAsia="en-AU" w:bidi="ar-SA"/>
              </w:rPr>
              <w:t>m</w:t>
            </w:r>
            <w:r w:rsidR="5B2365E4" w:rsidRPr="2275DB76">
              <w:rPr>
                <w:lang w:eastAsia="en-AU" w:bidi="ar-SA"/>
              </w:rPr>
              <w:t xml:space="preserve">g/kg </w:t>
            </w:r>
            <w:proofErr w:type="spellStart"/>
            <w:r w:rsidR="5B2365E4" w:rsidRPr="2275DB76">
              <w:rPr>
                <w:lang w:eastAsia="en-AU" w:bidi="ar-SA"/>
              </w:rPr>
              <w:t>bw</w:t>
            </w:r>
            <w:proofErr w:type="spellEnd"/>
            <w:r w:rsidR="5B2365E4" w:rsidRPr="2275DB76">
              <w:rPr>
                <w:lang w:eastAsia="en-AU" w:bidi="ar-SA"/>
              </w:rPr>
              <w:t>/day </w:t>
            </w:r>
          </w:p>
        </w:tc>
        <w:tc>
          <w:tcPr>
            <w:tcW w:w="1276" w:type="dxa"/>
            <w:tcBorders>
              <w:top w:val="nil"/>
              <w:left w:val="nil"/>
              <w:bottom w:val="nil"/>
              <w:right w:val="nil"/>
            </w:tcBorders>
            <w:shd w:val="clear" w:color="auto" w:fill="auto"/>
          </w:tcPr>
          <w:p w14:paraId="0F70F9FB" w14:textId="5BEACEAF" w:rsidR="001105FA" w:rsidRPr="00654FFB" w:rsidRDefault="558FD243" w:rsidP="00FC6998">
            <w:pPr>
              <w:pStyle w:val="FSTableText"/>
              <w:tabs>
                <w:tab w:val="decimal" w:pos="706"/>
              </w:tabs>
              <w:rPr>
                <w:lang w:eastAsia="en-AU" w:bidi="ar-SA"/>
              </w:rPr>
            </w:pPr>
            <w:r w:rsidRPr="29A90341">
              <w:rPr>
                <w:lang w:eastAsia="en-AU" w:bidi="ar-SA"/>
              </w:rPr>
              <w:t>39</w:t>
            </w:r>
            <w:r w:rsidR="001D52FA" w:rsidRPr="29A90341">
              <w:rPr>
                <w:lang w:eastAsia="en-AU" w:bidi="ar-SA"/>
              </w:rPr>
              <w:t>0</w:t>
            </w:r>
          </w:p>
        </w:tc>
        <w:tc>
          <w:tcPr>
            <w:tcW w:w="1276" w:type="dxa"/>
            <w:tcBorders>
              <w:top w:val="nil"/>
              <w:left w:val="nil"/>
              <w:bottom w:val="nil"/>
              <w:right w:val="nil"/>
            </w:tcBorders>
            <w:shd w:val="clear" w:color="auto" w:fill="auto"/>
          </w:tcPr>
          <w:p w14:paraId="7C32C582" w14:textId="356D7EF0" w:rsidR="001105FA" w:rsidRPr="00654FFB" w:rsidRDefault="56CB16EB" w:rsidP="007416B2">
            <w:pPr>
              <w:pStyle w:val="FSTableText"/>
              <w:tabs>
                <w:tab w:val="decimal" w:pos="994"/>
              </w:tabs>
              <w:rPr>
                <w:lang w:eastAsia="en-AU" w:bidi="ar-SA"/>
              </w:rPr>
            </w:pPr>
            <w:r w:rsidRPr="29A90341">
              <w:rPr>
                <w:lang w:eastAsia="en-AU" w:bidi="ar-SA"/>
              </w:rPr>
              <w:t>18</w:t>
            </w:r>
            <w:r w:rsidR="001D52FA" w:rsidRPr="29A90341">
              <w:rPr>
                <w:lang w:eastAsia="en-AU" w:bidi="ar-SA"/>
              </w:rPr>
              <w:t>9</w:t>
            </w:r>
          </w:p>
        </w:tc>
      </w:tr>
      <w:tr w:rsidR="00617090" w:rsidRPr="00617090" w14:paraId="01AFA5AC" w14:textId="77777777" w:rsidTr="00E02744">
        <w:trPr>
          <w:trHeight w:val="270"/>
        </w:trPr>
        <w:tc>
          <w:tcPr>
            <w:tcW w:w="4536" w:type="dxa"/>
            <w:vMerge w:val="restart"/>
            <w:tcBorders>
              <w:top w:val="nil"/>
              <w:left w:val="nil"/>
              <w:bottom w:val="single" w:sz="6" w:space="0" w:color="F3F3F3"/>
              <w:right w:val="nil"/>
            </w:tcBorders>
            <w:shd w:val="clear" w:color="auto" w:fill="D9D9D9" w:themeFill="background1" w:themeFillShade="D9"/>
            <w:hideMark/>
          </w:tcPr>
          <w:p w14:paraId="6ECE53E5" w14:textId="77777777" w:rsidR="00A965DB" w:rsidRDefault="00617090" w:rsidP="009E72CB">
            <w:pPr>
              <w:pStyle w:val="FSTableText"/>
              <w:rPr>
                <w:color w:val="2E3037"/>
                <w:lang w:eastAsia="en-AU" w:bidi="ar-SA"/>
              </w:rPr>
            </w:pPr>
            <w:r w:rsidRPr="00617090">
              <w:rPr>
                <w:lang w:eastAsia="en-AU" w:bidi="ar-SA"/>
              </w:rPr>
              <w:t xml:space="preserve">P90 dietary </w:t>
            </w:r>
            <w:r w:rsidRPr="00617090">
              <w:rPr>
                <w:color w:val="2E3037"/>
                <w:lang w:eastAsia="en-AU" w:bidi="ar-SA"/>
              </w:rPr>
              <w:t xml:space="preserve">intake </w:t>
            </w:r>
            <w:proofErr w:type="spellStart"/>
            <w:r w:rsidRPr="00617090">
              <w:rPr>
                <w:color w:val="2E3037"/>
                <w:lang w:eastAsia="en-AU" w:bidi="ar-SA"/>
              </w:rPr>
              <w:t>hLF</w:t>
            </w:r>
            <w:proofErr w:type="spellEnd"/>
            <w:r w:rsidRPr="00617090">
              <w:rPr>
                <w:color w:val="2E3037"/>
                <w:lang w:eastAsia="en-AU" w:bidi="ar-SA"/>
              </w:rPr>
              <w:t xml:space="preserve"> from human milk</w:t>
            </w:r>
          </w:p>
          <w:p w14:paraId="652D22A7" w14:textId="3E7CF6B0" w:rsidR="00617090" w:rsidRPr="00617090" w:rsidRDefault="00A965DB" w:rsidP="009E72CB">
            <w:pPr>
              <w:pStyle w:val="FSTableText"/>
              <w:rPr>
                <w:rFonts w:ascii="Times New Roman" w:hAnsi="Times New Roman"/>
                <w:sz w:val="24"/>
                <w:lang w:val="en-AU" w:eastAsia="en-AU" w:bidi="ar-SA"/>
              </w:rPr>
            </w:pPr>
            <w:r>
              <w:rPr>
                <w:lang w:eastAsia="en-AU" w:bidi="ar-SA"/>
              </w:rPr>
              <w:t>(</w:t>
            </w:r>
            <w:r w:rsidR="00A75277">
              <w:rPr>
                <w:lang w:eastAsia="en-AU" w:bidi="ar-SA"/>
              </w:rPr>
              <w:t>high</w:t>
            </w:r>
            <w:r>
              <w:rPr>
                <w:lang w:eastAsia="en-AU" w:bidi="ar-SA"/>
              </w:rPr>
              <w:t xml:space="preserve"> concentration)</w:t>
            </w:r>
            <w:r w:rsidR="00075587" w:rsidRPr="00075587">
              <w:rPr>
                <w:vertAlign w:val="superscript"/>
                <w:lang w:eastAsia="en-AU" w:bidi="ar-SA"/>
              </w:rPr>
              <w:t>5</w:t>
            </w:r>
          </w:p>
        </w:tc>
        <w:tc>
          <w:tcPr>
            <w:tcW w:w="1843" w:type="dxa"/>
            <w:tcBorders>
              <w:top w:val="nil"/>
              <w:left w:val="nil"/>
              <w:bottom w:val="nil"/>
              <w:right w:val="nil"/>
            </w:tcBorders>
            <w:shd w:val="clear" w:color="auto" w:fill="D9D9D9" w:themeFill="background1" w:themeFillShade="D9"/>
            <w:hideMark/>
          </w:tcPr>
          <w:p w14:paraId="0F974E4B" w14:textId="651BE2B5" w:rsidR="00617090" w:rsidRPr="00654FFB" w:rsidRDefault="7CDF51D5" w:rsidP="009E72CB">
            <w:pPr>
              <w:pStyle w:val="FSTableText"/>
              <w:rPr>
                <w:lang w:eastAsia="en-AU" w:bidi="ar-SA"/>
              </w:rPr>
            </w:pPr>
            <w:r w:rsidRPr="2275DB76">
              <w:rPr>
                <w:lang w:eastAsia="en-AU" w:bidi="ar-SA"/>
              </w:rPr>
              <w:t>m</w:t>
            </w:r>
            <w:r w:rsidR="09B886AD" w:rsidRPr="2275DB76">
              <w:rPr>
                <w:lang w:eastAsia="en-AU" w:bidi="ar-SA"/>
              </w:rPr>
              <w:t>g/day </w:t>
            </w:r>
          </w:p>
        </w:tc>
        <w:tc>
          <w:tcPr>
            <w:tcW w:w="1276" w:type="dxa"/>
            <w:tcBorders>
              <w:top w:val="nil"/>
              <w:left w:val="nil"/>
              <w:bottom w:val="nil"/>
              <w:right w:val="nil"/>
            </w:tcBorders>
            <w:shd w:val="clear" w:color="auto" w:fill="D9D9D9" w:themeFill="background1" w:themeFillShade="D9"/>
          </w:tcPr>
          <w:p w14:paraId="3AA33CC2" w14:textId="799A129D" w:rsidR="00617090" w:rsidRPr="00654FFB" w:rsidRDefault="001D52FA" w:rsidP="00FC6998">
            <w:pPr>
              <w:pStyle w:val="FSTableText"/>
              <w:tabs>
                <w:tab w:val="decimal" w:pos="706"/>
              </w:tabs>
              <w:rPr>
                <w:lang w:eastAsia="en-AU" w:bidi="ar-SA"/>
              </w:rPr>
            </w:pPr>
            <w:r w:rsidRPr="29A90341">
              <w:rPr>
                <w:lang w:eastAsia="en-AU" w:bidi="ar-SA"/>
              </w:rPr>
              <w:t>4987</w:t>
            </w:r>
          </w:p>
        </w:tc>
        <w:tc>
          <w:tcPr>
            <w:tcW w:w="1276" w:type="dxa"/>
            <w:tcBorders>
              <w:top w:val="nil"/>
              <w:left w:val="nil"/>
              <w:bottom w:val="nil"/>
              <w:right w:val="nil"/>
            </w:tcBorders>
            <w:shd w:val="clear" w:color="auto" w:fill="D9D9D9" w:themeFill="background1" w:themeFillShade="D9"/>
          </w:tcPr>
          <w:p w14:paraId="235EAA15" w14:textId="5768065E" w:rsidR="00617090" w:rsidRPr="00654FFB" w:rsidRDefault="18D9E165" w:rsidP="007416B2">
            <w:pPr>
              <w:pStyle w:val="FSTableText"/>
              <w:tabs>
                <w:tab w:val="decimal" w:pos="994"/>
              </w:tabs>
              <w:rPr>
                <w:lang w:eastAsia="en-AU" w:bidi="ar-SA"/>
              </w:rPr>
            </w:pPr>
            <w:r w:rsidRPr="29A90341">
              <w:rPr>
                <w:lang w:eastAsia="en-AU" w:bidi="ar-SA"/>
              </w:rPr>
              <w:t>33</w:t>
            </w:r>
            <w:r w:rsidR="001D52FA" w:rsidRPr="29A90341">
              <w:rPr>
                <w:lang w:eastAsia="en-AU" w:bidi="ar-SA"/>
              </w:rPr>
              <w:t>5</w:t>
            </w:r>
            <w:r w:rsidRPr="29A90341">
              <w:rPr>
                <w:lang w:eastAsia="en-AU" w:bidi="ar-SA"/>
              </w:rPr>
              <w:t>7</w:t>
            </w:r>
          </w:p>
        </w:tc>
      </w:tr>
      <w:tr w:rsidR="00617090" w:rsidRPr="00617090" w14:paraId="48F43751" w14:textId="77777777" w:rsidTr="00E02744">
        <w:trPr>
          <w:trHeight w:val="270"/>
        </w:trPr>
        <w:tc>
          <w:tcPr>
            <w:tcW w:w="4536" w:type="dxa"/>
            <w:vMerge/>
            <w:vAlign w:val="center"/>
            <w:hideMark/>
          </w:tcPr>
          <w:p w14:paraId="4A737A3F" w14:textId="77777777" w:rsidR="00617090" w:rsidRPr="00617090" w:rsidRDefault="00617090" w:rsidP="009E72CB">
            <w:pPr>
              <w:pStyle w:val="FSTableText"/>
              <w:rPr>
                <w:rFonts w:ascii="Times New Roman" w:hAnsi="Times New Roman"/>
                <w:sz w:val="24"/>
                <w:lang w:val="en-AU" w:eastAsia="en-AU" w:bidi="ar-SA"/>
              </w:rPr>
            </w:pPr>
          </w:p>
        </w:tc>
        <w:tc>
          <w:tcPr>
            <w:tcW w:w="1843" w:type="dxa"/>
            <w:tcBorders>
              <w:top w:val="nil"/>
              <w:left w:val="nil"/>
              <w:bottom w:val="single" w:sz="6" w:space="0" w:color="F3F3F3"/>
              <w:right w:val="nil"/>
            </w:tcBorders>
            <w:shd w:val="clear" w:color="auto" w:fill="D9D9D9" w:themeFill="background1" w:themeFillShade="D9"/>
            <w:hideMark/>
          </w:tcPr>
          <w:p w14:paraId="4B2596A9" w14:textId="690B6D0A" w:rsidR="00617090" w:rsidRPr="00654FFB" w:rsidRDefault="22B402D7" w:rsidP="009E72CB">
            <w:pPr>
              <w:pStyle w:val="FSTableText"/>
              <w:rPr>
                <w:lang w:eastAsia="en-AU" w:bidi="ar-SA"/>
              </w:rPr>
            </w:pPr>
            <w:r w:rsidRPr="2275DB76">
              <w:rPr>
                <w:lang w:eastAsia="en-AU" w:bidi="ar-SA"/>
              </w:rPr>
              <w:t>m</w:t>
            </w:r>
            <w:r w:rsidR="09B886AD" w:rsidRPr="2275DB76">
              <w:rPr>
                <w:lang w:eastAsia="en-AU" w:bidi="ar-SA"/>
              </w:rPr>
              <w:t xml:space="preserve">g/kg </w:t>
            </w:r>
            <w:proofErr w:type="spellStart"/>
            <w:r w:rsidR="09B886AD" w:rsidRPr="2275DB76">
              <w:rPr>
                <w:lang w:eastAsia="en-AU" w:bidi="ar-SA"/>
              </w:rPr>
              <w:t>bw</w:t>
            </w:r>
            <w:proofErr w:type="spellEnd"/>
            <w:r w:rsidR="09B886AD" w:rsidRPr="2275DB76">
              <w:rPr>
                <w:lang w:eastAsia="en-AU" w:bidi="ar-SA"/>
              </w:rPr>
              <w:t>/day </w:t>
            </w:r>
          </w:p>
        </w:tc>
        <w:tc>
          <w:tcPr>
            <w:tcW w:w="1276" w:type="dxa"/>
            <w:tcBorders>
              <w:top w:val="nil"/>
              <w:left w:val="nil"/>
              <w:bottom w:val="single" w:sz="6" w:space="0" w:color="F3F3F3"/>
              <w:right w:val="nil"/>
            </w:tcBorders>
            <w:shd w:val="clear" w:color="auto" w:fill="D9D9D9" w:themeFill="background1" w:themeFillShade="D9"/>
          </w:tcPr>
          <w:p w14:paraId="7C119EB8" w14:textId="3EE87DEC" w:rsidR="00617090" w:rsidRPr="00654FFB" w:rsidRDefault="6899F8E7" w:rsidP="00FC6998">
            <w:pPr>
              <w:pStyle w:val="FSTableText"/>
              <w:tabs>
                <w:tab w:val="decimal" w:pos="706"/>
              </w:tabs>
              <w:rPr>
                <w:lang w:eastAsia="en-AU" w:bidi="ar-SA"/>
              </w:rPr>
            </w:pPr>
            <w:r w:rsidRPr="29A90341">
              <w:rPr>
                <w:lang w:eastAsia="en-AU" w:bidi="ar-SA"/>
              </w:rPr>
              <w:t>7</w:t>
            </w:r>
            <w:r w:rsidR="001D52FA" w:rsidRPr="29A90341">
              <w:rPr>
                <w:lang w:eastAsia="en-AU" w:bidi="ar-SA"/>
              </w:rPr>
              <w:t>79</w:t>
            </w:r>
          </w:p>
        </w:tc>
        <w:tc>
          <w:tcPr>
            <w:tcW w:w="1276" w:type="dxa"/>
            <w:tcBorders>
              <w:top w:val="nil"/>
              <w:left w:val="nil"/>
              <w:bottom w:val="single" w:sz="6" w:space="0" w:color="F3F3F3"/>
              <w:right w:val="nil"/>
            </w:tcBorders>
            <w:shd w:val="clear" w:color="auto" w:fill="D9D9D9" w:themeFill="background1" w:themeFillShade="D9"/>
          </w:tcPr>
          <w:p w14:paraId="4B02E411" w14:textId="19A52E5B" w:rsidR="00617090" w:rsidRPr="00654FFB" w:rsidRDefault="4E1B4A40" w:rsidP="007416B2">
            <w:pPr>
              <w:pStyle w:val="FSTableText"/>
              <w:tabs>
                <w:tab w:val="decimal" w:pos="994"/>
              </w:tabs>
              <w:rPr>
                <w:lang w:eastAsia="en-AU" w:bidi="ar-SA"/>
              </w:rPr>
            </w:pPr>
            <w:r w:rsidRPr="29A90341">
              <w:rPr>
                <w:lang w:eastAsia="en-AU" w:bidi="ar-SA"/>
              </w:rPr>
              <w:t>37</w:t>
            </w:r>
            <w:r w:rsidR="001D52FA" w:rsidRPr="29A90341">
              <w:rPr>
                <w:lang w:eastAsia="en-AU" w:bidi="ar-SA"/>
              </w:rPr>
              <w:t>7</w:t>
            </w:r>
          </w:p>
        </w:tc>
      </w:tr>
    </w:tbl>
    <w:p w14:paraId="5BFB01C8" w14:textId="77777777" w:rsidR="00617090" w:rsidRDefault="00617090" w:rsidP="0050585F">
      <w:pPr>
        <w:keepNext/>
        <w:keepLines/>
        <w:textAlignment w:val="baseline"/>
        <w:rPr>
          <w:rFonts w:cs="Arial"/>
          <w:sz w:val="16"/>
          <w:szCs w:val="16"/>
          <w:lang w:val="en-AU" w:eastAsia="en-AU" w:bidi="ar-SA"/>
        </w:rPr>
      </w:pPr>
      <w:r w:rsidRPr="000457C6">
        <w:rPr>
          <w:rFonts w:cs="Arial"/>
          <w:sz w:val="16"/>
          <w:szCs w:val="16"/>
          <w:vertAlign w:val="superscript"/>
          <w:lang w:eastAsia="en-AU" w:bidi="ar-SA"/>
        </w:rPr>
        <w:t>1</w:t>
      </w:r>
      <w:r w:rsidRPr="00617090">
        <w:rPr>
          <w:rFonts w:cs="Arial"/>
          <w:sz w:val="16"/>
          <w:szCs w:val="16"/>
          <w:lang w:eastAsia="en-AU" w:bidi="ar-SA"/>
        </w:rPr>
        <w:t xml:space="preserve"> United Nations University et al. 2004.</w:t>
      </w:r>
      <w:r w:rsidRPr="00617090">
        <w:rPr>
          <w:rFonts w:cs="Arial"/>
          <w:b/>
          <w:bCs/>
          <w:i/>
          <w:iCs/>
          <w:sz w:val="16"/>
          <w:szCs w:val="16"/>
          <w:lang w:eastAsia="en-AU" w:bidi="ar-SA"/>
        </w:rPr>
        <w:t> </w:t>
      </w:r>
      <w:r w:rsidRPr="00617090">
        <w:rPr>
          <w:rFonts w:cs="Arial"/>
          <w:sz w:val="16"/>
          <w:szCs w:val="16"/>
          <w:lang w:val="en-AU" w:eastAsia="en-AU" w:bidi="ar-SA"/>
        </w:rPr>
        <w:t> </w:t>
      </w:r>
    </w:p>
    <w:p w14:paraId="478029F3" w14:textId="77777777" w:rsidR="00617090" w:rsidRPr="00CC295D" w:rsidRDefault="00617090" w:rsidP="0050585F">
      <w:pPr>
        <w:keepNext/>
        <w:keepLines/>
        <w:textAlignment w:val="baseline"/>
        <w:rPr>
          <w:rFonts w:cs="Arial"/>
          <w:sz w:val="16"/>
          <w:szCs w:val="16"/>
          <w:lang w:val="en-AU" w:eastAsia="en-AU" w:bidi="ar-SA"/>
        </w:rPr>
      </w:pPr>
      <w:r w:rsidRPr="000457C6">
        <w:rPr>
          <w:rFonts w:cs="Arial"/>
          <w:sz w:val="16"/>
          <w:szCs w:val="16"/>
          <w:vertAlign w:val="superscript"/>
          <w:lang w:val="en-AU" w:eastAsia="en-AU" w:bidi="ar-SA"/>
        </w:rPr>
        <w:t>2</w:t>
      </w:r>
      <w:r>
        <w:rPr>
          <w:rFonts w:cs="Arial"/>
          <w:sz w:val="16"/>
          <w:szCs w:val="16"/>
          <w:lang w:val="en-AU" w:eastAsia="en-AU" w:bidi="ar-SA"/>
        </w:rPr>
        <w:t xml:space="preserve"> </w:t>
      </w:r>
      <w:r w:rsidRPr="00617090">
        <w:rPr>
          <w:rFonts w:cs="Arial"/>
          <w:sz w:val="16"/>
          <w:szCs w:val="16"/>
          <w:lang w:eastAsia="en-AU" w:bidi="ar-SA"/>
        </w:rPr>
        <w:t>World Health Organization 2006.</w:t>
      </w:r>
      <w:r w:rsidRPr="00617090">
        <w:rPr>
          <w:rFonts w:cs="Arial"/>
          <w:b/>
          <w:bCs/>
          <w:i/>
          <w:iCs/>
          <w:sz w:val="16"/>
          <w:szCs w:val="16"/>
          <w:lang w:eastAsia="en-AU" w:bidi="ar-SA"/>
        </w:rPr>
        <w:t> </w:t>
      </w:r>
      <w:r w:rsidRPr="00617090">
        <w:rPr>
          <w:rFonts w:cs="Arial"/>
          <w:sz w:val="16"/>
          <w:szCs w:val="16"/>
          <w:lang w:val="en-AU" w:eastAsia="en-AU" w:bidi="ar-SA"/>
        </w:rPr>
        <w:t> </w:t>
      </w:r>
    </w:p>
    <w:p w14:paraId="1AD63662" w14:textId="670903F3" w:rsidR="00617090" w:rsidRPr="00CC295D" w:rsidRDefault="00617090" w:rsidP="0050585F">
      <w:pPr>
        <w:keepNext/>
        <w:keepLines/>
        <w:textAlignment w:val="baseline"/>
        <w:rPr>
          <w:rFonts w:cs="Arial"/>
          <w:sz w:val="16"/>
          <w:szCs w:val="16"/>
          <w:lang w:val="en-AU" w:eastAsia="en-AU" w:bidi="ar-SA"/>
        </w:rPr>
      </w:pPr>
      <w:r w:rsidRPr="00CC295D">
        <w:rPr>
          <w:rFonts w:cs="Arial"/>
          <w:sz w:val="16"/>
          <w:szCs w:val="16"/>
          <w:vertAlign w:val="superscript"/>
          <w:lang w:val="en-AU" w:eastAsia="en-AU" w:bidi="ar-SA"/>
        </w:rPr>
        <w:t>3</w:t>
      </w:r>
      <w:r w:rsidRPr="00CC295D">
        <w:rPr>
          <w:rFonts w:cs="Arial"/>
          <w:sz w:val="16"/>
          <w:szCs w:val="16"/>
          <w:lang w:val="en-AU" w:eastAsia="en-AU" w:bidi="ar-SA"/>
        </w:rPr>
        <w:t xml:space="preserve"> </w:t>
      </w:r>
      <w:r w:rsidRPr="00617090">
        <w:rPr>
          <w:rFonts w:cs="Arial"/>
          <w:sz w:val="16"/>
          <w:szCs w:val="16"/>
          <w:lang w:eastAsia="en-AU" w:bidi="ar-SA"/>
        </w:rPr>
        <w:t>Energy content of human milk is 286 kJ/100 g (FSANZ 2016). </w:t>
      </w:r>
      <w:r w:rsidRPr="00617090">
        <w:rPr>
          <w:rFonts w:cs="Arial"/>
          <w:sz w:val="16"/>
          <w:szCs w:val="16"/>
          <w:lang w:val="en-AU" w:eastAsia="en-AU" w:bidi="ar-SA"/>
        </w:rPr>
        <w:t> </w:t>
      </w:r>
    </w:p>
    <w:p w14:paraId="26F0FEAE" w14:textId="279F9567" w:rsidR="00617090" w:rsidRPr="00CC295D" w:rsidRDefault="00617090" w:rsidP="0050585F">
      <w:pPr>
        <w:keepNext/>
        <w:keepLines/>
        <w:textAlignment w:val="baseline"/>
        <w:rPr>
          <w:rFonts w:cs="Arial"/>
          <w:sz w:val="16"/>
          <w:szCs w:val="16"/>
          <w:lang w:val="en-AU" w:eastAsia="en-AU" w:bidi="ar-SA"/>
        </w:rPr>
      </w:pPr>
      <w:r w:rsidRPr="00CC295D">
        <w:rPr>
          <w:rFonts w:cs="Arial"/>
          <w:sz w:val="16"/>
          <w:szCs w:val="16"/>
          <w:vertAlign w:val="superscript"/>
          <w:lang w:val="en-AU" w:eastAsia="en-AU" w:bidi="ar-SA"/>
        </w:rPr>
        <w:t>4</w:t>
      </w:r>
      <w:r w:rsidRPr="00CC295D">
        <w:rPr>
          <w:rFonts w:cs="Arial"/>
          <w:sz w:val="16"/>
          <w:szCs w:val="16"/>
          <w:lang w:val="en-AU" w:eastAsia="en-AU" w:bidi="ar-SA"/>
        </w:rPr>
        <w:t xml:space="preserve"> </w:t>
      </w:r>
      <w:r w:rsidR="00F36649" w:rsidRPr="00CC295D">
        <w:rPr>
          <w:rFonts w:cs="Arial"/>
          <w:sz w:val="16"/>
          <w:szCs w:val="16"/>
          <w:lang w:val="en-AU" w:eastAsia="en-AU" w:bidi="ar-SA"/>
        </w:rPr>
        <w:t xml:space="preserve">Minimum </w:t>
      </w:r>
      <w:r w:rsidR="00F36649" w:rsidRPr="1C95CCE8">
        <w:rPr>
          <w:rFonts w:cs="Arial"/>
          <w:sz w:val="16"/>
          <w:szCs w:val="16"/>
          <w:lang w:eastAsia="en-AU" w:bidi="ar-SA"/>
        </w:rPr>
        <w:t>c</w:t>
      </w:r>
      <w:r w:rsidRPr="1C95CCE8">
        <w:rPr>
          <w:rFonts w:cs="Arial"/>
          <w:sz w:val="16"/>
          <w:szCs w:val="16"/>
          <w:lang w:eastAsia="en-AU" w:bidi="ar-SA"/>
        </w:rPr>
        <w:t xml:space="preserve">oncentration of </w:t>
      </w:r>
      <w:proofErr w:type="spellStart"/>
      <w:r w:rsidRPr="1C95CCE8">
        <w:rPr>
          <w:rFonts w:cs="Arial"/>
          <w:sz w:val="16"/>
          <w:szCs w:val="16"/>
          <w:lang w:eastAsia="en-AU" w:bidi="ar-SA"/>
        </w:rPr>
        <w:t>hLf</w:t>
      </w:r>
      <w:proofErr w:type="spellEnd"/>
      <w:r w:rsidRPr="1C95CCE8">
        <w:rPr>
          <w:rFonts w:cs="Arial"/>
          <w:sz w:val="16"/>
          <w:szCs w:val="16"/>
          <w:lang w:eastAsia="en-AU" w:bidi="ar-SA"/>
        </w:rPr>
        <w:t xml:space="preserve"> used in</w:t>
      </w:r>
      <w:r w:rsidR="00D33FD1" w:rsidRPr="1C95CCE8">
        <w:rPr>
          <w:rFonts w:cs="Arial"/>
          <w:sz w:val="16"/>
          <w:szCs w:val="16"/>
          <w:lang w:eastAsia="en-AU" w:bidi="ar-SA"/>
        </w:rPr>
        <w:t xml:space="preserve"> the</w:t>
      </w:r>
      <w:r w:rsidRPr="1C95CCE8">
        <w:rPr>
          <w:rFonts w:cs="Arial"/>
          <w:sz w:val="16"/>
          <w:szCs w:val="16"/>
          <w:lang w:eastAsia="en-AU" w:bidi="ar-SA"/>
        </w:rPr>
        <w:t xml:space="preserve"> calculation is </w:t>
      </w:r>
      <w:r w:rsidR="00AF6CCD" w:rsidRPr="1C95CCE8">
        <w:rPr>
          <w:rFonts w:cs="Arial"/>
          <w:sz w:val="16"/>
          <w:szCs w:val="16"/>
          <w:lang w:eastAsia="en-AU" w:bidi="ar-SA"/>
        </w:rPr>
        <w:t>1325</w:t>
      </w:r>
      <w:r w:rsidRPr="1C95CCE8">
        <w:rPr>
          <w:rFonts w:cs="Arial"/>
          <w:sz w:val="16"/>
          <w:szCs w:val="16"/>
          <w:lang w:eastAsia="en-AU" w:bidi="ar-SA"/>
        </w:rPr>
        <w:t xml:space="preserve"> </w:t>
      </w:r>
      <w:r w:rsidR="00AF6CCD" w:rsidRPr="1C95CCE8">
        <w:rPr>
          <w:rFonts w:cs="Arial"/>
          <w:sz w:val="16"/>
          <w:szCs w:val="16"/>
          <w:lang w:eastAsia="en-AU" w:bidi="ar-SA"/>
        </w:rPr>
        <w:t>mg</w:t>
      </w:r>
      <w:r w:rsidRPr="1C95CCE8">
        <w:rPr>
          <w:rFonts w:cs="Arial"/>
          <w:sz w:val="16"/>
          <w:szCs w:val="16"/>
          <w:lang w:eastAsia="en-AU" w:bidi="ar-SA"/>
        </w:rPr>
        <w:t>/L and 1 L of human milk is equivalent to 1</w:t>
      </w:r>
      <w:r w:rsidR="000A3C6E" w:rsidRPr="1C95CCE8">
        <w:rPr>
          <w:rFonts w:cs="Arial"/>
          <w:sz w:val="16"/>
          <w:szCs w:val="16"/>
          <w:lang w:eastAsia="en-AU" w:bidi="ar-SA"/>
        </w:rPr>
        <w:t>,</w:t>
      </w:r>
      <w:r w:rsidRPr="1C95CCE8">
        <w:rPr>
          <w:rFonts w:cs="Arial"/>
          <w:sz w:val="16"/>
          <w:szCs w:val="16"/>
          <w:lang w:eastAsia="en-AU" w:bidi="ar-SA"/>
        </w:rPr>
        <w:t>04</w:t>
      </w:r>
      <w:r w:rsidR="005C45D4" w:rsidRPr="1C95CCE8">
        <w:rPr>
          <w:rFonts w:cs="Arial"/>
          <w:sz w:val="16"/>
          <w:szCs w:val="16"/>
          <w:lang w:eastAsia="en-AU" w:bidi="ar-SA"/>
        </w:rPr>
        <w:t>0</w:t>
      </w:r>
      <w:r w:rsidRPr="1C95CCE8">
        <w:rPr>
          <w:rFonts w:cs="Arial"/>
          <w:sz w:val="16"/>
          <w:szCs w:val="16"/>
          <w:lang w:eastAsia="en-AU" w:bidi="ar-SA"/>
        </w:rPr>
        <w:t xml:space="preserve"> g.</w:t>
      </w:r>
    </w:p>
    <w:p w14:paraId="3BA7F98E" w14:textId="688A4FD3" w:rsidR="00BB7A20" w:rsidRPr="00CC295D" w:rsidRDefault="00BB7A20" w:rsidP="00BB7A20">
      <w:pPr>
        <w:keepNext/>
        <w:keepLines/>
        <w:textAlignment w:val="baseline"/>
        <w:rPr>
          <w:rFonts w:cs="Arial"/>
          <w:sz w:val="16"/>
          <w:szCs w:val="16"/>
          <w:lang w:val="en-AU" w:eastAsia="en-AU" w:bidi="ar-SA"/>
        </w:rPr>
      </w:pPr>
      <w:r w:rsidRPr="00CC295D">
        <w:rPr>
          <w:rFonts w:cs="Arial"/>
          <w:sz w:val="16"/>
          <w:szCs w:val="16"/>
          <w:vertAlign w:val="superscript"/>
          <w:lang w:val="en-AU" w:eastAsia="en-AU" w:bidi="ar-SA"/>
        </w:rPr>
        <w:t>5</w:t>
      </w:r>
      <w:r w:rsidRPr="00CC295D">
        <w:rPr>
          <w:rFonts w:cs="Arial"/>
          <w:sz w:val="16"/>
          <w:szCs w:val="16"/>
          <w:lang w:val="en-AU" w:eastAsia="en-AU" w:bidi="ar-SA"/>
        </w:rPr>
        <w:t xml:space="preserve"> </w:t>
      </w:r>
      <w:r w:rsidR="00F36649" w:rsidRPr="00CC295D">
        <w:rPr>
          <w:rFonts w:cs="Arial"/>
          <w:sz w:val="16"/>
          <w:szCs w:val="16"/>
          <w:lang w:val="en-AU" w:eastAsia="en-AU" w:bidi="ar-SA"/>
        </w:rPr>
        <w:t xml:space="preserve">Maximum </w:t>
      </w:r>
      <w:r w:rsidR="00F36649" w:rsidRPr="1C95CCE8">
        <w:rPr>
          <w:rFonts w:cs="Arial"/>
          <w:sz w:val="16"/>
          <w:szCs w:val="16"/>
          <w:lang w:eastAsia="en-AU" w:bidi="ar-SA"/>
        </w:rPr>
        <w:t>c</w:t>
      </w:r>
      <w:r w:rsidRPr="1C95CCE8">
        <w:rPr>
          <w:rFonts w:cs="Arial"/>
          <w:sz w:val="16"/>
          <w:szCs w:val="16"/>
          <w:lang w:eastAsia="en-AU" w:bidi="ar-SA"/>
        </w:rPr>
        <w:t xml:space="preserve">oncentration of </w:t>
      </w:r>
      <w:proofErr w:type="spellStart"/>
      <w:r w:rsidRPr="1C95CCE8">
        <w:rPr>
          <w:rFonts w:cs="Arial"/>
          <w:sz w:val="16"/>
          <w:szCs w:val="16"/>
          <w:lang w:eastAsia="en-AU" w:bidi="ar-SA"/>
        </w:rPr>
        <w:t>hLf</w:t>
      </w:r>
      <w:proofErr w:type="spellEnd"/>
      <w:r w:rsidRPr="1C95CCE8">
        <w:rPr>
          <w:rFonts w:cs="Arial"/>
          <w:sz w:val="16"/>
          <w:szCs w:val="16"/>
          <w:lang w:eastAsia="en-AU" w:bidi="ar-SA"/>
        </w:rPr>
        <w:t xml:space="preserve"> used in </w:t>
      </w:r>
      <w:r w:rsidR="00D33FD1" w:rsidRPr="1C95CCE8">
        <w:rPr>
          <w:rFonts w:cs="Arial"/>
          <w:sz w:val="16"/>
          <w:szCs w:val="16"/>
          <w:lang w:eastAsia="en-AU" w:bidi="ar-SA"/>
        </w:rPr>
        <w:t xml:space="preserve">the </w:t>
      </w:r>
      <w:r w:rsidRPr="1C95CCE8">
        <w:rPr>
          <w:rFonts w:cs="Arial"/>
          <w:sz w:val="16"/>
          <w:szCs w:val="16"/>
          <w:lang w:eastAsia="en-AU" w:bidi="ar-SA"/>
        </w:rPr>
        <w:t xml:space="preserve">calculation is </w:t>
      </w:r>
      <w:r w:rsidR="0074706D" w:rsidRPr="1C95CCE8">
        <w:rPr>
          <w:rFonts w:cs="Arial"/>
          <w:sz w:val="16"/>
          <w:szCs w:val="16"/>
          <w:lang w:eastAsia="en-AU" w:bidi="ar-SA"/>
        </w:rPr>
        <w:t>3390</w:t>
      </w:r>
      <w:r w:rsidRPr="1C95CCE8">
        <w:rPr>
          <w:rFonts w:cs="Arial"/>
          <w:sz w:val="16"/>
          <w:szCs w:val="16"/>
          <w:lang w:eastAsia="en-AU" w:bidi="ar-SA"/>
        </w:rPr>
        <w:t xml:space="preserve"> mg/L and 1 L of human milk is equivalent to 1</w:t>
      </w:r>
      <w:r w:rsidR="000A3C6E" w:rsidRPr="1C95CCE8">
        <w:rPr>
          <w:rFonts w:cs="Arial"/>
          <w:sz w:val="16"/>
          <w:szCs w:val="16"/>
          <w:lang w:eastAsia="en-AU" w:bidi="ar-SA"/>
        </w:rPr>
        <w:t>,</w:t>
      </w:r>
      <w:r w:rsidRPr="1C95CCE8">
        <w:rPr>
          <w:rFonts w:cs="Arial"/>
          <w:sz w:val="16"/>
          <w:szCs w:val="16"/>
          <w:lang w:eastAsia="en-AU" w:bidi="ar-SA"/>
        </w:rPr>
        <w:t>04</w:t>
      </w:r>
      <w:r w:rsidR="005C45D4" w:rsidRPr="1C95CCE8">
        <w:rPr>
          <w:rFonts w:cs="Arial"/>
          <w:sz w:val="16"/>
          <w:szCs w:val="16"/>
          <w:lang w:eastAsia="en-AU" w:bidi="ar-SA"/>
        </w:rPr>
        <w:t>0</w:t>
      </w:r>
      <w:r w:rsidRPr="1C95CCE8">
        <w:rPr>
          <w:rFonts w:cs="Arial"/>
          <w:sz w:val="16"/>
          <w:szCs w:val="16"/>
          <w:lang w:eastAsia="en-AU" w:bidi="ar-SA"/>
        </w:rPr>
        <w:t xml:space="preserve"> g.</w:t>
      </w:r>
    </w:p>
    <w:p w14:paraId="2536A015" w14:textId="77777777" w:rsidR="00BB7A20" w:rsidRPr="00617090" w:rsidRDefault="00BB7A20" w:rsidP="00874F0D">
      <w:pPr>
        <w:rPr>
          <w:lang w:val="en-AU" w:eastAsia="en-AU" w:bidi="ar-SA"/>
        </w:rPr>
      </w:pPr>
    </w:p>
    <w:p w14:paraId="3FF8ED13" w14:textId="1BBFC31A" w:rsidR="00617090" w:rsidRPr="0091332B" w:rsidRDefault="001D23BB" w:rsidP="00AC6333">
      <w:pPr>
        <w:pStyle w:val="Heading4"/>
        <w:rPr>
          <w:lang w:eastAsia="en-AU"/>
        </w:rPr>
      </w:pPr>
      <w:r>
        <w:rPr>
          <w:lang w:eastAsia="en-AU"/>
        </w:rPr>
        <w:t>3.3.3.2</w:t>
      </w:r>
      <w:r w:rsidR="009B216C">
        <w:rPr>
          <w:lang w:eastAsia="en-AU"/>
        </w:rPr>
        <w:tab/>
      </w:r>
      <w:r w:rsidR="00617090" w:rsidRPr="00617090">
        <w:rPr>
          <w:lang w:eastAsia="en-AU"/>
        </w:rPr>
        <w:t xml:space="preserve">Estimated dietary intake of </w:t>
      </w:r>
      <w:proofErr w:type="spellStart"/>
      <w:r w:rsidR="00617090" w:rsidRPr="00617090">
        <w:rPr>
          <w:lang w:eastAsia="en-AU"/>
        </w:rPr>
        <w:t>bLf</w:t>
      </w:r>
      <w:proofErr w:type="spellEnd"/>
      <w:r w:rsidR="00617090" w:rsidRPr="00617090">
        <w:rPr>
          <w:lang w:eastAsia="en-AU"/>
        </w:rPr>
        <w:t xml:space="preserve"> from infant formu</w:t>
      </w:r>
      <w:r w:rsidR="00874F0D">
        <w:rPr>
          <w:lang w:eastAsia="en-AU"/>
        </w:rPr>
        <w:t>la</w:t>
      </w:r>
    </w:p>
    <w:p w14:paraId="4BABDA80" w14:textId="4E9A96E4" w:rsidR="00617090" w:rsidRPr="0091332B" w:rsidRDefault="09B886AD" w:rsidP="00617090">
      <w:pPr>
        <w:widowControl/>
        <w:textAlignment w:val="baseline"/>
        <w:rPr>
          <w:rFonts w:cs="Arial"/>
          <w:lang w:val="en-AU" w:eastAsia="en-AU" w:bidi="ar-SA"/>
        </w:rPr>
      </w:pPr>
      <w:r w:rsidRPr="2275DB76">
        <w:rPr>
          <w:rFonts w:cs="Arial"/>
          <w:lang w:eastAsia="en-AU" w:bidi="ar-SA"/>
        </w:rPr>
        <w:t xml:space="preserve">The estimated mean and P90 intakes </w:t>
      </w:r>
      <w:r w:rsidR="00B80B55">
        <w:rPr>
          <w:rFonts w:cs="Arial"/>
          <w:lang w:eastAsia="en-AU" w:bidi="ar-SA"/>
        </w:rPr>
        <w:t xml:space="preserve">of </w:t>
      </w:r>
      <w:proofErr w:type="spellStart"/>
      <w:r w:rsidRPr="2275DB76">
        <w:rPr>
          <w:rFonts w:cs="Arial"/>
          <w:lang w:eastAsia="en-AU" w:bidi="ar-SA"/>
        </w:rPr>
        <w:t>bLf</w:t>
      </w:r>
      <w:proofErr w:type="spellEnd"/>
      <w:r w:rsidRPr="2275DB76">
        <w:rPr>
          <w:rFonts w:cs="Arial"/>
          <w:lang w:eastAsia="en-AU" w:bidi="ar-SA"/>
        </w:rPr>
        <w:t xml:space="preserve"> from infant formula are </w:t>
      </w:r>
      <w:r w:rsidR="5864EC6A" w:rsidRPr="2275DB76">
        <w:rPr>
          <w:rFonts w:cs="Arial"/>
          <w:lang w:eastAsia="en-AU" w:bidi="ar-SA"/>
        </w:rPr>
        <w:t>878</w:t>
      </w:r>
      <w:r w:rsidRPr="2275DB76">
        <w:rPr>
          <w:rFonts w:cs="Arial"/>
          <w:lang w:eastAsia="en-AU" w:bidi="ar-SA"/>
        </w:rPr>
        <w:t xml:space="preserve"> </w:t>
      </w:r>
      <w:r w:rsidR="7996ABF3" w:rsidRPr="2275DB76">
        <w:rPr>
          <w:rFonts w:cs="Arial"/>
          <w:lang w:eastAsia="en-AU" w:bidi="ar-SA"/>
        </w:rPr>
        <w:t>m</w:t>
      </w:r>
      <w:r w:rsidRPr="2275DB76">
        <w:rPr>
          <w:rFonts w:cs="Arial"/>
          <w:lang w:eastAsia="en-AU" w:bidi="ar-SA"/>
        </w:rPr>
        <w:t xml:space="preserve">g/day and </w:t>
      </w:r>
      <w:r w:rsidR="6A489AA2" w:rsidRPr="2275DB76">
        <w:rPr>
          <w:rFonts w:cs="Arial"/>
          <w:lang w:eastAsia="en-AU" w:bidi="ar-SA"/>
        </w:rPr>
        <w:t>1756</w:t>
      </w:r>
      <w:r w:rsidRPr="2275DB76">
        <w:rPr>
          <w:rFonts w:cs="Arial"/>
          <w:lang w:eastAsia="en-AU" w:bidi="ar-SA"/>
        </w:rPr>
        <w:t> </w:t>
      </w:r>
      <w:r w:rsidR="371C361E" w:rsidRPr="2275DB76">
        <w:rPr>
          <w:rFonts w:cs="Arial"/>
          <w:lang w:eastAsia="en-AU" w:bidi="ar-SA"/>
        </w:rPr>
        <w:t>m</w:t>
      </w:r>
      <w:r w:rsidRPr="2275DB76">
        <w:rPr>
          <w:rFonts w:cs="Arial"/>
          <w:lang w:eastAsia="en-AU" w:bidi="ar-SA"/>
        </w:rPr>
        <w:t xml:space="preserve">g/day </w:t>
      </w:r>
      <w:r w:rsidR="00B95D7E">
        <w:rPr>
          <w:rFonts w:cs="Arial"/>
          <w:lang w:eastAsia="en-AU" w:bidi="ar-SA"/>
        </w:rPr>
        <w:t>respectively</w:t>
      </w:r>
      <w:r w:rsidRPr="2275DB76">
        <w:rPr>
          <w:rFonts w:cs="Arial"/>
          <w:lang w:eastAsia="en-AU" w:bidi="ar-SA"/>
        </w:rPr>
        <w:t xml:space="preserve"> for 3 month old infants, and from follow-on formula are </w:t>
      </w:r>
      <w:r w:rsidR="26EC8FF5" w:rsidRPr="2275DB76">
        <w:rPr>
          <w:rFonts w:cs="Arial"/>
          <w:lang w:eastAsia="en-AU" w:bidi="ar-SA"/>
        </w:rPr>
        <w:t>587 m</w:t>
      </w:r>
      <w:r w:rsidRPr="2275DB76">
        <w:rPr>
          <w:rFonts w:cs="Arial"/>
          <w:lang w:eastAsia="en-AU" w:bidi="ar-SA"/>
        </w:rPr>
        <w:t>g/day and 1</w:t>
      </w:r>
      <w:r w:rsidR="75B31F44" w:rsidRPr="2275DB76">
        <w:rPr>
          <w:rFonts w:cs="Arial"/>
          <w:lang w:eastAsia="en-AU" w:bidi="ar-SA"/>
        </w:rPr>
        <w:t>175</w:t>
      </w:r>
      <w:r w:rsidRPr="2275DB76">
        <w:rPr>
          <w:rFonts w:cs="Arial"/>
          <w:lang w:eastAsia="en-AU" w:bidi="ar-SA"/>
        </w:rPr>
        <w:t> </w:t>
      </w:r>
      <w:r w:rsidR="14D09DC3" w:rsidRPr="2275DB76">
        <w:rPr>
          <w:rFonts w:cs="Arial"/>
          <w:lang w:eastAsia="en-AU" w:bidi="ar-SA"/>
        </w:rPr>
        <w:t>m</w:t>
      </w:r>
      <w:r w:rsidRPr="2275DB76">
        <w:rPr>
          <w:rFonts w:cs="Arial"/>
          <w:lang w:eastAsia="en-AU" w:bidi="ar-SA"/>
        </w:rPr>
        <w:t xml:space="preserve">g/day </w:t>
      </w:r>
      <w:r w:rsidR="00B95D7E">
        <w:rPr>
          <w:rFonts w:cs="Arial"/>
          <w:lang w:eastAsia="en-AU" w:bidi="ar-SA"/>
        </w:rPr>
        <w:t>respectively</w:t>
      </w:r>
      <w:r w:rsidR="00B95D7E" w:rsidRPr="2275DB76">
        <w:rPr>
          <w:rFonts w:cs="Arial"/>
          <w:lang w:eastAsia="en-AU" w:bidi="ar-SA"/>
        </w:rPr>
        <w:t xml:space="preserve"> </w:t>
      </w:r>
      <w:r w:rsidRPr="2275DB76">
        <w:rPr>
          <w:rFonts w:cs="Arial"/>
          <w:lang w:eastAsia="en-AU" w:bidi="ar-SA"/>
        </w:rPr>
        <w:t>for 9 month old infants.</w:t>
      </w:r>
    </w:p>
    <w:p w14:paraId="1AEA5038" w14:textId="26058E33" w:rsidR="00617090" w:rsidRPr="0091332B" w:rsidRDefault="00617090" w:rsidP="00617090">
      <w:pPr>
        <w:widowControl/>
        <w:textAlignment w:val="baseline"/>
        <w:rPr>
          <w:rFonts w:cs="Arial"/>
          <w:szCs w:val="22"/>
          <w:lang w:val="en-AU" w:eastAsia="en-AU" w:bidi="ar-SA"/>
        </w:rPr>
      </w:pPr>
      <w:r w:rsidRPr="00617090">
        <w:rPr>
          <w:rFonts w:cs="Arial"/>
          <w:szCs w:val="22"/>
          <w:lang w:eastAsia="en-AU" w:bidi="ar-SA"/>
        </w:rPr>
        <w:t> </w:t>
      </w:r>
    </w:p>
    <w:p w14:paraId="2A144784" w14:textId="1EE17A54" w:rsidR="00617090" w:rsidRPr="0091332B" w:rsidRDefault="09B886AD" w:rsidP="00617090">
      <w:pPr>
        <w:widowControl/>
        <w:textAlignment w:val="baseline"/>
        <w:rPr>
          <w:rFonts w:cs="Arial"/>
          <w:lang w:val="en-AU" w:eastAsia="en-AU" w:bidi="ar-SA"/>
        </w:rPr>
      </w:pPr>
      <w:r w:rsidRPr="2275DB76">
        <w:rPr>
          <w:rFonts w:cs="Arial"/>
          <w:lang w:eastAsia="en-AU" w:bidi="ar-SA"/>
        </w:rPr>
        <w:t xml:space="preserve">On a grams per kilogram body weight per day basis, the estimated mean and P90 dietary intakes of </w:t>
      </w:r>
      <w:proofErr w:type="spellStart"/>
      <w:r w:rsidRPr="2275DB76">
        <w:rPr>
          <w:rFonts w:cs="Arial"/>
          <w:lang w:eastAsia="en-AU" w:bidi="ar-SA"/>
        </w:rPr>
        <w:t>bLf</w:t>
      </w:r>
      <w:proofErr w:type="spellEnd"/>
      <w:r w:rsidRPr="2275DB76">
        <w:rPr>
          <w:rFonts w:cs="Arial"/>
          <w:lang w:eastAsia="en-AU" w:bidi="ar-SA"/>
        </w:rPr>
        <w:t xml:space="preserve"> from infant formula are </w:t>
      </w:r>
      <w:r w:rsidR="49B6E666" w:rsidRPr="2275DB76">
        <w:rPr>
          <w:rFonts w:cs="Arial"/>
          <w:lang w:eastAsia="en-AU" w:bidi="ar-SA"/>
        </w:rPr>
        <w:t>137</w:t>
      </w:r>
      <w:r w:rsidRPr="2275DB76">
        <w:rPr>
          <w:rFonts w:cs="Arial"/>
          <w:lang w:eastAsia="en-AU" w:bidi="ar-SA"/>
        </w:rPr>
        <w:t> </w:t>
      </w:r>
      <w:r w:rsidR="6E130920" w:rsidRPr="2275DB76">
        <w:rPr>
          <w:rFonts w:cs="Arial"/>
          <w:lang w:eastAsia="en-AU" w:bidi="ar-SA"/>
        </w:rPr>
        <w:t>m</w:t>
      </w:r>
      <w:r w:rsidRPr="2275DB76">
        <w:rPr>
          <w:rFonts w:cs="Arial"/>
          <w:lang w:eastAsia="en-AU" w:bidi="ar-SA"/>
        </w:rPr>
        <w:t xml:space="preserve">g/kg </w:t>
      </w:r>
      <w:proofErr w:type="spellStart"/>
      <w:r w:rsidRPr="2275DB76">
        <w:rPr>
          <w:rFonts w:cs="Arial"/>
          <w:lang w:eastAsia="en-AU" w:bidi="ar-SA"/>
        </w:rPr>
        <w:t>bw</w:t>
      </w:r>
      <w:proofErr w:type="spellEnd"/>
      <w:r w:rsidRPr="2275DB76">
        <w:rPr>
          <w:rFonts w:cs="Arial"/>
          <w:lang w:eastAsia="en-AU" w:bidi="ar-SA"/>
        </w:rPr>
        <w:t xml:space="preserve">/day and </w:t>
      </w:r>
      <w:r w:rsidR="31D25C12" w:rsidRPr="2275DB76">
        <w:rPr>
          <w:rFonts w:cs="Arial"/>
          <w:lang w:eastAsia="en-AU" w:bidi="ar-SA"/>
        </w:rPr>
        <w:t>274</w:t>
      </w:r>
      <w:r w:rsidRPr="2275DB76">
        <w:rPr>
          <w:rFonts w:cs="Arial"/>
          <w:lang w:eastAsia="en-AU" w:bidi="ar-SA"/>
        </w:rPr>
        <w:t xml:space="preserve"> </w:t>
      </w:r>
      <w:r w:rsidR="12343AD3" w:rsidRPr="2275DB76">
        <w:rPr>
          <w:rFonts w:cs="Arial"/>
          <w:lang w:eastAsia="en-AU" w:bidi="ar-SA"/>
        </w:rPr>
        <w:t>m</w:t>
      </w:r>
      <w:r w:rsidRPr="2275DB76">
        <w:rPr>
          <w:rFonts w:cs="Arial"/>
          <w:lang w:eastAsia="en-AU" w:bidi="ar-SA"/>
        </w:rPr>
        <w:t xml:space="preserve">g/kg </w:t>
      </w:r>
      <w:proofErr w:type="spellStart"/>
      <w:r w:rsidRPr="2275DB76">
        <w:rPr>
          <w:rFonts w:cs="Arial"/>
          <w:lang w:eastAsia="en-AU" w:bidi="ar-SA"/>
        </w:rPr>
        <w:t>bw</w:t>
      </w:r>
      <w:proofErr w:type="spellEnd"/>
      <w:r w:rsidRPr="2275DB76">
        <w:rPr>
          <w:rFonts w:cs="Arial"/>
          <w:lang w:eastAsia="en-AU" w:bidi="ar-SA"/>
        </w:rPr>
        <w:t xml:space="preserve">/day </w:t>
      </w:r>
      <w:r w:rsidR="00B95D7E">
        <w:rPr>
          <w:rFonts w:cs="Arial"/>
          <w:lang w:eastAsia="en-AU" w:bidi="ar-SA"/>
        </w:rPr>
        <w:t>respectively</w:t>
      </w:r>
      <w:r w:rsidR="00B95D7E" w:rsidRPr="2275DB76">
        <w:rPr>
          <w:rFonts w:cs="Arial"/>
          <w:lang w:eastAsia="en-AU" w:bidi="ar-SA"/>
        </w:rPr>
        <w:t xml:space="preserve"> </w:t>
      </w:r>
      <w:r w:rsidRPr="2275DB76">
        <w:rPr>
          <w:rFonts w:cs="Arial"/>
          <w:lang w:eastAsia="en-AU" w:bidi="ar-SA"/>
        </w:rPr>
        <w:t xml:space="preserve">for 3 month old infants, and from follow-on formula are </w:t>
      </w:r>
      <w:r w:rsidR="765C4434" w:rsidRPr="2275DB76">
        <w:rPr>
          <w:rFonts w:cs="Arial"/>
          <w:lang w:eastAsia="en-AU" w:bidi="ar-SA"/>
        </w:rPr>
        <w:t>66</w:t>
      </w:r>
      <w:r w:rsidRPr="2275DB76">
        <w:rPr>
          <w:rFonts w:cs="Arial"/>
          <w:lang w:eastAsia="en-AU" w:bidi="ar-SA"/>
        </w:rPr>
        <w:t> </w:t>
      </w:r>
      <w:r w:rsidR="73F1FC38" w:rsidRPr="2275DB76">
        <w:rPr>
          <w:rFonts w:cs="Arial"/>
          <w:lang w:eastAsia="en-AU" w:bidi="ar-SA"/>
        </w:rPr>
        <w:t>m</w:t>
      </w:r>
      <w:r w:rsidRPr="2275DB76">
        <w:rPr>
          <w:rFonts w:cs="Arial"/>
          <w:lang w:eastAsia="en-AU" w:bidi="ar-SA"/>
        </w:rPr>
        <w:t xml:space="preserve">g/kg </w:t>
      </w:r>
      <w:proofErr w:type="spellStart"/>
      <w:r w:rsidRPr="2275DB76">
        <w:rPr>
          <w:rFonts w:cs="Arial"/>
          <w:lang w:eastAsia="en-AU" w:bidi="ar-SA"/>
        </w:rPr>
        <w:t>bw</w:t>
      </w:r>
      <w:proofErr w:type="spellEnd"/>
      <w:r w:rsidRPr="2275DB76">
        <w:rPr>
          <w:rFonts w:cs="Arial"/>
          <w:lang w:eastAsia="en-AU" w:bidi="ar-SA"/>
        </w:rPr>
        <w:t xml:space="preserve">/day and </w:t>
      </w:r>
      <w:r w:rsidR="27EC560C" w:rsidRPr="2275DB76">
        <w:rPr>
          <w:rFonts w:cs="Arial"/>
          <w:lang w:eastAsia="en-AU" w:bidi="ar-SA"/>
        </w:rPr>
        <w:t>132</w:t>
      </w:r>
      <w:r w:rsidRPr="2275DB76">
        <w:rPr>
          <w:rFonts w:cs="Arial"/>
          <w:lang w:eastAsia="en-AU" w:bidi="ar-SA"/>
        </w:rPr>
        <w:t> </w:t>
      </w:r>
      <w:r w:rsidR="4DAE2685" w:rsidRPr="2275DB76">
        <w:rPr>
          <w:rFonts w:cs="Arial"/>
          <w:lang w:eastAsia="en-AU" w:bidi="ar-SA"/>
        </w:rPr>
        <w:t>m</w:t>
      </w:r>
      <w:r w:rsidRPr="2275DB76">
        <w:rPr>
          <w:rFonts w:cs="Arial"/>
          <w:lang w:eastAsia="en-AU" w:bidi="ar-SA"/>
        </w:rPr>
        <w:t xml:space="preserve">g/kg </w:t>
      </w:r>
      <w:proofErr w:type="spellStart"/>
      <w:r w:rsidRPr="2275DB76">
        <w:rPr>
          <w:rFonts w:cs="Arial"/>
          <w:lang w:eastAsia="en-AU" w:bidi="ar-SA"/>
        </w:rPr>
        <w:t>bw</w:t>
      </w:r>
      <w:proofErr w:type="spellEnd"/>
      <w:r w:rsidRPr="2275DB76">
        <w:rPr>
          <w:rFonts w:cs="Arial"/>
          <w:lang w:eastAsia="en-AU" w:bidi="ar-SA"/>
        </w:rPr>
        <w:t xml:space="preserve">/day </w:t>
      </w:r>
      <w:r w:rsidR="00B95D7E">
        <w:rPr>
          <w:rFonts w:cs="Arial"/>
          <w:lang w:eastAsia="en-AU" w:bidi="ar-SA"/>
        </w:rPr>
        <w:t>respectively</w:t>
      </w:r>
      <w:r w:rsidR="00B95D7E" w:rsidRPr="2275DB76">
        <w:rPr>
          <w:rFonts w:cs="Arial"/>
          <w:lang w:eastAsia="en-AU" w:bidi="ar-SA"/>
        </w:rPr>
        <w:t xml:space="preserve"> </w:t>
      </w:r>
      <w:r w:rsidRPr="2275DB76">
        <w:rPr>
          <w:rFonts w:cs="Arial"/>
          <w:lang w:eastAsia="en-AU" w:bidi="ar-SA"/>
        </w:rPr>
        <w:t>for 9 month old infants</w:t>
      </w:r>
      <w:r w:rsidR="00E67AD4">
        <w:rPr>
          <w:rFonts w:cs="Arial"/>
          <w:lang w:eastAsia="en-AU" w:bidi="ar-SA"/>
        </w:rPr>
        <w:t xml:space="preserve"> (see Table 6)</w:t>
      </w:r>
      <w:r w:rsidRPr="2275DB76">
        <w:rPr>
          <w:rFonts w:cs="Arial"/>
          <w:lang w:eastAsia="en-AU" w:bidi="ar-SA"/>
        </w:rPr>
        <w:t>.</w:t>
      </w:r>
    </w:p>
    <w:p w14:paraId="67085E41" w14:textId="6F0A205C" w:rsidR="00617090" w:rsidRPr="0091332B" w:rsidRDefault="00617090" w:rsidP="00617090">
      <w:pPr>
        <w:widowControl/>
        <w:textAlignment w:val="baseline"/>
        <w:rPr>
          <w:rFonts w:cs="Arial"/>
          <w:szCs w:val="22"/>
          <w:lang w:val="en-AU" w:eastAsia="en-AU" w:bidi="ar-SA"/>
        </w:rPr>
      </w:pPr>
      <w:r w:rsidRPr="00617090">
        <w:rPr>
          <w:rFonts w:cs="Arial"/>
          <w:szCs w:val="22"/>
          <w:lang w:eastAsia="en-AU" w:bidi="ar-SA"/>
        </w:rPr>
        <w:t> </w:t>
      </w:r>
    </w:p>
    <w:p w14:paraId="7D9BC722" w14:textId="0E7D405D" w:rsidR="002D2918" w:rsidRDefault="002D2918" w:rsidP="002D2918">
      <w:pPr>
        <w:pStyle w:val="FSTableTitle"/>
      </w:pPr>
      <w:bookmarkStart w:id="87" w:name="_Ref111708935"/>
      <w:r>
        <w:t xml:space="preserve">Table </w:t>
      </w:r>
      <w:r w:rsidRPr="4B11D9F8">
        <w:rPr>
          <w:color w:val="2B579A"/>
          <w:shd w:val="clear" w:color="auto" w:fill="E6E6E6"/>
        </w:rPr>
        <w:fldChar w:fldCharType="begin"/>
      </w:r>
      <w:r>
        <w:instrText>SEQ Table \* ARABIC</w:instrText>
      </w:r>
      <w:r w:rsidRPr="4B11D9F8">
        <w:rPr>
          <w:color w:val="2B579A"/>
          <w:shd w:val="clear" w:color="auto" w:fill="E6E6E6"/>
        </w:rPr>
        <w:fldChar w:fldCharType="separate"/>
      </w:r>
      <w:r>
        <w:rPr>
          <w:noProof/>
        </w:rPr>
        <w:t>6</w:t>
      </w:r>
      <w:r w:rsidRPr="4B11D9F8">
        <w:rPr>
          <w:color w:val="2B579A"/>
          <w:shd w:val="clear" w:color="auto" w:fill="E6E6E6"/>
        </w:rPr>
        <w:fldChar w:fldCharType="end"/>
      </w:r>
      <w:bookmarkEnd w:id="87"/>
      <w:r>
        <w:t xml:space="preserve"> </w:t>
      </w:r>
      <w:r w:rsidRPr="00322E18">
        <w:t xml:space="preserve">Estimated mean dietary intake of </w:t>
      </w:r>
      <w:proofErr w:type="spellStart"/>
      <w:r w:rsidRPr="00322E18">
        <w:t>bLf</w:t>
      </w:r>
      <w:proofErr w:type="spellEnd"/>
      <w:r w:rsidRPr="00322E18">
        <w:t xml:space="preserve"> in infant and follow-on formula based on </w:t>
      </w:r>
      <w:r w:rsidR="00B95D7E">
        <w:t xml:space="preserve">the </w:t>
      </w:r>
      <w:r w:rsidRPr="00322E18">
        <w:t>maximum</w:t>
      </w:r>
      <w:r w:rsidR="00B95D7E">
        <w:t xml:space="preserve"> permitted amount</w:t>
      </w:r>
      <w:r w:rsidRPr="00322E18">
        <w:t xml:space="preserve"> proposed by </w:t>
      </w:r>
      <w:r w:rsidR="00B95D7E">
        <w:t xml:space="preserve">the </w:t>
      </w:r>
      <w:r w:rsidRPr="00322E18">
        <w:t>applicant</w:t>
      </w:r>
    </w:p>
    <w:tbl>
      <w:tblPr>
        <w:tblW w:w="88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4  "/>
        <w:tblDescription w:val="Estimated mean dietary intake of bLf in infant and follow-on formula based on maximum proposed level by applicant   "/>
      </w:tblPr>
      <w:tblGrid>
        <w:gridCol w:w="2977"/>
        <w:gridCol w:w="1448"/>
        <w:gridCol w:w="2235"/>
        <w:gridCol w:w="2235"/>
      </w:tblGrid>
      <w:tr w:rsidR="00617090" w:rsidRPr="00617090" w14:paraId="17C7FA1C" w14:textId="77777777" w:rsidTr="2275DB76">
        <w:trPr>
          <w:trHeight w:val="270"/>
        </w:trPr>
        <w:tc>
          <w:tcPr>
            <w:tcW w:w="2977" w:type="dxa"/>
            <w:tcBorders>
              <w:top w:val="nil"/>
              <w:left w:val="nil"/>
              <w:bottom w:val="nil"/>
              <w:right w:val="nil"/>
            </w:tcBorders>
            <w:shd w:val="clear" w:color="auto" w:fill="616571"/>
            <w:hideMark/>
          </w:tcPr>
          <w:p w14:paraId="04DC987A" w14:textId="77777777" w:rsidR="00617090" w:rsidRPr="00617090" w:rsidRDefault="00617090" w:rsidP="0050585F">
            <w:pPr>
              <w:keepNext/>
              <w:keepLines/>
              <w:ind w:left="165"/>
              <w:textAlignment w:val="baseline"/>
              <w:rPr>
                <w:rFonts w:ascii="Times New Roman" w:hAnsi="Times New Roman"/>
                <w:b/>
                <w:bCs/>
                <w:color w:val="FFFFFF"/>
                <w:sz w:val="24"/>
                <w:lang w:val="en-AU" w:eastAsia="en-AU" w:bidi="ar-SA"/>
              </w:rPr>
            </w:pPr>
            <w:r w:rsidRPr="00617090">
              <w:rPr>
                <w:rFonts w:cs="Arial"/>
                <w:b/>
                <w:bCs/>
                <w:color w:val="FFFFFF"/>
                <w:sz w:val="20"/>
                <w:szCs w:val="20"/>
                <w:lang w:val="en-AU" w:eastAsia="en-AU" w:bidi="ar-SA"/>
              </w:rPr>
              <w:t> </w:t>
            </w:r>
          </w:p>
        </w:tc>
        <w:tc>
          <w:tcPr>
            <w:tcW w:w="1448" w:type="dxa"/>
            <w:tcBorders>
              <w:top w:val="nil"/>
              <w:left w:val="nil"/>
              <w:bottom w:val="nil"/>
              <w:right w:val="nil"/>
            </w:tcBorders>
            <w:shd w:val="clear" w:color="auto" w:fill="616571"/>
            <w:hideMark/>
          </w:tcPr>
          <w:p w14:paraId="1DD22C3B" w14:textId="77777777" w:rsidR="00617090" w:rsidRPr="009E72CB" w:rsidRDefault="00617090" w:rsidP="009E72CB">
            <w:pPr>
              <w:pStyle w:val="FSTableHeading"/>
              <w:rPr>
                <w:rFonts w:ascii="Times New Roman" w:hAnsi="Times New Roman"/>
                <w:color w:val="FFFFFF" w:themeColor="background1"/>
                <w:sz w:val="24"/>
                <w:lang w:val="en-AU" w:eastAsia="en-AU" w:bidi="ar-SA"/>
              </w:rPr>
            </w:pPr>
            <w:r w:rsidRPr="009E72CB">
              <w:rPr>
                <w:color w:val="FFFFFF" w:themeColor="background1"/>
                <w:lang w:eastAsia="en-AU" w:bidi="ar-SA"/>
              </w:rPr>
              <w:t>Unit</w:t>
            </w:r>
            <w:r w:rsidRPr="009E72CB">
              <w:rPr>
                <w:color w:val="FFFFFF" w:themeColor="background1"/>
                <w:lang w:val="en-AU" w:eastAsia="en-AU" w:bidi="ar-SA"/>
              </w:rPr>
              <w:t> </w:t>
            </w:r>
          </w:p>
        </w:tc>
        <w:tc>
          <w:tcPr>
            <w:tcW w:w="2235" w:type="dxa"/>
            <w:tcBorders>
              <w:top w:val="nil"/>
              <w:left w:val="nil"/>
              <w:bottom w:val="nil"/>
              <w:right w:val="nil"/>
            </w:tcBorders>
            <w:shd w:val="clear" w:color="auto" w:fill="616571"/>
            <w:hideMark/>
          </w:tcPr>
          <w:p w14:paraId="22F797D8" w14:textId="2F21BD72" w:rsidR="00617090" w:rsidRPr="009E72CB" w:rsidRDefault="00617090" w:rsidP="009E72CB">
            <w:pPr>
              <w:pStyle w:val="FSTableHeading"/>
              <w:rPr>
                <w:rFonts w:ascii="Times New Roman" w:hAnsi="Times New Roman"/>
                <w:color w:val="FFFFFF" w:themeColor="background1"/>
                <w:sz w:val="24"/>
                <w:lang w:val="en-AU" w:eastAsia="en-AU" w:bidi="ar-SA"/>
              </w:rPr>
            </w:pPr>
            <w:r w:rsidRPr="009E72CB">
              <w:rPr>
                <w:color w:val="FFFFFF" w:themeColor="background1"/>
                <w:lang w:eastAsia="en-AU" w:bidi="ar-SA"/>
              </w:rPr>
              <w:t>3 months</w:t>
            </w:r>
          </w:p>
        </w:tc>
        <w:tc>
          <w:tcPr>
            <w:tcW w:w="2235" w:type="dxa"/>
            <w:tcBorders>
              <w:top w:val="nil"/>
              <w:left w:val="nil"/>
              <w:bottom w:val="nil"/>
              <w:right w:val="nil"/>
            </w:tcBorders>
            <w:shd w:val="clear" w:color="auto" w:fill="616571"/>
            <w:hideMark/>
          </w:tcPr>
          <w:p w14:paraId="0F890D18" w14:textId="30491A0A" w:rsidR="00617090" w:rsidRPr="009E72CB" w:rsidRDefault="00617090" w:rsidP="009E72CB">
            <w:pPr>
              <w:pStyle w:val="FSTableHeading"/>
              <w:rPr>
                <w:rFonts w:ascii="Times New Roman" w:hAnsi="Times New Roman"/>
                <w:color w:val="FFFFFF" w:themeColor="background1"/>
                <w:sz w:val="24"/>
                <w:lang w:val="en-AU" w:eastAsia="en-AU" w:bidi="ar-SA"/>
              </w:rPr>
            </w:pPr>
            <w:r w:rsidRPr="009E72CB">
              <w:rPr>
                <w:color w:val="FFFFFF" w:themeColor="background1"/>
                <w:lang w:eastAsia="en-AU" w:bidi="ar-SA"/>
              </w:rPr>
              <w:t>9 months</w:t>
            </w:r>
          </w:p>
        </w:tc>
      </w:tr>
      <w:tr w:rsidR="00617090" w:rsidRPr="00617090" w14:paraId="127D3809" w14:textId="77777777" w:rsidTr="2275DB76">
        <w:trPr>
          <w:trHeight w:val="300"/>
        </w:trPr>
        <w:tc>
          <w:tcPr>
            <w:tcW w:w="2977" w:type="dxa"/>
            <w:tcBorders>
              <w:top w:val="nil"/>
              <w:left w:val="nil"/>
              <w:bottom w:val="nil"/>
              <w:right w:val="nil"/>
            </w:tcBorders>
            <w:shd w:val="clear" w:color="auto" w:fill="D9D9D9" w:themeFill="background1" w:themeFillShade="D9"/>
            <w:hideMark/>
          </w:tcPr>
          <w:p w14:paraId="6DD2B3F9" w14:textId="77777777" w:rsidR="00617090" w:rsidRPr="00617090" w:rsidRDefault="00617090" w:rsidP="009E72CB">
            <w:pPr>
              <w:pStyle w:val="FSTableText"/>
              <w:rPr>
                <w:rFonts w:ascii="Times New Roman" w:hAnsi="Times New Roman"/>
                <w:sz w:val="24"/>
                <w:lang w:val="en-AU" w:eastAsia="en-AU" w:bidi="ar-SA"/>
              </w:rPr>
            </w:pPr>
            <w:r w:rsidRPr="00617090">
              <w:rPr>
                <w:lang w:eastAsia="en-AU" w:bidi="ar-SA"/>
              </w:rPr>
              <w:t>Recommended energy intake</w:t>
            </w:r>
            <w:r w:rsidRPr="0091332B">
              <w:rPr>
                <w:szCs w:val="16"/>
                <w:vertAlign w:val="superscript"/>
                <w:lang w:eastAsia="en-AU" w:bidi="ar-SA"/>
              </w:rPr>
              <w:t>1</w:t>
            </w:r>
            <w:r w:rsidRPr="00617090">
              <w:rPr>
                <w:sz w:val="16"/>
                <w:szCs w:val="16"/>
                <w:lang w:val="en-AU" w:eastAsia="en-AU" w:bidi="ar-SA"/>
              </w:rPr>
              <w:t> </w:t>
            </w:r>
          </w:p>
        </w:tc>
        <w:tc>
          <w:tcPr>
            <w:tcW w:w="1448" w:type="dxa"/>
            <w:tcBorders>
              <w:top w:val="nil"/>
              <w:left w:val="nil"/>
              <w:bottom w:val="nil"/>
              <w:right w:val="nil"/>
            </w:tcBorders>
            <w:shd w:val="clear" w:color="auto" w:fill="D9D9D9" w:themeFill="background1" w:themeFillShade="D9"/>
            <w:hideMark/>
          </w:tcPr>
          <w:p w14:paraId="474F5350" w14:textId="77777777" w:rsidR="00617090" w:rsidRPr="00617090" w:rsidRDefault="00617090" w:rsidP="009E72CB">
            <w:pPr>
              <w:pStyle w:val="FSTableText"/>
              <w:rPr>
                <w:rFonts w:ascii="Times New Roman" w:hAnsi="Times New Roman"/>
                <w:sz w:val="24"/>
                <w:lang w:val="en-AU" w:eastAsia="en-AU" w:bidi="ar-SA"/>
              </w:rPr>
            </w:pPr>
            <w:r w:rsidRPr="00617090">
              <w:rPr>
                <w:lang w:eastAsia="en-AU" w:bidi="ar-SA"/>
              </w:rPr>
              <w:t xml:space="preserve">kJ/kg </w:t>
            </w:r>
            <w:proofErr w:type="spellStart"/>
            <w:r w:rsidRPr="00617090">
              <w:rPr>
                <w:lang w:eastAsia="en-AU" w:bidi="ar-SA"/>
              </w:rPr>
              <w:t>bw</w:t>
            </w:r>
            <w:proofErr w:type="spellEnd"/>
            <w:r w:rsidRPr="00617090">
              <w:rPr>
                <w:lang w:eastAsia="en-AU" w:bidi="ar-SA"/>
              </w:rPr>
              <w:t>/day</w:t>
            </w:r>
            <w:r w:rsidRPr="00617090">
              <w:rPr>
                <w:lang w:val="en-AU" w:eastAsia="en-AU" w:bidi="ar-SA"/>
              </w:rPr>
              <w:t> </w:t>
            </w:r>
          </w:p>
        </w:tc>
        <w:tc>
          <w:tcPr>
            <w:tcW w:w="2235" w:type="dxa"/>
            <w:tcBorders>
              <w:top w:val="nil"/>
              <w:left w:val="nil"/>
              <w:bottom w:val="nil"/>
              <w:right w:val="nil"/>
            </w:tcBorders>
            <w:shd w:val="clear" w:color="auto" w:fill="D9D9D9" w:themeFill="background1" w:themeFillShade="D9"/>
            <w:hideMark/>
          </w:tcPr>
          <w:p w14:paraId="493C07A4" w14:textId="31A8EAA2" w:rsidR="00617090" w:rsidRPr="00617090" w:rsidRDefault="00617090" w:rsidP="000E6907">
            <w:pPr>
              <w:pStyle w:val="FSTableText"/>
              <w:tabs>
                <w:tab w:val="decimal" w:pos="1672"/>
              </w:tabs>
              <w:rPr>
                <w:rFonts w:ascii="Times New Roman" w:hAnsi="Times New Roman"/>
                <w:sz w:val="24"/>
                <w:lang w:val="en-AU" w:eastAsia="en-AU" w:bidi="ar-SA"/>
              </w:rPr>
            </w:pPr>
            <w:r w:rsidRPr="00617090">
              <w:rPr>
                <w:lang w:eastAsia="en-AU" w:bidi="ar-SA"/>
              </w:rPr>
              <w:t>343</w:t>
            </w:r>
          </w:p>
        </w:tc>
        <w:tc>
          <w:tcPr>
            <w:tcW w:w="2235" w:type="dxa"/>
            <w:tcBorders>
              <w:top w:val="nil"/>
              <w:left w:val="nil"/>
              <w:bottom w:val="nil"/>
              <w:right w:val="nil"/>
            </w:tcBorders>
            <w:shd w:val="clear" w:color="auto" w:fill="D9D9D9" w:themeFill="background1" w:themeFillShade="D9"/>
            <w:hideMark/>
          </w:tcPr>
          <w:p w14:paraId="1EFE07C8" w14:textId="08223D2C" w:rsidR="00617090" w:rsidRPr="00617090" w:rsidRDefault="00617090" w:rsidP="000E6907">
            <w:pPr>
              <w:pStyle w:val="FSTableText"/>
              <w:tabs>
                <w:tab w:val="decimal" w:pos="1563"/>
              </w:tabs>
              <w:rPr>
                <w:rFonts w:ascii="Times New Roman" w:hAnsi="Times New Roman"/>
                <w:sz w:val="24"/>
                <w:lang w:val="en-AU" w:eastAsia="en-AU" w:bidi="ar-SA"/>
              </w:rPr>
            </w:pPr>
            <w:r w:rsidRPr="00617090">
              <w:rPr>
                <w:lang w:eastAsia="en-AU" w:bidi="ar-SA"/>
              </w:rPr>
              <w:t>330</w:t>
            </w:r>
          </w:p>
        </w:tc>
      </w:tr>
      <w:tr w:rsidR="00617090" w:rsidRPr="00617090" w14:paraId="6FAC1A5B" w14:textId="77777777" w:rsidTr="2275DB76">
        <w:trPr>
          <w:trHeight w:val="300"/>
        </w:trPr>
        <w:tc>
          <w:tcPr>
            <w:tcW w:w="2977" w:type="dxa"/>
            <w:tcBorders>
              <w:top w:val="nil"/>
              <w:left w:val="nil"/>
              <w:bottom w:val="nil"/>
              <w:right w:val="nil"/>
            </w:tcBorders>
            <w:shd w:val="clear" w:color="auto" w:fill="auto"/>
            <w:hideMark/>
          </w:tcPr>
          <w:p w14:paraId="68DB6378" w14:textId="77777777" w:rsidR="00617090" w:rsidRPr="00617090" w:rsidRDefault="00617090" w:rsidP="009E72CB">
            <w:pPr>
              <w:pStyle w:val="FSTableText"/>
              <w:rPr>
                <w:rFonts w:ascii="Times New Roman" w:hAnsi="Times New Roman"/>
                <w:sz w:val="24"/>
                <w:lang w:val="en-AU" w:eastAsia="en-AU" w:bidi="ar-SA"/>
              </w:rPr>
            </w:pPr>
            <w:r w:rsidRPr="00617090">
              <w:rPr>
                <w:lang w:eastAsia="en-AU" w:bidi="ar-SA"/>
              </w:rPr>
              <w:t>P50 body weight</w:t>
            </w:r>
            <w:r w:rsidRPr="0091332B">
              <w:rPr>
                <w:szCs w:val="16"/>
                <w:vertAlign w:val="superscript"/>
                <w:lang w:eastAsia="en-AU" w:bidi="ar-SA"/>
              </w:rPr>
              <w:t>2</w:t>
            </w:r>
            <w:r w:rsidRPr="00617090">
              <w:rPr>
                <w:sz w:val="16"/>
                <w:szCs w:val="16"/>
                <w:lang w:val="en-AU" w:eastAsia="en-AU" w:bidi="ar-SA"/>
              </w:rPr>
              <w:t> </w:t>
            </w:r>
          </w:p>
        </w:tc>
        <w:tc>
          <w:tcPr>
            <w:tcW w:w="1448" w:type="dxa"/>
            <w:tcBorders>
              <w:top w:val="nil"/>
              <w:left w:val="nil"/>
              <w:bottom w:val="nil"/>
              <w:right w:val="nil"/>
            </w:tcBorders>
            <w:shd w:val="clear" w:color="auto" w:fill="auto"/>
            <w:hideMark/>
          </w:tcPr>
          <w:p w14:paraId="4383E742" w14:textId="77777777" w:rsidR="00617090" w:rsidRPr="00617090" w:rsidRDefault="00617090" w:rsidP="009E72CB">
            <w:pPr>
              <w:pStyle w:val="FSTableText"/>
              <w:rPr>
                <w:rFonts w:ascii="Times New Roman" w:hAnsi="Times New Roman"/>
                <w:sz w:val="24"/>
                <w:lang w:val="en-AU" w:eastAsia="en-AU" w:bidi="ar-SA"/>
              </w:rPr>
            </w:pPr>
            <w:r w:rsidRPr="00617090">
              <w:rPr>
                <w:lang w:eastAsia="en-AU" w:bidi="ar-SA"/>
              </w:rPr>
              <w:t>kg</w:t>
            </w:r>
            <w:r w:rsidRPr="00617090">
              <w:rPr>
                <w:lang w:val="en-AU" w:eastAsia="en-AU" w:bidi="ar-SA"/>
              </w:rPr>
              <w:t> </w:t>
            </w:r>
          </w:p>
        </w:tc>
        <w:tc>
          <w:tcPr>
            <w:tcW w:w="2235" w:type="dxa"/>
            <w:tcBorders>
              <w:top w:val="nil"/>
              <w:left w:val="nil"/>
              <w:bottom w:val="nil"/>
              <w:right w:val="nil"/>
            </w:tcBorders>
            <w:shd w:val="clear" w:color="auto" w:fill="auto"/>
            <w:hideMark/>
          </w:tcPr>
          <w:p w14:paraId="364BA1B3" w14:textId="383E070B" w:rsidR="00617090" w:rsidRPr="00617090" w:rsidRDefault="00617090" w:rsidP="000E6907">
            <w:pPr>
              <w:pStyle w:val="FSTableText"/>
              <w:tabs>
                <w:tab w:val="decimal" w:pos="1672"/>
              </w:tabs>
              <w:rPr>
                <w:rFonts w:ascii="Times New Roman" w:hAnsi="Times New Roman"/>
                <w:sz w:val="24"/>
                <w:lang w:val="en-AU" w:eastAsia="en-AU" w:bidi="ar-SA"/>
              </w:rPr>
            </w:pPr>
            <w:r w:rsidRPr="00617090">
              <w:rPr>
                <w:lang w:eastAsia="en-AU" w:bidi="ar-SA"/>
              </w:rPr>
              <w:t>6.4</w:t>
            </w:r>
          </w:p>
        </w:tc>
        <w:tc>
          <w:tcPr>
            <w:tcW w:w="2235" w:type="dxa"/>
            <w:tcBorders>
              <w:top w:val="nil"/>
              <w:left w:val="nil"/>
              <w:bottom w:val="nil"/>
              <w:right w:val="nil"/>
            </w:tcBorders>
            <w:shd w:val="clear" w:color="auto" w:fill="auto"/>
            <w:hideMark/>
          </w:tcPr>
          <w:p w14:paraId="0E8717E3" w14:textId="249173DD" w:rsidR="00617090" w:rsidRPr="00617090" w:rsidRDefault="00617090" w:rsidP="000E6907">
            <w:pPr>
              <w:pStyle w:val="FSTableText"/>
              <w:tabs>
                <w:tab w:val="decimal" w:pos="1563"/>
              </w:tabs>
              <w:rPr>
                <w:rFonts w:ascii="Times New Roman" w:hAnsi="Times New Roman"/>
                <w:sz w:val="24"/>
                <w:lang w:val="en-AU" w:eastAsia="en-AU" w:bidi="ar-SA"/>
              </w:rPr>
            </w:pPr>
            <w:r w:rsidRPr="00617090">
              <w:rPr>
                <w:lang w:eastAsia="en-AU" w:bidi="ar-SA"/>
              </w:rPr>
              <w:t>8.9</w:t>
            </w:r>
          </w:p>
        </w:tc>
      </w:tr>
      <w:tr w:rsidR="00617090" w:rsidRPr="00617090" w14:paraId="3138AA0F" w14:textId="77777777" w:rsidTr="2275DB76">
        <w:trPr>
          <w:trHeight w:val="300"/>
        </w:trPr>
        <w:tc>
          <w:tcPr>
            <w:tcW w:w="2977" w:type="dxa"/>
            <w:tcBorders>
              <w:top w:val="nil"/>
              <w:left w:val="nil"/>
              <w:bottom w:val="nil"/>
              <w:right w:val="nil"/>
            </w:tcBorders>
            <w:shd w:val="clear" w:color="auto" w:fill="D9D9D9" w:themeFill="background1" w:themeFillShade="D9"/>
            <w:hideMark/>
          </w:tcPr>
          <w:p w14:paraId="387C0C6C" w14:textId="17E79E4E" w:rsidR="00617090" w:rsidRPr="00617090" w:rsidRDefault="00617090" w:rsidP="009E72CB">
            <w:pPr>
              <w:pStyle w:val="FSTableText"/>
              <w:rPr>
                <w:rFonts w:ascii="Times New Roman" w:hAnsi="Times New Roman"/>
                <w:sz w:val="24"/>
                <w:lang w:val="en-AU" w:eastAsia="en-AU" w:bidi="ar-SA"/>
              </w:rPr>
            </w:pPr>
            <w:r w:rsidRPr="00617090">
              <w:rPr>
                <w:lang w:eastAsia="en-AU" w:bidi="ar-SA"/>
              </w:rPr>
              <w:t>Recommended energy intake</w:t>
            </w:r>
          </w:p>
        </w:tc>
        <w:tc>
          <w:tcPr>
            <w:tcW w:w="1448" w:type="dxa"/>
            <w:tcBorders>
              <w:top w:val="nil"/>
              <w:left w:val="nil"/>
              <w:bottom w:val="nil"/>
              <w:right w:val="nil"/>
            </w:tcBorders>
            <w:shd w:val="clear" w:color="auto" w:fill="D9D9D9" w:themeFill="background1" w:themeFillShade="D9"/>
            <w:hideMark/>
          </w:tcPr>
          <w:p w14:paraId="09F54C5A" w14:textId="77777777" w:rsidR="00617090" w:rsidRPr="00617090" w:rsidRDefault="00617090" w:rsidP="009E72CB">
            <w:pPr>
              <w:pStyle w:val="FSTableText"/>
              <w:rPr>
                <w:rFonts w:ascii="Times New Roman" w:hAnsi="Times New Roman"/>
                <w:sz w:val="24"/>
                <w:lang w:val="en-AU" w:eastAsia="en-AU" w:bidi="ar-SA"/>
              </w:rPr>
            </w:pPr>
            <w:r w:rsidRPr="00617090">
              <w:rPr>
                <w:lang w:eastAsia="en-AU" w:bidi="ar-SA"/>
              </w:rPr>
              <w:t>kJ/day</w:t>
            </w:r>
            <w:r w:rsidRPr="00617090">
              <w:rPr>
                <w:lang w:val="en-AU" w:eastAsia="en-AU" w:bidi="ar-SA"/>
              </w:rPr>
              <w:t> </w:t>
            </w:r>
          </w:p>
        </w:tc>
        <w:tc>
          <w:tcPr>
            <w:tcW w:w="2235" w:type="dxa"/>
            <w:tcBorders>
              <w:top w:val="nil"/>
              <w:left w:val="nil"/>
              <w:bottom w:val="nil"/>
              <w:right w:val="nil"/>
            </w:tcBorders>
            <w:shd w:val="clear" w:color="auto" w:fill="D9D9D9" w:themeFill="background1" w:themeFillShade="D9"/>
            <w:hideMark/>
          </w:tcPr>
          <w:p w14:paraId="227EC641" w14:textId="3EA101B2" w:rsidR="00617090" w:rsidRPr="00617090" w:rsidRDefault="00617090" w:rsidP="000E6907">
            <w:pPr>
              <w:pStyle w:val="FSTableText"/>
              <w:tabs>
                <w:tab w:val="decimal" w:pos="1672"/>
              </w:tabs>
              <w:rPr>
                <w:rFonts w:ascii="Times New Roman" w:hAnsi="Times New Roman"/>
                <w:sz w:val="24"/>
                <w:lang w:val="en-AU" w:eastAsia="en-AU" w:bidi="ar-SA"/>
              </w:rPr>
            </w:pPr>
            <w:r w:rsidRPr="00617090">
              <w:rPr>
                <w:lang w:eastAsia="en-AU" w:bidi="ar-SA"/>
              </w:rPr>
              <w:t>2195</w:t>
            </w:r>
          </w:p>
        </w:tc>
        <w:tc>
          <w:tcPr>
            <w:tcW w:w="2235" w:type="dxa"/>
            <w:tcBorders>
              <w:top w:val="nil"/>
              <w:left w:val="nil"/>
              <w:bottom w:val="nil"/>
              <w:right w:val="nil"/>
            </w:tcBorders>
            <w:shd w:val="clear" w:color="auto" w:fill="D9D9D9" w:themeFill="background1" w:themeFillShade="D9"/>
            <w:hideMark/>
          </w:tcPr>
          <w:p w14:paraId="74886FDF" w14:textId="7B16A592" w:rsidR="00617090" w:rsidRPr="00617090" w:rsidRDefault="00617090" w:rsidP="000E6907">
            <w:pPr>
              <w:pStyle w:val="FSTableText"/>
              <w:tabs>
                <w:tab w:val="decimal" w:pos="1563"/>
              </w:tabs>
              <w:rPr>
                <w:rFonts w:ascii="Times New Roman" w:hAnsi="Times New Roman"/>
                <w:sz w:val="24"/>
                <w:lang w:val="en-AU" w:eastAsia="en-AU" w:bidi="ar-SA"/>
              </w:rPr>
            </w:pPr>
            <w:r w:rsidRPr="00617090">
              <w:rPr>
                <w:lang w:eastAsia="en-AU" w:bidi="ar-SA"/>
              </w:rPr>
              <w:t>2937</w:t>
            </w:r>
          </w:p>
        </w:tc>
      </w:tr>
      <w:tr w:rsidR="00617090" w:rsidRPr="00617090" w14:paraId="54C6B2B3" w14:textId="77777777" w:rsidTr="2275DB76">
        <w:trPr>
          <w:trHeight w:val="375"/>
        </w:trPr>
        <w:tc>
          <w:tcPr>
            <w:tcW w:w="2977" w:type="dxa"/>
            <w:tcBorders>
              <w:top w:val="nil"/>
              <w:left w:val="nil"/>
              <w:bottom w:val="nil"/>
              <w:right w:val="nil"/>
            </w:tcBorders>
            <w:shd w:val="clear" w:color="auto" w:fill="auto"/>
            <w:hideMark/>
          </w:tcPr>
          <w:p w14:paraId="65E0D897" w14:textId="77777777" w:rsidR="00617090" w:rsidRPr="00617090" w:rsidRDefault="00617090" w:rsidP="009E72CB">
            <w:pPr>
              <w:pStyle w:val="FSTableText"/>
              <w:rPr>
                <w:rFonts w:ascii="Times New Roman" w:hAnsi="Times New Roman"/>
                <w:sz w:val="24"/>
                <w:lang w:val="en-AU" w:eastAsia="en-AU" w:bidi="ar-SA"/>
              </w:rPr>
            </w:pPr>
            <w:r w:rsidRPr="00617090">
              <w:rPr>
                <w:lang w:eastAsia="en-AU" w:bidi="ar-SA"/>
              </w:rPr>
              <w:t>100% energy requirements</w:t>
            </w:r>
            <w:r w:rsidRPr="0091332B">
              <w:rPr>
                <w:szCs w:val="16"/>
                <w:vertAlign w:val="superscript"/>
                <w:lang w:eastAsia="en-AU" w:bidi="ar-SA"/>
              </w:rPr>
              <w:t>3</w:t>
            </w:r>
            <w:r w:rsidRPr="00617090">
              <w:rPr>
                <w:sz w:val="16"/>
                <w:szCs w:val="16"/>
                <w:lang w:val="en-AU" w:eastAsia="en-AU" w:bidi="ar-SA"/>
              </w:rPr>
              <w:t> </w:t>
            </w:r>
          </w:p>
        </w:tc>
        <w:tc>
          <w:tcPr>
            <w:tcW w:w="1448" w:type="dxa"/>
            <w:tcBorders>
              <w:top w:val="nil"/>
              <w:left w:val="nil"/>
              <w:bottom w:val="nil"/>
              <w:right w:val="nil"/>
            </w:tcBorders>
            <w:shd w:val="clear" w:color="auto" w:fill="auto"/>
            <w:hideMark/>
          </w:tcPr>
          <w:p w14:paraId="7DE1FC35" w14:textId="2827FB0E" w:rsidR="00617090" w:rsidRPr="00617090" w:rsidRDefault="76CBC634" w:rsidP="009E72CB">
            <w:pPr>
              <w:pStyle w:val="FSTableText"/>
              <w:rPr>
                <w:rFonts w:ascii="Times New Roman" w:hAnsi="Times New Roman"/>
                <w:sz w:val="24"/>
                <w:lang w:val="en-AU" w:eastAsia="en-AU" w:bidi="ar-SA"/>
              </w:rPr>
            </w:pPr>
            <w:r w:rsidRPr="2275DB76">
              <w:rPr>
                <w:lang w:eastAsia="en-AU" w:bidi="ar-SA"/>
              </w:rPr>
              <w:t>kJ</w:t>
            </w:r>
            <w:r w:rsidR="09B886AD" w:rsidRPr="2275DB76">
              <w:rPr>
                <w:lang w:eastAsia="en-AU" w:bidi="ar-SA"/>
              </w:rPr>
              <w:t>/day</w:t>
            </w:r>
            <w:r w:rsidR="09B886AD" w:rsidRPr="2275DB76">
              <w:rPr>
                <w:lang w:val="en-AU" w:eastAsia="en-AU" w:bidi="ar-SA"/>
              </w:rPr>
              <w:t> </w:t>
            </w:r>
          </w:p>
        </w:tc>
        <w:tc>
          <w:tcPr>
            <w:tcW w:w="2235" w:type="dxa"/>
            <w:tcBorders>
              <w:top w:val="nil"/>
              <w:left w:val="nil"/>
              <w:bottom w:val="nil"/>
              <w:right w:val="nil"/>
            </w:tcBorders>
            <w:shd w:val="clear" w:color="auto" w:fill="auto"/>
            <w:hideMark/>
          </w:tcPr>
          <w:p w14:paraId="619577E9" w14:textId="41CAD531" w:rsidR="00617090" w:rsidRPr="00617090" w:rsidRDefault="00617090" w:rsidP="000E6907">
            <w:pPr>
              <w:pStyle w:val="FSTableText"/>
              <w:tabs>
                <w:tab w:val="decimal" w:pos="1672"/>
              </w:tabs>
              <w:rPr>
                <w:rFonts w:ascii="Times New Roman" w:hAnsi="Times New Roman"/>
                <w:sz w:val="24"/>
                <w:lang w:val="en-AU" w:eastAsia="en-AU" w:bidi="ar-SA"/>
              </w:rPr>
            </w:pPr>
            <w:r w:rsidRPr="00617090">
              <w:rPr>
                <w:lang w:eastAsia="en-AU" w:bidi="ar-SA"/>
              </w:rPr>
              <w:t>2195</w:t>
            </w:r>
          </w:p>
        </w:tc>
        <w:tc>
          <w:tcPr>
            <w:tcW w:w="2235" w:type="dxa"/>
            <w:tcBorders>
              <w:top w:val="nil"/>
              <w:left w:val="nil"/>
              <w:bottom w:val="nil"/>
              <w:right w:val="nil"/>
            </w:tcBorders>
            <w:shd w:val="clear" w:color="auto" w:fill="auto"/>
            <w:hideMark/>
          </w:tcPr>
          <w:p w14:paraId="3E260CD2" w14:textId="2EDACC66" w:rsidR="00617090" w:rsidRPr="00617090" w:rsidRDefault="00617090" w:rsidP="000E6907">
            <w:pPr>
              <w:pStyle w:val="FSTableText"/>
              <w:tabs>
                <w:tab w:val="decimal" w:pos="1563"/>
              </w:tabs>
              <w:rPr>
                <w:rFonts w:ascii="Times New Roman" w:hAnsi="Times New Roman"/>
                <w:sz w:val="24"/>
                <w:lang w:val="en-AU" w:eastAsia="en-AU" w:bidi="ar-SA"/>
              </w:rPr>
            </w:pPr>
            <w:proofErr w:type="spellStart"/>
            <w:r w:rsidRPr="00617090">
              <w:rPr>
                <w:lang w:eastAsia="en-AU" w:bidi="ar-SA"/>
              </w:rPr>
              <w:t>na</w:t>
            </w:r>
            <w:proofErr w:type="spellEnd"/>
          </w:p>
        </w:tc>
      </w:tr>
      <w:tr w:rsidR="00617090" w:rsidRPr="00617090" w14:paraId="3CFA36B8" w14:textId="77777777" w:rsidTr="2275DB76">
        <w:trPr>
          <w:trHeight w:val="360"/>
        </w:trPr>
        <w:tc>
          <w:tcPr>
            <w:tcW w:w="2977" w:type="dxa"/>
            <w:tcBorders>
              <w:top w:val="nil"/>
              <w:left w:val="nil"/>
              <w:bottom w:val="nil"/>
              <w:right w:val="nil"/>
            </w:tcBorders>
            <w:shd w:val="clear" w:color="auto" w:fill="ECECEC"/>
            <w:hideMark/>
          </w:tcPr>
          <w:p w14:paraId="65C251C5" w14:textId="77777777" w:rsidR="00617090" w:rsidRPr="00617090" w:rsidRDefault="00617090" w:rsidP="009E72CB">
            <w:pPr>
              <w:pStyle w:val="FSTableText"/>
              <w:rPr>
                <w:rFonts w:ascii="Times New Roman" w:hAnsi="Times New Roman"/>
                <w:sz w:val="24"/>
                <w:lang w:val="en-AU" w:eastAsia="en-AU" w:bidi="ar-SA"/>
              </w:rPr>
            </w:pPr>
            <w:r w:rsidRPr="00617090">
              <w:rPr>
                <w:lang w:eastAsia="en-AU" w:bidi="ar-SA"/>
              </w:rPr>
              <w:t>50% energy requirements</w:t>
            </w:r>
            <w:r w:rsidRPr="0091332B">
              <w:rPr>
                <w:szCs w:val="16"/>
                <w:vertAlign w:val="superscript"/>
                <w:lang w:eastAsia="en-AU" w:bidi="ar-SA"/>
              </w:rPr>
              <w:t>3</w:t>
            </w:r>
            <w:r w:rsidRPr="00617090">
              <w:rPr>
                <w:sz w:val="16"/>
                <w:szCs w:val="16"/>
                <w:lang w:val="en-AU" w:eastAsia="en-AU" w:bidi="ar-SA"/>
              </w:rPr>
              <w:t> </w:t>
            </w:r>
          </w:p>
        </w:tc>
        <w:tc>
          <w:tcPr>
            <w:tcW w:w="1448" w:type="dxa"/>
            <w:tcBorders>
              <w:top w:val="nil"/>
              <w:left w:val="nil"/>
              <w:bottom w:val="nil"/>
              <w:right w:val="nil"/>
            </w:tcBorders>
            <w:shd w:val="clear" w:color="auto" w:fill="ECECEC"/>
            <w:hideMark/>
          </w:tcPr>
          <w:p w14:paraId="6AC7DD1D" w14:textId="6A7F8620" w:rsidR="00617090" w:rsidRPr="00617090" w:rsidRDefault="35F86074" w:rsidP="009E72CB">
            <w:pPr>
              <w:pStyle w:val="FSTableText"/>
              <w:rPr>
                <w:rFonts w:ascii="Times New Roman" w:hAnsi="Times New Roman"/>
                <w:sz w:val="24"/>
                <w:lang w:val="en-AU" w:eastAsia="en-AU" w:bidi="ar-SA"/>
              </w:rPr>
            </w:pPr>
            <w:r w:rsidRPr="2275DB76">
              <w:rPr>
                <w:lang w:val="en-AU" w:eastAsia="en-AU" w:bidi="ar-SA"/>
              </w:rPr>
              <w:t>kJ/day</w:t>
            </w:r>
          </w:p>
        </w:tc>
        <w:tc>
          <w:tcPr>
            <w:tcW w:w="2235" w:type="dxa"/>
            <w:tcBorders>
              <w:top w:val="nil"/>
              <w:left w:val="nil"/>
              <w:bottom w:val="nil"/>
              <w:right w:val="nil"/>
            </w:tcBorders>
            <w:shd w:val="clear" w:color="auto" w:fill="ECECEC"/>
            <w:hideMark/>
          </w:tcPr>
          <w:p w14:paraId="107A869E" w14:textId="1D61963D" w:rsidR="00617090" w:rsidRPr="00617090" w:rsidRDefault="00617090" w:rsidP="000E6907">
            <w:pPr>
              <w:pStyle w:val="FSTableText"/>
              <w:tabs>
                <w:tab w:val="decimal" w:pos="1672"/>
              </w:tabs>
              <w:rPr>
                <w:rFonts w:ascii="Times New Roman" w:hAnsi="Times New Roman"/>
                <w:sz w:val="24"/>
                <w:lang w:val="en-AU" w:eastAsia="en-AU" w:bidi="ar-SA"/>
              </w:rPr>
            </w:pPr>
            <w:proofErr w:type="spellStart"/>
            <w:r w:rsidRPr="00617090">
              <w:rPr>
                <w:lang w:eastAsia="en-AU" w:bidi="ar-SA"/>
              </w:rPr>
              <w:t>na</w:t>
            </w:r>
            <w:proofErr w:type="spellEnd"/>
          </w:p>
        </w:tc>
        <w:tc>
          <w:tcPr>
            <w:tcW w:w="2235" w:type="dxa"/>
            <w:tcBorders>
              <w:top w:val="nil"/>
              <w:left w:val="nil"/>
              <w:bottom w:val="nil"/>
              <w:right w:val="nil"/>
            </w:tcBorders>
            <w:shd w:val="clear" w:color="auto" w:fill="ECECEC"/>
            <w:hideMark/>
          </w:tcPr>
          <w:p w14:paraId="478B1039" w14:textId="1AE0305C" w:rsidR="00617090" w:rsidRPr="00617090" w:rsidRDefault="00617090" w:rsidP="000E6907">
            <w:pPr>
              <w:pStyle w:val="FSTableText"/>
              <w:tabs>
                <w:tab w:val="decimal" w:pos="1563"/>
              </w:tabs>
              <w:rPr>
                <w:rFonts w:ascii="Times New Roman" w:hAnsi="Times New Roman"/>
                <w:sz w:val="24"/>
                <w:lang w:val="en-AU" w:eastAsia="en-AU" w:bidi="ar-SA"/>
              </w:rPr>
            </w:pPr>
            <w:r w:rsidRPr="00617090">
              <w:rPr>
                <w:lang w:eastAsia="en-AU" w:bidi="ar-SA"/>
              </w:rPr>
              <w:t>1469</w:t>
            </w:r>
          </w:p>
        </w:tc>
      </w:tr>
      <w:tr w:rsidR="00617090" w:rsidRPr="00617090" w14:paraId="0652FEE8" w14:textId="77777777" w:rsidTr="2275DB76">
        <w:trPr>
          <w:trHeight w:val="270"/>
        </w:trPr>
        <w:tc>
          <w:tcPr>
            <w:tcW w:w="2977" w:type="dxa"/>
            <w:vMerge w:val="restart"/>
            <w:tcBorders>
              <w:top w:val="nil"/>
              <w:left w:val="nil"/>
              <w:bottom w:val="nil"/>
              <w:right w:val="nil"/>
            </w:tcBorders>
            <w:shd w:val="clear" w:color="auto" w:fill="auto"/>
            <w:hideMark/>
          </w:tcPr>
          <w:p w14:paraId="66120CC7" w14:textId="77777777" w:rsidR="00617090" w:rsidRPr="00617090" w:rsidRDefault="00617090" w:rsidP="009E72CB">
            <w:pPr>
              <w:pStyle w:val="FSTableText"/>
              <w:rPr>
                <w:rFonts w:ascii="Times New Roman" w:hAnsi="Times New Roman"/>
                <w:sz w:val="24"/>
                <w:lang w:val="en-AU" w:eastAsia="en-AU" w:bidi="ar-SA"/>
              </w:rPr>
            </w:pPr>
            <w:r w:rsidRPr="00617090">
              <w:rPr>
                <w:lang w:eastAsia="en-AU" w:bidi="ar-SA"/>
              </w:rPr>
              <w:t xml:space="preserve">Mean dietary intake of </w:t>
            </w:r>
            <w:proofErr w:type="spellStart"/>
            <w:r w:rsidRPr="00617090">
              <w:rPr>
                <w:lang w:eastAsia="en-AU" w:bidi="ar-SA"/>
              </w:rPr>
              <w:t>bLf</w:t>
            </w:r>
            <w:proofErr w:type="spellEnd"/>
            <w:r w:rsidRPr="00617090">
              <w:rPr>
                <w:lang w:eastAsia="en-AU" w:bidi="ar-SA"/>
              </w:rPr>
              <w:t xml:space="preserve"> from infant/follow-on formula</w:t>
            </w:r>
            <w:r w:rsidRPr="0091332B">
              <w:rPr>
                <w:szCs w:val="16"/>
                <w:vertAlign w:val="superscript"/>
                <w:lang w:eastAsia="en-AU" w:bidi="ar-SA"/>
              </w:rPr>
              <w:t>4</w:t>
            </w:r>
            <w:r w:rsidRPr="00617090">
              <w:rPr>
                <w:sz w:val="16"/>
                <w:szCs w:val="16"/>
                <w:lang w:val="en-AU" w:eastAsia="en-AU" w:bidi="ar-SA"/>
              </w:rPr>
              <w:t> </w:t>
            </w:r>
          </w:p>
        </w:tc>
        <w:tc>
          <w:tcPr>
            <w:tcW w:w="1448" w:type="dxa"/>
            <w:tcBorders>
              <w:top w:val="nil"/>
              <w:left w:val="nil"/>
              <w:bottom w:val="nil"/>
              <w:right w:val="nil"/>
            </w:tcBorders>
            <w:shd w:val="clear" w:color="auto" w:fill="auto"/>
            <w:hideMark/>
          </w:tcPr>
          <w:p w14:paraId="5D8129A0" w14:textId="25288A9E" w:rsidR="00617090" w:rsidRPr="00617090" w:rsidRDefault="3AF1C6C2" w:rsidP="009E72CB">
            <w:pPr>
              <w:pStyle w:val="FSTableText"/>
              <w:rPr>
                <w:rFonts w:ascii="Times New Roman" w:hAnsi="Times New Roman"/>
                <w:sz w:val="24"/>
                <w:lang w:val="en-AU" w:eastAsia="en-AU" w:bidi="ar-SA"/>
              </w:rPr>
            </w:pPr>
            <w:r w:rsidRPr="2275DB76">
              <w:rPr>
                <w:lang w:eastAsia="en-AU" w:bidi="ar-SA"/>
              </w:rPr>
              <w:t>m</w:t>
            </w:r>
            <w:r w:rsidR="09B886AD" w:rsidRPr="2275DB76">
              <w:rPr>
                <w:lang w:eastAsia="en-AU" w:bidi="ar-SA"/>
              </w:rPr>
              <w:t>g/day</w:t>
            </w:r>
            <w:r w:rsidR="09B886AD" w:rsidRPr="2275DB76">
              <w:rPr>
                <w:lang w:val="en-AU" w:eastAsia="en-AU" w:bidi="ar-SA"/>
              </w:rPr>
              <w:t> </w:t>
            </w:r>
          </w:p>
        </w:tc>
        <w:tc>
          <w:tcPr>
            <w:tcW w:w="2235" w:type="dxa"/>
            <w:tcBorders>
              <w:top w:val="nil"/>
              <w:left w:val="nil"/>
              <w:bottom w:val="nil"/>
              <w:right w:val="nil"/>
            </w:tcBorders>
            <w:shd w:val="clear" w:color="auto" w:fill="auto"/>
            <w:hideMark/>
          </w:tcPr>
          <w:p w14:paraId="3F26B837" w14:textId="43CD690B" w:rsidR="00617090" w:rsidRPr="00617090" w:rsidRDefault="6542D8B3" w:rsidP="000E6907">
            <w:pPr>
              <w:pStyle w:val="FSTableText"/>
              <w:tabs>
                <w:tab w:val="decimal" w:pos="1672"/>
              </w:tabs>
              <w:rPr>
                <w:rFonts w:ascii="Times New Roman" w:hAnsi="Times New Roman"/>
                <w:sz w:val="24"/>
                <w:lang w:val="en-AU" w:eastAsia="en-AU" w:bidi="ar-SA"/>
              </w:rPr>
            </w:pPr>
            <w:r w:rsidRPr="2275DB76">
              <w:rPr>
                <w:lang w:eastAsia="en-AU" w:bidi="ar-SA"/>
              </w:rPr>
              <w:t>878</w:t>
            </w:r>
          </w:p>
        </w:tc>
        <w:tc>
          <w:tcPr>
            <w:tcW w:w="2235" w:type="dxa"/>
            <w:tcBorders>
              <w:top w:val="nil"/>
              <w:left w:val="nil"/>
              <w:bottom w:val="nil"/>
              <w:right w:val="nil"/>
            </w:tcBorders>
            <w:shd w:val="clear" w:color="auto" w:fill="auto"/>
            <w:hideMark/>
          </w:tcPr>
          <w:p w14:paraId="4B75EEB2" w14:textId="38094E9D" w:rsidR="00617090" w:rsidRPr="00617090" w:rsidRDefault="7F8041EA" w:rsidP="000E6907">
            <w:pPr>
              <w:pStyle w:val="FSTableText"/>
              <w:tabs>
                <w:tab w:val="decimal" w:pos="1563"/>
              </w:tabs>
              <w:rPr>
                <w:szCs w:val="22"/>
                <w:lang w:val="en-AU"/>
              </w:rPr>
            </w:pPr>
            <w:r w:rsidRPr="2275DB76">
              <w:rPr>
                <w:lang w:eastAsia="en-AU" w:bidi="ar-SA"/>
              </w:rPr>
              <w:t>587</w:t>
            </w:r>
          </w:p>
        </w:tc>
      </w:tr>
      <w:tr w:rsidR="00617090" w:rsidRPr="00617090" w14:paraId="1714D170" w14:textId="77777777" w:rsidTr="2275DB76">
        <w:trPr>
          <w:trHeight w:val="345"/>
        </w:trPr>
        <w:tc>
          <w:tcPr>
            <w:tcW w:w="2977" w:type="dxa"/>
            <w:vMerge/>
            <w:vAlign w:val="center"/>
            <w:hideMark/>
          </w:tcPr>
          <w:p w14:paraId="3909AE66" w14:textId="77777777" w:rsidR="00617090" w:rsidRPr="00617090" w:rsidRDefault="00617090" w:rsidP="009E72CB">
            <w:pPr>
              <w:pStyle w:val="FSTableText"/>
              <w:rPr>
                <w:rFonts w:ascii="Times New Roman" w:hAnsi="Times New Roman"/>
                <w:sz w:val="24"/>
                <w:lang w:val="en-AU" w:eastAsia="en-AU" w:bidi="ar-SA"/>
              </w:rPr>
            </w:pPr>
          </w:p>
        </w:tc>
        <w:tc>
          <w:tcPr>
            <w:tcW w:w="1448" w:type="dxa"/>
            <w:tcBorders>
              <w:top w:val="nil"/>
              <w:left w:val="nil"/>
              <w:bottom w:val="nil"/>
              <w:right w:val="nil"/>
            </w:tcBorders>
            <w:shd w:val="clear" w:color="auto" w:fill="auto"/>
            <w:hideMark/>
          </w:tcPr>
          <w:p w14:paraId="437447A9" w14:textId="7A55AE41" w:rsidR="00617090" w:rsidRPr="00617090" w:rsidRDefault="38F2E95E" w:rsidP="009E72CB">
            <w:pPr>
              <w:pStyle w:val="FSTableText"/>
              <w:rPr>
                <w:rFonts w:ascii="Times New Roman" w:hAnsi="Times New Roman"/>
                <w:sz w:val="24"/>
                <w:lang w:val="en-AU" w:eastAsia="en-AU" w:bidi="ar-SA"/>
              </w:rPr>
            </w:pPr>
            <w:r w:rsidRPr="2275DB76">
              <w:rPr>
                <w:lang w:eastAsia="en-AU" w:bidi="ar-SA"/>
              </w:rPr>
              <w:t>m</w:t>
            </w:r>
            <w:r w:rsidR="09B886AD" w:rsidRPr="2275DB76">
              <w:rPr>
                <w:lang w:eastAsia="en-AU" w:bidi="ar-SA"/>
              </w:rPr>
              <w:t xml:space="preserve">g/kg </w:t>
            </w:r>
            <w:proofErr w:type="spellStart"/>
            <w:r w:rsidR="09B886AD" w:rsidRPr="2275DB76">
              <w:rPr>
                <w:lang w:eastAsia="en-AU" w:bidi="ar-SA"/>
              </w:rPr>
              <w:t>bw</w:t>
            </w:r>
            <w:proofErr w:type="spellEnd"/>
            <w:r w:rsidR="09B886AD" w:rsidRPr="2275DB76">
              <w:rPr>
                <w:lang w:eastAsia="en-AU" w:bidi="ar-SA"/>
              </w:rPr>
              <w:t>/day</w:t>
            </w:r>
            <w:r w:rsidR="09B886AD" w:rsidRPr="2275DB76">
              <w:rPr>
                <w:lang w:val="en-AU" w:eastAsia="en-AU" w:bidi="ar-SA"/>
              </w:rPr>
              <w:t> </w:t>
            </w:r>
          </w:p>
        </w:tc>
        <w:tc>
          <w:tcPr>
            <w:tcW w:w="2235" w:type="dxa"/>
            <w:tcBorders>
              <w:top w:val="nil"/>
              <w:left w:val="nil"/>
              <w:bottom w:val="nil"/>
              <w:right w:val="nil"/>
            </w:tcBorders>
            <w:shd w:val="clear" w:color="auto" w:fill="auto"/>
            <w:hideMark/>
          </w:tcPr>
          <w:p w14:paraId="5EEDF89B" w14:textId="7C9079FA" w:rsidR="00617090" w:rsidRPr="00617090" w:rsidRDefault="0C28C5AD" w:rsidP="000E6907">
            <w:pPr>
              <w:pStyle w:val="FSTableText"/>
              <w:tabs>
                <w:tab w:val="decimal" w:pos="1672"/>
              </w:tabs>
              <w:rPr>
                <w:szCs w:val="22"/>
                <w:lang w:val="en-AU"/>
              </w:rPr>
            </w:pPr>
            <w:r w:rsidRPr="2275DB76">
              <w:rPr>
                <w:lang w:eastAsia="en-AU" w:bidi="ar-SA"/>
              </w:rPr>
              <w:t>137</w:t>
            </w:r>
          </w:p>
        </w:tc>
        <w:tc>
          <w:tcPr>
            <w:tcW w:w="2235" w:type="dxa"/>
            <w:tcBorders>
              <w:top w:val="nil"/>
              <w:left w:val="nil"/>
              <w:bottom w:val="nil"/>
              <w:right w:val="nil"/>
            </w:tcBorders>
            <w:shd w:val="clear" w:color="auto" w:fill="auto"/>
            <w:hideMark/>
          </w:tcPr>
          <w:p w14:paraId="6A6746D2" w14:textId="25AC01F4" w:rsidR="00617090" w:rsidRPr="00617090" w:rsidRDefault="5D45E406" w:rsidP="000E6907">
            <w:pPr>
              <w:pStyle w:val="FSTableText"/>
              <w:tabs>
                <w:tab w:val="decimal" w:pos="1563"/>
              </w:tabs>
              <w:rPr>
                <w:rFonts w:ascii="Times New Roman" w:hAnsi="Times New Roman"/>
                <w:sz w:val="24"/>
                <w:lang w:val="en-AU" w:eastAsia="en-AU" w:bidi="ar-SA"/>
              </w:rPr>
            </w:pPr>
            <w:r w:rsidRPr="2275DB76">
              <w:rPr>
                <w:lang w:eastAsia="en-AU" w:bidi="ar-SA"/>
              </w:rPr>
              <w:t>66</w:t>
            </w:r>
          </w:p>
        </w:tc>
      </w:tr>
      <w:tr w:rsidR="00617090" w:rsidRPr="00617090" w14:paraId="445E6EF1" w14:textId="77777777" w:rsidTr="2275DB76">
        <w:trPr>
          <w:trHeight w:val="270"/>
        </w:trPr>
        <w:tc>
          <w:tcPr>
            <w:tcW w:w="2977" w:type="dxa"/>
            <w:vMerge w:val="restart"/>
            <w:tcBorders>
              <w:top w:val="nil"/>
              <w:left w:val="nil"/>
              <w:bottom w:val="single" w:sz="6" w:space="0" w:color="F3F3F3"/>
              <w:right w:val="nil"/>
            </w:tcBorders>
            <w:shd w:val="clear" w:color="auto" w:fill="D9D9D9" w:themeFill="background1" w:themeFillShade="D9"/>
            <w:hideMark/>
          </w:tcPr>
          <w:p w14:paraId="14B385CA" w14:textId="77777777" w:rsidR="00617090" w:rsidRPr="00617090" w:rsidRDefault="00617090" w:rsidP="009E72CB">
            <w:pPr>
              <w:pStyle w:val="FSTableText"/>
              <w:rPr>
                <w:rFonts w:ascii="Times New Roman" w:hAnsi="Times New Roman"/>
                <w:sz w:val="24"/>
                <w:lang w:val="en-AU" w:eastAsia="en-AU" w:bidi="ar-SA"/>
              </w:rPr>
            </w:pPr>
            <w:r w:rsidRPr="00617090">
              <w:rPr>
                <w:lang w:eastAsia="en-AU" w:bidi="ar-SA"/>
              </w:rPr>
              <w:t xml:space="preserve">P90 dietary intake </w:t>
            </w:r>
            <w:proofErr w:type="spellStart"/>
            <w:r w:rsidRPr="00617090">
              <w:rPr>
                <w:lang w:eastAsia="en-AU" w:bidi="ar-SA"/>
              </w:rPr>
              <w:t>bLF</w:t>
            </w:r>
            <w:proofErr w:type="spellEnd"/>
            <w:r w:rsidRPr="00617090">
              <w:rPr>
                <w:lang w:eastAsia="en-AU" w:bidi="ar-SA"/>
              </w:rPr>
              <w:t xml:space="preserve"> from infant/follow-on formula</w:t>
            </w:r>
            <w:r w:rsidRPr="0091332B">
              <w:rPr>
                <w:szCs w:val="16"/>
                <w:vertAlign w:val="superscript"/>
                <w:lang w:eastAsia="en-AU" w:bidi="ar-SA"/>
              </w:rPr>
              <w:t>4</w:t>
            </w:r>
            <w:r w:rsidRPr="00617090">
              <w:rPr>
                <w:sz w:val="16"/>
                <w:szCs w:val="16"/>
                <w:lang w:val="en-AU" w:eastAsia="en-AU" w:bidi="ar-SA"/>
              </w:rPr>
              <w:t> </w:t>
            </w:r>
          </w:p>
        </w:tc>
        <w:tc>
          <w:tcPr>
            <w:tcW w:w="1448" w:type="dxa"/>
            <w:tcBorders>
              <w:top w:val="nil"/>
              <w:left w:val="nil"/>
              <w:bottom w:val="nil"/>
              <w:right w:val="nil"/>
            </w:tcBorders>
            <w:shd w:val="clear" w:color="auto" w:fill="D9D9D9" w:themeFill="background1" w:themeFillShade="D9"/>
            <w:hideMark/>
          </w:tcPr>
          <w:p w14:paraId="46205087" w14:textId="58BDAF71" w:rsidR="00617090" w:rsidRPr="00617090" w:rsidRDefault="734B68C3" w:rsidP="009E72CB">
            <w:pPr>
              <w:pStyle w:val="FSTableText"/>
              <w:rPr>
                <w:rFonts w:ascii="Times New Roman" w:hAnsi="Times New Roman"/>
                <w:sz w:val="24"/>
                <w:lang w:val="en-AU" w:eastAsia="en-AU" w:bidi="ar-SA"/>
              </w:rPr>
            </w:pPr>
            <w:r w:rsidRPr="2275DB76">
              <w:rPr>
                <w:lang w:eastAsia="en-AU" w:bidi="ar-SA"/>
              </w:rPr>
              <w:t>m</w:t>
            </w:r>
            <w:r w:rsidR="09B886AD" w:rsidRPr="2275DB76">
              <w:rPr>
                <w:lang w:eastAsia="en-AU" w:bidi="ar-SA"/>
              </w:rPr>
              <w:t>g/day</w:t>
            </w:r>
            <w:r w:rsidR="09B886AD" w:rsidRPr="2275DB76">
              <w:rPr>
                <w:lang w:val="en-AU" w:eastAsia="en-AU" w:bidi="ar-SA"/>
              </w:rPr>
              <w:t> </w:t>
            </w:r>
          </w:p>
        </w:tc>
        <w:tc>
          <w:tcPr>
            <w:tcW w:w="2235" w:type="dxa"/>
            <w:tcBorders>
              <w:top w:val="nil"/>
              <w:left w:val="nil"/>
              <w:bottom w:val="nil"/>
              <w:right w:val="nil"/>
            </w:tcBorders>
            <w:shd w:val="clear" w:color="auto" w:fill="D9D9D9" w:themeFill="background1" w:themeFillShade="D9"/>
            <w:hideMark/>
          </w:tcPr>
          <w:p w14:paraId="60BE2315" w14:textId="631A5FD5" w:rsidR="00617090" w:rsidRPr="00617090" w:rsidRDefault="44556889" w:rsidP="000E6907">
            <w:pPr>
              <w:pStyle w:val="FSTableText"/>
              <w:tabs>
                <w:tab w:val="decimal" w:pos="1672"/>
              </w:tabs>
              <w:rPr>
                <w:szCs w:val="22"/>
                <w:lang w:val="en-AU"/>
              </w:rPr>
            </w:pPr>
            <w:r w:rsidRPr="2275DB76">
              <w:rPr>
                <w:lang w:eastAsia="en-AU" w:bidi="ar-SA"/>
              </w:rPr>
              <w:t>1756</w:t>
            </w:r>
          </w:p>
        </w:tc>
        <w:tc>
          <w:tcPr>
            <w:tcW w:w="2235" w:type="dxa"/>
            <w:tcBorders>
              <w:top w:val="nil"/>
              <w:left w:val="nil"/>
              <w:bottom w:val="nil"/>
              <w:right w:val="nil"/>
            </w:tcBorders>
            <w:shd w:val="clear" w:color="auto" w:fill="D9D9D9" w:themeFill="background1" w:themeFillShade="D9"/>
            <w:hideMark/>
          </w:tcPr>
          <w:p w14:paraId="7954C6E0" w14:textId="52D3C0E3" w:rsidR="00617090" w:rsidRPr="00617090" w:rsidRDefault="2C695952" w:rsidP="000E6907">
            <w:pPr>
              <w:pStyle w:val="FSTableText"/>
              <w:tabs>
                <w:tab w:val="decimal" w:pos="1563"/>
              </w:tabs>
              <w:rPr>
                <w:rFonts w:ascii="Times New Roman" w:hAnsi="Times New Roman"/>
                <w:sz w:val="24"/>
                <w:lang w:val="en-AU" w:eastAsia="en-AU" w:bidi="ar-SA"/>
              </w:rPr>
            </w:pPr>
            <w:r w:rsidRPr="2275DB76">
              <w:rPr>
                <w:lang w:eastAsia="en-AU" w:bidi="ar-SA"/>
              </w:rPr>
              <w:t>1175</w:t>
            </w:r>
          </w:p>
        </w:tc>
      </w:tr>
      <w:tr w:rsidR="00617090" w:rsidRPr="00617090" w14:paraId="1713932A" w14:textId="77777777" w:rsidTr="2275DB76">
        <w:trPr>
          <w:trHeight w:val="330"/>
        </w:trPr>
        <w:tc>
          <w:tcPr>
            <w:tcW w:w="2977" w:type="dxa"/>
            <w:vMerge/>
            <w:vAlign w:val="center"/>
            <w:hideMark/>
          </w:tcPr>
          <w:p w14:paraId="75D2FF38" w14:textId="77777777" w:rsidR="00617090" w:rsidRPr="00617090" w:rsidRDefault="00617090" w:rsidP="009E72CB">
            <w:pPr>
              <w:pStyle w:val="FSTableText"/>
              <w:rPr>
                <w:rFonts w:ascii="Times New Roman" w:hAnsi="Times New Roman"/>
                <w:sz w:val="24"/>
                <w:lang w:val="en-AU" w:eastAsia="en-AU" w:bidi="ar-SA"/>
              </w:rPr>
            </w:pPr>
          </w:p>
        </w:tc>
        <w:tc>
          <w:tcPr>
            <w:tcW w:w="1448" w:type="dxa"/>
            <w:tcBorders>
              <w:top w:val="nil"/>
              <w:left w:val="nil"/>
              <w:bottom w:val="single" w:sz="6" w:space="0" w:color="F3F3F3"/>
              <w:right w:val="nil"/>
            </w:tcBorders>
            <w:shd w:val="clear" w:color="auto" w:fill="D9D9D9" w:themeFill="background1" w:themeFillShade="D9"/>
            <w:hideMark/>
          </w:tcPr>
          <w:p w14:paraId="3A960839" w14:textId="4CA579EE" w:rsidR="00617090" w:rsidRPr="00617090" w:rsidRDefault="1A5A919A" w:rsidP="009E72CB">
            <w:pPr>
              <w:pStyle w:val="FSTableText"/>
              <w:rPr>
                <w:rFonts w:ascii="Times New Roman" w:hAnsi="Times New Roman"/>
                <w:sz w:val="24"/>
                <w:lang w:val="en-AU" w:eastAsia="en-AU" w:bidi="ar-SA"/>
              </w:rPr>
            </w:pPr>
            <w:r w:rsidRPr="2275DB76">
              <w:rPr>
                <w:lang w:eastAsia="en-AU" w:bidi="ar-SA"/>
              </w:rPr>
              <w:t>m</w:t>
            </w:r>
            <w:r w:rsidR="09B886AD" w:rsidRPr="2275DB76">
              <w:rPr>
                <w:lang w:eastAsia="en-AU" w:bidi="ar-SA"/>
              </w:rPr>
              <w:t xml:space="preserve">g/kg </w:t>
            </w:r>
            <w:proofErr w:type="spellStart"/>
            <w:r w:rsidR="09B886AD" w:rsidRPr="2275DB76">
              <w:rPr>
                <w:lang w:eastAsia="en-AU" w:bidi="ar-SA"/>
              </w:rPr>
              <w:t>bw</w:t>
            </w:r>
            <w:proofErr w:type="spellEnd"/>
            <w:r w:rsidR="09B886AD" w:rsidRPr="2275DB76">
              <w:rPr>
                <w:lang w:eastAsia="en-AU" w:bidi="ar-SA"/>
              </w:rPr>
              <w:t>/day</w:t>
            </w:r>
            <w:r w:rsidR="09B886AD" w:rsidRPr="2275DB76">
              <w:rPr>
                <w:lang w:val="en-AU" w:eastAsia="en-AU" w:bidi="ar-SA"/>
              </w:rPr>
              <w:t> </w:t>
            </w:r>
          </w:p>
        </w:tc>
        <w:tc>
          <w:tcPr>
            <w:tcW w:w="2235" w:type="dxa"/>
            <w:tcBorders>
              <w:top w:val="nil"/>
              <w:left w:val="nil"/>
              <w:bottom w:val="single" w:sz="6" w:space="0" w:color="F3F3F3"/>
              <w:right w:val="nil"/>
            </w:tcBorders>
            <w:shd w:val="clear" w:color="auto" w:fill="D9D9D9" w:themeFill="background1" w:themeFillShade="D9"/>
            <w:hideMark/>
          </w:tcPr>
          <w:p w14:paraId="28C6365E" w14:textId="4497A1AD" w:rsidR="00617090" w:rsidRPr="00617090" w:rsidRDefault="148267BF" w:rsidP="000E6907">
            <w:pPr>
              <w:pStyle w:val="FSTableText"/>
              <w:tabs>
                <w:tab w:val="decimal" w:pos="1672"/>
              </w:tabs>
              <w:rPr>
                <w:rFonts w:ascii="Times New Roman" w:hAnsi="Times New Roman"/>
                <w:sz w:val="24"/>
                <w:lang w:val="en-AU" w:eastAsia="en-AU" w:bidi="ar-SA"/>
              </w:rPr>
            </w:pPr>
            <w:r w:rsidRPr="2275DB76">
              <w:rPr>
                <w:lang w:eastAsia="en-AU" w:bidi="ar-SA"/>
              </w:rPr>
              <w:t>274</w:t>
            </w:r>
          </w:p>
        </w:tc>
        <w:tc>
          <w:tcPr>
            <w:tcW w:w="2235" w:type="dxa"/>
            <w:tcBorders>
              <w:top w:val="nil"/>
              <w:left w:val="nil"/>
              <w:bottom w:val="single" w:sz="6" w:space="0" w:color="F3F3F3"/>
              <w:right w:val="nil"/>
            </w:tcBorders>
            <w:shd w:val="clear" w:color="auto" w:fill="D9D9D9" w:themeFill="background1" w:themeFillShade="D9"/>
            <w:hideMark/>
          </w:tcPr>
          <w:p w14:paraId="57208ED0" w14:textId="0FBE1166" w:rsidR="00617090" w:rsidRPr="00617090" w:rsidRDefault="28B7ACA3" w:rsidP="000E6907">
            <w:pPr>
              <w:pStyle w:val="FSTableText"/>
              <w:tabs>
                <w:tab w:val="decimal" w:pos="1563"/>
              </w:tabs>
              <w:rPr>
                <w:rFonts w:ascii="Times New Roman" w:hAnsi="Times New Roman"/>
                <w:sz w:val="24"/>
                <w:lang w:val="en-AU" w:eastAsia="en-AU" w:bidi="ar-SA"/>
              </w:rPr>
            </w:pPr>
            <w:r w:rsidRPr="2275DB76">
              <w:rPr>
                <w:lang w:val="en-AU" w:eastAsia="en-AU" w:bidi="ar-SA"/>
              </w:rPr>
              <w:t>132</w:t>
            </w:r>
          </w:p>
        </w:tc>
      </w:tr>
    </w:tbl>
    <w:p w14:paraId="4F588DCB" w14:textId="07DA0754" w:rsidR="00617090" w:rsidRPr="0091332B" w:rsidRDefault="00617090" w:rsidP="0050585F">
      <w:pPr>
        <w:keepNext/>
        <w:keepLines/>
        <w:textAlignment w:val="baseline"/>
        <w:rPr>
          <w:rFonts w:cs="Arial"/>
          <w:sz w:val="16"/>
          <w:szCs w:val="16"/>
          <w:lang w:val="en-AU" w:eastAsia="en-AU" w:bidi="ar-SA"/>
        </w:rPr>
      </w:pPr>
      <w:r>
        <w:rPr>
          <w:rFonts w:cs="Arial"/>
          <w:sz w:val="16"/>
          <w:szCs w:val="16"/>
          <w:vertAlign w:val="superscript"/>
          <w:lang w:eastAsia="en-AU" w:bidi="ar-SA"/>
        </w:rPr>
        <w:t>1</w:t>
      </w:r>
      <w:r w:rsidRPr="00C51173">
        <w:rPr>
          <w:rFonts w:cs="Arial"/>
          <w:sz w:val="16"/>
          <w:szCs w:val="16"/>
          <w:vertAlign w:val="superscript"/>
          <w:lang w:eastAsia="en-AU" w:bidi="ar-SA"/>
        </w:rPr>
        <w:t xml:space="preserve"> </w:t>
      </w:r>
      <w:r w:rsidRPr="00617090">
        <w:rPr>
          <w:rFonts w:cs="Arial"/>
          <w:sz w:val="16"/>
          <w:szCs w:val="16"/>
          <w:lang w:eastAsia="en-AU" w:bidi="ar-SA"/>
        </w:rPr>
        <w:t>United Nations University et al. 2004.</w:t>
      </w:r>
      <w:r w:rsidRPr="00617090">
        <w:rPr>
          <w:rFonts w:cs="Arial"/>
          <w:b/>
          <w:bCs/>
          <w:i/>
          <w:iCs/>
          <w:sz w:val="16"/>
          <w:szCs w:val="16"/>
          <w:lang w:eastAsia="en-AU" w:bidi="ar-SA"/>
        </w:rPr>
        <w:t> </w:t>
      </w:r>
    </w:p>
    <w:p w14:paraId="1A12464F" w14:textId="58D023BB" w:rsidR="00617090" w:rsidRPr="0091332B" w:rsidRDefault="00617090" w:rsidP="0050585F">
      <w:pPr>
        <w:keepNext/>
        <w:keepLines/>
        <w:textAlignment w:val="baseline"/>
        <w:rPr>
          <w:rFonts w:cs="Arial"/>
          <w:sz w:val="16"/>
          <w:szCs w:val="16"/>
          <w:lang w:val="en-AU" w:eastAsia="en-AU" w:bidi="ar-SA"/>
        </w:rPr>
      </w:pPr>
      <w:r w:rsidRPr="0091332B">
        <w:rPr>
          <w:rFonts w:cs="Arial"/>
          <w:sz w:val="16"/>
          <w:szCs w:val="16"/>
          <w:vertAlign w:val="superscript"/>
          <w:lang w:val="en-AU" w:eastAsia="en-AU" w:bidi="ar-SA"/>
        </w:rPr>
        <w:t xml:space="preserve">2 </w:t>
      </w:r>
      <w:r w:rsidRPr="00617090">
        <w:rPr>
          <w:rFonts w:cs="Arial"/>
          <w:sz w:val="16"/>
          <w:szCs w:val="16"/>
          <w:lang w:eastAsia="en-AU" w:bidi="ar-SA"/>
        </w:rPr>
        <w:t>World Health Organization 2006.</w:t>
      </w:r>
      <w:r w:rsidRPr="00617090">
        <w:rPr>
          <w:rFonts w:cs="Arial"/>
          <w:b/>
          <w:bCs/>
          <w:i/>
          <w:iCs/>
          <w:sz w:val="16"/>
          <w:szCs w:val="16"/>
          <w:lang w:eastAsia="en-AU" w:bidi="ar-SA"/>
        </w:rPr>
        <w:t> </w:t>
      </w:r>
    </w:p>
    <w:p w14:paraId="4A201433" w14:textId="14A0BE0B" w:rsidR="00617090" w:rsidRPr="0091332B" w:rsidRDefault="00617090" w:rsidP="0050585F">
      <w:pPr>
        <w:keepNext/>
        <w:keepLines/>
        <w:textAlignment w:val="baseline"/>
        <w:rPr>
          <w:rFonts w:cs="Arial"/>
          <w:sz w:val="16"/>
          <w:szCs w:val="16"/>
          <w:lang w:val="en-AU" w:eastAsia="en-AU" w:bidi="ar-SA"/>
        </w:rPr>
      </w:pPr>
      <w:r w:rsidRPr="0091332B">
        <w:rPr>
          <w:rFonts w:cs="Arial"/>
          <w:sz w:val="16"/>
          <w:szCs w:val="16"/>
          <w:vertAlign w:val="superscript"/>
          <w:lang w:val="en-AU" w:eastAsia="en-AU" w:bidi="ar-SA"/>
        </w:rPr>
        <w:t>3</w:t>
      </w:r>
      <w:r w:rsidRPr="0091332B">
        <w:rPr>
          <w:rFonts w:cs="Arial"/>
          <w:sz w:val="16"/>
          <w:szCs w:val="16"/>
          <w:lang w:val="en-AU" w:eastAsia="en-AU" w:bidi="ar-SA"/>
        </w:rPr>
        <w:t xml:space="preserve"> </w:t>
      </w:r>
      <w:r w:rsidRPr="1C95CCE8">
        <w:rPr>
          <w:rFonts w:cs="Arial"/>
          <w:sz w:val="16"/>
          <w:szCs w:val="16"/>
          <w:lang w:eastAsia="en-AU" w:bidi="ar-SA"/>
        </w:rPr>
        <w:t>Energy content of infant/follow-on formula is 264 kJ/100 g (FSANZ 2016).</w:t>
      </w:r>
    </w:p>
    <w:p w14:paraId="5C7B7698" w14:textId="6DEDCC76" w:rsidR="00617090" w:rsidRPr="0091332B" w:rsidRDefault="00617090" w:rsidP="00C3280B">
      <w:pPr>
        <w:keepNext/>
        <w:keepLines/>
        <w:textAlignment w:val="baseline"/>
        <w:rPr>
          <w:rFonts w:cs="Arial"/>
          <w:sz w:val="16"/>
          <w:szCs w:val="16"/>
          <w:lang w:val="en-AU" w:eastAsia="en-AU" w:bidi="ar-SA"/>
        </w:rPr>
      </w:pPr>
      <w:r w:rsidRPr="0091332B">
        <w:rPr>
          <w:rFonts w:cs="Arial"/>
          <w:sz w:val="16"/>
          <w:szCs w:val="16"/>
          <w:vertAlign w:val="superscript"/>
          <w:lang w:val="en-AU" w:eastAsia="en-AU" w:bidi="ar-SA"/>
        </w:rPr>
        <w:t>4</w:t>
      </w:r>
      <w:r w:rsidRPr="0091332B">
        <w:rPr>
          <w:rFonts w:cs="Arial"/>
          <w:sz w:val="16"/>
          <w:szCs w:val="16"/>
          <w:lang w:val="en-AU" w:eastAsia="en-AU" w:bidi="ar-SA"/>
        </w:rPr>
        <w:t xml:space="preserve"> </w:t>
      </w:r>
      <w:r w:rsidRPr="1C95CCE8">
        <w:rPr>
          <w:rFonts w:cs="Arial"/>
          <w:sz w:val="16"/>
          <w:szCs w:val="16"/>
          <w:lang w:eastAsia="en-AU" w:bidi="ar-SA"/>
        </w:rPr>
        <w:t xml:space="preserve">The maximum concentration of </w:t>
      </w:r>
      <w:proofErr w:type="spellStart"/>
      <w:r w:rsidRPr="1C95CCE8">
        <w:rPr>
          <w:rFonts w:cs="Arial"/>
          <w:sz w:val="16"/>
          <w:szCs w:val="16"/>
          <w:lang w:eastAsia="en-AU" w:bidi="ar-SA"/>
        </w:rPr>
        <w:t>bLf</w:t>
      </w:r>
      <w:proofErr w:type="spellEnd"/>
      <w:r w:rsidRPr="1C95CCE8">
        <w:rPr>
          <w:rFonts w:cs="Arial"/>
          <w:sz w:val="16"/>
          <w:szCs w:val="16"/>
          <w:lang w:eastAsia="en-AU" w:bidi="ar-SA"/>
        </w:rPr>
        <w:t> in infant formula and follow-on formula is 40 mg/10</w:t>
      </w:r>
      <w:r w:rsidR="00C3280B">
        <w:rPr>
          <w:rFonts w:cs="Arial"/>
          <w:sz w:val="16"/>
          <w:szCs w:val="16"/>
          <w:lang w:eastAsia="en-AU" w:bidi="ar-SA"/>
        </w:rPr>
        <w:t>0 kJ</w:t>
      </w:r>
      <w:r w:rsidRPr="1C95CCE8">
        <w:rPr>
          <w:rFonts w:cs="Arial"/>
          <w:sz w:val="16"/>
          <w:szCs w:val="16"/>
          <w:lang w:eastAsia="en-AU" w:bidi="ar-SA"/>
        </w:rPr>
        <w:t>.</w:t>
      </w:r>
    </w:p>
    <w:p w14:paraId="07818CA0" w14:textId="27F92C31" w:rsidR="00617090" w:rsidRPr="00CA1B1A" w:rsidRDefault="00617090" w:rsidP="006406E3">
      <w:pPr>
        <w:pStyle w:val="Heading3"/>
        <w:rPr>
          <w:rFonts w:cs="Arial"/>
          <w:szCs w:val="22"/>
          <w:lang w:val="en-AU"/>
        </w:rPr>
      </w:pPr>
      <w:bookmarkStart w:id="88" w:name="_Toc111626701"/>
      <w:bookmarkStart w:id="89" w:name="_Toc112915011"/>
      <w:bookmarkStart w:id="90" w:name="_Toc113523058"/>
      <w:r w:rsidRPr="00617090">
        <w:t>3.</w:t>
      </w:r>
      <w:r w:rsidR="001D23BB">
        <w:t>3</w:t>
      </w:r>
      <w:r w:rsidRPr="00617090">
        <w:t>.</w:t>
      </w:r>
      <w:r w:rsidR="00912D35">
        <w:t>4</w:t>
      </w:r>
      <w:r w:rsidR="009B216C">
        <w:tab/>
      </w:r>
      <w:r w:rsidRPr="00CA1B1A">
        <w:rPr>
          <w:rFonts w:cs="Arial"/>
          <w:szCs w:val="22"/>
        </w:rPr>
        <w:t>Conclusion </w:t>
      </w:r>
      <w:bookmarkEnd w:id="88"/>
      <w:bookmarkEnd w:id="89"/>
      <w:bookmarkEnd w:id="90"/>
    </w:p>
    <w:p w14:paraId="5BAF6DFB" w14:textId="74978925" w:rsidR="00617090" w:rsidRDefault="09B886AD" w:rsidP="005B5A94">
      <w:pPr>
        <w:widowControl/>
        <w:textAlignment w:val="baseline"/>
        <w:rPr>
          <w:rFonts w:cs="Arial"/>
          <w:lang w:val="en-AU" w:eastAsia="en-AU" w:bidi="ar-SA"/>
        </w:rPr>
      </w:pPr>
      <w:r w:rsidRPr="29A90341">
        <w:rPr>
          <w:rFonts w:cs="Arial"/>
          <w:lang w:eastAsia="en-AU" w:bidi="ar-SA"/>
        </w:rPr>
        <w:t xml:space="preserve">Based on the maximum permitted </w:t>
      </w:r>
      <w:r w:rsidR="39EE05CA" w:rsidRPr="4B11D9F8">
        <w:rPr>
          <w:rFonts w:cs="Arial"/>
          <w:lang w:eastAsia="en-AU" w:bidi="ar-SA"/>
        </w:rPr>
        <w:t>amount</w:t>
      </w:r>
      <w:r w:rsidRPr="29A90341">
        <w:rPr>
          <w:rFonts w:cs="Arial"/>
          <w:lang w:eastAsia="en-AU" w:bidi="ar-SA"/>
        </w:rPr>
        <w:t xml:space="preserve"> proposed by the Applicant, the estimated mean and P90 intakes of </w:t>
      </w:r>
      <w:proofErr w:type="spellStart"/>
      <w:r w:rsidRPr="29A90341">
        <w:rPr>
          <w:rFonts w:cs="Arial"/>
          <w:lang w:eastAsia="en-AU" w:bidi="ar-SA"/>
        </w:rPr>
        <w:t>bLf</w:t>
      </w:r>
      <w:proofErr w:type="spellEnd"/>
      <w:r w:rsidRPr="29A90341">
        <w:rPr>
          <w:rFonts w:cs="Arial"/>
          <w:lang w:eastAsia="en-AU" w:bidi="ar-SA"/>
        </w:rPr>
        <w:t xml:space="preserve"> from infant formula and follow-on formula range between </w:t>
      </w:r>
      <w:r w:rsidR="665A1F32" w:rsidRPr="29A90341">
        <w:rPr>
          <w:rFonts w:cs="Arial"/>
          <w:lang w:eastAsia="en-AU" w:bidi="ar-SA"/>
        </w:rPr>
        <w:t>587</w:t>
      </w:r>
      <w:r w:rsidRPr="29A90341">
        <w:rPr>
          <w:rFonts w:cs="Arial"/>
          <w:lang w:eastAsia="en-AU" w:bidi="ar-SA"/>
        </w:rPr>
        <w:t xml:space="preserve"> and </w:t>
      </w:r>
      <w:r w:rsidR="7079DFF2" w:rsidRPr="29A90341">
        <w:rPr>
          <w:rFonts w:cs="Arial"/>
          <w:lang w:eastAsia="en-AU" w:bidi="ar-SA"/>
        </w:rPr>
        <w:t>1756</w:t>
      </w:r>
      <w:r w:rsidRPr="29A90341">
        <w:rPr>
          <w:rFonts w:cs="Arial"/>
          <w:lang w:eastAsia="en-AU" w:bidi="ar-SA"/>
        </w:rPr>
        <w:t> </w:t>
      </w:r>
      <w:r w:rsidR="49584184" w:rsidRPr="29A90341">
        <w:rPr>
          <w:rFonts w:cs="Arial"/>
          <w:lang w:eastAsia="en-AU" w:bidi="ar-SA"/>
        </w:rPr>
        <w:t>m</w:t>
      </w:r>
      <w:r w:rsidRPr="29A90341">
        <w:rPr>
          <w:rFonts w:cs="Arial"/>
          <w:lang w:eastAsia="en-AU" w:bidi="ar-SA"/>
        </w:rPr>
        <w:t>g/day.</w:t>
      </w:r>
      <w:r w:rsidR="5B018808" w:rsidRPr="29A90341">
        <w:rPr>
          <w:rFonts w:cs="Arial"/>
          <w:lang w:eastAsia="en-AU" w:bidi="ar-SA"/>
        </w:rPr>
        <w:t xml:space="preserve"> </w:t>
      </w:r>
      <w:r w:rsidRPr="29A90341">
        <w:rPr>
          <w:rFonts w:cs="Arial"/>
          <w:lang w:eastAsia="en-AU" w:bidi="ar-SA"/>
        </w:rPr>
        <w:t xml:space="preserve">These intakes are less than the estimated mean and P90 intakes of </w:t>
      </w:r>
      <w:proofErr w:type="spellStart"/>
      <w:r w:rsidRPr="29A90341">
        <w:rPr>
          <w:rFonts w:cs="Arial"/>
          <w:lang w:eastAsia="en-AU" w:bidi="ar-SA"/>
        </w:rPr>
        <w:t>hLf</w:t>
      </w:r>
      <w:proofErr w:type="spellEnd"/>
      <w:r w:rsidRPr="29A90341">
        <w:rPr>
          <w:rFonts w:cs="Arial"/>
          <w:lang w:eastAsia="en-AU" w:bidi="ar-SA"/>
        </w:rPr>
        <w:t xml:space="preserve"> from </w:t>
      </w:r>
      <w:r w:rsidR="00B95D7E">
        <w:rPr>
          <w:rFonts w:cs="Arial"/>
          <w:lang w:eastAsia="en-AU" w:bidi="ar-SA"/>
        </w:rPr>
        <w:t xml:space="preserve">mature </w:t>
      </w:r>
      <w:r w:rsidRPr="29A90341">
        <w:rPr>
          <w:rFonts w:cs="Arial"/>
          <w:lang w:eastAsia="en-AU" w:bidi="ar-SA"/>
        </w:rPr>
        <w:t xml:space="preserve">human milk </w:t>
      </w:r>
      <w:r w:rsidR="502947D4" w:rsidRPr="29A90341">
        <w:rPr>
          <w:rFonts w:cs="Arial"/>
          <w:lang w:eastAsia="en-AU" w:bidi="ar-SA"/>
        </w:rPr>
        <w:t xml:space="preserve">of </w:t>
      </w:r>
      <w:r w:rsidR="7FA7B59E" w:rsidRPr="29A90341">
        <w:rPr>
          <w:rFonts w:cs="Arial"/>
          <w:lang w:eastAsia="en-AU" w:bidi="ar-SA"/>
        </w:rPr>
        <w:t>65</w:t>
      </w:r>
      <w:r w:rsidR="001D52FA" w:rsidRPr="29A90341">
        <w:rPr>
          <w:rFonts w:cs="Arial"/>
          <w:lang w:eastAsia="en-AU" w:bidi="ar-SA"/>
        </w:rPr>
        <w:t>6</w:t>
      </w:r>
      <w:r w:rsidRPr="29A90341">
        <w:rPr>
          <w:rFonts w:cs="Arial"/>
          <w:lang w:eastAsia="en-AU" w:bidi="ar-SA"/>
        </w:rPr>
        <w:t xml:space="preserve"> to </w:t>
      </w:r>
      <w:r w:rsidR="001D52FA" w:rsidRPr="29A90341">
        <w:rPr>
          <w:rFonts w:cs="Arial"/>
          <w:lang w:eastAsia="en-AU" w:bidi="ar-SA"/>
        </w:rPr>
        <w:t>4987</w:t>
      </w:r>
      <w:r w:rsidRPr="29A90341">
        <w:rPr>
          <w:rFonts w:cs="Arial"/>
          <w:lang w:eastAsia="en-AU" w:bidi="ar-SA"/>
        </w:rPr>
        <w:t xml:space="preserve"> </w:t>
      </w:r>
      <w:r w:rsidR="36458AC5" w:rsidRPr="29A90341">
        <w:rPr>
          <w:rFonts w:cs="Arial"/>
          <w:lang w:eastAsia="en-AU" w:bidi="ar-SA"/>
        </w:rPr>
        <w:t>m</w:t>
      </w:r>
      <w:r w:rsidRPr="29A90341">
        <w:rPr>
          <w:rFonts w:cs="Arial"/>
          <w:lang w:eastAsia="en-AU" w:bidi="ar-SA"/>
        </w:rPr>
        <w:t>g/day.</w:t>
      </w:r>
      <w:r w:rsidR="00B95D7E">
        <w:rPr>
          <w:rFonts w:cs="Arial"/>
          <w:lang w:eastAsia="en-AU" w:bidi="ar-SA"/>
        </w:rPr>
        <w:t xml:space="preserve"> </w:t>
      </w:r>
      <w:r w:rsidR="117B6DF9" w:rsidRPr="29A90341">
        <w:rPr>
          <w:rFonts w:cs="Arial"/>
          <w:lang w:eastAsia="en-AU" w:bidi="ar-SA"/>
        </w:rPr>
        <w:t xml:space="preserve">Assuming 9 month old infants consume 707 g </w:t>
      </w:r>
      <w:r w:rsidR="5951865B" w:rsidRPr="29A90341">
        <w:rPr>
          <w:rFonts w:cs="Arial"/>
          <w:lang w:eastAsia="en-AU" w:bidi="ar-SA"/>
        </w:rPr>
        <w:t>cow’s</w:t>
      </w:r>
      <w:r w:rsidR="117B6DF9" w:rsidRPr="29A90341">
        <w:rPr>
          <w:rFonts w:cs="Arial"/>
          <w:lang w:eastAsia="en-AU" w:bidi="ar-SA"/>
        </w:rPr>
        <w:t xml:space="preserve"> milk </w:t>
      </w:r>
      <w:r w:rsidR="005167D9" w:rsidRPr="29A90341">
        <w:rPr>
          <w:rFonts w:cs="Arial"/>
          <w:lang w:eastAsia="en-AU" w:bidi="ar-SA"/>
        </w:rPr>
        <w:t xml:space="preserve">per day </w:t>
      </w:r>
      <w:r w:rsidR="117B6DF9" w:rsidRPr="29A90341">
        <w:rPr>
          <w:rFonts w:cs="Arial"/>
          <w:lang w:eastAsia="en-AU" w:bidi="ar-SA"/>
        </w:rPr>
        <w:t xml:space="preserve">(as </w:t>
      </w:r>
      <w:r w:rsidR="561BB9FC" w:rsidRPr="7B6CE6C8">
        <w:rPr>
          <w:rFonts w:cs="Arial"/>
          <w:lang w:eastAsia="en-AU" w:bidi="ar-SA"/>
        </w:rPr>
        <w:t>cow’s</w:t>
      </w:r>
      <w:r w:rsidR="117B6DF9" w:rsidRPr="29A90341">
        <w:rPr>
          <w:rFonts w:cs="Arial"/>
          <w:lang w:eastAsia="en-AU" w:bidi="ar-SA"/>
        </w:rPr>
        <w:t xml:space="preserve"> milk </w:t>
      </w:r>
      <w:r w:rsidR="781004EE" w:rsidRPr="4B11D9F8">
        <w:rPr>
          <w:rFonts w:cs="Arial"/>
          <w:lang w:eastAsia="en-AU" w:bidi="ar-SA"/>
        </w:rPr>
        <w:t>equivalen</w:t>
      </w:r>
      <w:r w:rsidR="00B95D7E" w:rsidRPr="4B11D9F8">
        <w:rPr>
          <w:rFonts w:cs="Arial"/>
          <w:lang w:eastAsia="en-AU" w:bidi="ar-SA"/>
        </w:rPr>
        <w:t>ts</w:t>
      </w:r>
      <w:r w:rsidR="117B6DF9" w:rsidRPr="29A90341">
        <w:rPr>
          <w:rFonts w:cs="Arial"/>
          <w:lang w:eastAsia="en-AU" w:bidi="ar-SA"/>
        </w:rPr>
        <w:t xml:space="preserve">), this would add </w:t>
      </w:r>
      <w:r w:rsidR="0C84A665" w:rsidRPr="29A90341">
        <w:rPr>
          <w:rFonts w:cs="Arial"/>
          <w:lang w:eastAsia="en-AU" w:bidi="ar-SA"/>
        </w:rPr>
        <w:t>70</w:t>
      </w:r>
      <w:r w:rsidR="117B6DF9" w:rsidRPr="29A90341">
        <w:rPr>
          <w:rFonts w:cs="Arial"/>
          <w:lang w:eastAsia="en-AU" w:bidi="ar-SA"/>
        </w:rPr>
        <w:t xml:space="preserve"> </w:t>
      </w:r>
      <w:r w:rsidR="200597CF" w:rsidRPr="29A90341">
        <w:rPr>
          <w:rFonts w:cs="Arial"/>
          <w:lang w:eastAsia="en-AU" w:bidi="ar-SA"/>
        </w:rPr>
        <w:t>m</w:t>
      </w:r>
      <w:r w:rsidR="117B6DF9" w:rsidRPr="29A90341">
        <w:rPr>
          <w:rFonts w:cs="Arial"/>
          <w:lang w:eastAsia="en-AU" w:bidi="ar-SA"/>
        </w:rPr>
        <w:t>g/day</w:t>
      </w:r>
      <w:r w:rsidR="502947D4" w:rsidRPr="29A90341">
        <w:rPr>
          <w:rFonts w:cs="Arial"/>
          <w:lang w:eastAsia="en-AU" w:bidi="ar-SA"/>
        </w:rPr>
        <w:t xml:space="preserve"> of </w:t>
      </w:r>
      <w:proofErr w:type="spellStart"/>
      <w:r w:rsidR="502947D4" w:rsidRPr="29A90341">
        <w:rPr>
          <w:rFonts w:cs="Arial"/>
          <w:lang w:eastAsia="en-AU" w:bidi="ar-SA"/>
        </w:rPr>
        <w:t>bLf</w:t>
      </w:r>
      <w:proofErr w:type="spellEnd"/>
      <w:r w:rsidR="117B6DF9" w:rsidRPr="29A90341">
        <w:rPr>
          <w:rFonts w:cs="Arial"/>
          <w:lang w:eastAsia="en-AU" w:bidi="ar-SA"/>
        </w:rPr>
        <w:t xml:space="preserve"> to estimated intakes</w:t>
      </w:r>
      <w:r w:rsidR="00B95D7E">
        <w:rPr>
          <w:rFonts w:cs="Arial"/>
          <w:lang w:eastAsia="en-AU" w:bidi="ar-SA"/>
        </w:rPr>
        <w:t xml:space="preserve"> in addition to that from IFP</w:t>
      </w:r>
      <w:r w:rsidR="781004EE" w:rsidRPr="7B6CE6C8">
        <w:rPr>
          <w:rFonts w:cs="Arial"/>
          <w:lang w:eastAsia="en-AU" w:bidi="ar-SA"/>
        </w:rPr>
        <w:t>.</w:t>
      </w:r>
      <w:r w:rsidR="47C6CFB6" w:rsidRPr="7B6CE6C8">
        <w:rPr>
          <w:rFonts w:cs="Arial"/>
          <w:lang w:val="en-AU" w:eastAsia="en-AU" w:bidi="ar-SA"/>
        </w:rPr>
        <w:t> </w:t>
      </w:r>
    </w:p>
    <w:p w14:paraId="0F132B2F" w14:textId="27CAB6FB" w:rsidR="00C017A8" w:rsidRDefault="002E18AF" w:rsidP="00C017A8">
      <w:pPr>
        <w:pStyle w:val="Heading1"/>
        <w:rPr>
          <w:rFonts w:eastAsia="Arial" w:cs="Arial"/>
          <w:color w:val="000000" w:themeColor="text1"/>
          <w:szCs w:val="36"/>
        </w:rPr>
      </w:pPr>
      <w:bookmarkStart w:id="91" w:name="_Toc113523059"/>
      <w:r>
        <w:rPr>
          <w:rFonts w:eastAsia="Arial" w:cs="Arial"/>
          <w:color w:val="000000" w:themeColor="text1"/>
        </w:rPr>
        <w:t>4</w:t>
      </w:r>
      <w:r w:rsidR="00B93411">
        <w:rPr>
          <w:rFonts w:eastAsia="Arial" w:cs="Arial"/>
          <w:color w:val="000000" w:themeColor="text1"/>
        </w:rPr>
        <w:tab/>
      </w:r>
      <w:r w:rsidR="00C017A8" w:rsidRPr="0682D99A">
        <w:rPr>
          <w:rFonts w:eastAsia="Arial" w:cs="Arial"/>
          <w:color w:val="000000" w:themeColor="text1"/>
        </w:rPr>
        <w:t>Nutrition assessment</w:t>
      </w:r>
      <w:bookmarkEnd w:id="91"/>
    </w:p>
    <w:p w14:paraId="6D6C656A" w14:textId="60D7EA11" w:rsidR="00C017A8" w:rsidRDefault="002E18AF" w:rsidP="00733CE2">
      <w:pPr>
        <w:pStyle w:val="Heading2"/>
        <w:rPr>
          <w:rFonts w:eastAsia="Arial"/>
          <w:lang w:val="en-AU"/>
        </w:rPr>
      </w:pPr>
      <w:bookmarkStart w:id="92" w:name="_Toc113523060"/>
      <w:r>
        <w:rPr>
          <w:rFonts w:eastAsia="Arial"/>
        </w:rPr>
        <w:t>4</w:t>
      </w:r>
      <w:r w:rsidR="00C017A8" w:rsidRPr="4C01D4CA">
        <w:rPr>
          <w:rFonts w:eastAsia="Arial"/>
        </w:rPr>
        <w:t>.1</w:t>
      </w:r>
      <w:r w:rsidR="00B93411">
        <w:rPr>
          <w:rFonts w:eastAsia="Arial"/>
        </w:rPr>
        <w:tab/>
      </w:r>
      <w:r w:rsidR="00C017A8" w:rsidRPr="4C01D4CA">
        <w:rPr>
          <w:rFonts w:eastAsia="Arial"/>
        </w:rPr>
        <w:t>Background</w:t>
      </w:r>
      <w:bookmarkEnd w:id="92"/>
    </w:p>
    <w:p w14:paraId="727B8E50" w14:textId="03027054" w:rsidR="00C017A8" w:rsidRDefault="002E18AF" w:rsidP="00C017A8">
      <w:pPr>
        <w:pStyle w:val="Heading3"/>
        <w:rPr>
          <w:rFonts w:eastAsia="Arial"/>
          <w:lang w:val="en-AU"/>
        </w:rPr>
      </w:pPr>
      <w:bookmarkStart w:id="93" w:name="_Toc113523061"/>
      <w:r>
        <w:rPr>
          <w:rFonts w:eastAsia="Arial"/>
        </w:rPr>
        <w:t>4</w:t>
      </w:r>
      <w:r w:rsidR="00C017A8" w:rsidRPr="0682D99A" w:rsidDel="00CB6874">
        <w:rPr>
          <w:rFonts w:eastAsia="Arial"/>
        </w:rPr>
        <w:t>.1.1</w:t>
      </w:r>
      <w:r w:rsidR="00435B4D">
        <w:rPr>
          <w:rFonts w:eastAsia="Arial"/>
        </w:rPr>
        <w:tab/>
      </w:r>
      <w:r w:rsidR="00C017A8" w:rsidRPr="0682D99A">
        <w:rPr>
          <w:rFonts w:eastAsia="Arial"/>
        </w:rPr>
        <w:t>Lactoferrin function</w:t>
      </w:r>
      <w:bookmarkEnd w:id="93"/>
      <w:r w:rsidR="00C017A8" w:rsidRPr="0682D99A">
        <w:rPr>
          <w:rFonts w:eastAsia="Arial"/>
        </w:rPr>
        <w:t xml:space="preserve"> </w:t>
      </w:r>
    </w:p>
    <w:p w14:paraId="090F882E" w14:textId="3832E552" w:rsidR="00C017A8" w:rsidRPr="00D67477" w:rsidRDefault="00C017A8" w:rsidP="00C017A8">
      <w:pPr>
        <w:spacing w:line="259" w:lineRule="auto"/>
        <w:rPr>
          <w:rFonts w:eastAsia="Arial" w:cs="Arial"/>
          <w:color w:val="000000" w:themeColor="text1"/>
          <w:lang w:val="en-AU"/>
        </w:rPr>
      </w:pPr>
      <w:proofErr w:type="spellStart"/>
      <w:r w:rsidRPr="66531369">
        <w:rPr>
          <w:rFonts w:eastAsia="Arial" w:cs="Arial"/>
          <w:color w:val="000000" w:themeColor="text1"/>
          <w:lang w:val="en-AU"/>
        </w:rPr>
        <w:t>hLf</w:t>
      </w:r>
      <w:proofErr w:type="spellEnd"/>
      <w:r w:rsidRPr="66531369">
        <w:rPr>
          <w:rFonts w:eastAsia="Arial" w:cs="Arial"/>
          <w:color w:val="000000" w:themeColor="text1"/>
          <w:lang w:val="en-AU"/>
        </w:rPr>
        <w:t xml:space="preserve">, found in colostrum and mature milk, may have a role during neonatal development (Manzoni et al. 2018). </w:t>
      </w:r>
      <w:proofErr w:type="spellStart"/>
      <w:r w:rsidR="00CA24A5">
        <w:rPr>
          <w:rFonts w:eastAsia="Arial" w:cs="Arial"/>
          <w:color w:val="000000" w:themeColor="text1"/>
          <w:lang w:val="en-AU"/>
        </w:rPr>
        <w:t>bLf</w:t>
      </w:r>
      <w:proofErr w:type="spellEnd"/>
      <w:r w:rsidRPr="66531369">
        <w:rPr>
          <w:rFonts w:eastAsia="Arial" w:cs="Arial"/>
          <w:color w:val="000000" w:themeColor="text1"/>
          <w:lang w:val="en-AU"/>
        </w:rPr>
        <w:t xml:space="preserve"> shares 69% amino acid sequence </w:t>
      </w:r>
      <w:r w:rsidRPr="00D67477">
        <w:rPr>
          <w:rFonts w:eastAsia="Arial" w:cs="Arial"/>
          <w:color w:val="000000" w:themeColor="text1"/>
          <w:lang w:val="en-AU"/>
        </w:rPr>
        <w:t xml:space="preserve">homology with </w:t>
      </w:r>
      <w:proofErr w:type="spellStart"/>
      <w:r w:rsidRPr="00D67477">
        <w:rPr>
          <w:rFonts w:eastAsia="Arial" w:cs="Arial"/>
          <w:color w:val="000000" w:themeColor="text1"/>
          <w:lang w:val="en-AU"/>
        </w:rPr>
        <w:t>hLf</w:t>
      </w:r>
      <w:proofErr w:type="spellEnd"/>
      <w:r w:rsidRPr="00D67477">
        <w:rPr>
          <w:rFonts w:eastAsia="Arial" w:cs="Arial"/>
          <w:color w:val="000000" w:themeColor="text1"/>
          <w:lang w:val="en-AU"/>
        </w:rPr>
        <w:t xml:space="preserve">, and </w:t>
      </w:r>
      <w:proofErr w:type="spellStart"/>
      <w:r w:rsidRPr="00D67477">
        <w:rPr>
          <w:rFonts w:eastAsia="Arial" w:cs="Arial"/>
          <w:color w:val="000000" w:themeColor="text1"/>
        </w:rPr>
        <w:t>bLf</w:t>
      </w:r>
      <w:proofErr w:type="spellEnd"/>
      <w:r w:rsidRPr="00D67477">
        <w:rPr>
          <w:rFonts w:eastAsia="Arial" w:cs="Arial"/>
          <w:color w:val="000000" w:themeColor="text1"/>
        </w:rPr>
        <w:t xml:space="preserve"> has five potential glycosylation sites whereas </w:t>
      </w:r>
      <w:proofErr w:type="spellStart"/>
      <w:r w:rsidRPr="00D67477">
        <w:rPr>
          <w:rFonts w:eastAsia="Arial" w:cs="Arial"/>
          <w:color w:val="000000" w:themeColor="text1"/>
        </w:rPr>
        <w:t>hLf</w:t>
      </w:r>
      <w:proofErr w:type="spellEnd"/>
      <w:r w:rsidRPr="00D67477">
        <w:rPr>
          <w:rFonts w:eastAsia="Arial" w:cs="Arial"/>
          <w:color w:val="000000" w:themeColor="text1"/>
        </w:rPr>
        <w:t xml:space="preserve"> has three</w:t>
      </w:r>
      <w:r w:rsidRPr="00D67477">
        <w:rPr>
          <w:rFonts w:eastAsia="Arial" w:cs="Arial"/>
          <w:color w:val="000000" w:themeColor="text1"/>
          <w:lang w:val="en-AU"/>
        </w:rPr>
        <w:t xml:space="preserve"> (section 2.2.1). </w:t>
      </w:r>
      <w:r>
        <w:rPr>
          <w:rFonts w:eastAsia="Arial" w:cs="Arial"/>
          <w:i/>
          <w:iCs/>
          <w:color w:val="000000" w:themeColor="text1"/>
          <w:lang w:val="en-AU"/>
        </w:rPr>
        <w:t>I</w:t>
      </w:r>
      <w:r w:rsidRPr="00910E24">
        <w:rPr>
          <w:rFonts w:eastAsia="Arial" w:cs="Arial"/>
          <w:i/>
          <w:iCs/>
          <w:color w:val="000000" w:themeColor="text1"/>
          <w:lang w:val="en-AU"/>
        </w:rPr>
        <w:t>n vitro</w:t>
      </w:r>
      <w:r w:rsidRPr="00D67477">
        <w:rPr>
          <w:rFonts w:eastAsia="Arial" w:cs="Arial"/>
          <w:color w:val="000000" w:themeColor="text1"/>
          <w:lang w:val="en-AU"/>
        </w:rPr>
        <w:t xml:space="preserve"> and rat studies indicate that the degree of iron saturation may affect lactoferrin function, and binding of other metal ions (e.g. manganese) may also have a functional role (</w:t>
      </w:r>
      <w:proofErr w:type="spellStart"/>
      <w:r w:rsidRPr="00D67477">
        <w:rPr>
          <w:rFonts w:eastAsia="Arial" w:cs="Arial"/>
          <w:color w:val="000000" w:themeColor="text1"/>
          <w:lang w:val="en-AU"/>
        </w:rPr>
        <w:t>Majka</w:t>
      </w:r>
      <w:proofErr w:type="spellEnd"/>
      <w:r w:rsidRPr="00D67477">
        <w:rPr>
          <w:rFonts w:eastAsia="Arial" w:cs="Arial"/>
          <w:color w:val="000000" w:themeColor="text1"/>
          <w:lang w:val="en-AU"/>
        </w:rPr>
        <w:t xml:space="preserve"> et al. 2020). The iron saturation of </w:t>
      </w:r>
      <w:proofErr w:type="spellStart"/>
      <w:r w:rsidRPr="00D67477">
        <w:rPr>
          <w:rFonts w:eastAsia="Arial" w:cs="Arial"/>
          <w:color w:val="000000" w:themeColor="text1"/>
          <w:lang w:val="en-AU"/>
        </w:rPr>
        <w:t>bLf</w:t>
      </w:r>
      <w:proofErr w:type="spellEnd"/>
      <w:r w:rsidRPr="00D67477">
        <w:rPr>
          <w:rFonts w:eastAsia="Arial" w:cs="Arial"/>
          <w:color w:val="000000" w:themeColor="text1"/>
          <w:lang w:val="en-AU"/>
        </w:rPr>
        <w:t xml:space="preserve"> preparations are reported to vary widely, e.g. 8.7% (mean) for the Application’s spray-dried </w:t>
      </w:r>
      <w:proofErr w:type="spellStart"/>
      <w:r w:rsidRPr="00D67477">
        <w:rPr>
          <w:rFonts w:eastAsia="Arial" w:cs="Arial"/>
          <w:color w:val="000000" w:themeColor="text1"/>
          <w:lang w:val="en-AU"/>
        </w:rPr>
        <w:t>bLf</w:t>
      </w:r>
      <w:proofErr w:type="spellEnd"/>
      <w:r w:rsidRPr="00D67477">
        <w:rPr>
          <w:rFonts w:eastAsia="Arial" w:cs="Arial"/>
          <w:color w:val="000000" w:themeColor="text1"/>
          <w:lang w:val="en-AU"/>
        </w:rPr>
        <w:t xml:space="preserve"> powder (Application T</w:t>
      </w:r>
      <w:r w:rsidRPr="00D67477">
        <w:rPr>
          <w:rFonts w:eastAsia="Arial" w:cs="Arial"/>
          <w:color w:val="000000" w:themeColor="text1"/>
        </w:rPr>
        <w:t>able</w:t>
      </w:r>
      <w:r w:rsidR="0097704E">
        <w:rPr>
          <w:rFonts w:eastAsia="Arial" w:cs="Arial"/>
          <w:color w:val="000000" w:themeColor="text1"/>
        </w:rPr>
        <w:t> </w:t>
      </w:r>
      <w:r w:rsidRPr="00D67477">
        <w:rPr>
          <w:rFonts w:eastAsia="Arial" w:cs="Arial"/>
          <w:color w:val="000000" w:themeColor="text1"/>
        </w:rPr>
        <w:t>2-9, p. 48</w:t>
      </w:r>
      <w:r w:rsidRPr="00D67477">
        <w:rPr>
          <w:rFonts w:eastAsia="Arial" w:cs="Arial"/>
          <w:color w:val="000000" w:themeColor="text1"/>
          <w:lang w:val="en-AU"/>
        </w:rPr>
        <w:t>), and up to ~90% (</w:t>
      </w:r>
      <w:proofErr w:type="spellStart"/>
      <w:r w:rsidRPr="00D67477">
        <w:rPr>
          <w:rFonts w:eastAsia="Arial" w:cs="Arial"/>
          <w:color w:val="000000" w:themeColor="text1"/>
          <w:lang w:val="en-AU"/>
        </w:rPr>
        <w:t>Hernell</w:t>
      </w:r>
      <w:proofErr w:type="spellEnd"/>
      <w:r w:rsidRPr="00D67477">
        <w:rPr>
          <w:rFonts w:eastAsia="Arial" w:cs="Arial"/>
          <w:color w:val="000000" w:themeColor="text1"/>
          <w:lang w:val="en-AU"/>
        </w:rPr>
        <w:t xml:space="preserve"> &amp; </w:t>
      </w:r>
      <w:proofErr w:type="spellStart"/>
      <w:r w:rsidRPr="00D67477">
        <w:rPr>
          <w:rFonts w:eastAsia="Arial" w:cs="Arial"/>
          <w:color w:val="000000" w:themeColor="text1"/>
          <w:lang w:val="en-AU"/>
        </w:rPr>
        <w:t>Lönnerdal</w:t>
      </w:r>
      <w:proofErr w:type="spellEnd"/>
      <w:r w:rsidRPr="00D67477">
        <w:rPr>
          <w:rFonts w:eastAsia="Arial" w:cs="Arial"/>
          <w:color w:val="000000" w:themeColor="text1"/>
          <w:lang w:val="en-AU"/>
        </w:rPr>
        <w:t xml:space="preserve"> 2002). The Application proposes a maximum limit of 15 mg iron/100 g </w:t>
      </w:r>
      <w:proofErr w:type="spellStart"/>
      <w:r w:rsidRPr="00D67477">
        <w:rPr>
          <w:rFonts w:eastAsia="Arial" w:cs="Arial"/>
          <w:color w:val="000000" w:themeColor="text1"/>
          <w:lang w:val="en-AU"/>
        </w:rPr>
        <w:t>bLf</w:t>
      </w:r>
      <w:proofErr w:type="spellEnd"/>
      <w:r w:rsidRPr="00D67477">
        <w:rPr>
          <w:rFonts w:eastAsia="Arial" w:cs="Arial"/>
          <w:color w:val="000000" w:themeColor="text1"/>
          <w:lang w:val="en-AU"/>
        </w:rPr>
        <w:t xml:space="preserve"> powder (equivalent to 10.7%; see section 2.2.1) and does not propose a minimum limit.</w:t>
      </w:r>
    </w:p>
    <w:p w14:paraId="33E7FC97" w14:textId="4D4DEDC3" w:rsidR="00C017A8" w:rsidRPr="00D67477" w:rsidRDefault="00CF7D28" w:rsidP="00C017A8">
      <w:pPr>
        <w:pStyle w:val="Heading3"/>
        <w:rPr>
          <w:rFonts w:eastAsia="Arial"/>
          <w:lang w:val="en-AU"/>
        </w:rPr>
      </w:pPr>
      <w:bookmarkStart w:id="94" w:name="_Toc113523062"/>
      <w:r>
        <w:rPr>
          <w:rFonts w:eastAsia="Arial"/>
        </w:rPr>
        <w:t>4</w:t>
      </w:r>
      <w:r w:rsidR="00C017A8" w:rsidRPr="00D67477">
        <w:rPr>
          <w:rFonts w:eastAsia="Arial"/>
        </w:rPr>
        <w:t>.1.2</w:t>
      </w:r>
      <w:r w:rsidR="00C735E0">
        <w:rPr>
          <w:rFonts w:eastAsia="Arial"/>
        </w:rPr>
        <w:tab/>
      </w:r>
      <w:r w:rsidR="00C017A8" w:rsidRPr="00D67477">
        <w:rPr>
          <w:rFonts w:eastAsia="Arial"/>
        </w:rPr>
        <w:t>Data requirements to assess nutrition-related outcomes</w:t>
      </w:r>
      <w:bookmarkEnd w:id="94"/>
    </w:p>
    <w:p w14:paraId="65D20951" w14:textId="77777777" w:rsidR="00C017A8" w:rsidRPr="00D67477" w:rsidRDefault="00C017A8" w:rsidP="00C017A8">
      <w:pPr>
        <w:spacing w:line="259" w:lineRule="auto"/>
        <w:rPr>
          <w:rFonts w:eastAsia="Arial" w:cs="Arial"/>
          <w:color w:val="000000" w:themeColor="text1"/>
          <w:szCs w:val="22"/>
          <w:lang w:val="en-AU"/>
        </w:rPr>
      </w:pPr>
      <w:r w:rsidRPr="00D67477">
        <w:rPr>
          <w:rFonts w:eastAsia="Arial" w:cs="Arial"/>
          <w:color w:val="000000" w:themeColor="text1"/>
          <w:szCs w:val="22"/>
          <w:lang w:val="en-AU"/>
        </w:rPr>
        <w:t xml:space="preserve">In this assessment, we consider the effects of consumption of </w:t>
      </w:r>
      <w:proofErr w:type="spellStart"/>
      <w:r w:rsidRPr="00D67477">
        <w:rPr>
          <w:rFonts w:eastAsia="Arial" w:cs="Arial"/>
          <w:color w:val="000000" w:themeColor="text1"/>
          <w:szCs w:val="22"/>
          <w:lang w:val="en-AU"/>
        </w:rPr>
        <w:t>bLf</w:t>
      </w:r>
      <w:proofErr w:type="spellEnd"/>
      <w:r w:rsidRPr="00D67477">
        <w:rPr>
          <w:rFonts w:eastAsia="Arial" w:cs="Arial"/>
          <w:color w:val="000000" w:themeColor="text1"/>
          <w:szCs w:val="22"/>
          <w:lang w:val="en-AU"/>
        </w:rPr>
        <w:t>-supplemented IFP (</w:t>
      </w:r>
      <w:proofErr w:type="spellStart"/>
      <w:r w:rsidRPr="00D67477">
        <w:rPr>
          <w:rFonts w:eastAsia="Arial" w:cs="Arial"/>
          <w:color w:val="000000" w:themeColor="text1"/>
          <w:szCs w:val="22"/>
          <w:lang w:val="en-AU"/>
        </w:rPr>
        <w:t>bLf</w:t>
      </w:r>
      <w:proofErr w:type="spellEnd"/>
      <w:r w:rsidRPr="00D67477">
        <w:rPr>
          <w:rFonts w:eastAsia="Arial" w:cs="Arial"/>
          <w:color w:val="000000" w:themeColor="text1"/>
          <w:szCs w:val="22"/>
          <w:lang w:val="en-AU"/>
        </w:rPr>
        <w:t xml:space="preserve">-IFP) on nutrition-related outcomes, specifically infant growth and development. The most directly relevant trials in infants would be those using </w:t>
      </w:r>
      <w:proofErr w:type="spellStart"/>
      <w:r w:rsidRPr="00D67477">
        <w:rPr>
          <w:rFonts w:eastAsia="Arial" w:cs="Arial"/>
          <w:color w:val="000000" w:themeColor="text1"/>
          <w:szCs w:val="22"/>
          <w:lang w:val="en-AU"/>
        </w:rPr>
        <w:t>bLf</w:t>
      </w:r>
      <w:proofErr w:type="spellEnd"/>
      <w:r w:rsidRPr="00D67477">
        <w:rPr>
          <w:rFonts w:eastAsia="Arial" w:cs="Arial"/>
          <w:color w:val="000000" w:themeColor="text1"/>
          <w:szCs w:val="22"/>
          <w:lang w:val="en-AU"/>
        </w:rPr>
        <w:t xml:space="preserve"> conforming to the Application’s specifications, added to IFP that are consistent with the compositional requirements of Standard 2.9.1 and Schedule 29 of the Code.</w:t>
      </w:r>
    </w:p>
    <w:p w14:paraId="45BC47CF" w14:textId="77777777" w:rsidR="00C017A8" w:rsidRPr="00D67477" w:rsidRDefault="00C017A8" w:rsidP="00C017A8">
      <w:pPr>
        <w:spacing w:line="259" w:lineRule="auto"/>
        <w:rPr>
          <w:rFonts w:eastAsia="Arial" w:cs="Arial"/>
          <w:color w:val="000000" w:themeColor="text1"/>
          <w:szCs w:val="22"/>
          <w:lang w:val="en-AU"/>
        </w:rPr>
      </w:pPr>
    </w:p>
    <w:p w14:paraId="631BB2CE" w14:textId="77777777" w:rsidR="00C017A8" w:rsidRDefault="00C017A8" w:rsidP="00C017A8">
      <w:pPr>
        <w:spacing w:line="259" w:lineRule="auto"/>
        <w:rPr>
          <w:rFonts w:eastAsia="Arial" w:cs="Arial"/>
          <w:color w:val="000000" w:themeColor="text1"/>
          <w:lang w:val="en-AU"/>
        </w:rPr>
      </w:pPr>
      <w:r w:rsidRPr="4F47B7AA">
        <w:rPr>
          <w:rFonts w:eastAsia="Arial" w:cs="Arial"/>
          <w:color w:val="000000" w:themeColor="text1"/>
          <w:lang w:val="en-AU"/>
        </w:rPr>
        <w:t xml:space="preserve">Data requirements for the assessment of compositional changes to IFP are outlined in FSANZ’s Application Handbook. The criteria for study selection were formulated based on these requirements, as prescribed by section 3.6.2 A.3.1 (b) of the FSANZ Application Handbook. These are referenced in the footnotes to Table A.1 (Appendix 2). We also set parameters for the iron content of IFP tested in infant studies (iron minimum and maximum levels of 0.2 and 0.5 mg/100 kJ, respectively, as prescribed by the Code), and the iron saturation of the </w:t>
      </w:r>
      <w:proofErr w:type="spellStart"/>
      <w:r w:rsidRPr="4F47B7AA">
        <w:rPr>
          <w:rFonts w:eastAsia="Arial" w:cs="Arial"/>
          <w:color w:val="000000" w:themeColor="text1"/>
          <w:lang w:val="en-AU"/>
        </w:rPr>
        <w:t>bLf</w:t>
      </w:r>
      <w:proofErr w:type="spellEnd"/>
      <w:r w:rsidRPr="4F47B7AA">
        <w:rPr>
          <w:rFonts w:eastAsia="Arial" w:cs="Arial"/>
          <w:color w:val="000000" w:themeColor="text1"/>
          <w:lang w:val="en-AU"/>
        </w:rPr>
        <w:t xml:space="preserve"> based on alignment with the Application’s product. Details are provided in Appendix 2.</w:t>
      </w:r>
    </w:p>
    <w:p w14:paraId="38A7642D" w14:textId="1F93DF6D" w:rsidR="00C017A8" w:rsidRDefault="00934DEA" w:rsidP="00733CE2">
      <w:pPr>
        <w:pStyle w:val="Heading2"/>
        <w:rPr>
          <w:rFonts w:eastAsia="Arial"/>
          <w:lang w:val="en-AU"/>
        </w:rPr>
      </w:pPr>
      <w:bookmarkStart w:id="95" w:name="_Toc113523063"/>
      <w:r>
        <w:rPr>
          <w:rFonts w:eastAsia="Arial"/>
        </w:rPr>
        <w:t>4</w:t>
      </w:r>
      <w:r w:rsidR="00C017A8" w:rsidRPr="0682D99A">
        <w:rPr>
          <w:rFonts w:eastAsia="Arial"/>
        </w:rPr>
        <w:t>.2</w:t>
      </w:r>
      <w:r w:rsidR="00C735E0">
        <w:rPr>
          <w:rFonts w:eastAsia="Arial"/>
        </w:rPr>
        <w:tab/>
      </w:r>
      <w:r w:rsidR="00C017A8" w:rsidRPr="0682D99A">
        <w:rPr>
          <w:rFonts w:eastAsia="Arial"/>
        </w:rPr>
        <w:t>Effect on growth and development</w:t>
      </w:r>
      <w:bookmarkEnd w:id="95"/>
    </w:p>
    <w:p w14:paraId="08BAD5F0" w14:textId="7B497A99" w:rsidR="00C017A8" w:rsidRDefault="00934DEA" w:rsidP="00C017A8">
      <w:pPr>
        <w:pStyle w:val="Heading3"/>
        <w:rPr>
          <w:rFonts w:eastAsia="Arial"/>
          <w:lang w:val="en-AU"/>
        </w:rPr>
      </w:pPr>
      <w:bookmarkStart w:id="96" w:name="_Toc113523064"/>
      <w:r>
        <w:rPr>
          <w:rFonts w:eastAsia="Arial"/>
        </w:rPr>
        <w:t>4</w:t>
      </w:r>
      <w:r w:rsidR="00C017A8" w:rsidRPr="0682D99A">
        <w:rPr>
          <w:rFonts w:eastAsia="Arial"/>
        </w:rPr>
        <w:t>.2.1</w:t>
      </w:r>
      <w:r w:rsidR="00C735E0">
        <w:rPr>
          <w:rFonts w:eastAsia="Arial"/>
        </w:rPr>
        <w:tab/>
      </w:r>
      <w:r w:rsidR="00C017A8" w:rsidRPr="0682D99A">
        <w:rPr>
          <w:rFonts w:eastAsia="Arial"/>
        </w:rPr>
        <w:t>Objectives</w:t>
      </w:r>
      <w:bookmarkEnd w:id="96"/>
    </w:p>
    <w:p w14:paraId="02AE0586" w14:textId="77777777" w:rsidR="00C017A8" w:rsidRDefault="00C017A8" w:rsidP="00C017A8">
      <w:pPr>
        <w:spacing w:line="259" w:lineRule="auto"/>
        <w:rPr>
          <w:rFonts w:eastAsia="Arial" w:cs="Arial"/>
          <w:color w:val="000000" w:themeColor="text1"/>
          <w:lang w:val="en-AU"/>
        </w:rPr>
      </w:pPr>
      <w:r w:rsidRPr="1151A21A">
        <w:rPr>
          <w:rFonts w:eastAsia="Arial" w:cs="Arial"/>
          <w:color w:val="000000" w:themeColor="text1"/>
        </w:rPr>
        <w:t xml:space="preserve">The objective of this assessment was to </w:t>
      </w:r>
      <w:r w:rsidRPr="1151A21A">
        <w:rPr>
          <w:rFonts w:eastAsia="Arial" w:cs="Arial"/>
          <w:color w:val="000000" w:themeColor="text1"/>
          <w:lang w:val="en-AU"/>
        </w:rPr>
        <w:t xml:space="preserve">determine the effect (if any) on infant growth and development of consuming IFP with </w:t>
      </w:r>
      <w:proofErr w:type="spellStart"/>
      <w:r w:rsidRPr="1151A21A">
        <w:rPr>
          <w:rFonts w:eastAsia="Arial" w:cs="Arial"/>
          <w:color w:val="000000" w:themeColor="text1"/>
          <w:lang w:val="en-AU"/>
        </w:rPr>
        <w:t>bLf</w:t>
      </w:r>
      <w:proofErr w:type="spellEnd"/>
      <w:r w:rsidRPr="1151A21A">
        <w:rPr>
          <w:rFonts w:eastAsia="Arial" w:cs="Arial"/>
          <w:color w:val="000000" w:themeColor="text1"/>
          <w:lang w:val="en-AU"/>
        </w:rPr>
        <w:t xml:space="preserve"> added up to the proposed maximum permitted amount (40 mg/100 kJ) compared to consuming human milk, or consuming IFP without added </w:t>
      </w:r>
      <w:proofErr w:type="spellStart"/>
      <w:r w:rsidRPr="1151A21A">
        <w:rPr>
          <w:rFonts w:eastAsia="Arial" w:cs="Arial"/>
          <w:color w:val="000000" w:themeColor="text1"/>
          <w:lang w:val="en-AU"/>
        </w:rPr>
        <w:t>bLf</w:t>
      </w:r>
      <w:proofErr w:type="spellEnd"/>
      <w:r w:rsidRPr="1151A21A">
        <w:rPr>
          <w:rFonts w:eastAsia="Arial" w:cs="Arial"/>
          <w:color w:val="000000" w:themeColor="text1"/>
          <w:lang w:val="en-AU"/>
        </w:rPr>
        <w:t>.</w:t>
      </w:r>
    </w:p>
    <w:p w14:paraId="69169508" w14:textId="2FDD4A4B" w:rsidR="00C017A8" w:rsidRDefault="00934DEA" w:rsidP="00C017A8">
      <w:pPr>
        <w:pStyle w:val="Heading3"/>
        <w:rPr>
          <w:rFonts w:eastAsia="Arial"/>
          <w:lang w:val="en-AU"/>
        </w:rPr>
      </w:pPr>
      <w:bookmarkStart w:id="97" w:name="_Toc113523065"/>
      <w:r>
        <w:rPr>
          <w:rFonts w:eastAsia="Arial"/>
        </w:rPr>
        <w:t>4</w:t>
      </w:r>
      <w:r w:rsidR="00C017A8" w:rsidRPr="0682D99A">
        <w:rPr>
          <w:rFonts w:eastAsia="Arial"/>
        </w:rPr>
        <w:t>.2.2</w:t>
      </w:r>
      <w:r w:rsidR="00C735E0">
        <w:rPr>
          <w:rFonts w:eastAsia="Arial"/>
        </w:rPr>
        <w:tab/>
      </w:r>
      <w:r w:rsidR="00C017A8" w:rsidRPr="0682D99A">
        <w:rPr>
          <w:rFonts w:eastAsia="Arial"/>
        </w:rPr>
        <w:t>Methods and results</w:t>
      </w:r>
      <w:bookmarkEnd w:id="97"/>
    </w:p>
    <w:p w14:paraId="22604C52" w14:textId="7004B993" w:rsidR="00C017A8" w:rsidRDefault="00C017A8" w:rsidP="00C017A8">
      <w:pPr>
        <w:spacing w:line="259" w:lineRule="auto"/>
        <w:rPr>
          <w:rFonts w:eastAsia="Arial" w:cs="Arial"/>
          <w:color w:val="000000" w:themeColor="text1"/>
          <w:lang w:val="en-AU"/>
        </w:rPr>
      </w:pPr>
      <w:r w:rsidRPr="66531369">
        <w:rPr>
          <w:rFonts w:eastAsia="Arial" w:cs="Arial"/>
          <w:color w:val="000000" w:themeColor="text1"/>
          <w:lang w:val="en-AU"/>
        </w:rPr>
        <w:t xml:space="preserve">We reviewed the literature published up to June 2022. We identified and screened the literature using the strategy and study selection criteria </w:t>
      </w:r>
      <w:r w:rsidRPr="00D67477">
        <w:rPr>
          <w:rFonts w:eastAsia="Arial" w:cs="Arial"/>
          <w:color w:val="000000" w:themeColor="text1"/>
          <w:lang w:val="en-AU"/>
        </w:rPr>
        <w:t>described in sections A2.1.1, for the comparison with human milk consumption, and A2.2.1 for the</w:t>
      </w:r>
      <w:r w:rsidRPr="66531369">
        <w:rPr>
          <w:rFonts w:eastAsia="Arial" w:cs="Arial"/>
          <w:color w:val="000000" w:themeColor="text1"/>
          <w:lang w:val="en-AU"/>
        </w:rPr>
        <w:t xml:space="preserve"> comparison with non-</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 xml:space="preserve"> IFP consumption. No studies met the pre-specified inclusion criteria (</w:t>
      </w:r>
      <w:r w:rsidR="009629DF">
        <w:rPr>
          <w:rFonts w:eastAsia="Arial" w:cs="Arial"/>
          <w:color w:val="000000" w:themeColor="text1"/>
          <w:lang w:val="en-AU"/>
        </w:rPr>
        <w:t>see Table 7</w:t>
      </w:r>
      <w:r w:rsidR="006D10A0">
        <w:rPr>
          <w:rFonts w:eastAsia="Arial" w:cs="Arial"/>
          <w:color w:val="000000" w:themeColor="text1"/>
          <w:lang w:val="en-AU"/>
        </w:rPr>
        <w:t xml:space="preserve"> </w:t>
      </w:r>
      <w:r w:rsidRPr="66531369">
        <w:rPr>
          <w:rFonts w:eastAsia="Arial" w:cs="Arial"/>
          <w:color w:val="000000" w:themeColor="text1"/>
          <w:lang w:val="en-AU"/>
        </w:rPr>
        <w:t>for examples). Details are provided in Appendix 2.</w:t>
      </w:r>
    </w:p>
    <w:p w14:paraId="635CAC4B" w14:textId="77777777" w:rsidR="00C017A8" w:rsidRPr="00D67477" w:rsidRDefault="00C017A8" w:rsidP="00C017A8">
      <w:pPr>
        <w:spacing w:line="259" w:lineRule="auto"/>
        <w:rPr>
          <w:rFonts w:eastAsia="Arial" w:cs="Arial"/>
          <w:color w:val="000000" w:themeColor="text1"/>
          <w:sz w:val="20"/>
          <w:szCs w:val="20"/>
          <w:lang w:val="en-AU"/>
        </w:rPr>
      </w:pPr>
      <w:r w:rsidRPr="0682D99A">
        <w:rPr>
          <w:rFonts w:eastAsia="Arial" w:cs="Arial"/>
          <w:color w:val="000000" w:themeColor="text1"/>
          <w:sz w:val="20"/>
          <w:szCs w:val="20"/>
          <w:lang w:val="en-AU"/>
        </w:rPr>
        <w:t xml:space="preserve"> </w:t>
      </w:r>
    </w:p>
    <w:p w14:paraId="4E49277E" w14:textId="538476FC" w:rsidR="00C017A8" w:rsidRPr="00D67477" w:rsidRDefault="009629DF" w:rsidP="009629DF">
      <w:pPr>
        <w:pStyle w:val="FSTableTitle"/>
      </w:pPr>
      <w:r>
        <w:t xml:space="preserve">Table 7 </w:t>
      </w:r>
      <w:r w:rsidRPr="00B41E9A">
        <w:t>Reasons for exclusion of selected studies</w:t>
      </w:r>
      <w:r w:rsidRPr="00D67477">
        <w:rPr>
          <w:vertAlign w:val="superscript"/>
        </w:rPr>
        <w:t>1</w:t>
      </w:r>
      <w:r w:rsidRPr="00B41E9A">
        <w:t>.</w:t>
      </w:r>
    </w:p>
    <w:tbl>
      <w:tblPr>
        <w:tblStyle w:val="TableGrid"/>
        <w:tblW w:w="0" w:type="auto"/>
        <w:tblLayout w:type="fixed"/>
        <w:tblLook w:val="04A0" w:firstRow="1" w:lastRow="0" w:firstColumn="1" w:lastColumn="0" w:noHBand="0" w:noVBand="1"/>
      </w:tblPr>
      <w:tblGrid>
        <w:gridCol w:w="2865"/>
        <w:gridCol w:w="6180"/>
      </w:tblGrid>
      <w:tr w:rsidR="00C017A8" w:rsidRPr="00D67477" w14:paraId="0E989516" w14:textId="77777777" w:rsidTr="00110B65">
        <w:tc>
          <w:tcPr>
            <w:tcW w:w="2865" w:type="dxa"/>
            <w:tcBorders>
              <w:top w:val="single" w:sz="6" w:space="0" w:color="auto"/>
              <w:left w:val="single" w:sz="6" w:space="0" w:color="auto"/>
              <w:bottom w:val="single" w:sz="6" w:space="0" w:color="auto"/>
              <w:right w:val="single" w:sz="6" w:space="0" w:color="auto"/>
            </w:tcBorders>
            <w:shd w:val="clear" w:color="auto" w:fill="616571"/>
          </w:tcPr>
          <w:p w14:paraId="677CED81" w14:textId="77777777" w:rsidR="00C017A8" w:rsidRPr="00D67477" w:rsidRDefault="00C017A8" w:rsidP="00110B65">
            <w:pPr>
              <w:pStyle w:val="FSTableHeading"/>
              <w:rPr>
                <w:rFonts w:eastAsia="Arial"/>
                <w:color w:val="FFFFFF" w:themeColor="background1"/>
              </w:rPr>
            </w:pPr>
            <w:bookmarkStart w:id="98" w:name="_Toc111626702"/>
            <w:bookmarkStart w:id="99" w:name="_Toc112915012"/>
            <w:r w:rsidRPr="00D67477">
              <w:rPr>
                <w:rFonts w:eastAsia="Arial"/>
                <w:color w:val="FFFFFF" w:themeColor="background1"/>
              </w:rPr>
              <w:t>Author (year)</w:t>
            </w:r>
          </w:p>
        </w:tc>
        <w:tc>
          <w:tcPr>
            <w:tcW w:w="6180" w:type="dxa"/>
            <w:tcBorders>
              <w:top w:val="single" w:sz="6" w:space="0" w:color="auto"/>
              <w:left w:val="single" w:sz="6" w:space="0" w:color="auto"/>
              <w:bottom w:val="single" w:sz="6" w:space="0" w:color="auto"/>
              <w:right w:val="single" w:sz="6" w:space="0" w:color="auto"/>
            </w:tcBorders>
            <w:shd w:val="clear" w:color="auto" w:fill="616571"/>
          </w:tcPr>
          <w:p w14:paraId="3EB05ACF" w14:textId="77777777" w:rsidR="00C017A8" w:rsidRPr="00D67477" w:rsidRDefault="00C017A8" w:rsidP="00110B65">
            <w:pPr>
              <w:pStyle w:val="FSTableHeading"/>
              <w:rPr>
                <w:rFonts w:eastAsia="Arial"/>
                <w:color w:val="FFFFFF" w:themeColor="background1"/>
                <w:sz w:val="16"/>
                <w:szCs w:val="16"/>
              </w:rPr>
            </w:pPr>
            <w:r w:rsidRPr="00D67477">
              <w:rPr>
                <w:rFonts w:eastAsia="Arial"/>
                <w:color w:val="FFFFFF" w:themeColor="background1"/>
              </w:rPr>
              <w:t>Reasons for exclusion</w:t>
            </w:r>
            <w:r w:rsidRPr="00D67477">
              <w:rPr>
                <w:rFonts w:eastAsia="Arial"/>
                <w:color w:val="FFFFFF" w:themeColor="background1"/>
                <w:vertAlign w:val="superscript"/>
              </w:rPr>
              <w:t>2</w:t>
            </w:r>
          </w:p>
        </w:tc>
      </w:tr>
      <w:tr w:rsidR="00C017A8" w:rsidRPr="00830D33" w14:paraId="1A0325D3" w14:textId="77777777" w:rsidTr="00110B65">
        <w:tc>
          <w:tcPr>
            <w:tcW w:w="9045" w:type="dxa"/>
            <w:gridSpan w:val="2"/>
            <w:tcBorders>
              <w:top w:val="single" w:sz="6" w:space="0" w:color="auto"/>
              <w:left w:val="single" w:sz="6" w:space="0" w:color="auto"/>
              <w:bottom w:val="single" w:sz="6" w:space="0" w:color="auto"/>
              <w:right w:val="single" w:sz="6" w:space="0" w:color="auto"/>
            </w:tcBorders>
            <w:shd w:val="clear" w:color="auto" w:fill="616571"/>
          </w:tcPr>
          <w:p w14:paraId="0E9C3753" w14:textId="77777777" w:rsidR="00C017A8" w:rsidRPr="00830D33" w:rsidRDefault="00C017A8" w:rsidP="00110B65">
            <w:pPr>
              <w:pStyle w:val="FSTableHeading"/>
              <w:rPr>
                <w:rFonts w:eastAsia="Arial"/>
                <w:color w:val="FFFFFF" w:themeColor="background1"/>
              </w:rPr>
            </w:pPr>
            <w:r w:rsidRPr="0443C3B0">
              <w:rPr>
                <w:rFonts w:eastAsia="Arial"/>
                <w:color w:val="FFFFFF" w:themeColor="background1"/>
              </w:rPr>
              <w:t>Objective:</w:t>
            </w:r>
            <w:r w:rsidRPr="00830D33">
              <w:rPr>
                <w:rFonts w:eastAsia="Arial"/>
                <w:color w:val="FFFFFF" w:themeColor="background1"/>
              </w:rPr>
              <w:t xml:space="preserve"> </w:t>
            </w:r>
            <w:r w:rsidRPr="03D95723">
              <w:rPr>
                <w:rFonts w:eastAsia="Arial"/>
                <w:color w:val="FFFFFF" w:themeColor="background1"/>
              </w:rPr>
              <w:t>compare</w:t>
            </w:r>
            <w:r w:rsidRPr="00830D33">
              <w:rPr>
                <w:rFonts w:eastAsia="Arial"/>
                <w:color w:val="FFFFFF" w:themeColor="background1"/>
              </w:rPr>
              <w:t xml:space="preserve"> the </w:t>
            </w:r>
            <w:r w:rsidRPr="03D95723">
              <w:rPr>
                <w:rFonts w:eastAsia="Arial"/>
                <w:color w:val="FFFFFF" w:themeColor="background1"/>
              </w:rPr>
              <w:t xml:space="preserve">effect of </w:t>
            </w:r>
            <w:r w:rsidRPr="40A3E1ED">
              <w:rPr>
                <w:rFonts w:eastAsia="Arial"/>
                <w:color w:val="FFFFFF" w:themeColor="background1"/>
              </w:rPr>
              <w:t>consuming</w:t>
            </w:r>
            <w:r w:rsidRPr="00830D33">
              <w:rPr>
                <w:rFonts w:eastAsia="Arial"/>
                <w:color w:val="FFFFFF" w:themeColor="background1"/>
              </w:rPr>
              <w:t xml:space="preserve"> </w:t>
            </w:r>
            <w:proofErr w:type="spellStart"/>
            <w:r w:rsidRPr="00830D33">
              <w:rPr>
                <w:rFonts w:eastAsia="Arial"/>
                <w:color w:val="FFFFFF" w:themeColor="background1"/>
              </w:rPr>
              <w:t>bLf</w:t>
            </w:r>
            <w:proofErr w:type="spellEnd"/>
            <w:r w:rsidRPr="00830D33">
              <w:rPr>
                <w:rFonts w:eastAsia="Arial"/>
                <w:color w:val="FFFFFF" w:themeColor="background1"/>
              </w:rPr>
              <w:t xml:space="preserve">-IFP </w:t>
            </w:r>
            <w:r w:rsidRPr="1151A21A">
              <w:rPr>
                <w:rFonts w:eastAsia="Arial"/>
                <w:color w:val="FFFFFF" w:themeColor="background1"/>
              </w:rPr>
              <w:t>at the proposed maximum permitted amount,</w:t>
            </w:r>
            <w:r w:rsidRPr="00830D33">
              <w:rPr>
                <w:rFonts w:eastAsia="Arial"/>
                <w:color w:val="FFFFFF" w:themeColor="background1"/>
              </w:rPr>
              <w:t xml:space="preserve"> with the consumption of both human milk and IFP</w:t>
            </w:r>
            <w:r w:rsidRPr="1151A21A">
              <w:rPr>
                <w:rFonts w:eastAsia="Arial"/>
                <w:color w:val="FFFFFF" w:themeColor="background1"/>
              </w:rPr>
              <w:t xml:space="preserve"> </w:t>
            </w:r>
            <w:r w:rsidRPr="6B84FCD3">
              <w:rPr>
                <w:rFonts w:eastAsia="Arial"/>
                <w:color w:val="FFFFFF" w:themeColor="background1"/>
              </w:rPr>
              <w:t xml:space="preserve">without added </w:t>
            </w:r>
            <w:proofErr w:type="spellStart"/>
            <w:r w:rsidRPr="6B84FCD3">
              <w:rPr>
                <w:rFonts w:eastAsia="Arial"/>
                <w:color w:val="FFFFFF" w:themeColor="background1"/>
              </w:rPr>
              <w:t>bLf</w:t>
            </w:r>
            <w:proofErr w:type="spellEnd"/>
            <w:r w:rsidRPr="6B84FCD3">
              <w:rPr>
                <w:rFonts w:eastAsia="Arial"/>
                <w:color w:val="FFFFFF" w:themeColor="background1"/>
              </w:rPr>
              <w:t>.</w:t>
            </w:r>
          </w:p>
        </w:tc>
      </w:tr>
      <w:tr w:rsidR="00C017A8" w14:paraId="33A80C45" w14:textId="77777777" w:rsidTr="00110B65">
        <w:tc>
          <w:tcPr>
            <w:tcW w:w="2865" w:type="dxa"/>
            <w:tcBorders>
              <w:top w:val="single" w:sz="6" w:space="0" w:color="auto"/>
              <w:left w:val="single" w:sz="6" w:space="0" w:color="auto"/>
              <w:bottom w:val="single" w:sz="6" w:space="0" w:color="auto"/>
              <w:right w:val="single" w:sz="6" w:space="0" w:color="auto"/>
            </w:tcBorders>
            <w:shd w:val="clear" w:color="auto" w:fill="ECECEC"/>
          </w:tcPr>
          <w:p w14:paraId="05CECBC0" w14:textId="77777777" w:rsidR="00C017A8" w:rsidRDefault="00C017A8" w:rsidP="00110B65">
            <w:pPr>
              <w:rPr>
                <w:rFonts w:eastAsia="Arial" w:cs="Arial"/>
                <w:color w:val="000000" w:themeColor="text1"/>
                <w:sz w:val="20"/>
                <w:szCs w:val="20"/>
              </w:rPr>
            </w:pPr>
            <w:proofErr w:type="spellStart"/>
            <w:r w:rsidRPr="0682D99A">
              <w:rPr>
                <w:rFonts w:eastAsia="Arial" w:cs="Arial"/>
                <w:color w:val="000000" w:themeColor="text1"/>
                <w:sz w:val="20"/>
                <w:szCs w:val="20"/>
                <w:lang w:val="en-AU"/>
              </w:rPr>
              <w:t>Lönnerdal</w:t>
            </w:r>
            <w:proofErr w:type="spellEnd"/>
            <w:r w:rsidRPr="0682D99A">
              <w:rPr>
                <w:rFonts w:eastAsia="Arial" w:cs="Arial"/>
                <w:sz w:val="24"/>
              </w:rPr>
              <w:t xml:space="preserve"> </w:t>
            </w:r>
            <w:r w:rsidRPr="0682D99A">
              <w:rPr>
                <w:rFonts w:eastAsia="Arial" w:cs="Arial"/>
                <w:color w:val="000000" w:themeColor="text1"/>
                <w:sz w:val="20"/>
                <w:szCs w:val="20"/>
                <w:lang w:val="en-AU"/>
              </w:rPr>
              <w:t xml:space="preserve">&amp; </w:t>
            </w:r>
            <w:proofErr w:type="spellStart"/>
            <w:r w:rsidRPr="0682D99A">
              <w:rPr>
                <w:rFonts w:eastAsia="Arial" w:cs="Arial"/>
                <w:color w:val="000000" w:themeColor="text1"/>
                <w:sz w:val="20"/>
                <w:szCs w:val="20"/>
                <w:lang w:val="en-AU"/>
              </w:rPr>
              <w:t>Hernell</w:t>
            </w:r>
            <w:proofErr w:type="spellEnd"/>
            <w:r w:rsidRPr="0682D99A">
              <w:rPr>
                <w:rFonts w:eastAsia="Arial" w:cs="Arial"/>
                <w:color w:val="000000" w:themeColor="text1"/>
                <w:sz w:val="20"/>
                <w:szCs w:val="20"/>
                <w:lang w:val="en-AU"/>
              </w:rPr>
              <w:t xml:space="preserve"> (1994)</w:t>
            </w:r>
          </w:p>
        </w:tc>
        <w:tc>
          <w:tcPr>
            <w:tcW w:w="6180" w:type="dxa"/>
            <w:tcBorders>
              <w:top w:val="nil"/>
              <w:left w:val="single" w:sz="6" w:space="0" w:color="auto"/>
              <w:bottom w:val="single" w:sz="6" w:space="0" w:color="auto"/>
              <w:right w:val="single" w:sz="6" w:space="0" w:color="auto"/>
            </w:tcBorders>
            <w:shd w:val="clear" w:color="auto" w:fill="ECECEC"/>
          </w:tcPr>
          <w:p w14:paraId="696B2BC9" w14:textId="77777777" w:rsidR="00C017A8" w:rsidRDefault="00C017A8" w:rsidP="00110B65">
            <w:pPr>
              <w:pStyle w:val="ListParagraph"/>
              <w:numPr>
                <w:ilvl w:val="0"/>
                <w:numId w:val="16"/>
              </w:numPr>
              <w:rPr>
                <w:rFonts w:eastAsia="Arial" w:cs="Arial"/>
                <w:sz w:val="20"/>
                <w:szCs w:val="20"/>
              </w:rPr>
            </w:pPr>
            <w:proofErr w:type="spellStart"/>
            <w:r w:rsidRPr="0682D99A">
              <w:rPr>
                <w:rFonts w:eastAsia="Arial" w:cs="Arial"/>
                <w:sz w:val="20"/>
                <w:szCs w:val="20"/>
              </w:rPr>
              <w:t>bLf</w:t>
            </w:r>
            <w:proofErr w:type="spellEnd"/>
            <w:r w:rsidRPr="0682D99A">
              <w:rPr>
                <w:rFonts w:eastAsia="Arial" w:cs="Arial"/>
                <w:sz w:val="20"/>
                <w:szCs w:val="20"/>
              </w:rPr>
              <w:t xml:space="preserve"> content: not stated.</w:t>
            </w:r>
          </w:p>
          <w:p w14:paraId="4F7BB036" w14:textId="77777777" w:rsidR="00C017A8" w:rsidRDefault="00C017A8" w:rsidP="00110B65">
            <w:pPr>
              <w:pStyle w:val="ListParagraph"/>
              <w:numPr>
                <w:ilvl w:val="0"/>
                <w:numId w:val="16"/>
              </w:numPr>
              <w:rPr>
                <w:rFonts w:eastAsia="Arial" w:cs="Arial"/>
                <w:sz w:val="20"/>
                <w:szCs w:val="20"/>
              </w:rPr>
            </w:pPr>
            <w:r w:rsidRPr="0682D99A">
              <w:rPr>
                <w:rFonts w:eastAsia="Arial" w:cs="Arial"/>
                <w:sz w:val="20"/>
                <w:szCs w:val="20"/>
              </w:rPr>
              <w:t>Iron content: 31% lower than minimum level prescribed in Code.</w:t>
            </w:r>
          </w:p>
          <w:p w14:paraId="5723DA90" w14:textId="77777777" w:rsidR="00C017A8" w:rsidRDefault="00C017A8" w:rsidP="00110B65">
            <w:pPr>
              <w:pStyle w:val="ListParagraph"/>
              <w:numPr>
                <w:ilvl w:val="0"/>
                <w:numId w:val="16"/>
              </w:numPr>
              <w:rPr>
                <w:rFonts w:eastAsia="Arial" w:cs="Arial"/>
                <w:sz w:val="20"/>
                <w:szCs w:val="20"/>
              </w:rPr>
            </w:pPr>
            <w:r w:rsidRPr="0682D99A">
              <w:rPr>
                <w:rFonts w:eastAsia="Arial" w:cs="Arial"/>
                <w:sz w:val="20"/>
                <w:szCs w:val="20"/>
              </w:rPr>
              <w:t xml:space="preserve">Iron saturation of </w:t>
            </w:r>
            <w:proofErr w:type="spellStart"/>
            <w:r w:rsidRPr="0682D99A">
              <w:rPr>
                <w:rFonts w:eastAsia="Arial" w:cs="Arial"/>
                <w:sz w:val="20"/>
                <w:szCs w:val="20"/>
              </w:rPr>
              <w:t>bLf</w:t>
            </w:r>
            <w:proofErr w:type="spellEnd"/>
            <w:r w:rsidRPr="0682D99A">
              <w:rPr>
                <w:rFonts w:eastAsia="Arial" w:cs="Arial"/>
                <w:sz w:val="20"/>
                <w:szCs w:val="20"/>
              </w:rPr>
              <w:t>: not stated.</w:t>
            </w:r>
          </w:p>
          <w:p w14:paraId="1584A314" w14:textId="77777777" w:rsidR="00C017A8" w:rsidRDefault="00C017A8" w:rsidP="00110B65">
            <w:pPr>
              <w:pStyle w:val="ListParagraph"/>
              <w:numPr>
                <w:ilvl w:val="0"/>
                <w:numId w:val="16"/>
              </w:numPr>
              <w:rPr>
                <w:rFonts w:eastAsia="Arial" w:cs="Arial"/>
                <w:sz w:val="20"/>
                <w:szCs w:val="20"/>
              </w:rPr>
            </w:pPr>
            <w:r w:rsidRPr="0682D99A">
              <w:rPr>
                <w:rFonts w:eastAsia="Arial" w:cs="Arial"/>
                <w:sz w:val="20"/>
                <w:szCs w:val="20"/>
              </w:rPr>
              <w:t xml:space="preserve">Infant age at enrolment: </w:t>
            </w:r>
            <w:r w:rsidRPr="0682D99A">
              <w:rPr>
                <w:rFonts w:eastAsia="Arial" w:cs="Arial"/>
                <w:sz w:val="20"/>
                <w:szCs w:val="20"/>
                <w:lang w:val="en-AU"/>
              </w:rPr>
              <w:t>6 ± 2 weeks</w:t>
            </w:r>
            <w:r w:rsidRPr="0682D99A">
              <w:rPr>
                <w:rFonts w:eastAsia="Arial" w:cs="Arial"/>
                <w:sz w:val="20"/>
                <w:szCs w:val="20"/>
              </w:rPr>
              <w:t>.</w:t>
            </w:r>
          </w:p>
          <w:p w14:paraId="1C70E4CC" w14:textId="77777777" w:rsidR="00C017A8" w:rsidRDefault="00C017A8" w:rsidP="00110B65">
            <w:pPr>
              <w:pStyle w:val="ListParagraph"/>
              <w:numPr>
                <w:ilvl w:val="0"/>
                <w:numId w:val="16"/>
              </w:numPr>
              <w:rPr>
                <w:rFonts w:eastAsia="Arial" w:cs="Arial"/>
                <w:sz w:val="20"/>
                <w:szCs w:val="20"/>
              </w:rPr>
            </w:pPr>
            <w:r w:rsidRPr="0682D99A">
              <w:rPr>
                <w:rFonts w:eastAsia="Arial" w:cs="Arial"/>
                <w:sz w:val="20"/>
                <w:szCs w:val="20"/>
              </w:rPr>
              <w:t>Exploratory or hypothesis generating study.</w:t>
            </w:r>
          </w:p>
          <w:p w14:paraId="3206383B" w14:textId="77777777" w:rsidR="00C017A8" w:rsidRDefault="00C017A8" w:rsidP="00110B65">
            <w:pPr>
              <w:pStyle w:val="ListParagraph"/>
              <w:numPr>
                <w:ilvl w:val="0"/>
                <w:numId w:val="16"/>
              </w:numPr>
              <w:rPr>
                <w:rFonts w:eastAsia="Arial" w:cs="Arial"/>
                <w:sz w:val="20"/>
                <w:szCs w:val="20"/>
              </w:rPr>
            </w:pPr>
            <w:r w:rsidRPr="0682D99A">
              <w:rPr>
                <w:rFonts w:eastAsia="Arial" w:cs="Arial"/>
                <w:sz w:val="20"/>
                <w:szCs w:val="20"/>
              </w:rPr>
              <w:t>Inadequately small sample size: ~10 per intervention group.</w:t>
            </w:r>
          </w:p>
        </w:tc>
      </w:tr>
      <w:tr w:rsidR="00C017A8" w14:paraId="05088F27" w14:textId="77777777" w:rsidTr="00110B65">
        <w:tc>
          <w:tcPr>
            <w:tcW w:w="2865" w:type="dxa"/>
            <w:tcBorders>
              <w:top w:val="single" w:sz="6" w:space="0" w:color="auto"/>
              <w:left w:val="single" w:sz="6" w:space="0" w:color="auto"/>
              <w:bottom w:val="single" w:sz="6" w:space="0" w:color="auto"/>
              <w:right w:val="single" w:sz="6" w:space="0" w:color="auto"/>
            </w:tcBorders>
          </w:tcPr>
          <w:p w14:paraId="50EB8EEE" w14:textId="77777777" w:rsidR="00C017A8" w:rsidRDefault="00C017A8" w:rsidP="00110B65">
            <w:pPr>
              <w:rPr>
                <w:rFonts w:eastAsia="Arial" w:cs="Arial"/>
                <w:color w:val="000000" w:themeColor="text1"/>
                <w:sz w:val="20"/>
                <w:szCs w:val="20"/>
              </w:rPr>
            </w:pPr>
            <w:proofErr w:type="spellStart"/>
            <w:r w:rsidRPr="0682D99A">
              <w:rPr>
                <w:rFonts w:eastAsia="Arial" w:cs="Arial"/>
                <w:color w:val="000000" w:themeColor="text1"/>
                <w:sz w:val="20"/>
                <w:szCs w:val="20"/>
                <w:lang w:val="en-AU"/>
              </w:rPr>
              <w:t>Hernell</w:t>
            </w:r>
            <w:proofErr w:type="spellEnd"/>
            <w:r w:rsidRPr="0682D99A">
              <w:rPr>
                <w:rFonts w:eastAsia="Arial" w:cs="Arial"/>
                <w:color w:val="000000" w:themeColor="text1"/>
                <w:sz w:val="20"/>
                <w:szCs w:val="20"/>
                <w:lang w:val="en-AU"/>
              </w:rPr>
              <w:t xml:space="preserve"> &amp; </w:t>
            </w:r>
            <w:proofErr w:type="spellStart"/>
            <w:r w:rsidRPr="0682D99A">
              <w:rPr>
                <w:rFonts w:eastAsia="Arial" w:cs="Arial"/>
                <w:color w:val="000000" w:themeColor="text1"/>
                <w:sz w:val="20"/>
                <w:szCs w:val="20"/>
                <w:lang w:val="en-AU"/>
              </w:rPr>
              <w:t>Lönnerdal</w:t>
            </w:r>
            <w:proofErr w:type="spellEnd"/>
            <w:r w:rsidRPr="0682D99A">
              <w:rPr>
                <w:rFonts w:eastAsia="Arial" w:cs="Arial"/>
                <w:color w:val="000000" w:themeColor="text1"/>
                <w:sz w:val="20"/>
                <w:szCs w:val="20"/>
                <w:lang w:val="en-AU"/>
              </w:rPr>
              <w:t xml:space="preserve"> (2002)</w:t>
            </w:r>
          </w:p>
        </w:tc>
        <w:tc>
          <w:tcPr>
            <w:tcW w:w="6180" w:type="dxa"/>
            <w:tcBorders>
              <w:top w:val="single" w:sz="6" w:space="0" w:color="auto"/>
              <w:left w:val="single" w:sz="6" w:space="0" w:color="auto"/>
              <w:bottom w:val="single" w:sz="6" w:space="0" w:color="auto"/>
              <w:right w:val="single" w:sz="6" w:space="0" w:color="auto"/>
            </w:tcBorders>
          </w:tcPr>
          <w:p w14:paraId="77D70E75" w14:textId="77777777" w:rsidR="00C017A8" w:rsidRDefault="00C017A8" w:rsidP="00110B65">
            <w:pPr>
              <w:pStyle w:val="ListParagraph"/>
              <w:numPr>
                <w:ilvl w:val="0"/>
                <w:numId w:val="15"/>
              </w:numPr>
              <w:rPr>
                <w:rFonts w:eastAsia="Arial" w:cs="Arial"/>
                <w:sz w:val="20"/>
                <w:szCs w:val="20"/>
              </w:rPr>
            </w:pPr>
            <w:r w:rsidRPr="0682D99A">
              <w:rPr>
                <w:rFonts w:eastAsia="Arial" w:cs="Arial"/>
                <w:sz w:val="20"/>
                <w:szCs w:val="20"/>
              </w:rPr>
              <w:t xml:space="preserve">Iron content: </w:t>
            </w:r>
            <w:proofErr w:type="spellStart"/>
            <w:r w:rsidRPr="0682D99A">
              <w:rPr>
                <w:rFonts w:eastAsia="Arial" w:cs="Arial"/>
                <w:sz w:val="20"/>
                <w:szCs w:val="20"/>
              </w:rPr>
              <w:t>bLf</w:t>
            </w:r>
            <w:proofErr w:type="spellEnd"/>
            <w:r w:rsidRPr="0682D99A">
              <w:rPr>
                <w:rFonts w:eastAsia="Arial" w:cs="Arial"/>
                <w:sz w:val="20"/>
                <w:szCs w:val="20"/>
              </w:rPr>
              <w:t>-IFP was 67% lower, and non-</w:t>
            </w:r>
            <w:proofErr w:type="spellStart"/>
            <w:r w:rsidRPr="0682D99A">
              <w:rPr>
                <w:rFonts w:eastAsia="Arial" w:cs="Arial"/>
                <w:sz w:val="20"/>
                <w:szCs w:val="20"/>
              </w:rPr>
              <w:t>bLf</w:t>
            </w:r>
            <w:proofErr w:type="spellEnd"/>
            <w:r w:rsidRPr="2B0B80FC">
              <w:rPr>
                <w:rFonts w:eastAsia="Arial" w:cs="Arial"/>
                <w:sz w:val="20"/>
                <w:szCs w:val="20"/>
              </w:rPr>
              <w:t>-</w:t>
            </w:r>
            <w:r w:rsidRPr="0682D99A">
              <w:rPr>
                <w:rFonts w:eastAsia="Arial" w:cs="Arial"/>
                <w:sz w:val="20"/>
                <w:szCs w:val="20"/>
              </w:rPr>
              <w:t>IFP was 71% lower, than minimum level prescribed in Code.</w:t>
            </w:r>
          </w:p>
          <w:p w14:paraId="1052A215" w14:textId="77777777" w:rsidR="00C017A8" w:rsidRDefault="00C017A8" w:rsidP="00110B65">
            <w:pPr>
              <w:pStyle w:val="ListParagraph"/>
              <w:numPr>
                <w:ilvl w:val="0"/>
                <w:numId w:val="15"/>
              </w:numPr>
              <w:rPr>
                <w:rFonts w:eastAsia="Arial" w:cs="Arial"/>
                <w:sz w:val="20"/>
                <w:szCs w:val="20"/>
              </w:rPr>
            </w:pPr>
            <w:r w:rsidRPr="0682D99A">
              <w:rPr>
                <w:rFonts w:eastAsia="Arial" w:cs="Arial"/>
                <w:sz w:val="20"/>
                <w:szCs w:val="20"/>
              </w:rPr>
              <w:t xml:space="preserve">Iron saturation of </w:t>
            </w:r>
            <w:proofErr w:type="spellStart"/>
            <w:r w:rsidRPr="0682D99A">
              <w:rPr>
                <w:rFonts w:eastAsia="Arial" w:cs="Arial"/>
                <w:sz w:val="20"/>
                <w:szCs w:val="20"/>
              </w:rPr>
              <w:t>bLf</w:t>
            </w:r>
            <w:proofErr w:type="spellEnd"/>
            <w:r w:rsidRPr="0682D99A">
              <w:rPr>
                <w:rFonts w:eastAsia="Arial" w:cs="Arial"/>
                <w:sz w:val="20"/>
                <w:szCs w:val="20"/>
              </w:rPr>
              <w:t>: 88.6% (i.e. higher than the Application’s specifications and that of human milk).</w:t>
            </w:r>
          </w:p>
          <w:p w14:paraId="4D20B19B" w14:textId="77777777" w:rsidR="00C017A8" w:rsidRDefault="00C017A8" w:rsidP="00110B65">
            <w:pPr>
              <w:pStyle w:val="ListParagraph"/>
              <w:numPr>
                <w:ilvl w:val="0"/>
                <w:numId w:val="15"/>
              </w:numPr>
              <w:rPr>
                <w:rFonts w:eastAsia="Arial" w:cs="Arial"/>
                <w:sz w:val="20"/>
                <w:szCs w:val="20"/>
              </w:rPr>
            </w:pPr>
            <w:r w:rsidRPr="0682D99A">
              <w:rPr>
                <w:rFonts w:eastAsia="Arial" w:cs="Arial"/>
                <w:sz w:val="20"/>
                <w:szCs w:val="20"/>
              </w:rPr>
              <w:t>Infant age at enrolment:</w:t>
            </w:r>
            <w:r w:rsidRPr="0682D99A">
              <w:rPr>
                <w:rFonts w:eastAsia="Arial" w:cs="Arial"/>
                <w:b/>
                <w:bCs/>
                <w:sz w:val="20"/>
                <w:szCs w:val="20"/>
              </w:rPr>
              <w:t xml:space="preserve"> </w:t>
            </w:r>
            <w:r w:rsidRPr="0682D99A">
              <w:rPr>
                <w:rFonts w:eastAsia="Arial" w:cs="Arial"/>
                <w:sz w:val="20"/>
                <w:szCs w:val="20"/>
                <w:lang w:val="en-AU"/>
              </w:rPr>
              <w:t>4 ± 2 weeks</w:t>
            </w:r>
            <w:r w:rsidRPr="0682D99A">
              <w:rPr>
                <w:rFonts w:eastAsia="Arial" w:cs="Arial"/>
                <w:sz w:val="20"/>
                <w:szCs w:val="20"/>
              </w:rPr>
              <w:t>.</w:t>
            </w:r>
          </w:p>
          <w:p w14:paraId="7A4A6710" w14:textId="77777777" w:rsidR="00C017A8" w:rsidRDefault="00C017A8" w:rsidP="00110B65">
            <w:pPr>
              <w:pStyle w:val="ListParagraph"/>
              <w:numPr>
                <w:ilvl w:val="0"/>
                <w:numId w:val="15"/>
              </w:numPr>
              <w:rPr>
                <w:rFonts w:eastAsia="Arial" w:cs="Arial"/>
                <w:sz w:val="20"/>
                <w:szCs w:val="20"/>
              </w:rPr>
            </w:pPr>
            <w:r w:rsidRPr="0682D99A">
              <w:rPr>
                <w:rFonts w:eastAsia="Arial" w:cs="Arial"/>
                <w:sz w:val="20"/>
                <w:szCs w:val="20"/>
              </w:rPr>
              <w:t>Exploratory or hypothesis generating study.</w:t>
            </w:r>
          </w:p>
          <w:p w14:paraId="1360D643" w14:textId="77777777" w:rsidR="00C017A8" w:rsidRDefault="00C017A8" w:rsidP="00110B65">
            <w:pPr>
              <w:pStyle w:val="ListParagraph"/>
              <w:numPr>
                <w:ilvl w:val="0"/>
                <w:numId w:val="15"/>
              </w:numPr>
              <w:rPr>
                <w:rFonts w:eastAsia="Arial" w:cs="Arial"/>
                <w:sz w:val="20"/>
                <w:szCs w:val="20"/>
              </w:rPr>
            </w:pPr>
            <w:r w:rsidRPr="0682D99A">
              <w:rPr>
                <w:rFonts w:eastAsia="Arial" w:cs="Arial"/>
                <w:sz w:val="20"/>
                <w:szCs w:val="20"/>
              </w:rPr>
              <w:t>Inadequately small sample size: 10 per intervention group.</w:t>
            </w:r>
          </w:p>
        </w:tc>
      </w:tr>
      <w:tr w:rsidR="00C017A8" w14:paraId="71417F5A" w14:textId="77777777" w:rsidTr="00110B65">
        <w:tc>
          <w:tcPr>
            <w:tcW w:w="2865" w:type="dxa"/>
            <w:tcBorders>
              <w:top w:val="single" w:sz="6" w:space="0" w:color="auto"/>
              <w:left w:val="single" w:sz="6" w:space="0" w:color="auto"/>
              <w:bottom w:val="single" w:sz="6" w:space="0" w:color="auto"/>
              <w:right w:val="single" w:sz="6" w:space="0" w:color="auto"/>
            </w:tcBorders>
            <w:shd w:val="clear" w:color="auto" w:fill="ECECEC"/>
          </w:tcPr>
          <w:p w14:paraId="3468713C" w14:textId="77777777" w:rsidR="00C017A8" w:rsidRDefault="00C017A8" w:rsidP="00110B65">
            <w:pPr>
              <w:rPr>
                <w:rFonts w:eastAsia="Arial" w:cs="Arial"/>
                <w:color w:val="000000" w:themeColor="text1"/>
                <w:sz w:val="20"/>
                <w:szCs w:val="20"/>
              </w:rPr>
            </w:pPr>
            <w:proofErr w:type="spellStart"/>
            <w:r w:rsidRPr="0682D99A">
              <w:rPr>
                <w:rFonts w:eastAsia="Arial" w:cs="Arial"/>
                <w:color w:val="000000" w:themeColor="text1"/>
                <w:sz w:val="20"/>
                <w:szCs w:val="20"/>
              </w:rPr>
              <w:t>Björmsjö</w:t>
            </w:r>
            <w:proofErr w:type="spellEnd"/>
            <w:r w:rsidRPr="0682D99A">
              <w:rPr>
                <w:rFonts w:eastAsia="Arial" w:cs="Arial"/>
                <w:sz w:val="24"/>
              </w:rPr>
              <w:t xml:space="preserve"> </w:t>
            </w:r>
            <w:r w:rsidRPr="0682D99A">
              <w:rPr>
                <w:rFonts w:eastAsia="Arial" w:cs="Arial"/>
                <w:color w:val="000000" w:themeColor="text1"/>
                <w:sz w:val="20"/>
                <w:szCs w:val="20"/>
              </w:rPr>
              <w:t>et al. (2021)</w:t>
            </w:r>
          </w:p>
        </w:tc>
        <w:tc>
          <w:tcPr>
            <w:tcW w:w="6180" w:type="dxa"/>
            <w:tcBorders>
              <w:top w:val="single" w:sz="6" w:space="0" w:color="auto"/>
              <w:left w:val="single" w:sz="6" w:space="0" w:color="auto"/>
              <w:bottom w:val="single" w:sz="6" w:space="0" w:color="auto"/>
              <w:right w:val="single" w:sz="6" w:space="0" w:color="auto"/>
            </w:tcBorders>
            <w:shd w:val="clear" w:color="auto" w:fill="ECECEC"/>
          </w:tcPr>
          <w:p w14:paraId="25CCC8C4" w14:textId="77777777" w:rsidR="00C017A8" w:rsidRDefault="00C017A8" w:rsidP="00110B65">
            <w:pPr>
              <w:pStyle w:val="ListParagraph"/>
              <w:numPr>
                <w:ilvl w:val="0"/>
                <w:numId w:val="14"/>
              </w:numPr>
              <w:rPr>
                <w:rFonts w:eastAsia="Arial" w:cs="Arial"/>
                <w:sz w:val="20"/>
                <w:szCs w:val="20"/>
              </w:rPr>
            </w:pPr>
            <w:r w:rsidRPr="0682D99A">
              <w:rPr>
                <w:rFonts w:eastAsia="Arial" w:cs="Arial"/>
                <w:sz w:val="20"/>
                <w:szCs w:val="20"/>
              </w:rPr>
              <w:t xml:space="preserve">Iron content: </w:t>
            </w:r>
            <w:proofErr w:type="spellStart"/>
            <w:r w:rsidRPr="0682D99A">
              <w:rPr>
                <w:rFonts w:eastAsia="Arial" w:cs="Arial"/>
                <w:sz w:val="20"/>
                <w:szCs w:val="20"/>
              </w:rPr>
              <w:t>bLf</w:t>
            </w:r>
            <w:proofErr w:type="spellEnd"/>
            <w:r w:rsidRPr="0682D99A">
              <w:rPr>
                <w:rFonts w:eastAsia="Arial" w:cs="Arial"/>
                <w:sz w:val="20"/>
                <w:szCs w:val="20"/>
              </w:rPr>
              <w:t>-IFP and non-</w:t>
            </w:r>
            <w:proofErr w:type="spellStart"/>
            <w:r w:rsidRPr="0682D99A">
              <w:rPr>
                <w:rFonts w:eastAsia="Arial" w:cs="Arial"/>
                <w:sz w:val="20"/>
                <w:szCs w:val="20"/>
              </w:rPr>
              <w:t>bLf</w:t>
            </w:r>
            <w:proofErr w:type="spellEnd"/>
            <w:r w:rsidRPr="0682D99A">
              <w:rPr>
                <w:rFonts w:eastAsia="Arial" w:cs="Arial"/>
                <w:sz w:val="20"/>
                <w:szCs w:val="20"/>
              </w:rPr>
              <w:t>-IFP was 64% lower than minimum level prescribed in Code.</w:t>
            </w:r>
          </w:p>
          <w:p w14:paraId="3C3EC2FF" w14:textId="77777777" w:rsidR="00C017A8" w:rsidRDefault="00C017A8" w:rsidP="00110B65">
            <w:pPr>
              <w:pStyle w:val="ListParagraph"/>
              <w:numPr>
                <w:ilvl w:val="0"/>
                <w:numId w:val="14"/>
              </w:numPr>
              <w:rPr>
                <w:rFonts w:eastAsia="Arial" w:cs="Arial"/>
                <w:sz w:val="20"/>
                <w:szCs w:val="20"/>
              </w:rPr>
            </w:pPr>
            <w:r w:rsidRPr="0682D99A">
              <w:rPr>
                <w:rFonts w:eastAsia="Arial" w:cs="Arial"/>
                <w:sz w:val="20"/>
                <w:szCs w:val="20"/>
              </w:rPr>
              <w:t xml:space="preserve">Iron saturation of </w:t>
            </w:r>
            <w:proofErr w:type="spellStart"/>
            <w:r w:rsidRPr="0682D99A">
              <w:rPr>
                <w:rFonts w:eastAsia="Arial" w:cs="Arial"/>
                <w:sz w:val="20"/>
                <w:szCs w:val="20"/>
              </w:rPr>
              <w:t>bLf</w:t>
            </w:r>
            <w:proofErr w:type="spellEnd"/>
            <w:r w:rsidRPr="0682D99A">
              <w:rPr>
                <w:rFonts w:eastAsia="Arial" w:cs="Arial"/>
                <w:sz w:val="20"/>
                <w:szCs w:val="20"/>
              </w:rPr>
              <w:t>: not stated.</w:t>
            </w:r>
          </w:p>
          <w:p w14:paraId="4ECB8887" w14:textId="77777777" w:rsidR="00C017A8" w:rsidRDefault="00C017A8" w:rsidP="00110B65">
            <w:pPr>
              <w:pStyle w:val="ListParagraph"/>
              <w:numPr>
                <w:ilvl w:val="0"/>
                <w:numId w:val="14"/>
              </w:numPr>
              <w:rPr>
                <w:rFonts w:eastAsia="Arial" w:cs="Arial"/>
                <w:sz w:val="20"/>
                <w:szCs w:val="20"/>
              </w:rPr>
            </w:pPr>
            <w:r w:rsidRPr="0682D99A">
              <w:rPr>
                <w:rFonts w:eastAsia="Arial" w:cs="Arial"/>
                <w:sz w:val="20"/>
                <w:szCs w:val="20"/>
              </w:rPr>
              <w:t xml:space="preserve">Infant age at enrolment: </w:t>
            </w:r>
            <w:r w:rsidRPr="0682D99A">
              <w:rPr>
                <w:rFonts w:eastAsia="Arial" w:cs="Arial"/>
                <w:sz w:val="20"/>
                <w:szCs w:val="20"/>
                <w:lang w:val="en-AU"/>
              </w:rPr>
              <w:t>6 ± 2 weeks</w:t>
            </w:r>
            <w:r w:rsidRPr="0682D99A">
              <w:rPr>
                <w:rFonts w:eastAsia="Arial" w:cs="Arial"/>
                <w:sz w:val="20"/>
                <w:szCs w:val="20"/>
              </w:rPr>
              <w:t>.</w:t>
            </w:r>
          </w:p>
        </w:tc>
      </w:tr>
      <w:tr w:rsidR="00C017A8" w:rsidRPr="00830D33" w14:paraId="69241AC9" w14:textId="77777777" w:rsidTr="00110B65">
        <w:tc>
          <w:tcPr>
            <w:tcW w:w="9045" w:type="dxa"/>
            <w:gridSpan w:val="2"/>
            <w:tcBorders>
              <w:top w:val="single" w:sz="6" w:space="0" w:color="auto"/>
              <w:left w:val="single" w:sz="6" w:space="0" w:color="auto"/>
              <w:bottom w:val="single" w:sz="6" w:space="0" w:color="auto"/>
              <w:right w:val="single" w:sz="6" w:space="0" w:color="auto"/>
            </w:tcBorders>
            <w:shd w:val="clear" w:color="auto" w:fill="616571"/>
          </w:tcPr>
          <w:p w14:paraId="78BF9781" w14:textId="77777777" w:rsidR="00C017A8" w:rsidRPr="00830D33" w:rsidRDefault="00C017A8" w:rsidP="00110B65">
            <w:pPr>
              <w:pStyle w:val="FSTableHeading"/>
              <w:rPr>
                <w:rFonts w:eastAsia="Arial"/>
                <w:color w:val="FFFFFF" w:themeColor="background1"/>
              </w:rPr>
            </w:pPr>
            <w:r w:rsidRPr="0443C3B0">
              <w:rPr>
                <w:rFonts w:eastAsia="Arial"/>
                <w:color w:val="FFFFFF" w:themeColor="background1"/>
              </w:rPr>
              <w:t>Objective:</w:t>
            </w:r>
            <w:r w:rsidRPr="00830D33">
              <w:rPr>
                <w:rFonts w:eastAsia="Arial"/>
                <w:color w:val="FFFFFF" w:themeColor="background1"/>
              </w:rPr>
              <w:t xml:space="preserve"> </w:t>
            </w:r>
            <w:r w:rsidRPr="35C5100E">
              <w:rPr>
                <w:rFonts w:eastAsia="Arial"/>
                <w:color w:val="FFFFFF" w:themeColor="background1"/>
              </w:rPr>
              <w:t>compare</w:t>
            </w:r>
            <w:r w:rsidRPr="00830D33">
              <w:rPr>
                <w:rFonts w:eastAsia="Arial"/>
                <w:color w:val="FFFFFF" w:themeColor="background1"/>
              </w:rPr>
              <w:t xml:space="preserve"> the </w:t>
            </w:r>
            <w:r w:rsidRPr="5884E60A">
              <w:rPr>
                <w:rFonts w:eastAsia="Arial"/>
                <w:color w:val="FFFFFF" w:themeColor="background1"/>
              </w:rPr>
              <w:t>effect of consuming</w:t>
            </w:r>
            <w:r w:rsidRPr="00830D33">
              <w:rPr>
                <w:rFonts w:eastAsia="Arial"/>
                <w:color w:val="FFFFFF" w:themeColor="background1"/>
              </w:rPr>
              <w:t xml:space="preserve"> of </w:t>
            </w:r>
            <w:proofErr w:type="spellStart"/>
            <w:r w:rsidRPr="00830D33">
              <w:rPr>
                <w:rFonts w:eastAsia="Arial"/>
                <w:color w:val="FFFFFF" w:themeColor="background1"/>
              </w:rPr>
              <w:t>bLf</w:t>
            </w:r>
            <w:proofErr w:type="spellEnd"/>
            <w:r w:rsidRPr="00830D33">
              <w:rPr>
                <w:rFonts w:eastAsia="Arial"/>
                <w:color w:val="FFFFFF" w:themeColor="background1"/>
              </w:rPr>
              <w:t xml:space="preserve">-IFP at the proposed maximum permitted amount, with the consumption of </w:t>
            </w:r>
            <w:r w:rsidRPr="6B84FCD3">
              <w:rPr>
                <w:rFonts w:eastAsia="Arial"/>
                <w:color w:val="FFFFFF" w:themeColor="background1"/>
              </w:rPr>
              <w:t xml:space="preserve">IFP without added </w:t>
            </w:r>
            <w:proofErr w:type="spellStart"/>
            <w:r w:rsidRPr="00830D33">
              <w:rPr>
                <w:rFonts w:eastAsia="Arial"/>
                <w:color w:val="FFFFFF" w:themeColor="background1"/>
              </w:rPr>
              <w:t>bLf</w:t>
            </w:r>
            <w:proofErr w:type="spellEnd"/>
            <w:r w:rsidRPr="6B84FCD3">
              <w:rPr>
                <w:rFonts w:eastAsia="Arial"/>
                <w:color w:val="FFFFFF" w:themeColor="background1"/>
              </w:rPr>
              <w:t>.</w:t>
            </w:r>
          </w:p>
        </w:tc>
      </w:tr>
      <w:tr w:rsidR="00C017A8" w14:paraId="25E8CCB2" w14:textId="77777777" w:rsidTr="00110B65">
        <w:tc>
          <w:tcPr>
            <w:tcW w:w="2865" w:type="dxa"/>
            <w:tcBorders>
              <w:top w:val="single" w:sz="6" w:space="0" w:color="auto"/>
              <w:left w:val="single" w:sz="6" w:space="0" w:color="auto"/>
              <w:bottom w:val="single" w:sz="6" w:space="0" w:color="auto"/>
              <w:right w:val="single" w:sz="6" w:space="0" w:color="auto"/>
            </w:tcBorders>
            <w:shd w:val="clear" w:color="auto" w:fill="ECECEC"/>
          </w:tcPr>
          <w:p w14:paraId="292472A7" w14:textId="77777777" w:rsidR="00C017A8" w:rsidRDefault="00C017A8" w:rsidP="00110B65">
            <w:pPr>
              <w:rPr>
                <w:rFonts w:eastAsia="Arial" w:cs="Arial"/>
                <w:color w:val="000000" w:themeColor="text1"/>
                <w:sz w:val="20"/>
                <w:szCs w:val="20"/>
              </w:rPr>
            </w:pPr>
            <w:r w:rsidRPr="0682D99A">
              <w:rPr>
                <w:rFonts w:eastAsia="Arial" w:cs="Arial"/>
                <w:color w:val="000000" w:themeColor="text1"/>
                <w:sz w:val="20"/>
                <w:szCs w:val="20"/>
              </w:rPr>
              <w:t>King et al. (2007)</w:t>
            </w:r>
          </w:p>
        </w:tc>
        <w:tc>
          <w:tcPr>
            <w:tcW w:w="6180" w:type="dxa"/>
            <w:tcBorders>
              <w:top w:val="nil"/>
              <w:left w:val="single" w:sz="6" w:space="0" w:color="auto"/>
              <w:bottom w:val="single" w:sz="6" w:space="0" w:color="auto"/>
              <w:right w:val="single" w:sz="6" w:space="0" w:color="auto"/>
            </w:tcBorders>
            <w:shd w:val="clear" w:color="auto" w:fill="ECECEC"/>
          </w:tcPr>
          <w:p w14:paraId="764F3E24" w14:textId="77777777" w:rsidR="00C017A8" w:rsidRDefault="00C017A8" w:rsidP="00110B65">
            <w:pPr>
              <w:pStyle w:val="ListParagraph"/>
              <w:numPr>
                <w:ilvl w:val="0"/>
                <w:numId w:val="14"/>
              </w:numPr>
              <w:rPr>
                <w:rFonts w:eastAsia="Arial" w:cs="Arial"/>
                <w:sz w:val="20"/>
                <w:szCs w:val="20"/>
              </w:rPr>
            </w:pPr>
            <w:proofErr w:type="spellStart"/>
            <w:r w:rsidRPr="0682D99A">
              <w:rPr>
                <w:rFonts w:eastAsia="Arial" w:cs="Arial"/>
                <w:sz w:val="20"/>
                <w:szCs w:val="20"/>
              </w:rPr>
              <w:t>bLf</w:t>
            </w:r>
            <w:proofErr w:type="spellEnd"/>
            <w:r w:rsidRPr="0682D99A">
              <w:rPr>
                <w:rFonts w:eastAsia="Arial" w:cs="Arial"/>
                <w:sz w:val="20"/>
                <w:szCs w:val="20"/>
              </w:rPr>
              <w:t xml:space="preserve"> content of intervention group: 23% less </w:t>
            </w:r>
            <w:proofErr w:type="spellStart"/>
            <w:r w:rsidRPr="0682D99A">
              <w:rPr>
                <w:rFonts w:eastAsia="Arial" w:cs="Arial"/>
                <w:sz w:val="20"/>
                <w:szCs w:val="20"/>
              </w:rPr>
              <w:t>bLf</w:t>
            </w:r>
            <w:proofErr w:type="spellEnd"/>
            <w:r w:rsidRPr="0682D99A">
              <w:rPr>
                <w:rFonts w:eastAsia="Arial" w:cs="Arial"/>
                <w:sz w:val="20"/>
                <w:szCs w:val="20"/>
              </w:rPr>
              <w:t xml:space="preserve"> than that specified by the Application.</w:t>
            </w:r>
          </w:p>
          <w:p w14:paraId="590FE43C" w14:textId="77777777" w:rsidR="00C017A8" w:rsidRDefault="00C017A8" w:rsidP="00110B65">
            <w:pPr>
              <w:pStyle w:val="ListParagraph"/>
              <w:numPr>
                <w:ilvl w:val="0"/>
                <w:numId w:val="14"/>
              </w:numPr>
              <w:tabs>
                <w:tab w:val="left" w:pos="720"/>
              </w:tabs>
              <w:rPr>
                <w:rFonts w:eastAsia="Arial" w:cs="Arial"/>
                <w:sz w:val="20"/>
                <w:szCs w:val="20"/>
              </w:rPr>
            </w:pPr>
            <w:proofErr w:type="spellStart"/>
            <w:r w:rsidRPr="0682D99A">
              <w:rPr>
                <w:rFonts w:eastAsia="Arial" w:cs="Arial"/>
                <w:sz w:val="20"/>
                <w:szCs w:val="20"/>
              </w:rPr>
              <w:t>bLf</w:t>
            </w:r>
            <w:proofErr w:type="spellEnd"/>
            <w:r w:rsidRPr="0682D99A">
              <w:rPr>
                <w:rFonts w:eastAsia="Arial" w:cs="Arial"/>
                <w:sz w:val="20"/>
                <w:szCs w:val="20"/>
              </w:rPr>
              <w:t xml:space="preserve"> content of comparator group: 102 mg </w:t>
            </w:r>
            <w:proofErr w:type="spellStart"/>
            <w:r w:rsidRPr="0682D99A">
              <w:rPr>
                <w:rFonts w:eastAsia="Arial" w:cs="Arial"/>
                <w:sz w:val="20"/>
                <w:szCs w:val="20"/>
              </w:rPr>
              <w:t>bLf</w:t>
            </w:r>
            <w:proofErr w:type="spellEnd"/>
            <w:r w:rsidRPr="0682D99A">
              <w:rPr>
                <w:rFonts w:eastAsia="Arial" w:cs="Arial"/>
                <w:sz w:val="20"/>
                <w:szCs w:val="20"/>
              </w:rPr>
              <w:t xml:space="preserve">/L instead of 0 mg </w:t>
            </w:r>
            <w:proofErr w:type="spellStart"/>
            <w:r w:rsidRPr="0682D99A">
              <w:rPr>
                <w:rFonts w:eastAsia="Arial" w:cs="Arial"/>
                <w:sz w:val="20"/>
                <w:szCs w:val="20"/>
              </w:rPr>
              <w:t>bLf</w:t>
            </w:r>
            <w:proofErr w:type="spellEnd"/>
            <w:r w:rsidRPr="0682D99A">
              <w:rPr>
                <w:rFonts w:eastAsia="Arial" w:cs="Arial"/>
                <w:sz w:val="20"/>
                <w:szCs w:val="20"/>
              </w:rPr>
              <w:t>/L for a meaningful comparison.</w:t>
            </w:r>
            <w:r w:rsidRPr="0682D99A">
              <w:rPr>
                <w:rFonts w:eastAsia="Arial" w:cs="Arial"/>
                <w:sz w:val="20"/>
                <w:szCs w:val="20"/>
                <w:lang w:val="en-US"/>
              </w:rPr>
              <w:t xml:space="preserve"> </w:t>
            </w:r>
          </w:p>
          <w:p w14:paraId="51B3C70F" w14:textId="77777777" w:rsidR="00C017A8" w:rsidRDefault="00C017A8" w:rsidP="00110B65">
            <w:pPr>
              <w:pStyle w:val="ListParagraph"/>
              <w:numPr>
                <w:ilvl w:val="0"/>
                <w:numId w:val="14"/>
              </w:numPr>
              <w:tabs>
                <w:tab w:val="left" w:pos="720"/>
              </w:tabs>
              <w:rPr>
                <w:rFonts w:eastAsia="Arial" w:cs="Arial"/>
                <w:color w:val="000000" w:themeColor="text1"/>
                <w:sz w:val="20"/>
                <w:szCs w:val="20"/>
              </w:rPr>
            </w:pPr>
            <w:r w:rsidRPr="0682D99A">
              <w:rPr>
                <w:rFonts w:eastAsia="Arial" w:cs="Arial"/>
                <w:color w:val="000000" w:themeColor="text1"/>
                <w:sz w:val="20"/>
                <w:szCs w:val="20"/>
              </w:rPr>
              <w:t>Iron content:</w:t>
            </w:r>
            <w:r w:rsidRPr="0682D99A">
              <w:rPr>
                <w:rFonts w:eastAsia="Arial" w:cs="Arial"/>
                <w:sz w:val="20"/>
                <w:szCs w:val="20"/>
              </w:rPr>
              <w:t xml:space="preserve"> </w:t>
            </w:r>
            <w:proofErr w:type="spellStart"/>
            <w:r w:rsidRPr="0682D99A">
              <w:rPr>
                <w:rFonts w:eastAsia="Arial" w:cs="Arial"/>
                <w:sz w:val="20"/>
                <w:szCs w:val="20"/>
              </w:rPr>
              <w:t>bLf</w:t>
            </w:r>
            <w:proofErr w:type="spellEnd"/>
            <w:r w:rsidRPr="0682D99A">
              <w:rPr>
                <w:rFonts w:eastAsia="Arial" w:cs="Arial"/>
                <w:sz w:val="20"/>
                <w:szCs w:val="20"/>
              </w:rPr>
              <w:t>-IFP and low-</w:t>
            </w:r>
            <w:proofErr w:type="spellStart"/>
            <w:r w:rsidRPr="0682D99A">
              <w:rPr>
                <w:rFonts w:eastAsia="Arial" w:cs="Arial"/>
                <w:sz w:val="20"/>
                <w:szCs w:val="20"/>
              </w:rPr>
              <w:t>bLf</w:t>
            </w:r>
            <w:proofErr w:type="spellEnd"/>
            <w:r w:rsidRPr="0682D99A">
              <w:rPr>
                <w:rFonts w:eastAsia="Arial" w:cs="Arial"/>
                <w:sz w:val="20"/>
                <w:szCs w:val="20"/>
              </w:rPr>
              <w:t>-IFP was 45% lower than minimum level prescribed in Code.</w:t>
            </w:r>
            <w:r w:rsidRPr="0682D99A">
              <w:rPr>
                <w:rFonts w:eastAsia="Arial" w:cs="Arial"/>
                <w:color w:val="000000" w:themeColor="text1"/>
                <w:sz w:val="20"/>
                <w:szCs w:val="20"/>
              </w:rPr>
              <w:t xml:space="preserve"> </w:t>
            </w:r>
          </w:p>
          <w:p w14:paraId="78E86E8D" w14:textId="77777777" w:rsidR="00C017A8" w:rsidRDefault="00C017A8" w:rsidP="00110B65">
            <w:pPr>
              <w:pStyle w:val="ListParagraph"/>
              <w:numPr>
                <w:ilvl w:val="0"/>
                <w:numId w:val="14"/>
              </w:numPr>
              <w:tabs>
                <w:tab w:val="left" w:pos="720"/>
              </w:tabs>
              <w:rPr>
                <w:rFonts w:eastAsia="Arial" w:cs="Arial"/>
                <w:sz w:val="20"/>
                <w:szCs w:val="20"/>
              </w:rPr>
            </w:pPr>
            <w:r w:rsidRPr="0682D99A">
              <w:rPr>
                <w:rFonts w:eastAsia="Arial" w:cs="Arial"/>
                <w:sz w:val="20"/>
                <w:szCs w:val="20"/>
              </w:rPr>
              <w:t xml:space="preserve">Iron saturation of </w:t>
            </w:r>
            <w:proofErr w:type="spellStart"/>
            <w:r w:rsidRPr="0682D99A">
              <w:rPr>
                <w:rFonts w:eastAsia="Arial" w:cs="Arial"/>
                <w:sz w:val="20"/>
                <w:szCs w:val="20"/>
              </w:rPr>
              <w:t>bLf</w:t>
            </w:r>
            <w:proofErr w:type="spellEnd"/>
            <w:r w:rsidRPr="0682D99A">
              <w:rPr>
                <w:rFonts w:eastAsia="Arial" w:cs="Arial"/>
                <w:sz w:val="20"/>
                <w:szCs w:val="20"/>
              </w:rPr>
              <w:t>: not stated for comparator (low-</w:t>
            </w:r>
            <w:proofErr w:type="spellStart"/>
            <w:r w:rsidRPr="0682D99A">
              <w:rPr>
                <w:rFonts w:eastAsia="Arial" w:cs="Arial"/>
                <w:sz w:val="20"/>
                <w:szCs w:val="20"/>
              </w:rPr>
              <w:t>bLf</w:t>
            </w:r>
            <w:proofErr w:type="spellEnd"/>
            <w:r w:rsidRPr="0682D99A">
              <w:rPr>
                <w:rFonts w:eastAsia="Arial" w:cs="Arial"/>
                <w:sz w:val="20"/>
                <w:szCs w:val="20"/>
              </w:rPr>
              <w:t>-IFP).</w:t>
            </w:r>
          </w:p>
          <w:p w14:paraId="07E60AD7" w14:textId="77777777" w:rsidR="00C017A8" w:rsidRDefault="00C017A8" w:rsidP="00110B65">
            <w:pPr>
              <w:pStyle w:val="ListParagraph"/>
              <w:numPr>
                <w:ilvl w:val="0"/>
                <w:numId w:val="14"/>
              </w:numPr>
              <w:tabs>
                <w:tab w:val="left" w:pos="720"/>
              </w:tabs>
              <w:rPr>
                <w:rFonts w:eastAsia="Arial" w:cs="Arial"/>
                <w:color w:val="000000" w:themeColor="text1"/>
                <w:sz w:val="20"/>
                <w:szCs w:val="20"/>
              </w:rPr>
            </w:pPr>
            <w:r w:rsidRPr="0682D99A">
              <w:rPr>
                <w:rFonts w:eastAsia="Arial" w:cs="Arial"/>
                <w:sz w:val="20"/>
                <w:szCs w:val="20"/>
              </w:rPr>
              <w:t>Pilot study (i.e. e</w:t>
            </w:r>
            <w:r w:rsidRPr="0682D99A">
              <w:rPr>
                <w:rFonts w:eastAsia="Arial" w:cs="Arial"/>
                <w:color w:val="000000" w:themeColor="text1"/>
                <w:sz w:val="20"/>
                <w:szCs w:val="20"/>
              </w:rPr>
              <w:t>xploratory or hypothesis generating study).</w:t>
            </w:r>
          </w:p>
          <w:p w14:paraId="1F3A9813" w14:textId="77777777" w:rsidR="00C017A8" w:rsidRDefault="00C017A8" w:rsidP="00110B65">
            <w:pPr>
              <w:pStyle w:val="ListParagraph"/>
              <w:numPr>
                <w:ilvl w:val="0"/>
                <w:numId w:val="14"/>
              </w:numPr>
              <w:rPr>
                <w:rFonts w:eastAsia="Arial" w:cs="Arial"/>
                <w:color w:val="000000" w:themeColor="text1"/>
                <w:sz w:val="20"/>
                <w:szCs w:val="20"/>
              </w:rPr>
            </w:pPr>
            <w:r w:rsidRPr="0682D99A">
              <w:rPr>
                <w:rFonts w:eastAsia="Arial" w:cs="Arial"/>
                <w:sz w:val="20"/>
                <w:szCs w:val="20"/>
              </w:rPr>
              <w:t xml:space="preserve">Inadequately small sample size: </w:t>
            </w:r>
            <w:r w:rsidRPr="0682D99A">
              <w:rPr>
                <w:rFonts w:eastAsia="Arial" w:cs="Arial"/>
                <w:color w:val="000000" w:themeColor="text1"/>
                <w:sz w:val="20"/>
                <w:szCs w:val="20"/>
              </w:rPr>
              <w:t>26 per intervention group</w:t>
            </w:r>
          </w:p>
        </w:tc>
      </w:tr>
      <w:tr w:rsidR="00C017A8" w14:paraId="6556016B" w14:textId="77777777" w:rsidTr="00110B65">
        <w:tc>
          <w:tcPr>
            <w:tcW w:w="2865" w:type="dxa"/>
            <w:tcBorders>
              <w:top w:val="single" w:sz="6" w:space="0" w:color="auto"/>
              <w:left w:val="single" w:sz="6" w:space="0" w:color="auto"/>
              <w:bottom w:val="single" w:sz="6" w:space="0" w:color="auto"/>
              <w:right w:val="single" w:sz="6" w:space="0" w:color="auto"/>
            </w:tcBorders>
          </w:tcPr>
          <w:p w14:paraId="6F01A08D" w14:textId="77777777" w:rsidR="00C017A8" w:rsidRDefault="00C017A8" w:rsidP="00110B65">
            <w:pPr>
              <w:rPr>
                <w:rFonts w:eastAsia="Arial" w:cs="Arial"/>
                <w:color w:val="000000" w:themeColor="text1"/>
                <w:sz w:val="20"/>
                <w:szCs w:val="20"/>
              </w:rPr>
            </w:pPr>
            <w:r w:rsidRPr="0682D99A">
              <w:rPr>
                <w:rFonts w:eastAsia="Arial" w:cs="Arial"/>
                <w:color w:val="000000" w:themeColor="text1"/>
                <w:sz w:val="20"/>
                <w:szCs w:val="20"/>
              </w:rPr>
              <w:t>Johnston et al. (2015)</w:t>
            </w:r>
          </w:p>
        </w:tc>
        <w:tc>
          <w:tcPr>
            <w:tcW w:w="6180" w:type="dxa"/>
            <w:tcBorders>
              <w:top w:val="single" w:sz="6" w:space="0" w:color="auto"/>
              <w:left w:val="single" w:sz="6" w:space="0" w:color="auto"/>
              <w:bottom w:val="single" w:sz="6" w:space="0" w:color="auto"/>
              <w:right w:val="single" w:sz="6" w:space="0" w:color="auto"/>
            </w:tcBorders>
          </w:tcPr>
          <w:p w14:paraId="2C7943E6" w14:textId="77777777" w:rsidR="00C017A8" w:rsidRDefault="00C017A8" w:rsidP="00110B65">
            <w:pPr>
              <w:pStyle w:val="ListParagraph"/>
              <w:numPr>
                <w:ilvl w:val="0"/>
                <w:numId w:val="14"/>
              </w:numPr>
              <w:rPr>
                <w:rFonts w:eastAsia="Arial" w:cs="Arial"/>
                <w:sz w:val="20"/>
                <w:szCs w:val="20"/>
              </w:rPr>
            </w:pPr>
            <w:r w:rsidRPr="0682D99A">
              <w:rPr>
                <w:rFonts w:eastAsia="Arial" w:cs="Arial"/>
                <w:sz w:val="20"/>
                <w:szCs w:val="20"/>
              </w:rPr>
              <w:t>Iron content: all IFP contained 67% lower iron than minimum level prescribed in Code.</w:t>
            </w:r>
          </w:p>
          <w:p w14:paraId="432EA000" w14:textId="77777777" w:rsidR="00C017A8" w:rsidRDefault="00C017A8" w:rsidP="00110B65">
            <w:pPr>
              <w:pStyle w:val="ListParagraph"/>
              <w:numPr>
                <w:ilvl w:val="0"/>
                <w:numId w:val="14"/>
              </w:numPr>
              <w:rPr>
                <w:rFonts w:eastAsia="Arial" w:cs="Arial"/>
                <w:sz w:val="20"/>
                <w:szCs w:val="20"/>
              </w:rPr>
            </w:pPr>
            <w:r w:rsidRPr="0682D99A">
              <w:rPr>
                <w:rFonts w:eastAsia="Arial" w:cs="Arial"/>
                <w:sz w:val="20"/>
                <w:szCs w:val="20"/>
              </w:rPr>
              <w:t xml:space="preserve">Iron saturation of </w:t>
            </w:r>
            <w:proofErr w:type="spellStart"/>
            <w:r w:rsidRPr="0682D99A">
              <w:rPr>
                <w:rFonts w:eastAsia="Arial" w:cs="Arial"/>
                <w:sz w:val="20"/>
                <w:szCs w:val="20"/>
              </w:rPr>
              <w:t>bLf</w:t>
            </w:r>
            <w:proofErr w:type="spellEnd"/>
            <w:r w:rsidRPr="0682D99A">
              <w:rPr>
                <w:rFonts w:eastAsia="Arial" w:cs="Arial"/>
                <w:sz w:val="20"/>
                <w:szCs w:val="20"/>
              </w:rPr>
              <w:t>: not stated.</w:t>
            </w:r>
          </w:p>
          <w:p w14:paraId="6EBD0AD8" w14:textId="77777777" w:rsidR="00C017A8" w:rsidRDefault="00C017A8" w:rsidP="00110B65">
            <w:pPr>
              <w:pStyle w:val="ListParagraph"/>
              <w:numPr>
                <w:ilvl w:val="0"/>
                <w:numId w:val="14"/>
              </w:numPr>
              <w:rPr>
                <w:rFonts w:eastAsia="Arial" w:cs="Arial"/>
                <w:color w:val="000000" w:themeColor="text1"/>
                <w:sz w:val="20"/>
                <w:szCs w:val="20"/>
              </w:rPr>
            </w:pPr>
            <w:r w:rsidRPr="0682D99A">
              <w:rPr>
                <w:rFonts w:eastAsia="Arial" w:cs="Arial"/>
                <w:sz w:val="20"/>
                <w:szCs w:val="20"/>
              </w:rPr>
              <w:t>Two intervention IFP contained</w:t>
            </w:r>
            <w:r w:rsidRPr="0682D99A">
              <w:rPr>
                <w:rFonts w:eastAsia="Arial" w:cs="Arial"/>
                <w:color w:val="000000" w:themeColor="text1"/>
                <w:sz w:val="20"/>
                <w:szCs w:val="20"/>
              </w:rPr>
              <w:t xml:space="preserve"> an added blend of polydextrose and </w:t>
            </w:r>
            <w:proofErr w:type="spellStart"/>
            <w:r w:rsidRPr="0682D99A">
              <w:rPr>
                <w:rFonts w:eastAsia="Arial" w:cs="Arial"/>
                <w:color w:val="000000" w:themeColor="text1"/>
                <w:sz w:val="20"/>
                <w:szCs w:val="20"/>
              </w:rPr>
              <w:t>galactooligosaccharides</w:t>
            </w:r>
            <w:proofErr w:type="spellEnd"/>
            <w:r w:rsidRPr="0682D99A">
              <w:rPr>
                <w:rFonts w:eastAsia="Arial" w:cs="Arial"/>
                <w:color w:val="000000" w:themeColor="text1"/>
                <w:sz w:val="20"/>
                <w:szCs w:val="20"/>
              </w:rPr>
              <w:t xml:space="preserve"> (4 g/L) that was not added to the control IFP.</w:t>
            </w:r>
          </w:p>
        </w:tc>
      </w:tr>
      <w:tr w:rsidR="00C017A8" w14:paraId="72569D7E" w14:textId="77777777" w:rsidTr="00110B65">
        <w:tc>
          <w:tcPr>
            <w:tcW w:w="2865" w:type="dxa"/>
            <w:tcBorders>
              <w:top w:val="single" w:sz="6" w:space="0" w:color="auto"/>
              <w:left w:val="single" w:sz="6" w:space="0" w:color="auto"/>
              <w:bottom w:val="single" w:sz="6" w:space="0" w:color="auto"/>
              <w:right w:val="single" w:sz="6" w:space="0" w:color="auto"/>
            </w:tcBorders>
            <w:shd w:val="clear" w:color="auto" w:fill="ECECEC"/>
          </w:tcPr>
          <w:p w14:paraId="2F8156F0" w14:textId="77777777" w:rsidR="00C017A8" w:rsidRDefault="00C017A8" w:rsidP="00110B65">
            <w:pPr>
              <w:rPr>
                <w:rFonts w:eastAsia="Arial" w:cs="Arial"/>
                <w:color w:val="000000" w:themeColor="text1"/>
                <w:sz w:val="20"/>
                <w:szCs w:val="20"/>
              </w:rPr>
            </w:pPr>
            <w:r w:rsidRPr="0682D99A">
              <w:rPr>
                <w:rFonts w:eastAsia="Arial" w:cs="Arial"/>
                <w:color w:val="000000" w:themeColor="text1"/>
                <w:sz w:val="20"/>
                <w:szCs w:val="20"/>
              </w:rPr>
              <w:t>Li et al. (2019)</w:t>
            </w:r>
          </w:p>
        </w:tc>
        <w:tc>
          <w:tcPr>
            <w:tcW w:w="6180" w:type="dxa"/>
            <w:tcBorders>
              <w:top w:val="single" w:sz="6" w:space="0" w:color="auto"/>
              <w:left w:val="single" w:sz="6" w:space="0" w:color="auto"/>
              <w:bottom w:val="single" w:sz="6" w:space="0" w:color="auto"/>
              <w:right w:val="single" w:sz="6" w:space="0" w:color="auto"/>
            </w:tcBorders>
            <w:shd w:val="clear" w:color="auto" w:fill="ECECEC"/>
          </w:tcPr>
          <w:p w14:paraId="0FF112B4" w14:textId="77777777" w:rsidR="00C017A8" w:rsidRDefault="00C017A8" w:rsidP="00110B65">
            <w:pPr>
              <w:pStyle w:val="ListParagraph"/>
              <w:numPr>
                <w:ilvl w:val="0"/>
                <w:numId w:val="14"/>
              </w:numPr>
              <w:rPr>
                <w:rFonts w:eastAsia="Arial" w:cs="Arial"/>
                <w:sz w:val="20"/>
                <w:szCs w:val="20"/>
              </w:rPr>
            </w:pPr>
            <w:proofErr w:type="spellStart"/>
            <w:r w:rsidRPr="0682D99A">
              <w:rPr>
                <w:rFonts w:eastAsia="Arial" w:cs="Arial"/>
                <w:sz w:val="20"/>
                <w:szCs w:val="20"/>
              </w:rPr>
              <w:t>bLf</w:t>
            </w:r>
            <w:proofErr w:type="spellEnd"/>
            <w:r w:rsidRPr="0682D99A">
              <w:rPr>
                <w:rFonts w:eastAsia="Arial" w:cs="Arial"/>
                <w:sz w:val="20"/>
                <w:szCs w:val="20"/>
              </w:rPr>
              <w:t xml:space="preserve"> content of intervention group: 45% less </w:t>
            </w:r>
            <w:proofErr w:type="spellStart"/>
            <w:r w:rsidRPr="0682D99A">
              <w:rPr>
                <w:rFonts w:eastAsia="Arial" w:cs="Arial"/>
                <w:sz w:val="20"/>
                <w:szCs w:val="20"/>
              </w:rPr>
              <w:t>bLf</w:t>
            </w:r>
            <w:proofErr w:type="spellEnd"/>
            <w:r w:rsidRPr="0682D99A">
              <w:rPr>
                <w:rFonts w:eastAsia="Arial" w:cs="Arial"/>
                <w:sz w:val="20"/>
                <w:szCs w:val="20"/>
              </w:rPr>
              <w:t xml:space="preserve"> than that specified by the Application.</w:t>
            </w:r>
          </w:p>
          <w:p w14:paraId="2E672AE1" w14:textId="77777777" w:rsidR="00C017A8" w:rsidRDefault="00C017A8" w:rsidP="00110B65">
            <w:pPr>
              <w:pStyle w:val="ListParagraph"/>
              <w:numPr>
                <w:ilvl w:val="0"/>
                <w:numId w:val="14"/>
              </w:numPr>
              <w:rPr>
                <w:rFonts w:eastAsia="Arial" w:cs="Arial"/>
                <w:sz w:val="20"/>
                <w:szCs w:val="20"/>
              </w:rPr>
            </w:pPr>
            <w:r w:rsidRPr="0682D99A">
              <w:rPr>
                <w:rFonts w:eastAsia="Arial" w:cs="Arial"/>
                <w:sz w:val="20"/>
                <w:szCs w:val="20"/>
              </w:rPr>
              <w:t xml:space="preserve">Iron content: both IFP contained </w:t>
            </w:r>
            <w:r w:rsidRPr="0682D99A">
              <w:rPr>
                <w:rFonts w:eastAsia="Arial" w:cs="Arial"/>
                <w:color w:val="000000" w:themeColor="text1"/>
                <w:sz w:val="20"/>
                <w:szCs w:val="20"/>
                <w:lang w:val="en-AU"/>
              </w:rPr>
              <w:t xml:space="preserve">82% lower </w:t>
            </w:r>
            <w:r w:rsidRPr="0682D99A">
              <w:rPr>
                <w:rFonts w:eastAsia="Arial" w:cs="Arial"/>
                <w:sz w:val="20"/>
                <w:szCs w:val="20"/>
              </w:rPr>
              <w:t>iron than minimum level prescribed in Code.</w:t>
            </w:r>
          </w:p>
          <w:p w14:paraId="46E4C903" w14:textId="77777777" w:rsidR="00C017A8" w:rsidRDefault="00C017A8" w:rsidP="00110B65">
            <w:pPr>
              <w:pStyle w:val="ListParagraph"/>
              <w:numPr>
                <w:ilvl w:val="0"/>
                <w:numId w:val="14"/>
              </w:numPr>
              <w:rPr>
                <w:rFonts w:eastAsia="Arial" w:cs="Arial"/>
                <w:color w:val="000000" w:themeColor="text1"/>
                <w:sz w:val="20"/>
                <w:szCs w:val="20"/>
              </w:rPr>
            </w:pPr>
            <w:r w:rsidRPr="0682D99A">
              <w:rPr>
                <w:rFonts w:eastAsia="Arial" w:cs="Arial"/>
                <w:sz w:val="20"/>
                <w:szCs w:val="20"/>
              </w:rPr>
              <w:t xml:space="preserve">Iron saturation of </w:t>
            </w:r>
            <w:proofErr w:type="spellStart"/>
            <w:r w:rsidRPr="0682D99A">
              <w:rPr>
                <w:rFonts w:eastAsia="Arial" w:cs="Arial"/>
                <w:sz w:val="20"/>
                <w:szCs w:val="20"/>
              </w:rPr>
              <w:t>bLf</w:t>
            </w:r>
            <w:proofErr w:type="spellEnd"/>
            <w:r w:rsidRPr="0682D99A">
              <w:rPr>
                <w:rFonts w:eastAsia="Arial" w:cs="Arial"/>
                <w:sz w:val="20"/>
                <w:szCs w:val="20"/>
              </w:rPr>
              <w:t>: not stated.</w:t>
            </w:r>
            <w:r w:rsidRPr="0682D99A">
              <w:rPr>
                <w:rFonts w:eastAsia="Arial" w:cs="Arial"/>
                <w:color w:val="000000" w:themeColor="text1"/>
                <w:sz w:val="20"/>
                <w:szCs w:val="20"/>
                <w:lang w:val="en-AU"/>
              </w:rPr>
              <w:t xml:space="preserve"> </w:t>
            </w:r>
          </w:p>
          <w:p w14:paraId="520058AC" w14:textId="77777777" w:rsidR="00C017A8" w:rsidRDefault="00C017A8" w:rsidP="00110B65">
            <w:pPr>
              <w:pStyle w:val="ListParagraph"/>
              <w:numPr>
                <w:ilvl w:val="0"/>
                <w:numId w:val="14"/>
              </w:numPr>
              <w:rPr>
                <w:rFonts w:eastAsia="Arial" w:cs="Arial"/>
                <w:color w:val="000000" w:themeColor="text1"/>
                <w:sz w:val="20"/>
                <w:szCs w:val="20"/>
              </w:rPr>
            </w:pPr>
            <w:r w:rsidRPr="0682D99A">
              <w:rPr>
                <w:rFonts w:eastAsia="Arial" w:cs="Arial"/>
                <w:color w:val="000000" w:themeColor="text1"/>
                <w:sz w:val="20"/>
                <w:szCs w:val="20"/>
                <w:lang w:val="en-AU"/>
              </w:rPr>
              <w:t>The intervention IFP contained added bovine milk fat globule membrane (MFGM; 5 g/L)</w:t>
            </w:r>
            <w:r w:rsidRPr="0682D99A">
              <w:rPr>
                <w:rFonts w:eastAsia="Arial" w:cs="Arial"/>
                <w:color w:val="000000" w:themeColor="text1"/>
                <w:sz w:val="20"/>
                <w:szCs w:val="20"/>
              </w:rPr>
              <w:t xml:space="preserve"> that was not added to the control IFP.</w:t>
            </w:r>
          </w:p>
        </w:tc>
      </w:tr>
    </w:tbl>
    <w:p w14:paraId="7FE4D0E6" w14:textId="39257A71" w:rsidR="00C017A8" w:rsidRPr="00361973" w:rsidRDefault="00C017A8" w:rsidP="00C017A8">
      <w:pPr>
        <w:spacing w:line="259" w:lineRule="auto"/>
        <w:rPr>
          <w:rFonts w:eastAsia="Arial" w:cs="Arial"/>
          <w:color w:val="000000" w:themeColor="text1"/>
          <w:sz w:val="16"/>
          <w:szCs w:val="16"/>
          <w:lang w:val="en-AU"/>
        </w:rPr>
      </w:pPr>
      <w:r w:rsidRPr="00361973">
        <w:rPr>
          <w:rFonts w:eastAsia="Arial" w:cs="Arial"/>
          <w:color w:val="000000" w:themeColor="text1"/>
          <w:sz w:val="16"/>
          <w:szCs w:val="16"/>
          <w:vertAlign w:val="superscript"/>
          <w:lang w:val="en-AU"/>
        </w:rPr>
        <w:t>1</w:t>
      </w:r>
      <w:r w:rsidRPr="00361973">
        <w:rPr>
          <w:rFonts w:eastAsia="Arial" w:cs="Arial"/>
          <w:color w:val="000000" w:themeColor="text1"/>
          <w:sz w:val="16"/>
          <w:szCs w:val="16"/>
          <w:lang w:val="en-AU"/>
        </w:rPr>
        <w:t>Note: studies have additional limitations that affect the quality of the evidence, beyond the reasons for exclusion stated in</w:t>
      </w:r>
      <w:r w:rsidR="009629DF">
        <w:rPr>
          <w:rFonts w:eastAsia="Arial" w:cs="Arial"/>
          <w:color w:val="000000" w:themeColor="text1"/>
          <w:sz w:val="16"/>
          <w:szCs w:val="16"/>
          <w:lang w:val="en-AU"/>
        </w:rPr>
        <w:t xml:space="preserve"> Table 7.</w:t>
      </w:r>
      <w:r w:rsidRPr="00361973">
        <w:rPr>
          <w:rFonts w:eastAsia="Arial" w:cs="Arial"/>
          <w:color w:val="000000" w:themeColor="text1"/>
          <w:sz w:val="16"/>
          <w:szCs w:val="16"/>
          <w:lang w:val="en-AU"/>
        </w:rPr>
        <w:t xml:space="preserve"> For example, one study reported a high drop-out rate of approximately one-third and additionally did not conduct an intention-to-treat analysis (King et al. 2019).</w:t>
      </w:r>
    </w:p>
    <w:p w14:paraId="082EF794" w14:textId="3FF64013" w:rsidR="00C017A8" w:rsidRPr="00361973" w:rsidRDefault="00C017A8" w:rsidP="00C017A8">
      <w:pPr>
        <w:spacing w:line="259" w:lineRule="auto"/>
        <w:rPr>
          <w:rFonts w:eastAsia="Arial" w:cs="Arial"/>
          <w:color w:val="000000" w:themeColor="text1"/>
          <w:sz w:val="16"/>
          <w:szCs w:val="16"/>
          <w:lang w:val="en-AU"/>
        </w:rPr>
      </w:pPr>
      <w:r w:rsidRPr="00361973">
        <w:rPr>
          <w:rFonts w:eastAsia="Arial" w:cs="Arial"/>
          <w:color w:val="000000" w:themeColor="text1"/>
          <w:sz w:val="16"/>
          <w:szCs w:val="16"/>
          <w:vertAlign w:val="superscript"/>
          <w:lang w:val="en-AU"/>
        </w:rPr>
        <w:t>2</w:t>
      </w:r>
      <w:r w:rsidRPr="00361973">
        <w:rPr>
          <w:rFonts w:eastAsia="Arial" w:cs="Arial"/>
          <w:color w:val="000000" w:themeColor="text1"/>
          <w:sz w:val="16"/>
          <w:szCs w:val="16"/>
          <w:lang w:val="en-AU"/>
        </w:rPr>
        <w:t xml:space="preserve">Some studies’ IFP differed to the compositional requirements for the Code for other nutrients. For example, the copper content of the IFP used by </w:t>
      </w:r>
      <w:proofErr w:type="spellStart"/>
      <w:r w:rsidRPr="00361973">
        <w:rPr>
          <w:rFonts w:eastAsia="Arial" w:cs="Arial"/>
          <w:color w:val="000000" w:themeColor="text1"/>
          <w:sz w:val="16"/>
          <w:szCs w:val="16"/>
          <w:lang w:val="en-AU"/>
        </w:rPr>
        <w:t>Lönnerdal</w:t>
      </w:r>
      <w:proofErr w:type="spellEnd"/>
      <w:r w:rsidRPr="00361973">
        <w:rPr>
          <w:rFonts w:eastAsia="Arial" w:cs="Arial"/>
          <w:color w:val="000000" w:themeColor="text1"/>
          <w:sz w:val="16"/>
          <w:szCs w:val="16"/>
          <w:lang w:val="en-AU"/>
        </w:rPr>
        <w:t xml:space="preserve"> &amp; </w:t>
      </w:r>
      <w:proofErr w:type="spellStart"/>
      <w:r w:rsidRPr="00361973">
        <w:rPr>
          <w:rFonts w:eastAsia="Arial" w:cs="Arial"/>
          <w:color w:val="000000" w:themeColor="text1"/>
          <w:sz w:val="16"/>
          <w:szCs w:val="16"/>
          <w:lang w:val="en-AU"/>
        </w:rPr>
        <w:t>Hernell</w:t>
      </w:r>
      <w:proofErr w:type="spellEnd"/>
      <w:r w:rsidRPr="00361973">
        <w:rPr>
          <w:rFonts w:eastAsia="Arial" w:cs="Arial"/>
          <w:color w:val="000000" w:themeColor="text1"/>
          <w:sz w:val="16"/>
          <w:szCs w:val="16"/>
          <w:lang w:val="en-AU"/>
        </w:rPr>
        <w:t xml:space="preserve"> (1994) was 82% lower than the minimum level prescribed in Code. </w:t>
      </w:r>
      <w:r w:rsidRPr="00361973">
        <w:rPr>
          <w:rFonts w:eastAsia="Arial" w:cs="Arial"/>
          <w:color w:val="000000" w:themeColor="text1"/>
          <w:sz w:val="16"/>
          <w:szCs w:val="16"/>
        </w:rPr>
        <w:t>Other micronutrient levels of IFP are not reported because this did not form part of our study selection criteria (see Appendix 2, section A2.1.1).</w:t>
      </w:r>
    </w:p>
    <w:p w14:paraId="0CDC8B29" w14:textId="77777777" w:rsidR="00C017A8" w:rsidRDefault="00C017A8" w:rsidP="00C017A8">
      <w:pPr>
        <w:spacing w:line="259" w:lineRule="auto"/>
        <w:rPr>
          <w:rFonts w:eastAsia="Arial" w:cs="Arial"/>
          <w:color w:val="000000" w:themeColor="text1"/>
          <w:sz w:val="20"/>
          <w:szCs w:val="20"/>
          <w:lang w:val="en-AU"/>
        </w:rPr>
      </w:pPr>
    </w:p>
    <w:p w14:paraId="03D365B0" w14:textId="77777777" w:rsidR="00C017A8" w:rsidRDefault="00C017A8" w:rsidP="00C017A8">
      <w:pPr>
        <w:spacing w:line="259" w:lineRule="auto"/>
        <w:rPr>
          <w:rFonts w:eastAsia="Arial" w:cs="Arial"/>
          <w:color w:val="000000" w:themeColor="text1"/>
          <w:szCs w:val="22"/>
          <w:lang w:val="en-AU"/>
        </w:rPr>
      </w:pPr>
      <w:r w:rsidRPr="0682D99A">
        <w:rPr>
          <w:rFonts w:eastAsia="Arial" w:cs="Arial"/>
          <w:color w:val="000000" w:themeColor="text1"/>
          <w:szCs w:val="22"/>
          <w:lang w:val="en-AU"/>
        </w:rPr>
        <w:t>A number of studies shared reasons for exclusion, as discussed below.</w:t>
      </w:r>
    </w:p>
    <w:p w14:paraId="5FF0B07B" w14:textId="77777777" w:rsidR="00C017A8" w:rsidRDefault="00C017A8" w:rsidP="00C017A8">
      <w:pPr>
        <w:spacing w:line="259" w:lineRule="auto"/>
        <w:rPr>
          <w:rFonts w:eastAsia="Arial" w:cs="Arial"/>
          <w:color w:val="000000" w:themeColor="text1"/>
          <w:szCs w:val="22"/>
          <w:lang w:val="en-AU"/>
        </w:rPr>
      </w:pPr>
    </w:p>
    <w:p w14:paraId="2FAF4A95" w14:textId="77777777" w:rsidR="00C017A8" w:rsidRDefault="00C017A8" w:rsidP="00C017A8">
      <w:pPr>
        <w:spacing w:line="259" w:lineRule="auto"/>
        <w:rPr>
          <w:rFonts w:eastAsia="Arial" w:cs="Arial"/>
          <w:color w:val="000000" w:themeColor="text1"/>
          <w:szCs w:val="22"/>
          <w:lang w:val="en-AU"/>
        </w:rPr>
      </w:pPr>
      <w:r w:rsidRPr="0682D99A">
        <w:rPr>
          <w:rFonts w:eastAsia="Arial" w:cs="Arial"/>
          <w:color w:val="000000" w:themeColor="text1"/>
          <w:szCs w:val="22"/>
          <w:lang w:val="en-AU"/>
        </w:rPr>
        <w:t>Studies with small sample sizes (</w:t>
      </w:r>
      <w:proofErr w:type="spellStart"/>
      <w:r w:rsidRPr="0682D99A">
        <w:rPr>
          <w:rFonts w:eastAsia="Arial" w:cs="Arial"/>
          <w:color w:val="000000" w:themeColor="text1"/>
          <w:szCs w:val="22"/>
          <w:lang w:val="en-AU"/>
        </w:rPr>
        <w:t>Lönnerdal</w:t>
      </w:r>
      <w:proofErr w:type="spellEnd"/>
      <w:r w:rsidRPr="0682D99A">
        <w:rPr>
          <w:rFonts w:eastAsia="Arial" w:cs="Arial"/>
          <w:color w:val="000000" w:themeColor="text1"/>
          <w:szCs w:val="22"/>
          <w:lang w:val="en-AU"/>
        </w:rPr>
        <w:t xml:space="preserve"> &amp; </w:t>
      </w:r>
      <w:proofErr w:type="spellStart"/>
      <w:r w:rsidRPr="0682D99A">
        <w:rPr>
          <w:rFonts w:eastAsia="Arial" w:cs="Arial"/>
          <w:color w:val="000000" w:themeColor="text1"/>
          <w:szCs w:val="22"/>
          <w:lang w:val="en-AU"/>
        </w:rPr>
        <w:t>Hernell</w:t>
      </w:r>
      <w:proofErr w:type="spellEnd"/>
      <w:r w:rsidRPr="0682D99A">
        <w:rPr>
          <w:rFonts w:eastAsia="Arial" w:cs="Arial"/>
          <w:color w:val="000000" w:themeColor="text1"/>
          <w:szCs w:val="22"/>
          <w:lang w:val="en-AU"/>
        </w:rPr>
        <w:t xml:space="preserve"> 1994; </w:t>
      </w:r>
      <w:proofErr w:type="spellStart"/>
      <w:r w:rsidRPr="0682D99A">
        <w:rPr>
          <w:rFonts w:eastAsia="Arial" w:cs="Arial"/>
          <w:color w:val="000000" w:themeColor="text1"/>
          <w:szCs w:val="22"/>
          <w:lang w:val="en-AU"/>
        </w:rPr>
        <w:t>Hernell</w:t>
      </w:r>
      <w:proofErr w:type="spellEnd"/>
      <w:r w:rsidRPr="0682D99A">
        <w:rPr>
          <w:rFonts w:eastAsia="Arial" w:cs="Arial"/>
          <w:color w:val="000000" w:themeColor="text1"/>
          <w:szCs w:val="22"/>
          <w:lang w:val="en-AU"/>
        </w:rPr>
        <w:t xml:space="preserve"> &amp; </w:t>
      </w:r>
      <w:proofErr w:type="spellStart"/>
      <w:r w:rsidRPr="0682D99A">
        <w:rPr>
          <w:rFonts w:eastAsia="Arial" w:cs="Arial"/>
          <w:color w:val="000000" w:themeColor="text1"/>
          <w:szCs w:val="22"/>
          <w:lang w:val="en-AU"/>
        </w:rPr>
        <w:t>Lönnerdal</w:t>
      </w:r>
      <w:proofErr w:type="spellEnd"/>
      <w:r w:rsidRPr="0682D99A">
        <w:rPr>
          <w:rFonts w:eastAsia="Arial" w:cs="Arial"/>
          <w:color w:val="000000" w:themeColor="text1"/>
          <w:szCs w:val="22"/>
          <w:lang w:val="en-AU"/>
        </w:rPr>
        <w:t xml:space="preserve"> 2002; </w:t>
      </w:r>
      <w:proofErr w:type="spellStart"/>
      <w:r w:rsidRPr="0682D99A">
        <w:rPr>
          <w:rFonts w:eastAsia="Arial" w:cs="Arial"/>
          <w:color w:val="000000" w:themeColor="text1"/>
          <w:szCs w:val="22"/>
          <w:lang w:val="en-US"/>
        </w:rPr>
        <w:t>Björmsjö</w:t>
      </w:r>
      <w:proofErr w:type="spellEnd"/>
      <w:r w:rsidRPr="0682D99A">
        <w:rPr>
          <w:rFonts w:eastAsia="Arial" w:cs="Arial"/>
          <w:color w:val="000000" w:themeColor="text1"/>
          <w:sz w:val="20"/>
          <w:szCs w:val="20"/>
          <w:lang w:val="en-US"/>
        </w:rPr>
        <w:t xml:space="preserve"> </w:t>
      </w:r>
      <w:r w:rsidRPr="0682D99A">
        <w:rPr>
          <w:rFonts w:eastAsia="Arial" w:cs="Arial"/>
          <w:color w:val="000000" w:themeColor="text1"/>
          <w:szCs w:val="22"/>
          <w:lang w:val="en-US"/>
        </w:rPr>
        <w:t>et al. 2021; King et al. 2019)</w:t>
      </w:r>
      <w:r w:rsidRPr="0682D99A">
        <w:rPr>
          <w:rFonts w:eastAsia="Arial" w:cs="Arial"/>
          <w:color w:val="000000" w:themeColor="text1"/>
          <w:szCs w:val="22"/>
          <w:lang w:val="en-AU"/>
        </w:rPr>
        <w:t xml:space="preserve"> should be interpreted with caution. The ability to detect outcome differences between groups (the study power) is low</w:t>
      </w:r>
      <w:r w:rsidRPr="0682D99A">
        <w:rPr>
          <w:rFonts w:eastAsia="Arial" w:cs="Arial"/>
          <w:color w:val="000000" w:themeColor="text1"/>
          <w:szCs w:val="22"/>
        </w:rPr>
        <w:t xml:space="preserve"> in these studies (</w:t>
      </w:r>
      <w:proofErr w:type="spellStart"/>
      <w:r w:rsidRPr="0682D99A">
        <w:rPr>
          <w:rFonts w:eastAsia="Arial" w:cs="Arial"/>
          <w:color w:val="000000" w:themeColor="text1"/>
          <w:szCs w:val="22"/>
        </w:rPr>
        <w:t>Jarrold</w:t>
      </w:r>
      <w:proofErr w:type="spellEnd"/>
      <w:r w:rsidRPr="0682D99A">
        <w:rPr>
          <w:rFonts w:eastAsia="Arial" w:cs="Arial"/>
          <w:color w:val="000000" w:themeColor="text1"/>
          <w:szCs w:val="22"/>
        </w:rPr>
        <w:t xml:space="preserve"> et al. 2020). For comparison, in studies on human milk oligosaccharides, ~200-300 infants were enrolled to detect a pre-determined difference in bodyweight gain of 3 g/day or greater (Marriage et al. 2015; Puccio et al. 2017), which is considered to be a clinically relevant difference (</w:t>
      </w:r>
      <w:r w:rsidRPr="0682D99A">
        <w:rPr>
          <w:rFonts w:eastAsia="Arial"/>
        </w:rPr>
        <w:t>AAP 1988</w:t>
      </w:r>
      <w:r w:rsidRPr="0682D99A">
        <w:rPr>
          <w:rFonts w:eastAsia="Arial" w:cs="Arial"/>
          <w:color w:val="000000" w:themeColor="text1"/>
          <w:szCs w:val="22"/>
        </w:rPr>
        <w:t>).</w:t>
      </w:r>
    </w:p>
    <w:p w14:paraId="72CCFF2E" w14:textId="77777777" w:rsidR="00C017A8" w:rsidRDefault="00C017A8" w:rsidP="00C017A8">
      <w:pPr>
        <w:spacing w:line="259" w:lineRule="auto"/>
        <w:rPr>
          <w:rFonts w:eastAsia="Arial" w:cs="Arial"/>
          <w:color w:val="000000" w:themeColor="text1"/>
          <w:szCs w:val="22"/>
          <w:lang w:val="en-AU"/>
        </w:rPr>
      </w:pPr>
    </w:p>
    <w:p w14:paraId="3D668BBC" w14:textId="77777777" w:rsidR="00C017A8" w:rsidRDefault="00C017A8" w:rsidP="00C017A8">
      <w:pPr>
        <w:spacing w:line="259" w:lineRule="auto"/>
        <w:rPr>
          <w:rFonts w:eastAsia="Arial" w:cs="Arial"/>
          <w:color w:val="000000" w:themeColor="text1"/>
          <w:lang w:val="en-AU"/>
        </w:rPr>
      </w:pPr>
      <w:r w:rsidRPr="66531369">
        <w:rPr>
          <w:rFonts w:eastAsia="Arial" w:cs="Arial"/>
          <w:color w:val="000000" w:themeColor="text1"/>
        </w:rPr>
        <w:t>The age at enrolment of some infants in three studies (L</w:t>
      </w:r>
      <w:r w:rsidRPr="66531369">
        <w:rPr>
          <w:rFonts w:eastAsia="Arial" w:cs="Arial"/>
          <w:color w:val="000000" w:themeColor="text1"/>
          <w:lang w:val="en-US"/>
        </w:rPr>
        <w:t>ö</w:t>
      </w:r>
      <w:proofErr w:type="spellStart"/>
      <w:r w:rsidRPr="66531369">
        <w:rPr>
          <w:rFonts w:eastAsia="Arial" w:cs="Arial"/>
          <w:color w:val="000000" w:themeColor="text1"/>
        </w:rPr>
        <w:t>nnerdal</w:t>
      </w:r>
      <w:proofErr w:type="spellEnd"/>
      <w:r w:rsidRPr="66531369">
        <w:rPr>
          <w:rFonts w:eastAsia="Arial" w:cs="Arial"/>
          <w:color w:val="000000" w:themeColor="text1"/>
        </w:rPr>
        <w:t xml:space="preserve"> &amp; </w:t>
      </w:r>
      <w:proofErr w:type="spellStart"/>
      <w:r w:rsidRPr="66531369">
        <w:rPr>
          <w:rFonts w:eastAsia="Arial" w:cs="Arial"/>
          <w:color w:val="000000" w:themeColor="text1"/>
        </w:rPr>
        <w:t>Hernell</w:t>
      </w:r>
      <w:proofErr w:type="spellEnd"/>
      <w:r w:rsidRPr="66531369">
        <w:rPr>
          <w:rFonts w:eastAsia="Arial" w:cs="Arial"/>
          <w:color w:val="000000" w:themeColor="text1"/>
        </w:rPr>
        <w:t xml:space="preserve"> 1994; </w:t>
      </w:r>
      <w:proofErr w:type="spellStart"/>
      <w:r w:rsidRPr="66531369">
        <w:rPr>
          <w:rFonts w:eastAsia="Arial" w:cs="Arial"/>
          <w:color w:val="000000" w:themeColor="text1"/>
        </w:rPr>
        <w:t>Hernell</w:t>
      </w:r>
      <w:proofErr w:type="spellEnd"/>
      <w:r w:rsidRPr="66531369">
        <w:rPr>
          <w:rFonts w:eastAsia="Arial" w:cs="Arial"/>
          <w:color w:val="000000" w:themeColor="text1"/>
        </w:rPr>
        <w:t xml:space="preserve"> &amp; L</w:t>
      </w:r>
      <w:r w:rsidRPr="66531369">
        <w:rPr>
          <w:rFonts w:eastAsia="Arial" w:cs="Arial"/>
          <w:color w:val="000000" w:themeColor="text1"/>
          <w:lang w:val="en-US"/>
        </w:rPr>
        <w:t>ö</w:t>
      </w:r>
      <w:proofErr w:type="spellStart"/>
      <w:r w:rsidRPr="66531369">
        <w:rPr>
          <w:rFonts w:eastAsia="Arial" w:cs="Arial"/>
          <w:color w:val="000000" w:themeColor="text1"/>
        </w:rPr>
        <w:t>nnerdal</w:t>
      </w:r>
      <w:proofErr w:type="spellEnd"/>
      <w:r w:rsidRPr="66531369">
        <w:rPr>
          <w:rFonts w:eastAsia="Arial" w:cs="Arial"/>
          <w:color w:val="000000" w:themeColor="text1"/>
        </w:rPr>
        <w:t xml:space="preserve"> 2002; </w:t>
      </w:r>
      <w:proofErr w:type="spellStart"/>
      <w:r w:rsidRPr="66531369">
        <w:rPr>
          <w:rFonts w:eastAsia="Arial" w:cs="Arial"/>
          <w:color w:val="000000" w:themeColor="text1"/>
          <w:lang w:val="en-US"/>
        </w:rPr>
        <w:t>Björmsjö</w:t>
      </w:r>
      <w:proofErr w:type="spellEnd"/>
      <w:r w:rsidRPr="66531369">
        <w:rPr>
          <w:rFonts w:eastAsia="Arial" w:cs="Arial"/>
          <w:color w:val="000000" w:themeColor="text1"/>
          <w:sz w:val="20"/>
          <w:szCs w:val="20"/>
          <w:lang w:val="en-US"/>
        </w:rPr>
        <w:t xml:space="preserve"> </w:t>
      </w:r>
      <w:r w:rsidRPr="66531369">
        <w:rPr>
          <w:rFonts w:eastAsia="Arial" w:cs="Arial"/>
          <w:color w:val="000000" w:themeColor="text1"/>
          <w:lang w:val="en-US"/>
        </w:rPr>
        <w:t>et al. 2021) exceeded the recommendations (see Appendix 2).</w:t>
      </w:r>
    </w:p>
    <w:p w14:paraId="220B873C" w14:textId="77777777" w:rsidR="00C017A8" w:rsidRDefault="00C017A8" w:rsidP="00C017A8">
      <w:pPr>
        <w:spacing w:line="259" w:lineRule="auto"/>
        <w:rPr>
          <w:rFonts w:eastAsia="Arial" w:cs="Arial"/>
          <w:color w:val="000000" w:themeColor="text1"/>
          <w:sz w:val="20"/>
          <w:szCs w:val="20"/>
          <w:lang w:val="en-AU"/>
        </w:rPr>
      </w:pPr>
    </w:p>
    <w:p w14:paraId="2F4FDDC4" w14:textId="77777777" w:rsidR="00C017A8" w:rsidRDefault="00C017A8" w:rsidP="00C017A8">
      <w:pPr>
        <w:spacing w:line="259" w:lineRule="auto"/>
        <w:rPr>
          <w:rFonts w:eastAsia="Arial" w:cs="Arial"/>
          <w:color w:val="000000" w:themeColor="text1"/>
          <w:szCs w:val="22"/>
          <w:lang w:val="en-AU"/>
        </w:rPr>
      </w:pPr>
      <w:r w:rsidRPr="0682D99A">
        <w:rPr>
          <w:rFonts w:eastAsia="Arial" w:cs="Arial"/>
          <w:color w:val="000000" w:themeColor="text1"/>
          <w:szCs w:val="22"/>
          <w:lang w:val="en-AU"/>
        </w:rPr>
        <w:t xml:space="preserve">The iron saturation of </w:t>
      </w:r>
      <w:proofErr w:type="spellStart"/>
      <w:r w:rsidRPr="0682D99A">
        <w:rPr>
          <w:rFonts w:eastAsia="Arial" w:cs="Arial"/>
          <w:color w:val="000000" w:themeColor="text1"/>
          <w:szCs w:val="22"/>
          <w:lang w:val="en-AU"/>
        </w:rPr>
        <w:t>bLf</w:t>
      </w:r>
      <w:proofErr w:type="spellEnd"/>
      <w:r w:rsidRPr="0682D99A">
        <w:rPr>
          <w:rFonts w:eastAsia="Arial" w:cs="Arial"/>
          <w:color w:val="000000" w:themeColor="text1"/>
          <w:szCs w:val="22"/>
          <w:lang w:val="en-AU"/>
        </w:rPr>
        <w:t xml:space="preserve"> in almost all studies was either not stated or differed substantially to that proposed by the Application. </w:t>
      </w:r>
      <w:r w:rsidRPr="0682D99A">
        <w:rPr>
          <w:rFonts w:eastAsia="Arial" w:cs="Arial"/>
          <w:color w:val="000000" w:themeColor="text1"/>
          <w:szCs w:val="22"/>
        </w:rPr>
        <w:t xml:space="preserve">Differences in iron saturation may affect </w:t>
      </w:r>
      <w:proofErr w:type="spellStart"/>
      <w:r w:rsidRPr="0682D99A">
        <w:rPr>
          <w:rFonts w:eastAsia="Arial" w:cs="Arial"/>
          <w:color w:val="000000" w:themeColor="text1"/>
          <w:szCs w:val="22"/>
        </w:rPr>
        <w:t>bLf’s</w:t>
      </w:r>
      <w:proofErr w:type="spellEnd"/>
      <w:r w:rsidRPr="0682D99A">
        <w:rPr>
          <w:rFonts w:eastAsia="Arial" w:cs="Arial"/>
          <w:color w:val="000000" w:themeColor="text1"/>
          <w:szCs w:val="22"/>
        </w:rPr>
        <w:t xml:space="preserve"> function, and these studies’ findings may not be transferable to the Application’s </w:t>
      </w:r>
      <w:proofErr w:type="spellStart"/>
      <w:r w:rsidRPr="0682D99A">
        <w:rPr>
          <w:rFonts w:eastAsia="Arial" w:cs="Arial"/>
          <w:color w:val="000000" w:themeColor="text1"/>
          <w:szCs w:val="22"/>
        </w:rPr>
        <w:t>bLf</w:t>
      </w:r>
      <w:proofErr w:type="spellEnd"/>
      <w:r w:rsidRPr="0682D99A">
        <w:rPr>
          <w:rFonts w:eastAsia="Arial" w:cs="Arial"/>
          <w:color w:val="000000" w:themeColor="text1"/>
          <w:szCs w:val="22"/>
        </w:rPr>
        <w:t xml:space="preserve"> product.</w:t>
      </w:r>
    </w:p>
    <w:p w14:paraId="25FB814B" w14:textId="77777777" w:rsidR="00C017A8" w:rsidRDefault="00C017A8" w:rsidP="00C017A8">
      <w:pPr>
        <w:spacing w:line="259" w:lineRule="auto"/>
        <w:rPr>
          <w:rFonts w:eastAsia="Arial" w:cs="Arial"/>
          <w:color w:val="000000" w:themeColor="text1"/>
          <w:szCs w:val="22"/>
          <w:lang w:val="en-AU"/>
        </w:rPr>
      </w:pPr>
    </w:p>
    <w:p w14:paraId="3C9BF2F6" w14:textId="77777777" w:rsidR="00C017A8" w:rsidRDefault="00C017A8" w:rsidP="00C017A8">
      <w:pPr>
        <w:spacing w:line="259" w:lineRule="auto"/>
        <w:rPr>
          <w:rFonts w:eastAsia="Arial" w:cs="Arial"/>
          <w:color w:val="000000" w:themeColor="text1"/>
          <w:szCs w:val="22"/>
          <w:lang w:val="en-AU"/>
        </w:rPr>
      </w:pPr>
      <w:r w:rsidRPr="0682D99A">
        <w:rPr>
          <w:rFonts w:eastAsia="Arial" w:cs="Arial"/>
          <w:color w:val="000000" w:themeColor="text1"/>
          <w:szCs w:val="22"/>
          <w:lang w:val="en-AU"/>
        </w:rPr>
        <w:t>The iron content of all IFP tested was substantially lower (up to 82% lower) than the minimum level prescribed in the Code.</w:t>
      </w:r>
    </w:p>
    <w:p w14:paraId="45C4A39B" w14:textId="74AA3346" w:rsidR="00C017A8" w:rsidRDefault="00404579" w:rsidP="00C017A8">
      <w:pPr>
        <w:pStyle w:val="Heading3"/>
        <w:rPr>
          <w:rFonts w:eastAsia="Arial"/>
          <w:lang w:val="en-AU"/>
        </w:rPr>
      </w:pPr>
      <w:bookmarkStart w:id="100" w:name="_Toc113523066"/>
      <w:r>
        <w:rPr>
          <w:rFonts w:eastAsia="Arial"/>
        </w:rPr>
        <w:t>4</w:t>
      </w:r>
      <w:r w:rsidR="00C017A8" w:rsidRPr="0682D99A">
        <w:rPr>
          <w:rFonts w:eastAsia="Arial"/>
        </w:rPr>
        <w:t>.2.3</w:t>
      </w:r>
      <w:r w:rsidR="006123C6">
        <w:rPr>
          <w:rFonts w:eastAsia="Arial"/>
          <w:lang w:val="en-AU"/>
        </w:rPr>
        <w:tab/>
      </w:r>
      <w:r w:rsidR="00C017A8" w:rsidRPr="0682D99A">
        <w:rPr>
          <w:rFonts w:eastAsia="Arial"/>
          <w:lang w:val="en-AU"/>
        </w:rPr>
        <w:t>Selected excluded studies’ findings</w:t>
      </w:r>
      <w:bookmarkEnd w:id="100"/>
      <w:r w:rsidR="00C017A8" w:rsidRPr="0682D99A">
        <w:rPr>
          <w:rFonts w:eastAsia="Arial"/>
          <w:lang w:val="en-AU"/>
        </w:rPr>
        <w:t xml:space="preserve">  </w:t>
      </w:r>
    </w:p>
    <w:p w14:paraId="23C53BCA" w14:textId="5A5D936D" w:rsidR="00C017A8" w:rsidRDefault="00C017A8" w:rsidP="00C017A8">
      <w:pPr>
        <w:spacing w:line="259" w:lineRule="auto"/>
        <w:rPr>
          <w:rFonts w:eastAsia="Arial" w:cs="Arial"/>
          <w:color w:val="000000" w:themeColor="text1"/>
          <w:szCs w:val="22"/>
          <w:lang w:val="en-AU"/>
        </w:rPr>
        <w:sectPr w:rsidR="00C017A8" w:rsidSect="005C64BE">
          <w:pgSz w:w="11906" w:h="16838"/>
          <w:pgMar w:top="1418" w:right="1418" w:bottom="1418" w:left="1418" w:header="709" w:footer="709" w:gutter="0"/>
          <w:cols w:space="708"/>
          <w:docGrid w:linePitch="360"/>
        </w:sectPr>
      </w:pPr>
      <w:r w:rsidRPr="0682D99A">
        <w:rPr>
          <w:rFonts w:eastAsia="Arial" w:cs="Arial"/>
          <w:color w:val="000000" w:themeColor="text1"/>
          <w:szCs w:val="22"/>
          <w:lang w:val="en-AU"/>
        </w:rPr>
        <w:t>We report below a selection of excluded studies that either represent the closest alignment to the study selection criteria or are studies provided by the Application. This includes: two studies for the comparison with human milk consumption (</w:t>
      </w:r>
      <w:proofErr w:type="spellStart"/>
      <w:r w:rsidRPr="0682D99A">
        <w:rPr>
          <w:rFonts w:eastAsia="Arial" w:cs="Arial"/>
          <w:color w:val="000000" w:themeColor="text1"/>
          <w:szCs w:val="22"/>
          <w:lang w:val="en-AU"/>
        </w:rPr>
        <w:t>Hernell</w:t>
      </w:r>
      <w:proofErr w:type="spellEnd"/>
      <w:r w:rsidRPr="0682D99A">
        <w:rPr>
          <w:rFonts w:eastAsia="Arial" w:cs="Arial"/>
          <w:color w:val="000000" w:themeColor="text1"/>
          <w:szCs w:val="22"/>
          <w:lang w:val="en-AU"/>
        </w:rPr>
        <w:t xml:space="preserve"> &amp; </w:t>
      </w:r>
      <w:proofErr w:type="spellStart"/>
      <w:r w:rsidRPr="0682D99A">
        <w:rPr>
          <w:rFonts w:eastAsia="Arial" w:cs="Arial"/>
          <w:color w:val="000000" w:themeColor="text1"/>
          <w:szCs w:val="22"/>
          <w:lang w:val="en-AU"/>
        </w:rPr>
        <w:t>Lönnerdal</w:t>
      </w:r>
      <w:proofErr w:type="spellEnd"/>
      <w:r w:rsidRPr="0682D99A">
        <w:rPr>
          <w:rFonts w:eastAsia="Arial" w:cs="Arial"/>
          <w:color w:val="000000" w:themeColor="text1"/>
          <w:szCs w:val="22"/>
          <w:lang w:val="en-AU"/>
        </w:rPr>
        <w:t xml:space="preserve"> 2002; </w:t>
      </w:r>
      <w:proofErr w:type="spellStart"/>
      <w:r w:rsidRPr="0682D99A">
        <w:rPr>
          <w:rFonts w:eastAsia="Arial" w:cs="Arial"/>
          <w:color w:val="000000" w:themeColor="text1"/>
          <w:szCs w:val="22"/>
          <w:lang w:val="en-AU"/>
        </w:rPr>
        <w:t>Björmsjö</w:t>
      </w:r>
      <w:proofErr w:type="spellEnd"/>
      <w:r w:rsidRPr="0682D99A">
        <w:rPr>
          <w:rFonts w:eastAsia="Arial" w:cs="Arial"/>
          <w:color w:val="000000" w:themeColor="text1"/>
          <w:sz w:val="20"/>
          <w:szCs w:val="20"/>
        </w:rPr>
        <w:t xml:space="preserve"> </w:t>
      </w:r>
      <w:r w:rsidRPr="0682D99A">
        <w:rPr>
          <w:rFonts w:eastAsia="Arial" w:cs="Arial"/>
          <w:color w:val="000000" w:themeColor="text1"/>
          <w:szCs w:val="22"/>
          <w:lang w:val="en-AU"/>
        </w:rPr>
        <w:t>et al. 2021); and five studies for the comparison with non-</w:t>
      </w:r>
      <w:proofErr w:type="spellStart"/>
      <w:r w:rsidRPr="0682D99A">
        <w:rPr>
          <w:rFonts w:eastAsia="Arial" w:cs="Arial"/>
          <w:color w:val="000000" w:themeColor="text1"/>
          <w:szCs w:val="22"/>
          <w:lang w:val="en-AU"/>
        </w:rPr>
        <w:t>bLf</w:t>
      </w:r>
      <w:proofErr w:type="spellEnd"/>
      <w:r w:rsidRPr="0682D99A">
        <w:rPr>
          <w:rFonts w:eastAsia="Arial" w:cs="Arial"/>
          <w:color w:val="000000" w:themeColor="text1"/>
          <w:szCs w:val="22"/>
          <w:lang w:val="en-AU"/>
        </w:rPr>
        <w:t xml:space="preserve"> IFP consumption (</w:t>
      </w:r>
      <w:proofErr w:type="spellStart"/>
      <w:r w:rsidRPr="0682D99A">
        <w:rPr>
          <w:rFonts w:eastAsia="Arial" w:cs="Arial"/>
          <w:color w:val="000000" w:themeColor="text1"/>
          <w:szCs w:val="22"/>
          <w:lang w:val="en-AU"/>
        </w:rPr>
        <w:t>Hernell</w:t>
      </w:r>
      <w:proofErr w:type="spellEnd"/>
      <w:r w:rsidRPr="0682D99A">
        <w:rPr>
          <w:rFonts w:eastAsia="Arial" w:cs="Arial"/>
          <w:color w:val="000000" w:themeColor="text1"/>
          <w:szCs w:val="22"/>
          <w:lang w:val="en-AU"/>
        </w:rPr>
        <w:t xml:space="preserve"> &amp; </w:t>
      </w:r>
      <w:proofErr w:type="spellStart"/>
      <w:r w:rsidRPr="0682D99A">
        <w:rPr>
          <w:rFonts w:eastAsia="Arial" w:cs="Arial"/>
          <w:color w:val="000000" w:themeColor="text1"/>
          <w:szCs w:val="22"/>
          <w:lang w:val="en-AU"/>
        </w:rPr>
        <w:t>Lönnerdal</w:t>
      </w:r>
      <w:proofErr w:type="spellEnd"/>
      <w:r w:rsidRPr="0682D99A">
        <w:rPr>
          <w:rFonts w:eastAsia="Arial" w:cs="Arial"/>
          <w:color w:val="000000" w:themeColor="text1"/>
          <w:szCs w:val="22"/>
          <w:lang w:val="en-AU"/>
        </w:rPr>
        <w:t xml:space="preserve"> 2002; </w:t>
      </w:r>
      <w:proofErr w:type="spellStart"/>
      <w:r w:rsidRPr="0682D99A">
        <w:rPr>
          <w:rFonts w:eastAsia="Arial" w:cs="Arial"/>
          <w:color w:val="000000" w:themeColor="text1"/>
          <w:szCs w:val="22"/>
          <w:lang w:val="en-AU"/>
        </w:rPr>
        <w:t>Björmsjö</w:t>
      </w:r>
      <w:proofErr w:type="spellEnd"/>
      <w:r w:rsidRPr="0682D99A">
        <w:rPr>
          <w:rFonts w:eastAsia="Arial" w:cs="Arial"/>
          <w:color w:val="000000" w:themeColor="text1"/>
          <w:sz w:val="20"/>
          <w:szCs w:val="20"/>
        </w:rPr>
        <w:t xml:space="preserve"> </w:t>
      </w:r>
      <w:r w:rsidRPr="0682D99A">
        <w:rPr>
          <w:rFonts w:eastAsia="Arial" w:cs="Arial"/>
          <w:color w:val="000000" w:themeColor="text1"/>
          <w:szCs w:val="22"/>
          <w:lang w:val="en-AU"/>
        </w:rPr>
        <w:t xml:space="preserve">et al. 2021; King et al. 2007; Johnston et al. 2015; Li et al. 2019). Selected study characteristics and outcomes are reported </w:t>
      </w:r>
      <w:r w:rsidR="0015176E">
        <w:rPr>
          <w:rFonts w:eastAsia="Arial" w:cs="Arial"/>
          <w:color w:val="000000" w:themeColor="text1"/>
          <w:szCs w:val="22"/>
          <w:lang w:val="en-AU"/>
        </w:rPr>
        <w:t xml:space="preserve">in Table 8 </w:t>
      </w:r>
      <w:r w:rsidRPr="0682D99A">
        <w:rPr>
          <w:rFonts w:eastAsia="Arial" w:cs="Arial"/>
          <w:color w:val="000000" w:themeColor="text1"/>
          <w:szCs w:val="22"/>
          <w:lang w:val="en-AU"/>
        </w:rPr>
        <w:t xml:space="preserve">(additional study design characteristics and results are provided in </w:t>
      </w:r>
      <w:r w:rsidRPr="0069459E">
        <w:rPr>
          <w:rFonts w:eastAsia="Arial" w:cs="Arial"/>
          <w:color w:val="000000" w:themeColor="text1"/>
          <w:szCs w:val="22"/>
          <w:lang w:val="en-AU"/>
        </w:rPr>
        <w:t xml:space="preserve">section </w:t>
      </w:r>
      <w:r w:rsidRPr="0069459E">
        <w:rPr>
          <w:rFonts w:eastAsia="Arial" w:cs="Arial"/>
          <w:color w:val="000000" w:themeColor="text1"/>
          <w:szCs w:val="22"/>
        </w:rPr>
        <w:t>3.1.3</w:t>
      </w:r>
      <w:r w:rsidR="0015176E">
        <w:rPr>
          <w:rFonts w:eastAsia="Arial" w:cs="Arial"/>
          <w:color w:val="000000" w:themeColor="text1"/>
          <w:szCs w:val="22"/>
        </w:rPr>
        <w:t>, Table 2</w:t>
      </w:r>
      <w:r>
        <w:rPr>
          <w:rFonts w:eastAsia="Arial" w:cs="Arial"/>
          <w:color w:val="000000" w:themeColor="text1"/>
          <w:szCs w:val="22"/>
        </w:rPr>
        <w:t>)</w:t>
      </w:r>
      <w:r w:rsidRPr="0682D99A">
        <w:rPr>
          <w:rFonts w:eastAsia="Arial" w:cs="Arial"/>
          <w:color w:val="000000" w:themeColor="text1"/>
          <w:szCs w:val="22"/>
          <w:lang w:val="en-AU"/>
        </w:rPr>
        <w:t>.</w:t>
      </w:r>
    </w:p>
    <w:p w14:paraId="60937CFD" w14:textId="76C5A970" w:rsidR="00C017A8" w:rsidRDefault="0015176E" w:rsidP="00C017A8">
      <w:pPr>
        <w:pStyle w:val="FSTableTitle"/>
      </w:pPr>
      <w:r>
        <w:t xml:space="preserve">Table 8 Summary of selected studies </w:t>
      </w:r>
    </w:p>
    <w:tbl>
      <w:tblPr>
        <w:tblW w:w="13995" w:type="dxa"/>
        <w:tblLayout w:type="fixed"/>
        <w:tblLook w:val="04A0" w:firstRow="1" w:lastRow="0" w:firstColumn="1" w:lastColumn="0" w:noHBand="0" w:noVBand="1"/>
      </w:tblPr>
      <w:tblGrid>
        <w:gridCol w:w="2235"/>
        <w:gridCol w:w="3315"/>
        <w:gridCol w:w="4410"/>
        <w:gridCol w:w="4035"/>
      </w:tblGrid>
      <w:tr w:rsidR="00C017A8" w:rsidRPr="006759A6" w14:paraId="551F3DC5" w14:textId="77777777" w:rsidTr="00110B65">
        <w:tc>
          <w:tcPr>
            <w:tcW w:w="2235" w:type="dxa"/>
            <w:tcBorders>
              <w:top w:val="single" w:sz="6" w:space="0" w:color="auto"/>
              <w:left w:val="single" w:sz="6" w:space="0" w:color="auto"/>
              <w:bottom w:val="single" w:sz="6" w:space="0" w:color="auto"/>
              <w:right w:val="single" w:sz="6" w:space="0" w:color="auto"/>
            </w:tcBorders>
            <w:shd w:val="clear" w:color="auto" w:fill="616571"/>
          </w:tcPr>
          <w:p w14:paraId="152ED020" w14:textId="77777777" w:rsidR="00C017A8" w:rsidRPr="006759A6" w:rsidRDefault="00C017A8" w:rsidP="00110B65">
            <w:pPr>
              <w:pStyle w:val="FSTableHeading"/>
              <w:rPr>
                <w:rFonts w:eastAsia="Arial"/>
                <w:color w:val="FFFFFF" w:themeColor="background1"/>
              </w:rPr>
            </w:pPr>
            <w:r w:rsidRPr="006759A6">
              <w:rPr>
                <w:rFonts w:eastAsia="Arial"/>
                <w:color w:val="FFFFFF" w:themeColor="background1"/>
              </w:rPr>
              <w:t xml:space="preserve">Author (year) </w:t>
            </w:r>
          </w:p>
          <w:p w14:paraId="3FF329C7" w14:textId="77777777" w:rsidR="00C017A8" w:rsidRPr="006759A6" w:rsidRDefault="00C017A8" w:rsidP="00110B65">
            <w:pPr>
              <w:pStyle w:val="FSTableHeading"/>
              <w:rPr>
                <w:rFonts w:eastAsia="Arial"/>
                <w:color w:val="FFFFFF" w:themeColor="background1"/>
                <w:szCs w:val="22"/>
              </w:rPr>
            </w:pPr>
          </w:p>
          <w:p w14:paraId="6E967C13" w14:textId="77777777" w:rsidR="00C017A8" w:rsidRPr="006759A6" w:rsidRDefault="00C017A8" w:rsidP="00110B65">
            <w:pPr>
              <w:pStyle w:val="FSTableHeading"/>
              <w:rPr>
                <w:rFonts w:eastAsia="Arial"/>
                <w:color w:val="FFFFFF" w:themeColor="background1"/>
              </w:rPr>
            </w:pPr>
            <w:r w:rsidRPr="006759A6">
              <w:rPr>
                <w:rFonts w:eastAsia="Arial"/>
                <w:color w:val="FFFFFF" w:themeColor="background1"/>
              </w:rPr>
              <w:t xml:space="preserve">Country </w:t>
            </w:r>
          </w:p>
        </w:tc>
        <w:tc>
          <w:tcPr>
            <w:tcW w:w="3315" w:type="dxa"/>
            <w:tcBorders>
              <w:top w:val="single" w:sz="6" w:space="0" w:color="auto"/>
              <w:left w:val="single" w:sz="6" w:space="0" w:color="auto"/>
              <w:bottom w:val="single" w:sz="6" w:space="0" w:color="auto"/>
              <w:right w:val="single" w:sz="6" w:space="0" w:color="auto"/>
            </w:tcBorders>
            <w:shd w:val="clear" w:color="auto" w:fill="616571"/>
          </w:tcPr>
          <w:p w14:paraId="1E22DB5E" w14:textId="77777777" w:rsidR="00C017A8" w:rsidRPr="006759A6" w:rsidRDefault="00C017A8" w:rsidP="00110B65">
            <w:pPr>
              <w:pStyle w:val="FSTableHeading"/>
              <w:rPr>
                <w:rFonts w:eastAsia="Arial"/>
                <w:color w:val="FFFFFF" w:themeColor="background1"/>
              </w:rPr>
            </w:pPr>
            <w:r w:rsidRPr="006759A6">
              <w:rPr>
                <w:rFonts w:eastAsia="Arial"/>
                <w:color w:val="FFFFFF" w:themeColor="background1"/>
              </w:rPr>
              <w:t xml:space="preserve">Age at enrolment </w:t>
            </w:r>
          </w:p>
          <w:p w14:paraId="3A465F5E" w14:textId="77777777" w:rsidR="00C017A8" w:rsidRPr="006759A6" w:rsidRDefault="00C017A8" w:rsidP="00110B65">
            <w:pPr>
              <w:pStyle w:val="FSTableHeading"/>
              <w:rPr>
                <w:rFonts w:eastAsia="Arial"/>
                <w:color w:val="FFFFFF" w:themeColor="background1"/>
              </w:rPr>
            </w:pPr>
            <w:r w:rsidRPr="006759A6">
              <w:rPr>
                <w:rFonts w:eastAsia="Arial"/>
                <w:color w:val="FFFFFF" w:themeColor="background1"/>
              </w:rPr>
              <w:t xml:space="preserve"> </w:t>
            </w:r>
          </w:p>
          <w:p w14:paraId="38C57829" w14:textId="77777777" w:rsidR="00C017A8" w:rsidRPr="006759A6" w:rsidRDefault="00C017A8" w:rsidP="00110B65">
            <w:pPr>
              <w:pStyle w:val="FSTableHeading"/>
              <w:rPr>
                <w:rFonts w:eastAsia="Arial"/>
                <w:color w:val="FFFFFF" w:themeColor="background1"/>
              </w:rPr>
            </w:pPr>
            <w:r w:rsidRPr="006759A6">
              <w:rPr>
                <w:rFonts w:eastAsia="Arial"/>
                <w:color w:val="FFFFFF" w:themeColor="background1"/>
              </w:rPr>
              <w:t>Study duration</w:t>
            </w:r>
          </w:p>
          <w:p w14:paraId="0A9F7CA9" w14:textId="77777777" w:rsidR="00C017A8" w:rsidRPr="006759A6" w:rsidRDefault="00C017A8" w:rsidP="00110B65">
            <w:pPr>
              <w:pStyle w:val="FSTableHeading"/>
              <w:rPr>
                <w:rFonts w:eastAsia="Arial"/>
                <w:color w:val="FFFFFF" w:themeColor="background1"/>
              </w:rPr>
            </w:pPr>
            <w:r w:rsidRPr="006759A6">
              <w:rPr>
                <w:rFonts w:eastAsia="Arial"/>
                <w:color w:val="FFFFFF" w:themeColor="background1"/>
              </w:rPr>
              <w:t xml:space="preserve"> </w:t>
            </w:r>
          </w:p>
          <w:p w14:paraId="237E28FA" w14:textId="77777777" w:rsidR="00C017A8" w:rsidRPr="006759A6" w:rsidRDefault="00C017A8" w:rsidP="00110B65">
            <w:pPr>
              <w:pStyle w:val="FSTableHeading"/>
              <w:rPr>
                <w:rFonts w:eastAsia="Arial"/>
                <w:color w:val="FFFFFF" w:themeColor="background1"/>
              </w:rPr>
            </w:pPr>
            <w:r w:rsidRPr="006759A6">
              <w:rPr>
                <w:rFonts w:eastAsia="Arial"/>
                <w:color w:val="FFFFFF" w:themeColor="background1"/>
              </w:rPr>
              <w:t>Sample size</w:t>
            </w:r>
          </w:p>
        </w:tc>
        <w:tc>
          <w:tcPr>
            <w:tcW w:w="4410" w:type="dxa"/>
            <w:tcBorders>
              <w:top w:val="single" w:sz="6" w:space="0" w:color="auto"/>
              <w:left w:val="single" w:sz="6" w:space="0" w:color="auto"/>
              <w:bottom w:val="single" w:sz="6" w:space="0" w:color="auto"/>
              <w:right w:val="single" w:sz="6" w:space="0" w:color="auto"/>
            </w:tcBorders>
            <w:shd w:val="clear" w:color="auto" w:fill="616571"/>
          </w:tcPr>
          <w:p w14:paraId="39F6C088" w14:textId="77777777" w:rsidR="00C017A8" w:rsidRPr="006759A6" w:rsidRDefault="00C017A8" w:rsidP="00110B65">
            <w:pPr>
              <w:pStyle w:val="FSTableHeading"/>
              <w:rPr>
                <w:rFonts w:eastAsia="Arial"/>
                <w:color w:val="FFFFFF" w:themeColor="background1"/>
                <w:sz w:val="16"/>
                <w:szCs w:val="16"/>
              </w:rPr>
            </w:pPr>
            <w:r w:rsidRPr="006759A6">
              <w:rPr>
                <w:rFonts w:eastAsia="Arial"/>
                <w:color w:val="FFFFFF" w:themeColor="background1"/>
              </w:rPr>
              <w:t>IFP composition</w:t>
            </w:r>
            <w:r w:rsidRPr="006759A6">
              <w:rPr>
                <w:rFonts w:eastAsia="Arial"/>
                <w:color w:val="FFFFFF" w:themeColor="background1"/>
                <w:vertAlign w:val="superscript"/>
              </w:rPr>
              <w:t>1</w:t>
            </w:r>
          </w:p>
        </w:tc>
        <w:tc>
          <w:tcPr>
            <w:tcW w:w="4035" w:type="dxa"/>
            <w:tcBorders>
              <w:top w:val="single" w:sz="6" w:space="0" w:color="auto"/>
              <w:left w:val="single" w:sz="6" w:space="0" w:color="auto"/>
              <w:bottom w:val="single" w:sz="6" w:space="0" w:color="auto"/>
              <w:right w:val="single" w:sz="6" w:space="0" w:color="auto"/>
            </w:tcBorders>
            <w:shd w:val="clear" w:color="auto" w:fill="616571"/>
          </w:tcPr>
          <w:p w14:paraId="4A4506B6" w14:textId="77777777" w:rsidR="00C017A8" w:rsidRPr="006759A6" w:rsidRDefault="00C017A8" w:rsidP="00110B65">
            <w:pPr>
              <w:pStyle w:val="FSTableHeading"/>
              <w:rPr>
                <w:rFonts w:eastAsia="Arial"/>
                <w:color w:val="FFFFFF" w:themeColor="background1"/>
              </w:rPr>
            </w:pPr>
            <w:r w:rsidRPr="006759A6">
              <w:rPr>
                <w:rFonts w:eastAsia="Arial"/>
                <w:color w:val="FFFFFF" w:themeColor="background1"/>
              </w:rPr>
              <w:t xml:space="preserve">Mean difference in body weight gain (g/day) </w:t>
            </w:r>
          </w:p>
        </w:tc>
      </w:tr>
      <w:tr w:rsidR="00C017A8" w14:paraId="4DE981BF" w14:textId="77777777" w:rsidTr="00110B65">
        <w:tc>
          <w:tcPr>
            <w:tcW w:w="2235" w:type="dxa"/>
            <w:tcBorders>
              <w:top w:val="single" w:sz="6" w:space="0" w:color="auto"/>
              <w:left w:val="single" w:sz="6" w:space="0" w:color="auto"/>
              <w:bottom w:val="single" w:sz="6" w:space="0" w:color="auto"/>
              <w:right w:val="single" w:sz="6" w:space="0" w:color="auto"/>
            </w:tcBorders>
            <w:shd w:val="clear" w:color="auto" w:fill="ECECEC"/>
          </w:tcPr>
          <w:p w14:paraId="2A919D9D" w14:textId="77777777" w:rsidR="00C017A8" w:rsidRDefault="00C017A8" w:rsidP="00110B65">
            <w:pPr>
              <w:pStyle w:val="FSTableText"/>
              <w:rPr>
                <w:rFonts w:eastAsia="Arial"/>
              </w:rPr>
            </w:pPr>
            <w:proofErr w:type="spellStart"/>
            <w:r w:rsidRPr="0682D99A">
              <w:rPr>
                <w:rFonts w:eastAsia="Arial"/>
              </w:rPr>
              <w:t>Hernell</w:t>
            </w:r>
            <w:proofErr w:type="spellEnd"/>
            <w:r w:rsidRPr="0682D99A">
              <w:rPr>
                <w:rFonts w:eastAsia="Arial"/>
              </w:rPr>
              <w:t xml:space="preserve"> &amp; L</w:t>
            </w:r>
            <w:r w:rsidRPr="0682D99A">
              <w:rPr>
                <w:lang w:val="en-AU"/>
              </w:rPr>
              <w:t>ö</w:t>
            </w:r>
            <w:proofErr w:type="spellStart"/>
            <w:r w:rsidRPr="0682D99A">
              <w:rPr>
                <w:rFonts w:eastAsia="Arial"/>
              </w:rPr>
              <w:t>nnerdal</w:t>
            </w:r>
            <w:proofErr w:type="spellEnd"/>
            <w:r w:rsidRPr="0682D99A">
              <w:rPr>
                <w:rFonts w:eastAsia="Arial"/>
              </w:rPr>
              <w:t xml:space="preserve"> (2002)</w:t>
            </w:r>
          </w:p>
          <w:p w14:paraId="2F584ADB" w14:textId="77777777" w:rsidR="00C017A8" w:rsidRDefault="00C017A8" w:rsidP="00110B65">
            <w:pPr>
              <w:pStyle w:val="FSTableText"/>
              <w:rPr>
                <w:rFonts w:eastAsia="Arial"/>
              </w:rPr>
            </w:pPr>
            <w:r w:rsidRPr="0682D99A">
              <w:rPr>
                <w:rFonts w:eastAsia="Arial"/>
              </w:rPr>
              <w:t xml:space="preserve"> </w:t>
            </w:r>
          </w:p>
          <w:p w14:paraId="693C7D96" w14:textId="77777777" w:rsidR="00C017A8" w:rsidRDefault="00C017A8" w:rsidP="00110B65">
            <w:pPr>
              <w:pStyle w:val="FSTableText"/>
              <w:rPr>
                <w:rFonts w:eastAsia="Arial"/>
              </w:rPr>
            </w:pPr>
            <w:r w:rsidRPr="0682D99A">
              <w:rPr>
                <w:rFonts w:eastAsia="Arial"/>
              </w:rPr>
              <w:t xml:space="preserve">Sweden </w:t>
            </w:r>
          </w:p>
        </w:tc>
        <w:tc>
          <w:tcPr>
            <w:tcW w:w="3315" w:type="dxa"/>
            <w:tcBorders>
              <w:top w:val="single" w:sz="6" w:space="0" w:color="auto"/>
              <w:left w:val="single" w:sz="6" w:space="0" w:color="auto"/>
              <w:bottom w:val="single" w:sz="6" w:space="0" w:color="auto"/>
              <w:right w:val="single" w:sz="6" w:space="0" w:color="auto"/>
            </w:tcBorders>
            <w:shd w:val="clear" w:color="auto" w:fill="ECECEC"/>
          </w:tcPr>
          <w:p w14:paraId="50AACF03" w14:textId="77777777" w:rsidR="00C017A8" w:rsidRDefault="00C017A8" w:rsidP="00110B65">
            <w:pPr>
              <w:pStyle w:val="FSTableText"/>
              <w:rPr>
                <w:rFonts w:eastAsia="Arial"/>
              </w:rPr>
            </w:pPr>
            <w:r w:rsidRPr="0682D99A">
              <w:rPr>
                <w:rFonts w:eastAsia="Arial"/>
              </w:rPr>
              <w:t xml:space="preserve">Age: 4 ± 2 weeks  </w:t>
            </w:r>
          </w:p>
          <w:p w14:paraId="43D49908" w14:textId="77777777" w:rsidR="00C017A8" w:rsidRDefault="00C017A8" w:rsidP="00110B65">
            <w:pPr>
              <w:pStyle w:val="FSTableText"/>
              <w:rPr>
                <w:rFonts w:eastAsia="Arial"/>
              </w:rPr>
            </w:pPr>
            <w:r w:rsidRPr="0682D99A">
              <w:rPr>
                <w:rFonts w:eastAsia="Arial"/>
              </w:rPr>
              <w:t xml:space="preserve"> </w:t>
            </w:r>
          </w:p>
          <w:p w14:paraId="4DFF93CF" w14:textId="77777777" w:rsidR="00C017A8" w:rsidRDefault="00C017A8" w:rsidP="00110B65">
            <w:pPr>
              <w:pStyle w:val="FSTableText"/>
              <w:rPr>
                <w:rFonts w:eastAsia="Arial"/>
              </w:rPr>
            </w:pPr>
            <w:r w:rsidRPr="0682D99A">
              <w:rPr>
                <w:rFonts w:eastAsia="Arial"/>
              </w:rPr>
              <w:t xml:space="preserve">Study duration: ~5 </w:t>
            </w:r>
            <w:proofErr w:type="spellStart"/>
            <w:r w:rsidRPr="0682D99A">
              <w:rPr>
                <w:rFonts w:eastAsia="Arial"/>
              </w:rPr>
              <w:t>mo</w:t>
            </w:r>
            <w:proofErr w:type="spellEnd"/>
            <w:r w:rsidRPr="0682D99A">
              <w:rPr>
                <w:rFonts w:eastAsia="Arial"/>
              </w:rPr>
              <w:t xml:space="preserve"> (from age 4 ± 2 weeks to 6 </w:t>
            </w:r>
            <w:proofErr w:type="spellStart"/>
            <w:r w:rsidRPr="0682D99A">
              <w:rPr>
                <w:rFonts w:eastAsia="Arial"/>
              </w:rPr>
              <w:t>mo</w:t>
            </w:r>
            <w:proofErr w:type="spellEnd"/>
            <w:r w:rsidRPr="0682D99A">
              <w:rPr>
                <w:rFonts w:eastAsia="Arial"/>
              </w:rPr>
              <w:t xml:space="preserve">) </w:t>
            </w:r>
          </w:p>
          <w:p w14:paraId="60D6461D" w14:textId="77777777" w:rsidR="00C017A8" w:rsidRDefault="00C017A8" w:rsidP="00110B65">
            <w:pPr>
              <w:pStyle w:val="FSTableText"/>
              <w:rPr>
                <w:rFonts w:eastAsia="Arial"/>
              </w:rPr>
            </w:pPr>
            <w:r w:rsidRPr="0682D99A">
              <w:rPr>
                <w:rFonts w:eastAsia="Arial"/>
              </w:rPr>
              <w:t xml:space="preserve"> </w:t>
            </w:r>
          </w:p>
          <w:p w14:paraId="174C9F2E" w14:textId="77777777" w:rsidR="00C017A8" w:rsidRDefault="00C017A8" w:rsidP="00110B65">
            <w:pPr>
              <w:pStyle w:val="FSTableText"/>
              <w:rPr>
                <w:rFonts w:eastAsia="Arial"/>
              </w:rPr>
            </w:pPr>
            <w:r w:rsidRPr="0682D99A">
              <w:rPr>
                <w:rFonts w:eastAsia="Arial"/>
              </w:rPr>
              <w:t>Human milk: n=16</w:t>
            </w:r>
          </w:p>
          <w:p w14:paraId="7183569D" w14:textId="77777777" w:rsidR="00C017A8" w:rsidRDefault="00C017A8" w:rsidP="00110B65">
            <w:pPr>
              <w:pStyle w:val="FSTableText"/>
              <w:rPr>
                <w:rFonts w:eastAsia="Arial"/>
              </w:rPr>
            </w:pPr>
            <w:proofErr w:type="spellStart"/>
            <w:r w:rsidRPr="0682D99A">
              <w:rPr>
                <w:rFonts w:eastAsia="Arial"/>
              </w:rPr>
              <w:t>bLf</w:t>
            </w:r>
            <w:proofErr w:type="spellEnd"/>
            <w:r w:rsidRPr="0682D99A">
              <w:rPr>
                <w:rFonts w:eastAsia="Arial"/>
              </w:rPr>
              <w:t>-IFP: n=10</w:t>
            </w:r>
          </w:p>
          <w:p w14:paraId="569EB9FF" w14:textId="77777777" w:rsidR="00C017A8" w:rsidRDefault="00C017A8" w:rsidP="00110B65">
            <w:pPr>
              <w:pStyle w:val="FSTableText"/>
              <w:rPr>
                <w:rFonts w:eastAsia="Arial"/>
              </w:rPr>
            </w:pPr>
            <w:r w:rsidRPr="0682D99A">
              <w:rPr>
                <w:rFonts w:eastAsia="Arial"/>
              </w:rPr>
              <w:t>non-</w:t>
            </w:r>
            <w:proofErr w:type="spellStart"/>
            <w:r w:rsidRPr="0682D99A">
              <w:rPr>
                <w:rFonts w:eastAsia="Arial"/>
              </w:rPr>
              <w:t>bLf</w:t>
            </w:r>
            <w:proofErr w:type="spellEnd"/>
            <w:r w:rsidRPr="0682D99A">
              <w:rPr>
                <w:rFonts w:eastAsia="Arial"/>
              </w:rPr>
              <w:t>-IFP: n=12</w:t>
            </w:r>
          </w:p>
        </w:tc>
        <w:tc>
          <w:tcPr>
            <w:tcW w:w="4410" w:type="dxa"/>
            <w:tcBorders>
              <w:top w:val="single" w:sz="6" w:space="0" w:color="auto"/>
              <w:left w:val="single" w:sz="6" w:space="0" w:color="auto"/>
              <w:bottom w:val="single" w:sz="6" w:space="0" w:color="auto"/>
              <w:right w:val="single" w:sz="6" w:space="0" w:color="auto"/>
            </w:tcBorders>
            <w:shd w:val="clear" w:color="auto" w:fill="ECECEC"/>
          </w:tcPr>
          <w:p w14:paraId="22525A4F" w14:textId="77777777" w:rsidR="00C017A8" w:rsidRDefault="00C017A8" w:rsidP="00110B65">
            <w:pPr>
              <w:pStyle w:val="FSTableText"/>
              <w:rPr>
                <w:rFonts w:eastAsia="Arial"/>
              </w:rPr>
            </w:pPr>
            <w:proofErr w:type="spellStart"/>
            <w:r w:rsidRPr="0682D99A">
              <w:rPr>
                <w:rFonts w:eastAsia="Arial"/>
                <w:i/>
                <w:iCs/>
              </w:rPr>
              <w:t>bLf</w:t>
            </w:r>
            <w:proofErr w:type="spellEnd"/>
            <w:r w:rsidRPr="0682D99A">
              <w:rPr>
                <w:rFonts w:eastAsia="Arial"/>
                <w:i/>
                <w:iCs/>
              </w:rPr>
              <w:t>-IFP</w:t>
            </w:r>
            <w:r w:rsidRPr="0682D99A">
              <w:rPr>
                <w:rFonts w:eastAsia="Arial"/>
              </w:rPr>
              <w:t xml:space="preserve"> </w:t>
            </w:r>
          </w:p>
          <w:p w14:paraId="4C5F470A" w14:textId="77777777" w:rsidR="00C017A8" w:rsidRDefault="00C017A8" w:rsidP="00110B65">
            <w:pPr>
              <w:pStyle w:val="FSTableText"/>
              <w:rPr>
                <w:rFonts w:eastAsia="Arial"/>
                <w:sz w:val="16"/>
                <w:szCs w:val="16"/>
              </w:rPr>
            </w:pPr>
            <w:proofErr w:type="spellStart"/>
            <w:r w:rsidRPr="0682D99A">
              <w:rPr>
                <w:rFonts w:eastAsia="Arial"/>
              </w:rPr>
              <w:t>bLf</w:t>
            </w:r>
            <w:proofErr w:type="spellEnd"/>
            <w:r w:rsidRPr="0682D99A">
              <w:rPr>
                <w:rFonts w:eastAsia="Arial"/>
              </w:rPr>
              <w:t>:</w:t>
            </w:r>
            <w:r w:rsidRPr="0682D99A">
              <w:rPr>
                <w:rFonts w:eastAsia="Arial"/>
                <w:b/>
                <w:bCs/>
              </w:rPr>
              <w:t xml:space="preserve"> </w:t>
            </w:r>
            <w:r w:rsidRPr="0682D99A">
              <w:rPr>
                <w:rFonts w:eastAsia="Arial"/>
              </w:rPr>
              <w:t>1 g/L</w:t>
            </w:r>
            <w:r w:rsidRPr="0682D99A">
              <w:rPr>
                <w:rFonts w:eastAsia="Arial"/>
                <w:vertAlign w:val="superscript"/>
              </w:rPr>
              <w:t>2</w:t>
            </w:r>
          </w:p>
          <w:p w14:paraId="7E352944" w14:textId="77777777" w:rsidR="00C017A8" w:rsidRDefault="00C017A8" w:rsidP="00110B65">
            <w:pPr>
              <w:pStyle w:val="FSTableText"/>
              <w:rPr>
                <w:rFonts w:eastAsia="Arial"/>
                <w:sz w:val="16"/>
                <w:szCs w:val="16"/>
              </w:rPr>
            </w:pPr>
            <w:r w:rsidRPr="0682D99A">
              <w:rPr>
                <w:rFonts w:eastAsia="Arial"/>
              </w:rPr>
              <w:t xml:space="preserve">Iron saturation of </w:t>
            </w:r>
            <w:proofErr w:type="spellStart"/>
            <w:r w:rsidRPr="0682D99A">
              <w:rPr>
                <w:rFonts w:eastAsia="Arial"/>
              </w:rPr>
              <w:t>bLf</w:t>
            </w:r>
            <w:proofErr w:type="spellEnd"/>
            <w:r w:rsidRPr="0682D99A">
              <w:rPr>
                <w:rFonts w:eastAsia="Arial"/>
              </w:rPr>
              <w:t>:</w:t>
            </w:r>
            <w:r w:rsidRPr="0682D99A">
              <w:rPr>
                <w:rFonts w:eastAsia="Arial"/>
                <w:b/>
                <w:bCs/>
              </w:rPr>
              <w:t xml:space="preserve"> </w:t>
            </w:r>
            <w:r w:rsidRPr="0682D99A">
              <w:rPr>
                <w:rFonts w:eastAsia="Arial"/>
                <w:lang w:val="en-AU"/>
              </w:rPr>
              <w:t>88.6% (calculated from 1.24 mg iron/g protein)</w:t>
            </w:r>
            <w:r w:rsidRPr="0682D99A">
              <w:rPr>
                <w:rFonts w:eastAsia="Arial"/>
                <w:vertAlign w:val="superscript"/>
                <w:lang w:val="en-AU"/>
              </w:rPr>
              <w:t>3</w:t>
            </w:r>
          </w:p>
          <w:p w14:paraId="587CFF5A" w14:textId="77777777" w:rsidR="00C017A8" w:rsidRDefault="00C017A8" w:rsidP="00110B65">
            <w:pPr>
              <w:pStyle w:val="FSTableText"/>
              <w:rPr>
                <w:rFonts w:eastAsia="Arial"/>
                <w:sz w:val="16"/>
                <w:szCs w:val="16"/>
              </w:rPr>
            </w:pPr>
            <w:r w:rsidRPr="0682D99A">
              <w:rPr>
                <w:rFonts w:eastAsia="Arial"/>
              </w:rPr>
              <w:t>Iron: 1.8 mg/L</w:t>
            </w:r>
            <w:r w:rsidRPr="0682D99A">
              <w:rPr>
                <w:rFonts w:eastAsia="Arial"/>
                <w:b/>
                <w:bCs/>
              </w:rPr>
              <w:t xml:space="preserve"> (</w:t>
            </w:r>
            <w:r w:rsidRPr="0682D99A">
              <w:rPr>
                <w:rFonts w:eastAsia="Arial"/>
              </w:rPr>
              <w:t xml:space="preserve">1.3 g from </w:t>
            </w:r>
            <w:proofErr w:type="spellStart"/>
            <w:r w:rsidRPr="0682D99A">
              <w:rPr>
                <w:rFonts w:eastAsia="Arial"/>
              </w:rPr>
              <w:t>bLf</w:t>
            </w:r>
            <w:proofErr w:type="spellEnd"/>
            <w:r w:rsidRPr="0682D99A">
              <w:rPr>
                <w:rFonts w:eastAsia="Arial"/>
              </w:rPr>
              <w:t xml:space="preserve"> + 0.5 mg as FeSO</w:t>
            </w:r>
            <w:r w:rsidRPr="0682D99A">
              <w:rPr>
                <w:rFonts w:eastAsia="Arial"/>
                <w:vertAlign w:val="subscript"/>
              </w:rPr>
              <w:t>4</w:t>
            </w:r>
            <w:r w:rsidRPr="0682D99A">
              <w:rPr>
                <w:rFonts w:eastAsia="Arial"/>
              </w:rPr>
              <w:t>)</w:t>
            </w:r>
            <w:r w:rsidRPr="0682D99A">
              <w:rPr>
                <w:rFonts w:eastAsia="Arial"/>
                <w:vertAlign w:val="superscript"/>
                <w:lang w:val="en-AU"/>
              </w:rPr>
              <w:t>4</w:t>
            </w:r>
          </w:p>
          <w:p w14:paraId="4E5CFE08" w14:textId="77777777" w:rsidR="00C017A8" w:rsidRDefault="00C017A8" w:rsidP="00110B65">
            <w:pPr>
              <w:pStyle w:val="FSTableText"/>
              <w:rPr>
                <w:rFonts w:eastAsia="Arial"/>
              </w:rPr>
            </w:pPr>
            <w:r w:rsidRPr="0682D99A">
              <w:rPr>
                <w:rFonts w:eastAsia="Arial"/>
              </w:rPr>
              <w:t xml:space="preserve"> </w:t>
            </w:r>
          </w:p>
          <w:p w14:paraId="608A46AE" w14:textId="77777777" w:rsidR="00C017A8" w:rsidRDefault="00C017A8" w:rsidP="00110B65">
            <w:pPr>
              <w:pStyle w:val="FSTableText"/>
              <w:rPr>
                <w:rFonts w:eastAsia="Arial"/>
              </w:rPr>
            </w:pPr>
            <w:r w:rsidRPr="0682D99A">
              <w:rPr>
                <w:rFonts w:eastAsia="Arial"/>
                <w:i/>
                <w:iCs/>
              </w:rPr>
              <w:t>Non-</w:t>
            </w:r>
            <w:proofErr w:type="spellStart"/>
            <w:r w:rsidRPr="0682D99A">
              <w:rPr>
                <w:rFonts w:eastAsia="Arial"/>
                <w:i/>
                <w:iCs/>
              </w:rPr>
              <w:t>bLf</w:t>
            </w:r>
            <w:proofErr w:type="spellEnd"/>
            <w:r w:rsidRPr="0682D99A">
              <w:rPr>
                <w:rFonts w:eastAsia="Arial"/>
                <w:i/>
                <w:iCs/>
              </w:rPr>
              <w:t>-IFP</w:t>
            </w:r>
            <w:r w:rsidRPr="0682D99A">
              <w:rPr>
                <w:rFonts w:eastAsia="Arial"/>
              </w:rPr>
              <w:t xml:space="preserve"> </w:t>
            </w:r>
          </w:p>
          <w:p w14:paraId="33C66FE2" w14:textId="77777777" w:rsidR="00C017A8" w:rsidRDefault="00C017A8" w:rsidP="00110B65">
            <w:pPr>
              <w:pStyle w:val="FSTableText"/>
              <w:rPr>
                <w:rFonts w:eastAsia="Arial"/>
                <w:sz w:val="16"/>
                <w:szCs w:val="16"/>
              </w:rPr>
            </w:pPr>
            <w:proofErr w:type="spellStart"/>
            <w:r w:rsidRPr="0682D99A">
              <w:rPr>
                <w:rFonts w:eastAsia="Arial"/>
              </w:rPr>
              <w:t>bLf</w:t>
            </w:r>
            <w:proofErr w:type="spellEnd"/>
            <w:r w:rsidRPr="0682D99A">
              <w:rPr>
                <w:rFonts w:eastAsia="Arial"/>
              </w:rPr>
              <w:t>: 0 g/L (not analysed)</w:t>
            </w:r>
            <w:r w:rsidRPr="0682D99A">
              <w:rPr>
                <w:rFonts w:eastAsia="Arial"/>
                <w:vertAlign w:val="superscript"/>
                <w:lang w:val="en-AU"/>
              </w:rPr>
              <w:t>5</w:t>
            </w:r>
          </w:p>
          <w:p w14:paraId="5EBEEF71" w14:textId="77777777" w:rsidR="00C017A8" w:rsidRDefault="00C017A8" w:rsidP="00110B65">
            <w:pPr>
              <w:pStyle w:val="FSTableText"/>
              <w:rPr>
                <w:rFonts w:eastAsia="Arial"/>
                <w:sz w:val="16"/>
                <w:szCs w:val="16"/>
              </w:rPr>
            </w:pPr>
            <w:r w:rsidRPr="0682D99A">
              <w:rPr>
                <w:rFonts w:eastAsia="Arial"/>
              </w:rPr>
              <w:t xml:space="preserve">Iron saturation of naturally occurring </w:t>
            </w:r>
            <w:proofErr w:type="spellStart"/>
            <w:r w:rsidRPr="0682D99A">
              <w:rPr>
                <w:rFonts w:eastAsia="Arial"/>
              </w:rPr>
              <w:t>bLf</w:t>
            </w:r>
            <w:proofErr w:type="spellEnd"/>
            <w:r w:rsidRPr="0682D99A">
              <w:rPr>
                <w:rFonts w:eastAsia="Arial"/>
              </w:rPr>
              <w:t xml:space="preserve"> (if present): not stated</w:t>
            </w:r>
            <w:r w:rsidRPr="0682D99A">
              <w:rPr>
                <w:rFonts w:eastAsia="Arial"/>
                <w:vertAlign w:val="superscript"/>
                <w:lang w:val="en-AU"/>
              </w:rPr>
              <w:t>3</w:t>
            </w:r>
          </w:p>
          <w:p w14:paraId="5DF4A0AF" w14:textId="77777777" w:rsidR="00C017A8" w:rsidRDefault="00C017A8" w:rsidP="00110B65">
            <w:pPr>
              <w:pStyle w:val="FSTableText"/>
              <w:rPr>
                <w:rFonts w:eastAsia="Arial"/>
                <w:sz w:val="16"/>
                <w:szCs w:val="16"/>
              </w:rPr>
            </w:pPr>
            <w:r w:rsidRPr="0682D99A">
              <w:rPr>
                <w:rFonts w:eastAsia="Arial"/>
              </w:rPr>
              <w:t>Iron: 1.6 mg/L</w:t>
            </w:r>
            <w:r w:rsidRPr="0682D99A">
              <w:rPr>
                <w:rFonts w:eastAsia="Arial"/>
                <w:b/>
                <w:bCs/>
              </w:rPr>
              <w:t xml:space="preserve"> (</w:t>
            </w:r>
            <w:r w:rsidRPr="0682D99A">
              <w:rPr>
                <w:rFonts w:eastAsia="Arial"/>
              </w:rPr>
              <w:t>as FeSO</w:t>
            </w:r>
            <w:r w:rsidRPr="0682D99A">
              <w:rPr>
                <w:rFonts w:eastAsia="Arial"/>
                <w:vertAlign w:val="subscript"/>
              </w:rPr>
              <w:t>4</w:t>
            </w:r>
            <w:r w:rsidRPr="0682D99A">
              <w:rPr>
                <w:rFonts w:eastAsia="Arial"/>
              </w:rPr>
              <w:t>)</w:t>
            </w:r>
            <w:r w:rsidRPr="0682D99A">
              <w:rPr>
                <w:rFonts w:eastAsia="Arial"/>
                <w:vertAlign w:val="superscript"/>
                <w:lang w:val="en-AU"/>
              </w:rPr>
              <w:t>4</w:t>
            </w:r>
          </w:p>
        </w:tc>
        <w:tc>
          <w:tcPr>
            <w:tcW w:w="4035" w:type="dxa"/>
            <w:tcBorders>
              <w:top w:val="single" w:sz="6" w:space="0" w:color="auto"/>
              <w:left w:val="single" w:sz="6" w:space="0" w:color="auto"/>
              <w:bottom w:val="single" w:sz="6" w:space="0" w:color="auto"/>
              <w:right w:val="single" w:sz="6" w:space="0" w:color="auto"/>
            </w:tcBorders>
            <w:shd w:val="clear" w:color="auto" w:fill="ECECEC"/>
          </w:tcPr>
          <w:p w14:paraId="0CC5433A" w14:textId="77777777" w:rsidR="00C017A8" w:rsidRDefault="00C017A8" w:rsidP="00110B65">
            <w:pPr>
              <w:pStyle w:val="FSTableText"/>
              <w:rPr>
                <w:rFonts w:eastAsia="Arial"/>
              </w:rPr>
            </w:pPr>
            <w:r w:rsidRPr="0682D99A">
              <w:rPr>
                <w:rFonts w:eastAsia="Arial"/>
                <w:lang w:val="en-AU"/>
              </w:rPr>
              <w:t xml:space="preserve">Weight gain (g/day from 1 </w:t>
            </w:r>
            <w:proofErr w:type="spellStart"/>
            <w:r w:rsidRPr="0682D99A">
              <w:rPr>
                <w:rFonts w:eastAsia="Arial"/>
                <w:lang w:val="en-AU"/>
              </w:rPr>
              <w:t>mo</w:t>
            </w:r>
            <w:proofErr w:type="spellEnd"/>
            <w:r w:rsidRPr="0682D99A">
              <w:rPr>
                <w:rFonts w:eastAsia="Arial"/>
                <w:lang w:val="en-AU"/>
              </w:rPr>
              <w:t xml:space="preserve"> to 4 </w:t>
            </w:r>
            <w:proofErr w:type="spellStart"/>
            <w:r w:rsidRPr="0682D99A">
              <w:rPr>
                <w:rFonts w:eastAsia="Arial"/>
                <w:lang w:val="en-AU"/>
              </w:rPr>
              <w:t>mo</w:t>
            </w:r>
            <w:proofErr w:type="spellEnd"/>
            <w:r w:rsidRPr="0682D99A">
              <w:rPr>
                <w:rFonts w:eastAsia="Arial"/>
                <w:lang w:val="en-AU"/>
              </w:rPr>
              <w:t>) calculated using reported mean weight.</w:t>
            </w:r>
          </w:p>
          <w:p w14:paraId="06B0BFE5" w14:textId="77777777" w:rsidR="00C017A8" w:rsidRDefault="00C017A8" w:rsidP="00110B65">
            <w:pPr>
              <w:pStyle w:val="FSTableText"/>
              <w:rPr>
                <w:rFonts w:eastAsia="Arial"/>
              </w:rPr>
            </w:pPr>
            <w:r w:rsidRPr="0682D99A">
              <w:rPr>
                <w:rFonts w:eastAsia="Arial"/>
                <w:lang w:val="en-AU"/>
              </w:rPr>
              <w:t xml:space="preserve"> </w:t>
            </w:r>
          </w:p>
          <w:p w14:paraId="45BE7408" w14:textId="77777777" w:rsidR="00C017A8" w:rsidRDefault="00C017A8" w:rsidP="00110B65">
            <w:pPr>
              <w:pStyle w:val="FSTableText"/>
              <w:rPr>
                <w:rFonts w:eastAsia="Arial"/>
              </w:rPr>
            </w:pPr>
            <w:proofErr w:type="spellStart"/>
            <w:r w:rsidRPr="0682D99A">
              <w:rPr>
                <w:rFonts w:eastAsia="Arial"/>
                <w:lang w:val="en-AU"/>
              </w:rPr>
              <w:t>bLf</w:t>
            </w:r>
            <w:proofErr w:type="spellEnd"/>
            <w:r w:rsidRPr="0682D99A">
              <w:rPr>
                <w:rFonts w:eastAsia="Arial"/>
                <w:lang w:val="en-AU"/>
              </w:rPr>
              <w:t>-IFP gained 10.4</w:t>
            </w:r>
            <w:r w:rsidRPr="0682D99A">
              <w:rPr>
                <w:rFonts w:eastAsia="Arial"/>
                <w:color w:val="FF0000"/>
                <w:lang w:val="en-AU"/>
              </w:rPr>
              <w:t xml:space="preserve"> </w:t>
            </w:r>
            <w:r w:rsidRPr="0682D99A">
              <w:rPr>
                <w:rFonts w:eastAsia="Arial"/>
                <w:lang w:val="en-AU"/>
              </w:rPr>
              <w:t>g/day more, relative to human milk.</w:t>
            </w:r>
          </w:p>
          <w:p w14:paraId="36762774" w14:textId="77777777" w:rsidR="00C017A8" w:rsidRDefault="00C017A8" w:rsidP="00110B65">
            <w:pPr>
              <w:pStyle w:val="FSTableText"/>
              <w:rPr>
                <w:rFonts w:eastAsia="Arial"/>
              </w:rPr>
            </w:pPr>
            <w:r w:rsidRPr="0682D99A">
              <w:rPr>
                <w:rFonts w:eastAsia="Arial"/>
                <w:lang w:val="en-AU"/>
              </w:rPr>
              <w:t xml:space="preserve"> </w:t>
            </w:r>
          </w:p>
          <w:p w14:paraId="6DD47118" w14:textId="77777777" w:rsidR="00C017A8" w:rsidRDefault="00C017A8" w:rsidP="00110B65">
            <w:pPr>
              <w:pStyle w:val="FSTableText"/>
              <w:rPr>
                <w:rFonts w:eastAsia="Arial"/>
              </w:rPr>
            </w:pPr>
            <w:proofErr w:type="spellStart"/>
            <w:r w:rsidRPr="0682D99A">
              <w:rPr>
                <w:rFonts w:eastAsia="Arial"/>
                <w:lang w:val="en-AU"/>
              </w:rPr>
              <w:t>bLf</w:t>
            </w:r>
            <w:proofErr w:type="spellEnd"/>
            <w:r w:rsidRPr="0682D99A">
              <w:rPr>
                <w:rFonts w:eastAsia="Arial"/>
                <w:lang w:val="en-AU"/>
              </w:rPr>
              <w:t>-IFP gained 7.2 g/day more, relative to non-</w:t>
            </w:r>
            <w:proofErr w:type="spellStart"/>
            <w:r w:rsidRPr="0682D99A">
              <w:rPr>
                <w:rFonts w:eastAsia="Arial"/>
                <w:lang w:val="en-AU"/>
              </w:rPr>
              <w:t>bLf</w:t>
            </w:r>
            <w:proofErr w:type="spellEnd"/>
            <w:r w:rsidRPr="0682D99A">
              <w:rPr>
                <w:rFonts w:eastAsia="Arial"/>
                <w:lang w:val="en-AU"/>
              </w:rPr>
              <w:t>-IFP.</w:t>
            </w:r>
          </w:p>
          <w:p w14:paraId="0A038B66" w14:textId="77777777" w:rsidR="00C017A8" w:rsidRDefault="00C017A8" w:rsidP="00110B65">
            <w:pPr>
              <w:pStyle w:val="FSTableText"/>
              <w:rPr>
                <w:rFonts w:ascii="Segoe UI" w:eastAsia="Segoe UI" w:hAnsi="Segoe UI" w:cs="Segoe UI"/>
                <w:sz w:val="18"/>
                <w:szCs w:val="18"/>
              </w:rPr>
            </w:pPr>
            <w:r w:rsidRPr="0682D99A">
              <w:rPr>
                <w:rFonts w:ascii="Segoe UI" w:eastAsia="Segoe UI" w:hAnsi="Segoe UI" w:cs="Segoe UI"/>
                <w:sz w:val="18"/>
                <w:szCs w:val="18"/>
              </w:rPr>
              <w:t xml:space="preserve"> </w:t>
            </w:r>
          </w:p>
          <w:p w14:paraId="45078E43" w14:textId="77777777" w:rsidR="00C017A8" w:rsidRDefault="00C017A8" w:rsidP="00110B65">
            <w:pPr>
              <w:pStyle w:val="FSTableText"/>
              <w:rPr>
                <w:rFonts w:eastAsia="Arial"/>
              </w:rPr>
            </w:pPr>
            <w:r w:rsidRPr="0682D99A">
              <w:rPr>
                <w:rFonts w:eastAsia="Arial"/>
                <w:lang w:val="en-AU"/>
              </w:rPr>
              <w:t xml:space="preserve">Between group differences from 1 </w:t>
            </w:r>
            <w:proofErr w:type="spellStart"/>
            <w:r w:rsidRPr="0682D99A">
              <w:rPr>
                <w:rFonts w:eastAsia="Arial"/>
                <w:lang w:val="en-AU"/>
              </w:rPr>
              <w:t>mo</w:t>
            </w:r>
            <w:proofErr w:type="spellEnd"/>
            <w:r w:rsidRPr="0682D99A">
              <w:rPr>
                <w:rFonts w:eastAsia="Arial"/>
                <w:lang w:val="en-AU"/>
              </w:rPr>
              <w:t xml:space="preserve"> to 4 </w:t>
            </w:r>
            <w:proofErr w:type="spellStart"/>
            <w:r w:rsidRPr="0682D99A">
              <w:rPr>
                <w:rFonts w:eastAsia="Arial"/>
                <w:lang w:val="en-AU"/>
              </w:rPr>
              <w:t>mo</w:t>
            </w:r>
            <w:proofErr w:type="spellEnd"/>
            <w:r w:rsidRPr="0682D99A">
              <w:rPr>
                <w:rFonts w:eastAsia="Arial"/>
                <w:lang w:val="en-AU"/>
              </w:rPr>
              <w:t xml:space="preserve"> were not statistically analysed.</w:t>
            </w:r>
            <w:r w:rsidRPr="0682D99A">
              <w:rPr>
                <w:rFonts w:eastAsia="Arial"/>
              </w:rPr>
              <w:t xml:space="preserve"> </w:t>
            </w:r>
          </w:p>
        </w:tc>
      </w:tr>
      <w:tr w:rsidR="00C017A8" w14:paraId="054317B0" w14:textId="77777777" w:rsidTr="00110B65">
        <w:tc>
          <w:tcPr>
            <w:tcW w:w="2235" w:type="dxa"/>
            <w:tcBorders>
              <w:top w:val="single" w:sz="6" w:space="0" w:color="auto"/>
              <w:left w:val="single" w:sz="6" w:space="0" w:color="auto"/>
              <w:bottom w:val="single" w:sz="6" w:space="0" w:color="auto"/>
              <w:right w:val="single" w:sz="6" w:space="0" w:color="auto"/>
            </w:tcBorders>
          </w:tcPr>
          <w:p w14:paraId="12235B53" w14:textId="77777777" w:rsidR="00C017A8" w:rsidRDefault="00C017A8" w:rsidP="00110B65">
            <w:pPr>
              <w:pStyle w:val="FSTableText"/>
              <w:rPr>
                <w:rFonts w:eastAsia="Arial"/>
              </w:rPr>
            </w:pPr>
            <w:proofErr w:type="spellStart"/>
            <w:r w:rsidRPr="0682D99A">
              <w:rPr>
                <w:rFonts w:eastAsia="Arial"/>
                <w:lang w:val="en-AU"/>
              </w:rPr>
              <w:t>Björmsjö</w:t>
            </w:r>
            <w:proofErr w:type="spellEnd"/>
            <w:r w:rsidRPr="0682D99A">
              <w:rPr>
                <w:rFonts w:eastAsia="Arial"/>
                <w:lang w:val="en-AU"/>
              </w:rPr>
              <w:t xml:space="preserve"> et al. (2021)</w:t>
            </w:r>
            <w:r w:rsidRPr="0682D99A">
              <w:rPr>
                <w:rFonts w:eastAsia="Arial"/>
              </w:rPr>
              <w:t xml:space="preserve"> </w:t>
            </w:r>
          </w:p>
          <w:p w14:paraId="717337F2" w14:textId="77777777" w:rsidR="00C017A8" w:rsidRDefault="00C017A8" w:rsidP="00110B65">
            <w:pPr>
              <w:pStyle w:val="FSTableText"/>
              <w:rPr>
                <w:rFonts w:ascii="Segoe UI" w:eastAsia="Segoe UI" w:hAnsi="Segoe UI" w:cs="Segoe UI"/>
                <w:sz w:val="18"/>
                <w:szCs w:val="18"/>
              </w:rPr>
            </w:pPr>
            <w:r w:rsidRPr="0682D99A">
              <w:rPr>
                <w:rFonts w:ascii="Segoe UI" w:eastAsia="Segoe UI" w:hAnsi="Segoe UI" w:cs="Segoe UI"/>
                <w:sz w:val="18"/>
                <w:szCs w:val="18"/>
              </w:rPr>
              <w:t xml:space="preserve"> </w:t>
            </w:r>
          </w:p>
          <w:p w14:paraId="6C3632FA" w14:textId="77777777" w:rsidR="00C017A8" w:rsidRDefault="00C017A8" w:rsidP="00110B65">
            <w:pPr>
              <w:pStyle w:val="FSTableText"/>
              <w:rPr>
                <w:rFonts w:eastAsia="Arial"/>
              </w:rPr>
            </w:pPr>
            <w:r w:rsidRPr="0682D99A">
              <w:rPr>
                <w:rFonts w:eastAsia="Arial"/>
                <w:lang w:val="en-AU"/>
              </w:rPr>
              <w:t>Sweden</w:t>
            </w:r>
            <w:r w:rsidRPr="0682D99A">
              <w:rPr>
                <w:rFonts w:eastAsia="Arial"/>
              </w:rPr>
              <w:t xml:space="preserve"> </w:t>
            </w:r>
          </w:p>
        </w:tc>
        <w:tc>
          <w:tcPr>
            <w:tcW w:w="3315" w:type="dxa"/>
            <w:tcBorders>
              <w:top w:val="single" w:sz="6" w:space="0" w:color="auto"/>
              <w:left w:val="single" w:sz="6" w:space="0" w:color="auto"/>
              <w:bottom w:val="single" w:sz="6" w:space="0" w:color="auto"/>
              <w:right w:val="single" w:sz="6" w:space="0" w:color="auto"/>
            </w:tcBorders>
          </w:tcPr>
          <w:p w14:paraId="764E8898" w14:textId="77777777" w:rsidR="00C017A8" w:rsidRDefault="00C017A8" w:rsidP="00110B65">
            <w:pPr>
              <w:pStyle w:val="FSTableText"/>
              <w:rPr>
                <w:rFonts w:eastAsia="Arial"/>
              </w:rPr>
            </w:pPr>
            <w:r w:rsidRPr="0682D99A">
              <w:rPr>
                <w:rFonts w:eastAsia="Arial"/>
              </w:rPr>
              <w:t xml:space="preserve">Age: 6 ± 2 weeks </w:t>
            </w:r>
          </w:p>
          <w:p w14:paraId="3DDB1F16" w14:textId="77777777" w:rsidR="00C017A8" w:rsidRDefault="00C017A8" w:rsidP="00110B65">
            <w:pPr>
              <w:pStyle w:val="FSTableText"/>
              <w:rPr>
                <w:rFonts w:eastAsia="Arial"/>
              </w:rPr>
            </w:pPr>
            <w:r w:rsidRPr="0682D99A">
              <w:rPr>
                <w:rFonts w:eastAsia="Arial"/>
              </w:rPr>
              <w:t xml:space="preserve"> </w:t>
            </w:r>
          </w:p>
          <w:p w14:paraId="1A44702D" w14:textId="77777777" w:rsidR="00C017A8" w:rsidRDefault="00C017A8" w:rsidP="00110B65">
            <w:pPr>
              <w:pStyle w:val="FSTableText"/>
              <w:rPr>
                <w:rFonts w:eastAsia="Arial"/>
              </w:rPr>
            </w:pPr>
            <w:r w:rsidRPr="0682D99A">
              <w:rPr>
                <w:rFonts w:eastAsia="Arial"/>
              </w:rPr>
              <w:t xml:space="preserve">Study duration: ~4.5 </w:t>
            </w:r>
            <w:proofErr w:type="spellStart"/>
            <w:r w:rsidRPr="0682D99A">
              <w:rPr>
                <w:rFonts w:eastAsia="Arial"/>
              </w:rPr>
              <w:t>mo</w:t>
            </w:r>
            <w:proofErr w:type="spellEnd"/>
            <w:r w:rsidRPr="0682D99A">
              <w:rPr>
                <w:rFonts w:eastAsia="Arial"/>
              </w:rPr>
              <w:t xml:space="preserve"> (from age 6 </w:t>
            </w:r>
            <w:r w:rsidRPr="0682D99A">
              <w:t xml:space="preserve">± </w:t>
            </w:r>
            <w:r w:rsidRPr="0682D99A">
              <w:rPr>
                <w:rFonts w:eastAsia="Arial"/>
              </w:rPr>
              <w:t xml:space="preserve">2 weeks to 6 </w:t>
            </w:r>
            <w:proofErr w:type="spellStart"/>
            <w:r w:rsidRPr="0682D99A">
              <w:rPr>
                <w:rFonts w:eastAsia="Arial"/>
              </w:rPr>
              <w:t>mo</w:t>
            </w:r>
            <w:proofErr w:type="spellEnd"/>
            <w:r w:rsidRPr="0682D99A">
              <w:rPr>
                <w:rFonts w:eastAsia="Arial"/>
              </w:rPr>
              <w:t>)</w:t>
            </w:r>
          </w:p>
          <w:p w14:paraId="4E903860" w14:textId="77777777" w:rsidR="00C017A8" w:rsidRDefault="00C017A8" w:rsidP="00110B65">
            <w:pPr>
              <w:pStyle w:val="FSTableText"/>
              <w:rPr>
                <w:rFonts w:eastAsia="Arial"/>
              </w:rPr>
            </w:pPr>
            <w:r w:rsidRPr="0682D99A">
              <w:rPr>
                <w:rFonts w:eastAsia="Arial"/>
              </w:rPr>
              <w:t xml:space="preserve"> </w:t>
            </w:r>
          </w:p>
          <w:p w14:paraId="0DCFA667" w14:textId="77777777" w:rsidR="00C017A8" w:rsidRDefault="00C017A8" w:rsidP="00110B65">
            <w:pPr>
              <w:pStyle w:val="FSTableText"/>
              <w:rPr>
                <w:rFonts w:eastAsia="Arial"/>
              </w:rPr>
            </w:pPr>
            <w:r w:rsidRPr="0682D99A">
              <w:rPr>
                <w:rFonts w:eastAsia="Arial"/>
              </w:rPr>
              <w:t xml:space="preserve">Human milk: n=72 enrolled, 71 analysed at 4 </w:t>
            </w:r>
            <w:proofErr w:type="spellStart"/>
            <w:r w:rsidRPr="0682D99A">
              <w:rPr>
                <w:rFonts w:eastAsia="Arial"/>
              </w:rPr>
              <w:t>mo</w:t>
            </w:r>
            <w:proofErr w:type="spellEnd"/>
            <w:r w:rsidRPr="0682D99A">
              <w:rPr>
                <w:rFonts w:eastAsia="Arial"/>
              </w:rPr>
              <w:t xml:space="preserve">, 70 analysed at 6 </w:t>
            </w:r>
            <w:proofErr w:type="spellStart"/>
            <w:r w:rsidRPr="0682D99A">
              <w:rPr>
                <w:rFonts w:eastAsia="Arial"/>
              </w:rPr>
              <w:t>mo</w:t>
            </w:r>
            <w:proofErr w:type="spellEnd"/>
          </w:p>
          <w:p w14:paraId="722F63A1" w14:textId="77777777" w:rsidR="00C017A8" w:rsidRDefault="00C017A8" w:rsidP="00110B65">
            <w:pPr>
              <w:pStyle w:val="FSTableText"/>
              <w:rPr>
                <w:rFonts w:eastAsia="Arial"/>
              </w:rPr>
            </w:pPr>
            <w:proofErr w:type="spellStart"/>
            <w:r w:rsidRPr="0682D99A">
              <w:rPr>
                <w:rFonts w:eastAsia="Arial"/>
              </w:rPr>
              <w:t>bLf</w:t>
            </w:r>
            <w:proofErr w:type="spellEnd"/>
            <w:r w:rsidRPr="0682D99A">
              <w:rPr>
                <w:rFonts w:eastAsia="Arial"/>
              </w:rPr>
              <w:t>-IFP: n=72</w:t>
            </w:r>
          </w:p>
          <w:p w14:paraId="1F0E09C2" w14:textId="77777777" w:rsidR="00C017A8" w:rsidRDefault="00C017A8" w:rsidP="00110B65">
            <w:pPr>
              <w:pStyle w:val="FSTableText"/>
              <w:rPr>
                <w:rFonts w:eastAsia="Arial"/>
              </w:rPr>
            </w:pPr>
            <w:r w:rsidRPr="0682D99A">
              <w:rPr>
                <w:rFonts w:eastAsia="Arial"/>
              </w:rPr>
              <w:t>non-</w:t>
            </w:r>
            <w:proofErr w:type="spellStart"/>
            <w:r w:rsidRPr="0682D99A">
              <w:rPr>
                <w:rFonts w:eastAsia="Arial"/>
              </w:rPr>
              <w:t>bLf</w:t>
            </w:r>
            <w:proofErr w:type="spellEnd"/>
            <w:r w:rsidRPr="0682D99A">
              <w:rPr>
                <w:rFonts w:eastAsia="Arial"/>
              </w:rPr>
              <w:t xml:space="preserve">-IFP: n=72 enrolled, 71 analysed at 4 and 6 </w:t>
            </w:r>
            <w:proofErr w:type="spellStart"/>
            <w:r w:rsidRPr="0682D99A">
              <w:rPr>
                <w:rFonts w:eastAsia="Arial"/>
              </w:rPr>
              <w:t>mo</w:t>
            </w:r>
            <w:proofErr w:type="spellEnd"/>
          </w:p>
        </w:tc>
        <w:tc>
          <w:tcPr>
            <w:tcW w:w="4410" w:type="dxa"/>
            <w:tcBorders>
              <w:top w:val="single" w:sz="6" w:space="0" w:color="auto"/>
              <w:left w:val="single" w:sz="6" w:space="0" w:color="auto"/>
              <w:bottom w:val="single" w:sz="6" w:space="0" w:color="auto"/>
              <w:right w:val="single" w:sz="6" w:space="0" w:color="auto"/>
            </w:tcBorders>
          </w:tcPr>
          <w:p w14:paraId="78990B19" w14:textId="77777777" w:rsidR="00C017A8" w:rsidRDefault="00C017A8" w:rsidP="00110B65">
            <w:pPr>
              <w:pStyle w:val="FSTableText"/>
              <w:rPr>
                <w:rFonts w:eastAsia="Arial"/>
              </w:rPr>
            </w:pPr>
            <w:proofErr w:type="spellStart"/>
            <w:r w:rsidRPr="0682D99A">
              <w:rPr>
                <w:rFonts w:eastAsia="Arial"/>
                <w:i/>
                <w:iCs/>
              </w:rPr>
              <w:t>bLf</w:t>
            </w:r>
            <w:proofErr w:type="spellEnd"/>
            <w:r w:rsidRPr="0682D99A">
              <w:rPr>
                <w:rFonts w:eastAsia="Arial"/>
                <w:i/>
                <w:iCs/>
              </w:rPr>
              <w:t>-IFP</w:t>
            </w:r>
            <w:r w:rsidRPr="0682D99A">
              <w:rPr>
                <w:rFonts w:eastAsia="Arial"/>
              </w:rPr>
              <w:t xml:space="preserve"> </w:t>
            </w:r>
          </w:p>
          <w:p w14:paraId="224BC40E" w14:textId="77777777" w:rsidR="00C017A8" w:rsidRDefault="00C017A8" w:rsidP="00110B65">
            <w:pPr>
              <w:pStyle w:val="FSTableText"/>
              <w:rPr>
                <w:rFonts w:eastAsia="Arial"/>
              </w:rPr>
            </w:pPr>
            <w:proofErr w:type="spellStart"/>
            <w:r w:rsidRPr="0682D99A">
              <w:rPr>
                <w:rFonts w:eastAsia="Arial"/>
              </w:rPr>
              <w:t>bLf</w:t>
            </w:r>
            <w:proofErr w:type="spellEnd"/>
            <w:r w:rsidRPr="0682D99A">
              <w:rPr>
                <w:rFonts w:eastAsia="Arial"/>
              </w:rPr>
              <w:t>:</w:t>
            </w:r>
            <w:r w:rsidRPr="0682D99A">
              <w:rPr>
                <w:rFonts w:eastAsia="Arial"/>
                <w:b/>
                <w:bCs/>
              </w:rPr>
              <w:t xml:space="preserve"> </w:t>
            </w:r>
            <w:r w:rsidRPr="0682D99A">
              <w:rPr>
                <w:rFonts w:eastAsia="Arial"/>
              </w:rPr>
              <w:t>1 g/L</w:t>
            </w:r>
          </w:p>
          <w:p w14:paraId="4FAD1E3C" w14:textId="77777777" w:rsidR="00C017A8" w:rsidRDefault="00C017A8" w:rsidP="00110B65">
            <w:pPr>
              <w:pStyle w:val="FSTableText"/>
              <w:rPr>
                <w:rFonts w:eastAsia="Arial"/>
              </w:rPr>
            </w:pPr>
            <w:r w:rsidRPr="0682D99A">
              <w:rPr>
                <w:rFonts w:eastAsia="Arial"/>
              </w:rPr>
              <w:t xml:space="preserve">Iron saturation of </w:t>
            </w:r>
            <w:proofErr w:type="spellStart"/>
            <w:r w:rsidRPr="0682D99A">
              <w:rPr>
                <w:rFonts w:eastAsia="Arial"/>
              </w:rPr>
              <w:t>bLf</w:t>
            </w:r>
            <w:proofErr w:type="spellEnd"/>
            <w:r w:rsidRPr="0682D99A">
              <w:rPr>
                <w:rFonts w:eastAsia="Arial"/>
              </w:rPr>
              <w:t>: not stated</w:t>
            </w:r>
            <w:r w:rsidRPr="0682D99A">
              <w:rPr>
                <w:rFonts w:eastAsia="Arial"/>
                <w:vertAlign w:val="superscript"/>
                <w:lang w:val="en-AU"/>
              </w:rPr>
              <w:t>3</w:t>
            </w:r>
            <w:r w:rsidRPr="0682D99A">
              <w:rPr>
                <w:rFonts w:eastAsia="Arial"/>
              </w:rPr>
              <w:t xml:space="preserve"> </w:t>
            </w:r>
          </w:p>
          <w:p w14:paraId="3F6DB2C6" w14:textId="77777777" w:rsidR="00C017A8" w:rsidRDefault="00C017A8" w:rsidP="00110B65">
            <w:pPr>
              <w:pStyle w:val="FSTableText"/>
              <w:rPr>
                <w:rFonts w:eastAsia="Arial"/>
                <w:sz w:val="16"/>
                <w:szCs w:val="16"/>
              </w:rPr>
            </w:pPr>
            <w:r w:rsidRPr="0682D99A">
              <w:rPr>
                <w:rFonts w:eastAsia="Arial"/>
              </w:rPr>
              <w:t>Iron: 2 mg/L</w:t>
            </w:r>
            <w:r w:rsidRPr="0682D99A">
              <w:rPr>
                <w:rFonts w:eastAsia="Arial"/>
                <w:vertAlign w:val="superscript"/>
                <w:lang w:val="en-AU"/>
              </w:rPr>
              <w:t>4</w:t>
            </w:r>
          </w:p>
          <w:p w14:paraId="6E701AA3" w14:textId="77777777" w:rsidR="00C017A8" w:rsidRDefault="00C017A8" w:rsidP="00110B65">
            <w:pPr>
              <w:pStyle w:val="FSTableText"/>
              <w:rPr>
                <w:rFonts w:eastAsia="Arial"/>
              </w:rPr>
            </w:pPr>
            <w:r w:rsidRPr="0682D99A">
              <w:rPr>
                <w:rFonts w:eastAsia="Arial"/>
              </w:rPr>
              <w:t xml:space="preserve"> </w:t>
            </w:r>
          </w:p>
          <w:p w14:paraId="5DBACEB5" w14:textId="77777777" w:rsidR="00C017A8" w:rsidRDefault="00C017A8" w:rsidP="00110B65">
            <w:pPr>
              <w:pStyle w:val="FSTableText"/>
              <w:rPr>
                <w:rFonts w:eastAsia="Arial"/>
              </w:rPr>
            </w:pPr>
            <w:r w:rsidRPr="0682D99A">
              <w:rPr>
                <w:rFonts w:eastAsia="Arial"/>
                <w:i/>
                <w:iCs/>
              </w:rPr>
              <w:t>Non-</w:t>
            </w:r>
            <w:proofErr w:type="spellStart"/>
            <w:r w:rsidRPr="0682D99A">
              <w:rPr>
                <w:rFonts w:eastAsia="Arial"/>
                <w:i/>
                <w:iCs/>
              </w:rPr>
              <w:t>bLf</w:t>
            </w:r>
            <w:proofErr w:type="spellEnd"/>
            <w:r w:rsidRPr="0682D99A">
              <w:rPr>
                <w:rFonts w:eastAsia="Arial"/>
                <w:i/>
                <w:iCs/>
              </w:rPr>
              <w:t>-IFP</w:t>
            </w:r>
            <w:r w:rsidRPr="0682D99A">
              <w:rPr>
                <w:rFonts w:eastAsia="Arial"/>
              </w:rPr>
              <w:t xml:space="preserve"> </w:t>
            </w:r>
          </w:p>
          <w:p w14:paraId="6298DA61" w14:textId="77777777" w:rsidR="00C017A8" w:rsidRDefault="00C017A8" w:rsidP="00110B65">
            <w:pPr>
              <w:pStyle w:val="FSTableText"/>
              <w:rPr>
                <w:rFonts w:eastAsia="Arial"/>
                <w:sz w:val="16"/>
                <w:szCs w:val="16"/>
              </w:rPr>
            </w:pPr>
            <w:proofErr w:type="spellStart"/>
            <w:r w:rsidRPr="0682D99A">
              <w:rPr>
                <w:rFonts w:eastAsia="Arial"/>
              </w:rPr>
              <w:t>bLf</w:t>
            </w:r>
            <w:proofErr w:type="spellEnd"/>
            <w:r w:rsidRPr="0682D99A">
              <w:rPr>
                <w:rFonts w:eastAsia="Arial"/>
              </w:rPr>
              <w:t>: 0 g/L</w:t>
            </w:r>
            <w:r w:rsidRPr="0682D99A">
              <w:rPr>
                <w:rFonts w:eastAsia="Arial"/>
                <w:vertAlign w:val="superscript"/>
                <w:lang w:val="en-AU"/>
              </w:rPr>
              <w:t>6</w:t>
            </w:r>
          </w:p>
          <w:p w14:paraId="1CFEB945" w14:textId="77777777" w:rsidR="00C017A8" w:rsidRDefault="00C017A8" w:rsidP="00110B65">
            <w:pPr>
              <w:pStyle w:val="FSTableText"/>
              <w:rPr>
                <w:rFonts w:eastAsia="Arial"/>
                <w:sz w:val="16"/>
                <w:szCs w:val="16"/>
              </w:rPr>
            </w:pPr>
            <w:r w:rsidRPr="0682D99A">
              <w:rPr>
                <w:rFonts w:eastAsia="Arial"/>
              </w:rPr>
              <w:t xml:space="preserve">Iron saturation of naturally occurring </w:t>
            </w:r>
            <w:proofErr w:type="spellStart"/>
            <w:r w:rsidRPr="0682D99A">
              <w:rPr>
                <w:rFonts w:eastAsia="Arial"/>
              </w:rPr>
              <w:t>bLf</w:t>
            </w:r>
            <w:proofErr w:type="spellEnd"/>
            <w:r w:rsidRPr="0682D99A">
              <w:rPr>
                <w:rFonts w:eastAsia="Arial"/>
              </w:rPr>
              <w:t xml:space="preserve"> (if present): not stated</w:t>
            </w:r>
            <w:r w:rsidRPr="0682D99A">
              <w:rPr>
                <w:rFonts w:eastAsia="Arial"/>
                <w:vertAlign w:val="superscript"/>
                <w:lang w:val="en-AU"/>
              </w:rPr>
              <w:t>3</w:t>
            </w:r>
          </w:p>
          <w:p w14:paraId="73165378" w14:textId="77777777" w:rsidR="00C017A8" w:rsidRDefault="00C017A8" w:rsidP="00110B65">
            <w:pPr>
              <w:pStyle w:val="FSTableText"/>
              <w:rPr>
                <w:rFonts w:eastAsia="Arial"/>
                <w:sz w:val="16"/>
                <w:szCs w:val="16"/>
              </w:rPr>
            </w:pPr>
            <w:r w:rsidRPr="0682D99A">
              <w:rPr>
                <w:rFonts w:eastAsia="Arial"/>
              </w:rPr>
              <w:t>Iron: 2 mg/L</w:t>
            </w:r>
            <w:r w:rsidRPr="0682D99A">
              <w:rPr>
                <w:rFonts w:eastAsia="Arial"/>
                <w:vertAlign w:val="superscript"/>
                <w:lang w:val="en-AU"/>
              </w:rPr>
              <w:t>4</w:t>
            </w:r>
          </w:p>
        </w:tc>
        <w:tc>
          <w:tcPr>
            <w:tcW w:w="4035" w:type="dxa"/>
            <w:tcBorders>
              <w:top w:val="single" w:sz="6" w:space="0" w:color="auto"/>
              <w:left w:val="single" w:sz="6" w:space="0" w:color="auto"/>
              <w:bottom w:val="single" w:sz="6" w:space="0" w:color="auto"/>
              <w:right w:val="single" w:sz="6" w:space="0" w:color="auto"/>
            </w:tcBorders>
          </w:tcPr>
          <w:p w14:paraId="3A8D26C5" w14:textId="77777777" w:rsidR="00C017A8" w:rsidRDefault="00C017A8" w:rsidP="00110B65">
            <w:pPr>
              <w:pStyle w:val="FSTableText"/>
              <w:rPr>
                <w:rFonts w:eastAsia="Arial"/>
              </w:rPr>
            </w:pPr>
            <w:r w:rsidRPr="0682D99A">
              <w:rPr>
                <w:rFonts w:eastAsia="Arial"/>
                <w:lang w:val="en-AU"/>
              </w:rPr>
              <w:t xml:space="preserve">Weight gain (g/day from 6 weeks to 4 </w:t>
            </w:r>
            <w:proofErr w:type="spellStart"/>
            <w:r w:rsidRPr="0682D99A">
              <w:rPr>
                <w:rFonts w:eastAsia="Arial"/>
                <w:lang w:val="en-AU"/>
              </w:rPr>
              <w:t>mo</w:t>
            </w:r>
            <w:proofErr w:type="spellEnd"/>
            <w:r w:rsidRPr="0682D99A">
              <w:rPr>
                <w:rFonts w:eastAsia="Arial"/>
                <w:lang w:val="en-AU"/>
              </w:rPr>
              <w:t>) calculated using reported weight gain (mean; g/day).</w:t>
            </w:r>
          </w:p>
          <w:p w14:paraId="541516ED" w14:textId="77777777" w:rsidR="00C017A8" w:rsidRDefault="00C017A8" w:rsidP="00110B65">
            <w:pPr>
              <w:pStyle w:val="FSTableText"/>
              <w:rPr>
                <w:rFonts w:eastAsia="Arial"/>
              </w:rPr>
            </w:pPr>
            <w:r w:rsidRPr="0682D99A">
              <w:rPr>
                <w:rFonts w:eastAsia="Arial"/>
                <w:lang w:val="en-AU"/>
              </w:rPr>
              <w:t xml:space="preserve"> </w:t>
            </w:r>
          </w:p>
          <w:p w14:paraId="481D6740" w14:textId="77777777" w:rsidR="00C017A8" w:rsidRDefault="00C017A8" w:rsidP="00110B65">
            <w:pPr>
              <w:pStyle w:val="FSTableText"/>
              <w:rPr>
                <w:rFonts w:eastAsia="Arial"/>
              </w:rPr>
            </w:pPr>
            <w:proofErr w:type="spellStart"/>
            <w:r w:rsidRPr="0682D99A">
              <w:rPr>
                <w:rFonts w:eastAsia="Arial"/>
                <w:lang w:val="en-AU"/>
              </w:rPr>
              <w:t>bLf</w:t>
            </w:r>
            <w:proofErr w:type="spellEnd"/>
            <w:r w:rsidRPr="0682D99A">
              <w:rPr>
                <w:rFonts w:eastAsia="Arial"/>
                <w:lang w:val="en-AU"/>
              </w:rPr>
              <w:t>-IFP gained 1.8 g/day more, relative to human milk</w:t>
            </w:r>
            <w:r w:rsidRPr="0682D99A">
              <w:rPr>
                <w:rFonts w:eastAsia="Arial"/>
              </w:rPr>
              <w:t>.</w:t>
            </w:r>
          </w:p>
          <w:p w14:paraId="2B0EE455" w14:textId="77777777" w:rsidR="00C017A8" w:rsidRDefault="00C017A8" w:rsidP="00110B65">
            <w:pPr>
              <w:pStyle w:val="FSTableText"/>
              <w:rPr>
                <w:rFonts w:eastAsia="Arial"/>
              </w:rPr>
            </w:pPr>
            <w:r w:rsidRPr="0682D99A">
              <w:rPr>
                <w:rFonts w:eastAsia="Arial"/>
                <w:lang w:val="en-AU"/>
              </w:rPr>
              <w:t xml:space="preserve"> </w:t>
            </w:r>
          </w:p>
          <w:p w14:paraId="755A61CC" w14:textId="77777777" w:rsidR="00C017A8" w:rsidRDefault="00C017A8" w:rsidP="00110B65">
            <w:pPr>
              <w:pStyle w:val="FSTableText"/>
              <w:rPr>
                <w:rFonts w:eastAsia="Arial"/>
              </w:rPr>
            </w:pPr>
            <w:proofErr w:type="spellStart"/>
            <w:r w:rsidRPr="0682D99A">
              <w:rPr>
                <w:rFonts w:eastAsia="Arial"/>
                <w:lang w:val="en-AU"/>
              </w:rPr>
              <w:t>bLf</w:t>
            </w:r>
            <w:proofErr w:type="spellEnd"/>
            <w:r w:rsidRPr="0682D99A">
              <w:rPr>
                <w:rFonts w:eastAsia="Arial"/>
                <w:lang w:val="en-AU"/>
              </w:rPr>
              <w:t>-IFP gained 0.9 g/day less, relative to non-</w:t>
            </w:r>
            <w:proofErr w:type="spellStart"/>
            <w:r w:rsidRPr="0682D99A">
              <w:rPr>
                <w:rFonts w:eastAsia="Arial"/>
                <w:lang w:val="en-AU"/>
              </w:rPr>
              <w:t>bLf</w:t>
            </w:r>
            <w:proofErr w:type="spellEnd"/>
            <w:r w:rsidRPr="0682D99A">
              <w:rPr>
                <w:rFonts w:eastAsia="Arial"/>
                <w:lang w:val="en-AU"/>
              </w:rPr>
              <w:t>-IFP.</w:t>
            </w:r>
          </w:p>
          <w:p w14:paraId="2766D5E8" w14:textId="77777777" w:rsidR="00C017A8" w:rsidRDefault="00C017A8" w:rsidP="00110B65">
            <w:pPr>
              <w:pStyle w:val="FSTableText"/>
              <w:rPr>
                <w:rFonts w:eastAsia="Arial"/>
              </w:rPr>
            </w:pPr>
          </w:p>
          <w:p w14:paraId="2F28F66E" w14:textId="77777777" w:rsidR="00C017A8" w:rsidRDefault="00C017A8" w:rsidP="00110B65">
            <w:pPr>
              <w:pStyle w:val="FSTableText"/>
              <w:rPr>
                <w:rFonts w:eastAsia="Arial"/>
              </w:rPr>
            </w:pPr>
            <w:r w:rsidRPr="0682D99A">
              <w:rPr>
                <w:rFonts w:eastAsia="Arial"/>
                <w:lang w:val="en-AU"/>
              </w:rPr>
              <w:t xml:space="preserve">Between group differences from 1 </w:t>
            </w:r>
            <w:proofErr w:type="spellStart"/>
            <w:r w:rsidRPr="0682D99A">
              <w:rPr>
                <w:rFonts w:eastAsia="Arial"/>
                <w:lang w:val="en-AU"/>
              </w:rPr>
              <w:t>mo</w:t>
            </w:r>
            <w:proofErr w:type="spellEnd"/>
            <w:r w:rsidRPr="0682D99A">
              <w:rPr>
                <w:rFonts w:eastAsia="Arial"/>
                <w:lang w:val="en-AU"/>
              </w:rPr>
              <w:t xml:space="preserve"> to 4 </w:t>
            </w:r>
            <w:proofErr w:type="spellStart"/>
            <w:r w:rsidRPr="0682D99A">
              <w:rPr>
                <w:rFonts w:eastAsia="Arial"/>
                <w:lang w:val="en-AU"/>
              </w:rPr>
              <w:t>mo</w:t>
            </w:r>
            <w:proofErr w:type="spellEnd"/>
            <w:r w:rsidRPr="0682D99A">
              <w:rPr>
                <w:rFonts w:eastAsia="Arial"/>
                <w:lang w:val="en-AU"/>
              </w:rPr>
              <w:t xml:space="preserve"> were not statistically analysed.</w:t>
            </w:r>
          </w:p>
          <w:p w14:paraId="5182A8EF" w14:textId="77777777" w:rsidR="00C017A8" w:rsidRDefault="00C017A8" w:rsidP="00110B65">
            <w:pPr>
              <w:pStyle w:val="FSTableText"/>
              <w:rPr>
                <w:rFonts w:eastAsia="Arial"/>
              </w:rPr>
            </w:pPr>
          </w:p>
          <w:p w14:paraId="1C97C3E6" w14:textId="77777777" w:rsidR="00C017A8" w:rsidRDefault="00C017A8" w:rsidP="00110B65">
            <w:pPr>
              <w:pStyle w:val="FSTableText"/>
              <w:rPr>
                <w:rFonts w:eastAsia="Arial"/>
              </w:rPr>
            </w:pPr>
            <w:r w:rsidRPr="0682D99A">
              <w:rPr>
                <w:rFonts w:eastAsia="Arial"/>
                <w:lang w:val="en-AU"/>
              </w:rPr>
              <w:t xml:space="preserve">Authors report that from 6 weeks to 6 </w:t>
            </w:r>
            <w:proofErr w:type="spellStart"/>
            <w:r w:rsidRPr="0682D99A">
              <w:rPr>
                <w:rFonts w:eastAsia="Arial"/>
                <w:lang w:val="en-AU"/>
              </w:rPr>
              <w:t>mo</w:t>
            </w:r>
            <w:proofErr w:type="spellEnd"/>
            <w:r w:rsidRPr="0682D99A">
              <w:rPr>
                <w:rFonts w:eastAsia="Arial"/>
                <w:lang w:val="en-AU"/>
              </w:rPr>
              <w:t xml:space="preserve">, the </w:t>
            </w:r>
            <w:proofErr w:type="spellStart"/>
            <w:r w:rsidRPr="0682D99A">
              <w:rPr>
                <w:rFonts w:eastAsia="Arial"/>
                <w:lang w:val="en-AU"/>
              </w:rPr>
              <w:t>bLf</w:t>
            </w:r>
            <w:proofErr w:type="spellEnd"/>
            <w:r w:rsidRPr="0682D99A">
              <w:rPr>
                <w:rFonts w:eastAsia="Arial"/>
                <w:lang w:val="en-AU"/>
              </w:rPr>
              <w:t xml:space="preserve">-IFP gained significantly more weight relative to human milk </w:t>
            </w:r>
            <w:r w:rsidRPr="0682D99A">
              <w:rPr>
                <w:rFonts w:eastAsia="Arial"/>
              </w:rPr>
              <w:t>(2</w:t>
            </w:r>
            <w:r w:rsidRPr="0682D99A">
              <w:rPr>
                <w:rFonts w:eastAsia="Arial"/>
                <w:lang w:val="en-AU"/>
              </w:rPr>
              <w:t>.6 g/day more,</w:t>
            </w:r>
            <w:r w:rsidRPr="0682D99A">
              <w:rPr>
                <w:rFonts w:eastAsia="Arial"/>
                <w:i/>
                <w:iCs/>
              </w:rPr>
              <w:t xml:space="preserve"> P</w:t>
            </w:r>
            <w:r w:rsidRPr="0682D99A">
              <w:rPr>
                <w:rFonts w:eastAsia="Arial"/>
              </w:rPr>
              <w:t xml:space="preserve">&lt;0.05); and weight gain of the </w:t>
            </w:r>
            <w:proofErr w:type="spellStart"/>
            <w:r w:rsidRPr="0682D99A">
              <w:rPr>
                <w:rFonts w:eastAsia="Arial"/>
              </w:rPr>
              <w:t>bLf</w:t>
            </w:r>
            <w:proofErr w:type="spellEnd"/>
            <w:r w:rsidRPr="0682D99A">
              <w:rPr>
                <w:rFonts w:eastAsia="Arial"/>
              </w:rPr>
              <w:t>-IFP was NSD to that of non-</w:t>
            </w:r>
            <w:proofErr w:type="spellStart"/>
            <w:r w:rsidRPr="0682D99A">
              <w:rPr>
                <w:rFonts w:eastAsia="Arial"/>
              </w:rPr>
              <w:t>bLf</w:t>
            </w:r>
            <w:proofErr w:type="spellEnd"/>
            <w:r w:rsidRPr="0682D99A">
              <w:rPr>
                <w:rFonts w:eastAsia="Arial"/>
              </w:rPr>
              <w:t>-IFP.</w:t>
            </w:r>
          </w:p>
        </w:tc>
      </w:tr>
      <w:tr w:rsidR="00C017A8" w14:paraId="235180E3" w14:textId="77777777" w:rsidTr="00110B65">
        <w:trPr>
          <w:trHeight w:val="2565"/>
        </w:trPr>
        <w:tc>
          <w:tcPr>
            <w:tcW w:w="2235" w:type="dxa"/>
            <w:tcBorders>
              <w:top w:val="single" w:sz="6" w:space="0" w:color="auto"/>
              <w:left w:val="single" w:sz="6" w:space="0" w:color="auto"/>
              <w:bottom w:val="single" w:sz="6" w:space="0" w:color="auto"/>
              <w:right w:val="single" w:sz="6" w:space="0" w:color="auto"/>
            </w:tcBorders>
            <w:shd w:val="clear" w:color="auto" w:fill="ECECEC"/>
          </w:tcPr>
          <w:p w14:paraId="79F07933" w14:textId="77777777" w:rsidR="00C017A8" w:rsidRDefault="00C017A8" w:rsidP="00110B65">
            <w:pPr>
              <w:pStyle w:val="FSTableText"/>
              <w:rPr>
                <w:rFonts w:eastAsia="Arial"/>
              </w:rPr>
            </w:pPr>
            <w:r w:rsidRPr="0682D99A">
              <w:rPr>
                <w:rFonts w:eastAsia="Arial"/>
              </w:rPr>
              <w:t xml:space="preserve">King et al. (2007) </w:t>
            </w:r>
          </w:p>
          <w:p w14:paraId="1966978F" w14:textId="77777777" w:rsidR="00C017A8" w:rsidRDefault="00C017A8" w:rsidP="00110B65">
            <w:pPr>
              <w:pStyle w:val="FSTableText"/>
              <w:rPr>
                <w:rFonts w:ascii="Segoe UI" w:eastAsia="Segoe UI" w:hAnsi="Segoe UI" w:cs="Segoe UI"/>
                <w:sz w:val="18"/>
                <w:szCs w:val="18"/>
              </w:rPr>
            </w:pPr>
            <w:r w:rsidRPr="0682D99A">
              <w:rPr>
                <w:rFonts w:ascii="Segoe UI" w:eastAsia="Segoe UI" w:hAnsi="Segoe UI" w:cs="Segoe UI"/>
                <w:sz w:val="18"/>
                <w:szCs w:val="18"/>
              </w:rPr>
              <w:t xml:space="preserve"> </w:t>
            </w:r>
          </w:p>
          <w:p w14:paraId="0FD11082" w14:textId="77777777" w:rsidR="00C017A8" w:rsidRDefault="00C017A8" w:rsidP="00110B65">
            <w:pPr>
              <w:pStyle w:val="FSTableText"/>
              <w:rPr>
                <w:rFonts w:eastAsia="Arial"/>
              </w:rPr>
            </w:pPr>
            <w:r w:rsidRPr="0682D99A">
              <w:rPr>
                <w:rFonts w:eastAsia="Arial"/>
              </w:rPr>
              <w:t xml:space="preserve">USA </w:t>
            </w:r>
          </w:p>
        </w:tc>
        <w:tc>
          <w:tcPr>
            <w:tcW w:w="3315" w:type="dxa"/>
            <w:tcBorders>
              <w:top w:val="single" w:sz="6" w:space="0" w:color="auto"/>
              <w:left w:val="single" w:sz="6" w:space="0" w:color="auto"/>
              <w:bottom w:val="single" w:sz="6" w:space="0" w:color="auto"/>
              <w:right w:val="single" w:sz="6" w:space="0" w:color="auto"/>
            </w:tcBorders>
            <w:shd w:val="clear" w:color="auto" w:fill="ECECEC"/>
          </w:tcPr>
          <w:p w14:paraId="6273109C" w14:textId="77777777" w:rsidR="00C017A8" w:rsidRDefault="00C017A8" w:rsidP="00110B65">
            <w:pPr>
              <w:pStyle w:val="FSTableText"/>
              <w:rPr>
                <w:rFonts w:eastAsia="Arial"/>
              </w:rPr>
            </w:pPr>
            <w:r w:rsidRPr="0682D99A">
              <w:rPr>
                <w:rFonts w:eastAsia="Arial"/>
              </w:rPr>
              <w:t xml:space="preserve">Age: ≤4 weeks </w:t>
            </w:r>
          </w:p>
          <w:p w14:paraId="73511227" w14:textId="77777777" w:rsidR="00C017A8" w:rsidRDefault="00C017A8" w:rsidP="00110B65">
            <w:pPr>
              <w:pStyle w:val="FSTableText"/>
              <w:rPr>
                <w:rFonts w:eastAsia="Arial"/>
              </w:rPr>
            </w:pPr>
            <w:r w:rsidRPr="0682D99A">
              <w:rPr>
                <w:rFonts w:eastAsia="Arial"/>
              </w:rPr>
              <w:t xml:space="preserve"> </w:t>
            </w:r>
          </w:p>
          <w:p w14:paraId="08324813" w14:textId="77777777" w:rsidR="00C017A8" w:rsidRDefault="00C017A8" w:rsidP="00110B65">
            <w:pPr>
              <w:pStyle w:val="FSTableText"/>
              <w:rPr>
                <w:rFonts w:eastAsia="Arial"/>
              </w:rPr>
            </w:pPr>
            <w:r w:rsidRPr="0682D99A">
              <w:rPr>
                <w:rFonts w:eastAsia="Arial"/>
              </w:rPr>
              <w:t xml:space="preserve">Study duration: ~11 </w:t>
            </w:r>
            <w:proofErr w:type="spellStart"/>
            <w:r w:rsidRPr="0682D99A">
              <w:rPr>
                <w:rFonts w:eastAsia="Arial"/>
              </w:rPr>
              <w:t>mo</w:t>
            </w:r>
            <w:proofErr w:type="spellEnd"/>
            <w:r w:rsidRPr="0682D99A">
              <w:rPr>
                <w:rFonts w:eastAsia="Arial"/>
              </w:rPr>
              <w:t xml:space="preserve"> (from age ≤4 weeks to 12 </w:t>
            </w:r>
            <w:proofErr w:type="spellStart"/>
            <w:r w:rsidRPr="0682D99A">
              <w:rPr>
                <w:rFonts w:eastAsia="Arial"/>
              </w:rPr>
              <w:t>mo</w:t>
            </w:r>
            <w:proofErr w:type="spellEnd"/>
            <w:r w:rsidRPr="0682D99A">
              <w:rPr>
                <w:rFonts w:eastAsia="Arial"/>
              </w:rPr>
              <w:t xml:space="preserve">) </w:t>
            </w:r>
          </w:p>
          <w:p w14:paraId="0C03B595" w14:textId="77777777" w:rsidR="00C017A8" w:rsidRDefault="00C017A8" w:rsidP="00110B65">
            <w:pPr>
              <w:pStyle w:val="FSTableText"/>
              <w:rPr>
                <w:rFonts w:eastAsia="Arial"/>
              </w:rPr>
            </w:pPr>
            <w:r w:rsidRPr="0682D99A">
              <w:rPr>
                <w:rFonts w:eastAsia="Arial"/>
              </w:rPr>
              <w:t xml:space="preserve"> </w:t>
            </w:r>
          </w:p>
          <w:p w14:paraId="0559BCD8" w14:textId="77777777" w:rsidR="00C017A8" w:rsidRDefault="00C017A8" w:rsidP="00110B65">
            <w:pPr>
              <w:pStyle w:val="FSTableText"/>
              <w:rPr>
                <w:rFonts w:eastAsia="Arial"/>
              </w:rPr>
            </w:pPr>
            <w:proofErr w:type="spellStart"/>
            <w:r w:rsidRPr="0682D99A">
              <w:rPr>
                <w:rFonts w:eastAsia="Arial"/>
              </w:rPr>
              <w:t>bLf</w:t>
            </w:r>
            <w:proofErr w:type="spellEnd"/>
            <w:r w:rsidRPr="0682D99A">
              <w:rPr>
                <w:rFonts w:eastAsia="Arial"/>
              </w:rPr>
              <w:t>-IFP: n=39 enrolled, 13 dropouts, 26 analysed</w:t>
            </w:r>
          </w:p>
          <w:p w14:paraId="5EAE6848" w14:textId="77777777" w:rsidR="00C017A8" w:rsidRDefault="00C017A8" w:rsidP="00110B65">
            <w:pPr>
              <w:pStyle w:val="FSTableText"/>
              <w:rPr>
                <w:rFonts w:eastAsia="Arial"/>
              </w:rPr>
            </w:pPr>
            <w:r w:rsidRPr="0682D99A">
              <w:rPr>
                <w:rFonts w:eastAsia="Arial"/>
              </w:rPr>
              <w:t>Low-</w:t>
            </w:r>
            <w:proofErr w:type="spellStart"/>
            <w:r w:rsidRPr="0682D99A">
              <w:rPr>
                <w:rFonts w:eastAsia="Arial"/>
              </w:rPr>
              <w:t>bLf</w:t>
            </w:r>
            <w:proofErr w:type="spellEnd"/>
            <w:r w:rsidRPr="0682D99A">
              <w:rPr>
                <w:rFonts w:eastAsia="Arial"/>
              </w:rPr>
              <w:t>-IFP: n=40 enrolled, 14 dropouts, 26 analysed</w:t>
            </w:r>
          </w:p>
        </w:tc>
        <w:tc>
          <w:tcPr>
            <w:tcW w:w="4410" w:type="dxa"/>
            <w:tcBorders>
              <w:top w:val="single" w:sz="6" w:space="0" w:color="auto"/>
              <w:left w:val="single" w:sz="6" w:space="0" w:color="auto"/>
              <w:bottom w:val="single" w:sz="6" w:space="0" w:color="auto"/>
              <w:right w:val="single" w:sz="6" w:space="0" w:color="auto"/>
            </w:tcBorders>
            <w:shd w:val="clear" w:color="auto" w:fill="ECECEC"/>
          </w:tcPr>
          <w:p w14:paraId="63E38CBD" w14:textId="77777777" w:rsidR="00C017A8" w:rsidRDefault="00C017A8" w:rsidP="00110B65">
            <w:pPr>
              <w:pStyle w:val="FSTableText"/>
              <w:rPr>
                <w:rFonts w:eastAsia="Arial"/>
              </w:rPr>
            </w:pPr>
            <w:r w:rsidRPr="0682D99A">
              <w:rPr>
                <w:rFonts w:eastAsia="Arial"/>
                <w:i/>
                <w:iCs/>
              </w:rPr>
              <w:t>Moderate-</w:t>
            </w:r>
            <w:proofErr w:type="spellStart"/>
            <w:r w:rsidRPr="0682D99A">
              <w:rPr>
                <w:rFonts w:eastAsia="Arial"/>
                <w:i/>
                <w:iCs/>
              </w:rPr>
              <w:t>bLf</w:t>
            </w:r>
            <w:proofErr w:type="spellEnd"/>
            <w:r w:rsidRPr="0682D99A">
              <w:rPr>
                <w:rFonts w:eastAsia="Arial"/>
                <w:i/>
                <w:iCs/>
              </w:rPr>
              <w:t>-IFP</w:t>
            </w:r>
            <w:r w:rsidRPr="0682D99A">
              <w:rPr>
                <w:rFonts w:eastAsia="Arial"/>
              </w:rPr>
              <w:t xml:space="preserve"> </w:t>
            </w:r>
          </w:p>
          <w:p w14:paraId="2B9B0ECB" w14:textId="77777777" w:rsidR="00C017A8" w:rsidRDefault="00C017A8" w:rsidP="00110B65">
            <w:pPr>
              <w:pStyle w:val="FSTableText"/>
              <w:rPr>
                <w:rFonts w:eastAsia="Arial"/>
              </w:rPr>
            </w:pPr>
            <w:proofErr w:type="spellStart"/>
            <w:r w:rsidRPr="0682D99A">
              <w:rPr>
                <w:rFonts w:eastAsia="Arial"/>
              </w:rPr>
              <w:t>bLf</w:t>
            </w:r>
            <w:proofErr w:type="spellEnd"/>
            <w:r w:rsidRPr="0682D99A">
              <w:rPr>
                <w:rFonts w:eastAsia="Arial"/>
              </w:rPr>
              <w:t>: 0.85 g/L</w:t>
            </w:r>
          </w:p>
          <w:p w14:paraId="76935D4E" w14:textId="77777777" w:rsidR="00C017A8" w:rsidRDefault="00C017A8" w:rsidP="00110B65">
            <w:pPr>
              <w:pStyle w:val="FSTableText"/>
              <w:rPr>
                <w:rFonts w:eastAsia="Arial"/>
                <w:sz w:val="16"/>
                <w:szCs w:val="16"/>
              </w:rPr>
            </w:pPr>
            <w:r w:rsidRPr="0682D99A">
              <w:rPr>
                <w:rFonts w:eastAsia="Arial"/>
              </w:rPr>
              <w:t xml:space="preserve">Iron saturation of </w:t>
            </w:r>
            <w:proofErr w:type="spellStart"/>
            <w:r w:rsidRPr="0682D99A">
              <w:rPr>
                <w:rFonts w:eastAsia="Arial"/>
              </w:rPr>
              <w:t>bLf</w:t>
            </w:r>
            <w:proofErr w:type="spellEnd"/>
            <w:r w:rsidRPr="0682D99A">
              <w:rPr>
                <w:rFonts w:eastAsia="Arial"/>
              </w:rPr>
              <w:t xml:space="preserve">: 8.6% (calculated from 120 µg Fe/g </w:t>
            </w:r>
            <w:proofErr w:type="spellStart"/>
            <w:r w:rsidRPr="0682D99A">
              <w:rPr>
                <w:rFonts w:eastAsia="Arial"/>
              </w:rPr>
              <w:t>bLf</w:t>
            </w:r>
            <w:proofErr w:type="spellEnd"/>
            <w:r w:rsidRPr="0682D99A">
              <w:rPr>
                <w:rFonts w:eastAsia="Arial"/>
              </w:rPr>
              <w:t>)</w:t>
            </w:r>
            <w:r w:rsidRPr="0682D99A">
              <w:rPr>
                <w:rFonts w:eastAsia="Arial"/>
                <w:vertAlign w:val="superscript"/>
                <w:lang w:val="en-AU"/>
              </w:rPr>
              <w:t>3</w:t>
            </w:r>
          </w:p>
          <w:p w14:paraId="0E6F7831" w14:textId="77777777" w:rsidR="00C017A8" w:rsidRDefault="00C017A8" w:rsidP="00110B65">
            <w:pPr>
              <w:pStyle w:val="FSTableText"/>
              <w:rPr>
                <w:rFonts w:eastAsia="Arial"/>
                <w:sz w:val="16"/>
                <w:szCs w:val="16"/>
              </w:rPr>
            </w:pPr>
            <w:r w:rsidRPr="0682D99A">
              <w:rPr>
                <w:rFonts w:eastAsia="Arial"/>
              </w:rPr>
              <w:t>Iron: 3 mg/L</w:t>
            </w:r>
            <w:r w:rsidRPr="0682D99A">
              <w:rPr>
                <w:rFonts w:eastAsia="Arial"/>
                <w:vertAlign w:val="superscript"/>
                <w:lang w:val="en-AU"/>
              </w:rPr>
              <w:t>4</w:t>
            </w:r>
          </w:p>
          <w:p w14:paraId="6562B735" w14:textId="77777777" w:rsidR="00C017A8" w:rsidRDefault="00C017A8" w:rsidP="00110B65">
            <w:pPr>
              <w:pStyle w:val="FSTableText"/>
              <w:rPr>
                <w:rFonts w:eastAsia="Arial"/>
                <w:color w:val="808080" w:themeColor="background1" w:themeShade="80"/>
              </w:rPr>
            </w:pPr>
            <w:r w:rsidRPr="0682D99A">
              <w:rPr>
                <w:rFonts w:eastAsia="Arial"/>
                <w:color w:val="808080" w:themeColor="background1" w:themeShade="80"/>
              </w:rPr>
              <w:t xml:space="preserve"> </w:t>
            </w:r>
          </w:p>
          <w:p w14:paraId="171B4A11" w14:textId="77777777" w:rsidR="00C017A8" w:rsidRDefault="00C017A8" w:rsidP="00110B65">
            <w:pPr>
              <w:pStyle w:val="FSTableText"/>
              <w:rPr>
                <w:rFonts w:eastAsia="Arial"/>
              </w:rPr>
            </w:pPr>
            <w:r w:rsidRPr="0682D99A">
              <w:rPr>
                <w:rFonts w:eastAsia="Arial"/>
                <w:i/>
                <w:iCs/>
              </w:rPr>
              <w:t>Low-</w:t>
            </w:r>
            <w:proofErr w:type="spellStart"/>
            <w:r w:rsidRPr="0682D99A">
              <w:rPr>
                <w:rFonts w:eastAsia="Arial"/>
                <w:i/>
                <w:iCs/>
              </w:rPr>
              <w:t>bLf</w:t>
            </w:r>
            <w:proofErr w:type="spellEnd"/>
            <w:r w:rsidRPr="0682D99A">
              <w:rPr>
                <w:rFonts w:eastAsia="Arial"/>
                <w:i/>
                <w:iCs/>
              </w:rPr>
              <w:t>-IFP</w:t>
            </w:r>
            <w:r w:rsidRPr="0682D99A">
              <w:rPr>
                <w:rFonts w:eastAsia="Arial"/>
              </w:rPr>
              <w:t xml:space="preserve"> </w:t>
            </w:r>
          </w:p>
          <w:p w14:paraId="0CF5318A" w14:textId="77777777" w:rsidR="00C017A8" w:rsidRDefault="00C017A8" w:rsidP="00110B65">
            <w:pPr>
              <w:pStyle w:val="FSTableText"/>
              <w:rPr>
                <w:rFonts w:eastAsia="Arial"/>
                <w:sz w:val="16"/>
                <w:szCs w:val="16"/>
              </w:rPr>
            </w:pPr>
            <w:proofErr w:type="spellStart"/>
            <w:r w:rsidRPr="0682D99A">
              <w:rPr>
                <w:rFonts w:eastAsia="Arial"/>
              </w:rPr>
              <w:t>bLf</w:t>
            </w:r>
            <w:proofErr w:type="spellEnd"/>
            <w:r w:rsidRPr="0682D99A">
              <w:rPr>
                <w:rFonts w:eastAsia="Arial"/>
              </w:rPr>
              <w:t>: 0.102 g/L</w:t>
            </w:r>
            <w:r w:rsidRPr="0682D99A">
              <w:rPr>
                <w:rFonts w:eastAsia="Arial"/>
                <w:vertAlign w:val="superscript"/>
                <w:lang w:val="en-AU"/>
              </w:rPr>
              <w:t>7</w:t>
            </w:r>
          </w:p>
          <w:p w14:paraId="357A39EC" w14:textId="77777777" w:rsidR="00C017A8" w:rsidRDefault="00C017A8" w:rsidP="00110B65">
            <w:pPr>
              <w:pStyle w:val="FSTableText"/>
              <w:rPr>
                <w:rFonts w:eastAsia="Arial"/>
                <w:sz w:val="16"/>
                <w:szCs w:val="16"/>
              </w:rPr>
            </w:pPr>
            <w:r w:rsidRPr="0682D99A">
              <w:rPr>
                <w:rFonts w:eastAsia="Arial"/>
              </w:rPr>
              <w:t xml:space="preserve">Iron saturation of </w:t>
            </w:r>
            <w:proofErr w:type="spellStart"/>
            <w:r w:rsidRPr="0682D99A">
              <w:rPr>
                <w:rFonts w:eastAsia="Arial"/>
              </w:rPr>
              <w:t>bLf</w:t>
            </w:r>
            <w:proofErr w:type="spellEnd"/>
            <w:r w:rsidRPr="0682D99A">
              <w:rPr>
                <w:rFonts w:eastAsia="Arial"/>
              </w:rPr>
              <w:t>: not stated</w:t>
            </w:r>
            <w:r w:rsidRPr="0682D99A">
              <w:rPr>
                <w:rFonts w:eastAsia="Arial"/>
                <w:vertAlign w:val="superscript"/>
                <w:lang w:val="en-AU"/>
              </w:rPr>
              <w:t>3</w:t>
            </w:r>
          </w:p>
          <w:p w14:paraId="2D0CF4D1" w14:textId="77777777" w:rsidR="00C017A8" w:rsidRDefault="00C017A8" w:rsidP="00110B65">
            <w:pPr>
              <w:pStyle w:val="FSTableText"/>
              <w:rPr>
                <w:rFonts w:eastAsia="Arial"/>
                <w:sz w:val="16"/>
                <w:szCs w:val="16"/>
              </w:rPr>
            </w:pPr>
            <w:r w:rsidRPr="0682D99A">
              <w:rPr>
                <w:rFonts w:eastAsia="Arial"/>
              </w:rPr>
              <w:t>Iron: 3 mg/L</w:t>
            </w:r>
            <w:r w:rsidRPr="0682D99A">
              <w:rPr>
                <w:rFonts w:eastAsia="Arial"/>
                <w:vertAlign w:val="superscript"/>
                <w:lang w:val="en-AU"/>
              </w:rPr>
              <w:t>4</w:t>
            </w:r>
          </w:p>
        </w:tc>
        <w:tc>
          <w:tcPr>
            <w:tcW w:w="4035" w:type="dxa"/>
            <w:tcBorders>
              <w:top w:val="single" w:sz="6" w:space="0" w:color="auto"/>
              <w:left w:val="single" w:sz="6" w:space="0" w:color="auto"/>
              <w:bottom w:val="single" w:sz="6" w:space="0" w:color="auto"/>
              <w:right w:val="single" w:sz="6" w:space="0" w:color="auto"/>
            </w:tcBorders>
            <w:shd w:val="clear" w:color="auto" w:fill="ECECEC"/>
          </w:tcPr>
          <w:p w14:paraId="6518C6D9" w14:textId="77777777" w:rsidR="00C017A8" w:rsidRDefault="00C017A8" w:rsidP="00110B65">
            <w:pPr>
              <w:pStyle w:val="FSTableText"/>
              <w:rPr>
                <w:rFonts w:eastAsia="Arial"/>
              </w:rPr>
            </w:pPr>
            <w:r w:rsidRPr="0682D99A">
              <w:rPr>
                <w:rFonts w:eastAsia="Arial"/>
                <w:lang w:val="en-AU"/>
              </w:rPr>
              <w:t xml:space="preserve">Weight gain (g/day from 1 </w:t>
            </w:r>
            <w:proofErr w:type="spellStart"/>
            <w:r w:rsidRPr="0682D99A">
              <w:rPr>
                <w:rFonts w:eastAsia="Arial"/>
                <w:lang w:val="en-AU"/>
              </w:rPr>
              <w:t>mo</w:t>
            </w:r>
            <w:proofErr w:type="spellEnd"/>
            <w:r w:rsidRPr="0682D99A">
              <w:rPr>
                <w:rFonts w:eastAsia="Arial"/>
                <w:lang w:val="en-AU"/>
              </w:rPr>
              <w:t xml:space="preserve"> to 4 mo</w:t>
            </w:r>
            <w:r w:rsidRPr="0682D99A">
              <w:rPr>
                <w:rFonts w:eastAsia="Arial"/>
                <w:vertAlign w:val="superscript"/>
                <w:lang w:val="en-AU"/>
              </w:rPr>
              <w:t>8</w:t>
            </w:r>
            <w:r w:rsidRPr="0682D99A">
              <w:rPr>
                <w:rFonts w:eastAsia="Arial"/>
                <w:lang w:val="en-AU"/>
              </w:rPr>
              <w:t>) calculated using reported mean weight.</w:t>
            </w:r>
          </w:p>
          <w:p w14:paraId="02915345" w14:textId="77777777" w:rsidR="00C017A8" w:rsidRDefault="00C017A8" w:rsidP="00110B65">
            <w:pPr>
              <w:pStyle w:val="FSTableText"/>
              <w:rPr>
                <w:rFonts w:eastAsia="Arial"/>
                <w:szCs w:val="22"/>
              </w:rPr>
            </w:pPr>
          </w:p>
          <w:p w14:paraId="1C3428C7" w14:textId="77777777" w:rsidR="00C017A8" w:rsidRDefault="00C017A8" w:rsidP="00110B65">
            <w:pPr>
              <w:pStyle w:val="FSTableText"/>
              <w:rPr>
                <w:rFonts w:eastAsia="Arial"/>
              </w:rPr>
            </w:pPr>
            <w:r w:rsidRPr="0682D99A">
              <w:rPr>
                <w:rFonts w:eastAsia="Arial"/>
                <w:lang w:val="en-AU"/>
              </w:rPr>
              <w:t>Moderate-</w:t>
            </w:r>
            <w:proofErr w:type="spellStart"/>
            <w:r w:rsidRPr="0682D99A">
              <w:rPr>
                <w:rFonts w:eastAsia="Arial"/>
                <w:lang w:val="en-AU"/>
              </w:rPr>
              <w:t>bLf</w:t>
            </w:r>
            <w:proofErr w:type="spellEnd"/>
            <w:r w:rsidRPr="0682D99A">
              <w:rPr>
                <w:rFonts w:eastAsia="Arial"/>
                <w:lang w:val="en-AU"/>
              </w:rPr>
              <w:t>-IFP gained 2.0 g/day more, relative to low-</w:t>
            </w:r>
            <w:proofErr w:type="spellStart"/>
            <w:r w:rsidRPr="0682D99A">
              <w:rPr>
                <w:rFonts w:eastAsia="Arial"/>
                <w:lang w:val="en-AU"/>
              </w:rPr>
              <w:t>bLf</w:t>
            </w:r>
            <w:proofErr w:type="spellEnd"/>
            <w:r w:rsidRPr="0682D99A">
              <w:rPr>
                <w:rFonts w:eastAsia="Arial"/>
                <w:lang w:val="en-AU"/>
              </w:rPr>
              <w:t>-IFP.</w:t>
            </w:r>
          </w:p>
          <w:p w14:paraId="180D224E" w14:textId="77777777" w:rsidR="00C017A8" w:rsidRDefault="00C017A8" w:rsidP="00110B65">
            <w:pPr>
              <w:pStyle w:val="FSTableText"/>
              <w:rPr>
                <w:rFonts w:eastAsia="Arial"/>
              </w:rPr>
            </w:pPr>
          </w:p>
          <w:p w14:paraId="4AE9C3CE" w14:textId="77777777" w:rsidR="00C017A8" w:rsidRDefault="00C017A8" w:rsidP="00110B65">
            <w:pPr>
              <w:pStyle w:val="FSTableText"/>
              <w:rPr>
                <w:rFonts w:eastAsia="Arial"/>
              </w:rPr>
            </w:pPr>
            <w:r w:rsidRPr="0682D99A">
              <w:rPr>
                <w:rFonts w:eastAsia="Arial"/>
                <w:lang w:val="en-AU"/>
              </w:rPr>
              <w:t xml:space="preserve">Between group differences from 1 </w:t>
            </w:r>
            <w:proofErr w:type="spellStart"/>
            <w:r w:rsidRPr="0682D99A">
              <w:rPr>
                <w:rFonts w:eastAsia="Arial"/>
                <w:lang w:val="en-AU"/>
              </w:rPr>
              <w:t>mo</w:t>
            </w:r>
            <w:proofErr w:type="spellEnd"/>
            <w:r w:rsidRPr="0682D99A">
              <w:rPr>
                <w:rFonts w:eastAsia="Arial"/>
                <w:lang w:val="en-AU"/>
              </w:rPr>
              <w:t xml:space="preserve"> to 4 </w:t>
            </w:r>
            <w:proofErr w:type="spellStart"/>
            <w:r w:rsidRPr="0682D99A">
              <w:rPr>
                <w:rFonts w:eastAsia="Arial"/>
                <w:lang w:val="en-AU"/>
              </w:rPr>
              <w:t>mo</w:t>
            </w:r>
            <w:proofErr w:type="spellEnd"/>
            <w:r w:rsidRPr="0682D99A">
              <w:rPr>
                <w:rFonts w:eastAsia="Arial"/>
                <w:lang w:val="en-AU"/>
              </w:rPr>
              <w:t xml:space="preserve"> were not statistically analysed.</w:t>
            </w:r>
          </w:p>
          <w:p w14:paraId="05099BE4" w14:textId="77777777" w:rsidR="00C017A8" w:rsidRDefault="00C017A8" w:rsidP="00110B65">
            <w:pPr>
              <w:pStyle w:val="FSTableText"/>
              <w:rPr>
                <w:rFonts w:eastAsia="Arial"/>
              </w:rPr>
            </w:pPr>
          </w:p>
          <w:p w14:paraId="5CAE3C70" w14:textId="77777777" w:rsidR="00C017A8" w:rsidRDefault="00C017A8" w:rsidP="00110B65">
            <w:pPr>
              <w:pStyle w:val="FSTableText"/>
              <w:rPr>
                <w:rFonts w:eastAsia="Arial"/>
              </w:rPr>
            </w:pPr>
            <w:r w:rsidRPr="0682D99A">
              <w:rPr>
                <w:rFonts w:eastAsia="Arial"/>
              </w:rPr>
              <w:t>F</w:t>
            </w:r>
            <w:proofErr w:type="spellStart"/>
            <w:r w:rsidRPr="0682D99A">
              <w:rPr>
                <w:rFonts w:eastAsia="Arial"/>
                <w:lang w:val="en-AU"/>
              </w:rPr>
              <w:t>rom</w:t>
            </w:r>
            <w:proofErr w:type="spellEnd"/>
            <w:r w:rsidRPr="0682D99A">
              <w:rPr>
                <w:rFonts w:eastAsia="Arial"/>
                <w:lang w:val="en-AU"/>
              </w:rPr>
              <w:t xml:space="preserve"> birth to 6 </w:t>
            </w:r>
            <w:proofErr w:type="spellStart"/>
            <w:r w:rsidRPr="0682D99A">
              <w:rPr>
                <w:rFonts w:eastAsia="Arial"/>
                <w:lang w:val="en-AU"/>
              </w:rPr>
              <w:t>mo</w:t>
            </w:r>
            <w:proofErr w:type="spellEnd"/>
            <w:r w:rsidRPr="0682D99A">
              <w:rPr>
                <w:rFonts w:eastAsia="Arial"/>
                <w:lang w:val="en-AU"/>
              </w:rPr>
              <w:t xml:space="preserve">, there was a trend toward greater weight gain over time for the </w:t>
            </w:r>
            <w:proofErr w:type="spellStart"/>
            <w:r w:rsidRPr="0682D99A">
              <w:rPr>
                <w:rFonts w:eastAsia="Arial"/>
                <w:lang w:val="en-AU"/>
              </w:rPr>
              <w:t>bLf</w:t>
            </w:r>
            <w:proofErr w:type="spellEnd"/>
            <w:r w:rsidRPr="0682D99A">
              <w:rPr>
                <w:rFonts w:eastAsia="Arial"/>
                <w:lang w:val="en-AU"/>
              </w:rPr>
              <w:t>-IFP group (</w:t>
            </w:r>
            <w:r w:rsidRPr="0682D99A">
              <w:rPr>
                <w:rFonts w:eastAsia="Arial"/>
                <w:i/>
                <w:iCs/>
                <w:lang w:val="en-AU"/>
              </w:rPr>
              <w:t>P</w:t>
            </w:r>
            <w:r w:rsidRPr="0682D99A">
              <w:rPr>
                <w:rFonts w:eastAsia="Arial"/>
                <w:lang w:val="en-AU"/>
              </w:rPr>
              <w:t>=0.06).</w:t>
            </w:r>
          </w:p>
        </w:tc>
      </w:tr>
      <w:tr w:rsidR="00C017A8" w14:paraId="44773EC2" w14:textId="77777777" w:rsidTr="00110B65">
        <w:trPr>
          <w:trHeight w:val="2565"/>
        </w:trPr>
        <w:tc>
          <w:tcPr>
            <w:tcW w:w="2235" w:type="dxa"/>
            <w:tcBorders>
              <w:top w:val="single" w:sz="6" w:space="0" w:color="auto"/>
              <w:left w:val="single" w:sz="6" w:space="0" w:color="auto"/>
              <w:bottom w:val="single" w:sz="6" w:space="0" w:color="auto"/>
              <w:right w:val="single" w:sz="6" w:space="0" w:color="auto"/>
            </w:tcBorders>
          </w:tcPr>
          <w:p w14:paraId="08CA4309" w14:textId="77777777" w:rsidR="00C017A8" w:rsidRDefault="00C017A8" w:rsidP="00110B65">
            <w:pPr>
              <w:pStyle w:val="FSTableText"/>
              <w:rPr>
                <w:rFonts w:eastAsia="Arial"/>
              </w:rPr>
            </w:pPr>
            <w:r w:rsidRPr="0682D99A">
              <w:rPr>
                <w:rFonts w:eastAsia="Arial"/>
              </w:rPr>
              <w:t>Johnston et al. (2015)</w:t>
            </w:r>
          </w:p>
          <w:p w14:paraId="527A5715" w14:textId="77777777" w:rsidR="00C017A8" w:rsidRDefault="00C017A8" w:rsidP="00110B65">
            <w:pPr>
              <w:pStyle w:val="FSTableText"/>
              <w:rPr>
                <w:rFonts w:eastAsia="Arial"/>
              </w:rPr>
            </w:pPr>
          </w:p>
          <w:p w14:paraId="3A6B9DEA" w14:textId="77777777" w:rsidR="00C017A8" w:rsidRDefault="00C017A8" w:rsidP="00110B65">
            <w:pPr>
              <w:pStyle w:val="FSTableText"/>
              <w:rPr>
                <w:rFonts w:eastAsia="Arial"/>
              </w:rPr>
            </w:pPr>
            <w:r w:rsidRPr="0682D99A">
              <w:rPr>
                <w:rFonts w:eastAsia="Arial"/>
              </w:rPr>
              <w:t>USA</w:t>
            </w:r>
          </w:p>
        </w:tc>
        <w:tc>
          <w:tcPr>
            <w:tcW w:w="3315" w:type="dxa"/>
            <w:tcBorders>
              <w:top w:val="single" w:sz="6" w:space="0" w:color="auto"/>
              <w:left w:val="single" w:sz="6" w:space="0" w:color="auto"/>
              <w:bottom w:val="single" w:sz="6" w:space="0" w:color="auto"/>
              <w:right w:val="single" w:sz="6" w:space="0" w:color="auto"/>
            </w:tcBorders>
          </w:tcPr>
          <w:p w14:paraId="4D95F951" w14:textId="77777777" w:rsidR="00C017A8" w:rsidRDefault="00C017A8" w:rsidP="00110B65">
            <w:pPr>
              <w:pStyle w:val="FSTableText"/>
              <w:rPr>
                <w:rFonts w:eastAsia="Arial"/>
              </w:rPr>
            </w:pPr>
            <w:r w:rsidRPr="0682D99A">
              <w:rPr>
                <w:rFonts w:eastAsia="Arial"/>
              </w:rPr>
              <w:t>Age: 12-16 days</w:t>
            </w:r>
          </w:p>
          <w:p w14:paraId="0D8A7411" w14:textId="77777777" w:rsidR="00C017A8" w:rsidRDefault="00C017A8" w:rsidP="00110B65">
            <w:pPr>
              <w:pStyle w:val="FSTableText"/>
              <w:rPr>
                <w:rFonts w:eastAsia="Arial"/>
              </w:rPr>
            </w:pPr>
          </w:p>
          <w:p w14:paraId="13936946" w14:textId="77777777" w:rsidR="00C017A8" w:rsidRDefault="00C017A8" w:rsidP="00110B65">
            <w:pPr>
              <w:pStyle w:val="FSTableText"/>
              <w:rPr>
                <w:rFonts w:eastAsia="Arial"/>
              </w:rPr>
            </w:pPr>
            <w:r w:rsidRPr="0682D99A">
              <w:rPr>
                <w:rFonts w:eastAsia="Arial"/>
              </w:rPr>
              <w:t>Study duration: until 1 year of age</w:t>
            </w:r>
          </w:p>
          <w:p w14:paraId="193A65A5" w14:textId="77777777" w:rsidR="00C017A8" w:rsidRDefault="00C017A8" w:rsidP="00110B65">
            <w:pPr>
              <w:pStyle w:val="FSTableText"/>
              <w:rPr>
                <w:rFonts w:eastAsia="Arial"/>
              </w:rPr>
            </w:pPr>
          </w:p>
          <w:p w14:paraId="705A1BCB" w14:textId="77777777" w:rsidR="00C017A8" w:rsidRDefault="00C017A8" w:rsidP="00110B65">
            <w:pPr>
              <w:pStyle w:val="FSTableText"/>
              <w:rPr>
                <w:rFonts w:eastAsia="Arial"/>
              </w:rPr>
            </w:pPr>
            <w:r w:rsidRPr="0682D99A">
              <w:rPr>
                <w:rFonts w:eastAsia="Arial"/>
              </w:rPr>
              <w:t>Females: n= 51 (non-</w:t>
            </w:r>
            <w:proofErr w:type="spellStart"/>
            <w:r w:rsidRPr="0682D99A">
              <w:rPr>
                <w:rFonts w:eastAsia="Arial"/>
              </w:rPr>
              <w:t>bLf</w:t>
            </w:r>
            <w:proofErr w:type="spellEnd"/>
            <w:r w:rsidRPr="0682D99A">
              <w:rPr>
                <w:rFonts w:eastAsia="Arial"/>
              </w:rPr>
              <w:t>-IFP), 80 (low-</w:t>
            </w:r>
            <w:proofErr w:type="spellStart"/>
            <w:r w:rsidRPr="0682D99A">
              <w:rPr>
                <w:rFonts w:eastAsia="Arial"/>
              </w:rPr>
              <w:t>bLf</w:t>
            </w:r>
            <w:proofErr w:type="spellEnd"/>
            <w:r w:rsidRPr="0682D99A">
              <w:rPr>
                <w:rFonts w:eastAsia="Arial"/>
              </w:rPr>
              <w:t>-IFP), and 63 (</w:t>
            </w:r>
            <w:proofErr w:type="spellStart"/>
            <w:r w:rsidRPr="0682D99A">
              <w:rPr>
                <w:rFonts w:eastAsia="Arial"/>
              </w:rPr>
              <w:t>bLf</w:t>
            </w:r>
            <w:proofErr w:type="spellEnd"/>
            <w:r w:rsidRPr="0682D99A">
              <w:rPr>
                <w:rFonts w:eastAsia="Arial"/>
              </w:rPr>
              <w:t>-IFP) at 120 days of age.</w:t>
            </w:r>
          </w:p>
          <w:p w14:paraId="4BE92512" w14:textId="77777777" w:rsidR="00C017A8" w:rsidRDefault="00C017A8" w:rsidP="00110B65">
            <w:pPr>
              <w:pStyle w:val="FSTableText"/>
              <w:rPr>
                <w:rFonts w:eastAsia="Arial"/>
              </w:rPr>
            </w:pPr>
          </w:p>
          <w:p w14:paraId="4A3FF3C9" w14:textId="77777777" w:rsidR="00C017A8" w:rsidRDefault="00C017A8" w:rsidP="00110B65">
            <w:pPr>
              <w:pStyle w:val="FSTableText"/>
              <w:rPr>
                <w:rFonts w:eastAsia="Arial"/>
              </w:rPr>
            </w:pPr>
            <w:r w:rsidRPr="0682D99A">
              <w:rPr>
                <w:rFonts w:eastAsia="Arial"/>
              </w:rPr>
              <w:t>Males: n= 69 (non-</w:t>
            </w:r>
            <w:proofErr w:type="spellStart"/>
            <w:r w:rsidRPr="0682D99A">
              <w:rPr>
                <w:rFonts w:eastAsia="Arial"/>
              </w:rPr>
              <w:t>bLf</w:t>
            </w:r>
            <w:proofErr w:type="spellEnd"/>
            <w:r w:rsidRPr="0682D99A">
              <w:rPr>
                <w:rFonts w:eastAsia="Arial"/>
              </w:rPr>
              <w:t>-IFP), 58 (low-</w:t>
            </w:r>
            <w:proofErr w:type="spellStart"/>
            <w:r w:rsidRPr="0682D99A">
              <w:rPr>
                <w:rFonts w:eastAsia="Arial"/>
              </w:rPr>
              <w:t>bLf</w:t>
            </w:r>
            <w:proofErr w:type="spellEnd"/>
            <w:r w:rsidRPr="0682D99A">
              <w:rPr>
                <w:rFonts w:eastAsia="Arial"/>
              </w:rPr>
              <w:t>-IFP), and 55 (</w:t>
            </w:r>
            <w:proofErr w:type="spellStart"/>
            <w:r w:rsidRPr="0682D99A">
              <w:rPr>
                <w:rFonts w:eastAsia="Arial"/>
              </w:rPr>
              <w:t>bLf</w:t>
            </w:r>
            <w:proofErr w:type="spellEnd"/>
            <w:r w:rsidRPr="0682D99A">
              <w:rPr>
                <w:rFonts w:eastAsia="Arial"/>
              </w:rPr>
              <w:t>-IFP) at 120 days of age.</w:t>
            </w:r>
          </w:p>
        </w:tc>
        <w:tc>
          <w:tcPr>
            <w:tcW w:w="4410" w:type="dxa"/>
            <w:tcBorders>
              <w:top w:val="single" w:sz="6" w:space="0" w:color="auto"/>
              <w:left w:val="single" w:sz="6" w:space="0" w:color="auto"/>
              <w:bottom w:val="single" w:sz="6" w:space="0" w:color="auto"/>
              <w:right w:val="single" w:sz="6" w:space="0" w:color="auto"/>
            </w:tcBorders>
          </w:tcPr>
          <w:p w14:paraId="12785478" w14:textId="77777777" w:rsidR="00C017A8" w:rsidRDefault="00C017A8" w:rsidP="00110B65">
            <w:pPr>
              <w:pStyle w:val="FSTableText"/>
              <w:rPr>
                <w:rFonts w:eastAsia="Arial"/>
              </w:rPr>
            </w:pPr>
            <w:r w:rsidRPr="0682D99A">
              <w:rPr>
                <w:rFonts w:eastAsia="Arial"/>
                <w:i/>
                <w:iCs/>
              </w:rPr>
              <w:t>Non-</w:t>
            </w:r>
            <w:proofErr w:type="spellStart"/>
            <w:r w:rsidRPr="0682D99A">
              <w:rPr>
                <w:rFonts w:eastAsia="Arial"/>
                <w:i/>
                <w:iCs/>
              </w:rPr>
              <w:t>bLf</w:t>
            </w:r>
            <w:proofErr w:type="spellEnd"/>
            <w:r w:rsidRPr="0682D99A">
              <w:rPr>
                <w:rFonts w:eastAsia="Arial"/>
                <w:i/>
                <w:iCs/>
              </w:rPr>
              <w:t>-IFP</w:t>
            </w:r>
            <w:r w:rsidRPr="0682D99A">
              <w:rPr>
                <w:rFonts w:eastAsia="Arial"/>
              </w:rPr>
              <w:t xml:space="preserve"> control</w:t>
            </w:r>
          </w:p>
          <w:p w14:paraId="2D4D2908" w14:textId="77777777" w:rsidR="00C017A8" w:rsidRDefault="00C017A8" w:rsidP="00110B65">
            <w:pPr>
              <w:pStyle w:val="FSTableText"/>
              <w:rPr>
                <w:rFonts w:eastAsia="Arial"/>
              </w:rPr>
            </w:pPr>
            <w:proofErr w:type="spellStart"/>
            <w:r w:rsidRPr="0682D99A">
              <w:rPr>
                <w:rFonts w:eastAsia="Arial"/>
              </w:rPr>
              <w:t>bLf</w:t>
            </w:r>
            <w:proofErr w:type="spellEnd"/>
            <w:r w:rsidRPr="0682D99A">
              <w:rPr>
                <w:rFonts w:eastAsia="Arial"/>
              </w:rPr>
              <w:t>: 0 g/L</w:t>
            </w:r>
          </w:p>
          <w:p w14:paraId="042BDC8B" w14:textId="77777777" w:rsidR="00C017A8" w:rsidRDefault="00C017A8" w:rsidP="00110B65">
            <w:pPr>
              <w:pStyle w:val="FSTableText"/>
              <w:rPr>
                <w:rFonts w:eastAsia="Arial"/>
                <w:sz w:val="16"/>
                <w:szCs w:val="16"/>
              </w:rPr>
            </w:pPr>
            <w:r w:rsidRPr="0682D99A">
              <w:rPr>
                <w:rFonts w:eastAsia="Arial"/>
              </w:rPr>
              <w:t xml:space="preserve">Iron saturation of naturally occurring </w:t>
            </w:r>
            <w:proofErr w:type="spellStart"/>
            <w:r w:rsidRPr="0682D99A">
              <w:rPr>
                <w:rFonts w:eastAsia="Arial"/>
              </w:rPr>
              <w:t>bLf</w:t>
            </w:r>
            <w:proofErr w:type="spellEnd"/>
            <w:r w:rsidRPr="0682D99A">
              <w:rPr>
                <w:rFonts w:eastAsia="Arial"/>
              </w:rPr>
              <w:t xml:space="preserve"> (if present): not stated</w:t>
            </w:r>
            <w:r w:rsidRPr="0682D99A">
              <w:rPr>
                <w:rFonts w:eastAsia="Arial"/>
                <w:vertAlign w:val="superscript"/>
                <w:lang w:val="en-AU"/>
              </w:rPr>
              <w:t>3</w:t>
            </w:r>
          </w:p>
          <w:p w14:paraId="21B882A9" w14:textId="77777777" w:rsidR="00C017A8" w:rsidRDefault="00C017A8" w:rsidP="00110B65">
            <w:pPr>
              <w:pStyle w:val="FSTableText"/>
              <w:rPr>
                <w:rFonts w:eastAsia="Arial"/>
                <w:sz w:val="16"/>
                <w:szCs w:val="16"/>
              </w:rPr>
            </w:pPr>
            <w:r w:rsidRPr="0682D99A">
              <w:rPr>
                <w:rFonts w:eastAsia="Arial"/>
              </w:rPr>
              <w:t>Iron: 1.8 mg/L</w:t>
            </w:r>
            <w:r w:rsidRPr="0682D99A">
              <w:rPr>
                <w:rFonts w:eastAsia="Arial"/>
                <w:vertAlign w:val="superscript"/>
                <w:lang w:val="en-AU"/>
              </w:rPr>
              <w:t>4</w:t>
            </w:r>
          </w:p>
          <w:p w14:paraId="3E794FC8" w14:textId="77777777" w:rsidR="00C017A8" w:rsidRDefault="00C017A8" w:rsidP="00110B65">
            <w:pPr>
              <w:pStyle w:val="FSTableText"/>
              <w:rPr>
                <w:rFonts w:eastAsia="Arial"/>
              </w:rPr>
            </w:pPr>
          </w:p>
          <w:p w14:paraId="4EF682F2" w14:textId="77777777" w:rsidR="00C017A8" w:rsidRDefault="00C017A8" w:rsidP="00110B65">
            <w:pPr>
              <w:pStyle w:val="FSTableText"/>
              <w:rPr>
                <w:rFonts w:eastAsia="Arial"/>
              </w:rPr>
            </w:pPr>
            <w:r w:rsidRPr="0682D99A">
              <w:rPr>
                <w:rFonts w:eastAsia="Arial"/>
                <w:i/>
                <w:iCs/>
              </w:rPr>
              <w:t>Low-</w:t>
            </w:r>
            <w:proofErr w:type="spellStart"/>
            <w:r w:rsidRPr="0682D99A">
              <w:rPr>
                <w:rFonts w:eastAsia="Arial"/>
                <w:i/>
                <w:iCs/>
              </w:rPr>
              <w:t>bLf</w:t>
            </w:r>
            <w:proofErr w:type="spellEnd"/>
            <w:r w:rsidRPr="0682D99A">
              <w:rPr>
                <w:rFonts w:eastAsia="Arial"/>
                <w:i/>
                <w:iCs/>
              </w:rPr>
              <w:t>-IFP</w:t>
            </w:r>
          </w:p>
          <w:p w14:paraId="620A6F34" w14:textId="77777777" w:rsidR="00C017A8" w:rsidRDefault="00C017A8" w:rsidP="00110B65">
            <w:pPr>
              <w:pStyle w:val="FSTableText"/>
              <w:rPr>
                <w:rFonts w:eastAsia="Arial"/>
              </w:rPr>
            </w:pPr>
            <w:proofErr w:type="spellStart"/>
            <w:r w:rsidRPr="0682D99A">
              <w:rPr>
                <w:rFonts w:eastAsia="Arial"/>
              </w:rPr>
              <w:t>bLf</w:t>
            </w:r>
            <w:proofErr w:type="spellEnd"/>
            <w:r w:rsidRPr="0682D99A">
              <w:rPr>
                <w:rFonts w:eastAsia="Arial"/>
              </w:rPr>
              <w:t>: 0.6 g/L</w:t>
            </w:r>
          </w:p>
          <w:p w14:paraId="4559104E" w14:textId="77777777" w:rsidR="00C017A8" w:rsidRDefault="00C017A8" w:rsidP="00110B65">
            <w:pPr>
              <w:pStyle w:val="FSTableText"/>
              <w:rPr>
                <w:rFonts w:eastAsia="Arial"/>
                <w:sz w:val="16"/>
                <w:szCs w:val="16"/>
              </w:rPr>
            </w:pPr>
            <w:r w:rsidRPr="0682D99A">
              <w:rPr>
                <w:rFonts w:eastAsia="Arial"/>
              </w:rPr>
              <w:t xml:space="preserve">Iron saturation of </w:t>
            </w:r>
            <w:proofErr w:type="spellStart"/>
            <w:r w:rsidRPr="0682D99A">
              <w:rPr>
                <w:rFonts w:eastAsia="Arial"/>
              </w:rPr>
              <w:t>bLf</w:t>
            </w:r>
            <w:proofErr w:type="spellEnd"/>
            <w:r w:rsidRPr="0682D99A">
              <w:rPr>
                <w:rFonts w:eastAsia="Arial"/>
              </w:rPr>
              <w:t>: not stated</w:t>
            </w:r>
            <w:r w:rsidRPr="0682D99A">
              <w:rPr>
                <w:rFonts w:eastAsia="Arial"/>
                <w:vertAlign w:val="superscript"/>
                <w:lang w:val="en-AU"/>
              </w:rPr>
              <w:t>3</w:t>
            </w:r>
          </w:p>
          <w:p w14:paraId="04D36831" w14:textId="77777777" w:rsidR="00C017A8" w:rsidRDefault="00C017A8" w:rsidP="00110B65">
            <w:pPr>
              <w:pStyle w:val="FSTableText"/>
              <w:rPr>
                <w:rFonts w:eastAsia="Arial"/>
                <w:sz w:val="16"/>
                <w:szCs w:val="16"/>
              </w:rPr>
            </w:pPr>
            <w:r w:rsidRPr="0682D99A">
              <w:rPr>
                <w:rFonts w:eastAsia="Arial"/>
              </w:rPr>
              <w:t>Iron: 1.8 mg/L</w:t>
            </w:r>
            <w:r w:rsidRPr="0682D99A">
              <w:rPr>
                <w:rFonts w:eastAsia="Arial"/>
                <w:vertAlign w:val="superscript"/>
                <w:lang w:val="en-AU"/>
              </w:rPr>
              <w:t>4</w:t>
            </w:r>
          </w:p>
          <w:p w14:paraId="3D50C9D6" w14:textId="77777777" w:rsidR="00C017A8" w:rsidRDefault="00C017A8" w:rsidP="00110B65">
            <w:pPr>
              <w:pStyle w:val="FSTableText"/>
              <w:rPr>
                <w:rFonts w:eastAsia="Arial"/>
              </w:rPr>
            </w:pPr>
          </w:p>
          <w:p w14:paraId="5F5BECC2" w14:textId="77777777" w:rsidR="00C017A8" w:rsidRDefault="00C017A8" w:rsidP="00110B65">
            <w:pPr>
              <w:pStyle w:val="FSTableText"/>
              <w:rPr>
                <w:rFonts w:eastAsia="Arial"/>
              </w:rPr>
            </w:pPr>
            <w:proofErr w:type="spellStart"/>
            <w:r w:rsidRPr="0682D99A">
              <w:rPr>
                <w:rFonts w:eastAsia="Arial"/>
                <w:i/>
                <w:iCs/>
              </w:rPr>
              <w:t>bLf</w:t>
            </w:r>
            <w:proofErr w:type="spellEnd"/>
            <w:r w:rsidRPr="0682D99A">
              <w:rPr>
                <w:rFonts w:eastAsia="Arial"/>
                <w:i/>
                <w:iCs/>
              </w:rPr>
              <w:t>-IFP</w:t>
            </w:r>
          </w:p>
          <w:p w14:paraId="6496BC65" w14:textId="77777777" w:rsidR="00C017A8" w:rsidRDefault="00C017A8" w:rsidP="00110B65">
            <w:pPr>
              <w:pStyle w:val="FSTableText"/>
              <w:rPr>
                <w:rFonts w:eastAsia="Arial"/>
              </w:rPr>
            </w:pPr>
            <w:proofErr w:type="spellStart"/>
            <w:r w:rsidRPr="0682D99A">
              <w:rPr>
                <w:rFonts w:eastAsia="Arial"/>
              </w:rPr>
              <w:t>bLf</w:t>
            </w:r>
            <w:proofErr w:type="spellEnd"/>
            <w:r w:rsidRPr="0682D99A">
              <w:rPr>
                <w:rFonts w:eastAsia="Arial"/>
              </w:rPr>
              <w:t>: 1 g/L</w:t>
            </w:r>
          </w:p>
          <w:p w14:paraId="05C65A71" w14:textId="77777777" w:rsidR="00C017A8" w:rsidRDefault="00C017A8" w:rsidP="00110B65">
            <w:pPr>
              <w:pStyle w:val="FSTableText"/>
              <w:rPr>
                <w:rFonts w:eastAsia="Arial"/>
                <w:sz w:val="16"/>
                <w:szCs w:val="16"/>
              </w:rPr>
            </w:pPr>
            <w:r w:rsidRPr="0682D99A">
              <w:rPr>
                <w:rFonts w:eastAsia="Arial"/>
              </w:rPr>
              <w:t xml:space="preserve">Iron saturation of </w:t>
            </w:r>
            <w:proofErr w:type="spellStart"/>
            <w:r w:rsidRPr="0682D99A">
              <w:rPr>
                <w:rFonts w:eastAsia="Arial"/>
              </w:rPr>
              <w:t>bLf</w:t>
            </w:r>
            <w:proofErr w:type="spellEnd"/>
            <w:r w:rsidRPr="0682D99A">
              <w:rPr>
                <w:rFonts w:eastAsia="Arial"/>
              </w:rPr>
              <w:t>: not stated</w:t>
            </w:r>
            <w:r w:rsidRPr="0682D99A">
              <w:rPr>
                <w:rFonts w:eastAsia="Arial"/>
                <w:vertAlign w:val="superscript"/>
                <w:lang w:val="en-AU"/>
              </w:rPr>
              <w:t>3</w:t>
            </w:r>
          </w:p>
          <w:p w14:paraId="25885C2C" w14:textId="77777777" w:rsidR="00C017A8" w:rsidRDefault="00C017A8" w:rsidP="00110B65">
            <w:pPr>
              <w:pStyle w:val="FSTableText"/>
              <w:rPr>
                <w:rFonts w:eastAsia="Arial"/>
                <w:sz w:val="16"/>
                <w:szCs w:val="16"/>
              </w:rPr>
            </w:pPr>
            <w:r w:rsidRPr="0682D99A">
              <w:rPr>
                <w:rFonts w:eastAsia="Arial"/>
              </w:rPr>
              <w:t>Iron: 1.8 mg/L</w:t>
            </w:r>
            <w:r w:rsidRPr="0682D99A">
              <w:rPr>
                <w:rFonts w:eastAsia="Arial"/>
                <w:vertAlign w:val="superscript"/>
                <w:lang w:val="en-AU"/>
              </w:rPr>
              <w:t>4</w:t>
            </w:r>
          </w:p>
          <w:p w14:paraId="7B44C385" w14:textId="77777777" w:rsidR="00C017A8" w:rsidRDefault="00C017A8" w:rsidP="00110B65">
            <w:pPr>
              <w:pStyle w:val="FSTableText"/>
              <w:rPr>
                <w:rFonts w:eastAsia="Arial"/>
              </w:rPr>
            </w:pPr>
          </w:p>
          <w:p w14:paraId="180DC6B8" w14:textId="77777777" w:rsidR="00C017A8" w:rsidRDefault="00C017A8" w:rsidP="00110B65">
            <w:pPr>
              <w:pStyle w:val="FSTableText"/>
              <w:rPr>
                <w:rFonts w:eastAsia="Arial"/>
              </w:rPr>
            </w:pPr>
            <w:r w:rsidRPr="0682D99A">
              <w:rPr>
                <w:rFonts w:eastAsia="Arial"/>
              </w:rPr>
              <w:t xml:space="preserve">Investigational formulas contained a prebiotic blend of polydextrose and </w:t>
            </w:r>
            <w:proofErr w:type="spellStart"/>
            <w:r w:rsidRPr="0682D99A">
              <w:rPr>
                <w:rFonts w:eastAsia="Arial"/>
              </w:rPr>
              <w:t>galactooligosaccharides</w:t>
            </w:r>
            <w:proofErr w:type="spellEnd"/>
            <w:r w:rsidRPr="0682D99A">
              <w:rPr>
                <w:rFonts w:eastAsia="Arial"/>
              </w:rPr>
              <w:t xml:space="preserve"> (total 4 g/L) and reduced arachidonic acid compared with control.</w:t>
            </w:r>
          </w:p>
        </w:tc>
        <w:tc>
          <w:tcPr>
            <w:tcW w:w="4035" w:type="dxa"/>
            <w:tcBorders>
              <w:top w:val="single" w:sz="6" w:space="0" w:color="auto"/>
              <w:left w:val="single" w:sz="6" w:space="0" w:color="auto"/>
              <w:bottom w:val="single" w:sz="6" w:space="0" w:color="auto"/>
              <w:right w:val="single" w:sz="6" w:space="0" w:color="auto"/>
            </w:tcBorders>
          </w:tcPr>
          <w:p w14:paraId="638D4EFE" w14:textId="77777777" w:rsidR="00C017A8" w:rsidRDefault="00C017A8" w:rsidP="00110B65">
            <w:pPr>
              <w:pStyle w:val="FSTableText"/>
              <w:rPr>
                <w:rFonts w:eastAsia="Arial"/>
              </w:rPr>
            </w:pPr>
            <w:r w:rsidRPr="0682D99A">
              <w:rPr>
                <w:rFonts w:eastAsia="Arial"/>
              </w:rPr>
              <w:t>There were no statistically significant differences between groups in weight gain from 14–120 days of age.</w:t>
            </w:r>
          </w:p>
          <w:p w14:paraId="3F1C516C" w14:textId="77777777" w:rsidR="00C017A8" w:rsidRDefault="00C017A8" w:rsidP="00110B65">
            <w:pPr>
              <w:pStyle w:val="FSTableText"/>
              <w:rPr>
                <w:rFonts w:eastAsia="Arial"/>
              </w:rPr>
            </w:pPr>
          </w:p>
          <w:p w14:paraId="3C6C6C55" w14:textId="77777777" w:rsidR="00C017A8" w:rsidRDefault="00C017A8" w:rsidP="00110B65">
            <w:pPr>
              <w:pStyle w:val="FSTableText"/>
              <w:rPr>
                <w:rFonts w:eastAsia="Arial"/>
              </w:rPr>
            </w:pPr>
            <w:r w:rsidRPr="0682D99A">
              <w:rPr>
                <w:rFonts w:eastAsia="Arial"/>
                <w:lang w:val="en-AU"/>
              </w:rPr>
              <w:t xml:space="preserve">For males, at 120 days, the 1000 mg </w:t>
            </w:r>
            <w:proofErr w:type="spellStart"/>
            <w:r w:rsidRPr="0682D99A">
              <w:rPr>
                <w:rFonts w:eastAsia="Arial"/>
                <w:lang w:val="en-AU"/>
              </w:rPr>
              <w:t>bLf</w:t>
            </w:r>
            <w:proofErr w:type="spellEnd"/>
            <w:r w:rsidRPr="0682D99A">
              <w:rPr>
                <w:rFonts w:eastAsia="Arial"/>
                <w:lang w:val="en-AU"/>
              </w:rPr>
              <w:t xml:space="preserve">/L gained 0.1 g/day more than the control and 600 mg </w:t>
            </w:r>
            <w:proofErr w:type="spellStart"/>
            <w:r w:rsidRPr="0682D99A">
              <w:rPr>
                <w:rFonts w:eastAsia="Arial"/>
                <w:lang w:val="en-AU"/>
              </w:rPr>
              <w:t>bLf</w:t>
            </w:r>
            <w:proofErr w:type="spellEnd"/>
            <w:r w:rsidRPr="0682D99A">
              <w:rPr>
                <w:rFonts w:eastAsia="Arial"/>
                <w:lang w:val="en-AU"/>
              </w:rPr>
              <w:t>/L group.</w:t>
            </w:r>
          </w:p>
          <w:p w14:paraId="2684D963" w14:textId="77777777" w:rsidR="00C017A8" w:rsidRDefault="00C017A8" w:rsidP="00110B65">
            <w:pPr>
              <w:pStyle w:val="FSTableText"/>
              <w:rPr>
                <w:rFonts w:eastAsia="Arial"/>
              </w:rPr>
            </w:pPr>
          </w:p>
          <w:p w14:paraId="51948301" w14:textId="77777777" w:rsidR="00C017A8" w:rsidRDefault="00C017A8" w:rsidP="00110B65">
            <w:pPr>
              <w:pStyle w:val="FSTableText"/>
              <w:rPr>
                <w:rFonts w:eastAsia="Arial"/>
              </w:rPr>
            </w:pPr>
            <w:r w:rsidRPr="0682D99A">
              <w:rPr>
                <w:rFonts w:eastAsia="Arial"/>
                <w:lang w:val="en-AU"/>
              </w:rPr>
              <w:t xml:space="preserve">For females, at 120 days, the 1000 mg </w:t>
            </w:r>
            <w:proofErr w:type="spellStart"/>
            <w:r w:rsidRPr="0682D99A">
              <w:rPr>
                <w:rFonts w:eastAsia="Arial"/>
                <w:lang w:val="en-AU"/>
              </w:rPr>
              <w:t>bLf</w:t>
            </w:r>
            <w:proofErr w:type="spellEnd"/>
            <w:r w:rsidRPr="0682D99A">
              <w:rPr>
                <w:rFonts w:eastAsia="Arial"/>
                <w:lang w:val="en-AU"/>
              </w:rPr>
              <w:t xml:space="preserve">/L gained 0.1 g/day more than the 600 mg </w:t>
            </w:r>
            <w:proofErr w:type="spellStart"/>
            <w:r w:rsidRPr="0682D99A">
              <w:rPr>
                <w:rFonts w:eastAsia="Arial"/>
                <w:lang w:val="en-AU"/>
              </w:rPr>
              <w:t>bLf</w:t>
            </w:r>
            <w:proofErr w:type="spellEnd"/>
            <w:r w:rsidRPr="0682D99A">
              <w:rPr>
                <w:rFonts w:eastAsia="Arial"/>
                <w:lang w:val="en-AU"/>
              </w:rPr>
              <w:t>/L group.</w:t>
            </w:r>
          </w:p>
          <w:p w14:paraId="4972A79D" w14:textId="77777777" w:rsidR="00C017A8" w:rsidRDefault="00C017A8" w:rsidP="00110B65">
            <w:pPr>
              <w:pStyle w:val="FSTableText"/>
              <w:rPr>
                <w:rFonts w:eastAsia="Arial"/>
              </w:rPr>
            </w:pPr>
          </w:p>
          <w:p w14:paraId="4E94FB3D" w14:textId="77777777" w:rsidR="00C017A8" w:rsidRDefault="00C017A8" w:rsidP="00110B65">
            <w:pPr>
              <w:pStyle w:val="FSTableText"/>
              <w:rPr>
                <w:rFonts w:eastAsia="Arial"/>
              </w:rPr>
            </w:pPr>
            <w:r w:rsidRPr="0682D99A">
              <w:rPr>
                <w:rFonts w:eastAsia="Arial"/>
                <w:lang w:val="en-AU"/>
              </w:rPr>
              <w:t xml:space="preserve">For females, at 120 days, the 1000 mg </w:t>
            </w:r>
            <w:proofErr w:type="spellStart"/>
            <w:r w:rsidRPr="0682D99A">
              <w:rPr>
                <w:rFonts w:eastAsia="Arial"/>
                <w:lang w:val="en-AU"/>
              </w:rPr>
              <w:t>bLf</w:t>
            </w:r>
            <w:proofErr w:type="spellEnd"/>
            <w:r w:rsidRPr="0682D99A">
              <w:rPr>
                <w:rFonts w:eastAsia="Arial"/>
                <w:lang w:val="en-AU"/>
              </w:rPr>
              <w:t>/L gained 0.7 g/day less than the control group.</w:t>
            </w:r>
          </w:p>
        </w:tc>
      </w:tr>
      <w:tr w:rsidR="00C017A8" w14:paraId="6A992E4E" w14:textId="77777777" w:rsidTr="00110B65">
        <w:trPr>
          <w:trHeight w:val="2565"/>
        </w:trPr>
        <w:tc>
          <w:tcPr>
            <w:tcW w:w="2235" w:type="dxa"/>
            <w:tcBorders>
              <w:top w:val="single" w:sz="6" w:space="0" w:color="auto"/>
              <w:left w:val="single" w:sz="6" w:space="0" w:color="auto"/>
              <w:bottom w:val="single" w:sz="6" w:space="0" w:color="auto"/>
              <w:right w:val="single" w:sz="6" w:space="0" w:color="auto"/>
            </w:tcBorders>
            <w:shd w:val="clear" w:color="auto" w:fill="ECECEC"/>
          </w:tcPr>
          <w:p w14:paraId="2DAF6C06" w14:textId="77777777" w:rsidR="00C017A8" w:rsidRDefault="00C017A8" w:rsidP="00110B65">
            <w:pPr>
              <w:pStyle w:val="FSTableText"/>
              <w:rPr>
                <w:rFonts w:eastAsia="Arial"/>
              </w:rPr>
            </w:pPr>
            <w:r w:rsidRPr="0682D99A">
              <w:rPr>
                <w:rFonts w:eastAsia="Arial"/>
              </w:rPr>
              <w:t>Li et al. (2019)</w:t>
            </w:r>
          </w:p>
          <w:p w14:paraId="3DCFE9F6" w14:textId="77777777" w:rsidR="00C017A8" w:rsidRDefault="00C017A8" w:rsidP="00110B65">
            <w:pPr>
              <w:pStyle w:val="FSTableText"/>
              <w:rPr>
                <w:rFonts w:eastAsia="Arial"/>
              </w:rPr>
            </w:pPr>
          </w:p>
          <w:p w14:paraId="6C4F5CA7" w14:textId="77777777" w:rsidR="00C017A8" w:rsidRDefault="00C017A8" w:rsidP="00110B65">
            <w:pPr>
              <w:pStyle w:val="FSTableText"/>
              <w:rPr>
                <w:rFonts w:eastAsia="Arial"/>
              </w:rPr>
            </w:pPr>
            <w:r w:rsidRPr="0682D99A">
              <w:rPr>
                <w:rFonts w:eastAsia="Arial"/>
              </w:rPr>
              <w:t>China</w:t>
            </w:r>
          </w:p>
        </w:tc>
        <w:tc>
          <w:tcPr>
            <w:tcW w:w="3315" w:type="dxa"/>
            <w:tcBorders>
              <w:top w:val="single" w:sz="6" w:space="0" w:color="auto"/>
              <w:left w:val="single" w:sz="6" w:space="0" w:color="auto"/>
              <w:bottom w:val="single" w:sz="6" w:space="0" w:color="auto"/>
              <w:right w:val="single" w:sz="6" w:space="0" w:color="auto"/>
            </w:tcBorders>
            <w:shd w:val="clear" w:color="auto" w:fill="ECECEC"/>
          </w:tcPr>
          <w:p w14:paraId="3BA26E26" w14:textId="77777777" w:rsidR="00C017A8" w:rsidRDefault="00C017A8" w:rsidP="00110B65">
            <w:pPr>
              <w:pStyle w:val="FSTableText"/>
              <w:rPr>
                <w:rFonts w:eastAsia="Arial"/>
              </w:rPr>
            </w:pPr>
            <w:r w:rsidRPr="0682D99A">
              <w:rPr>
                <w:rFonts w:eastAsia="Arial"/>
              </w:rPr>
              <w:t>Age: 10-14 days</w:t>
            </w:r>
          </w:p>
          <w:p w14:paraId="61688ED4" w14:textId="77777777" w:rsidR="00C017A8" w:rsidRDefault="00C017A8" w:rsidP="00110B65">
            <w:pPr>
              <w:pStyle w:val="FSTableText"/>
              <w:rPr>
                <w:rFonts w:eastAsia="Arial"/>
              </w:rPr>
            </w:pPr>
          </w:p>
          <w:p w14:paraId="033C51DB" w14:textId="77777777" w:rsidR="00C017A8" w:rsidRDefault="00C017A8" w:rsidP="00110B65">
            <w:pPr>
              <w:pStyle w:val="FSTableText"/>
              <w:rPr>
                <w:rFonts w:eastAsia="Arial"/>
              </w:rPr>
            </w:pPr>
            <w:r w:rsidRPr="0682D99A">
              <w:rPr>
                <w:rFonts w:eastAsia="Arial"/>
              </w:rPr>
              <w:t>Study duration: 1 year</w:t>
            </w:r>
          </w:p>
          <w:p w14:paraId="3C1CF52F" w14:textId="77777777" w:rsidR="00C017A8" w:rsidRDefault="00C017A8" w:rsidP="00110B65">
            <w:pPr>
              <w:pStyle w:val="FSTableText"/>
              <w:rPr>
                <w:rFonts w:eastAsia="Arial"/>
              </w:rPr>
            </w:pPr>
          </w:p>
          <w:p w14:paraId="3DF6CF83" w14:textId="77777777" w:rsidR="00C017A8" w:rsidRDefault="00C017A8" w:rsidP="00110B65">
            <w:pPr>
              <w:pStyle w:val="FSTableText"/>
              <w:rPr>
                <w:rFonts w:eastAsia="Arial"/>
              </w:rPr>
            </w:pPr>
            <w:r w:rsidRPr="0682D99A">
              <w:rPr>
                <w:rFonts w:eastAsia="Arial"/>
              </w:rPr>
              <w:t>Females: n= 77 (non-</w:t>
            </w:r>
            <w:proofErr w:type="spellStart"/>
            <w:r w:rsidRPr="0682D99A">
              <w:rPr>
                <w:rFonts w:eastAsia="Arial"/>
              </w:rPr>
              <w:t>bLf</w:t>
            </w:r>
            <w:proofErr w:type="spellEnd"/>
            <w:r w:rsidRPr="0682D99A">
              <w:rPr>
                <w:rFonts w:eastAsia="Arial"/>
              </w:rPr>
              <w:t>-IFP), and 76 (low-</w:t>
            </w:r>
            <w:proofErr w:type="spellStart"/>
            <w:r w:rsidRPr="0682D99A">
              <w:rPr>
                <w:rFonts w:eastAsia="Arial"/>
              </w:rPr>
              <w:t>bLf</w:t>
            </w:r>
            <w:proofErr w:type="spellEnd"/>
            <w:r w:rsidRPr="0682D99A">
              <w:rPr>
                <w:rFonts w:eastAsia="Arial"/>
              </w:rPr>
              <w:t xml:space="preserve">-IFP) at 120 days of age. </w:t>
            </w:r>
          </w:p>
          <w:p w14:paraId="4083B15A" w14:textId="77777777" w:rsidR="00C017A8" w:rsidRDefault="00C017A8" w:rsidP="00110B65">
            <w:pPr>
              <w:pStyle w:val="FSTableText"/>
              <w:rPr>
                <w:rFonts w:eastAsia="Arial"/>
              </w:rPr>
            </w:pPr>
          </w:p>
          <w:p w14:paraId="17379E98" w14:textId="77777777" w:rsidR="00C017A8" w:rsidRDefault="00C017A8" w:rsidP="00110B65">
            <w:pPr>
              <w:pStyle w:val="FSTableText"/>
              <w:rPr>
                <w:rFonts w:eastAsia="Arial"/>
              </w:rPr>
            </w:pPr>
            <w:r w:rsidRPr="0682D99A">
              <w:rPr>
                <w:rFonts w:eastAsia="Arial"/>
              </w:rPr>
              <w:t>Males: n= 111 (non-</w:t>
            </w:r>
            <w:proofErr w:type="spellStart"/>
            <w:r w:rsidRPr="0682D99A">
              <w:rPr>
                <w:rFonts w:eastAsia="Arial"/>
              </w:rPr>
              <w:t>bLf</w:t>
            </w:r>
            <w:proofErr w:type="spellEnd"/>
            <w:r w:rsidRPr="0682D99A">
              <w:rPr>
                <w:rFonts w:eastAsia="Arial"/>
              </w:rPr>
              <w:t>-IFP), and 111 (low-</w:t>
            </w:r>
            <w:proofErr w:type="spellStart"/>
            <w:r w:rsidRPr="0682D99A">
              <w:rPr>
                <w:rFonts w:eastAsia="Arial"/>
              </w:rPr>
              <w:t>bLf</w:t>
            </w:r>
            <w:proofErr w:type="spellEnd"/>
            <w:r w:rsidRPr="0682D99A">
              <w:rPr>
                <w:rFonts w:eastAsia="Arial"/>
              </w:rPr>
              <w:t>-IFP) at 120 days of age.</w:t>
            </w:r>
          </w:p>
          <w:p w14:paraId="4BCBD8FA" w14:textId="77777777" w:rsidR="00C017A8" w:rsidRDefault="00C017A8" w:rsidP="00110B65">
            <w:pPr>
              <w:pStyle w:val="FSTableText"/>
              <w:rPr>
                <w:rFonts w:eastAsia="Arial"/>
              </w:rPr>
            </w:pPr>
          </w:p>
        </w:tc>
        <w:tc>
          <w:tcPr>
            <w:tcW w:w="4410" w:type="dxa"/>
            <w:tcBorders>
              <w:top w:val="single" w:sz="6" w:space="0" w:color="auto"/>
              <w:left w:val="single" w:sz="6" w:space="0" w:color="auto"/>
              <w:bottom w:val="single" w:sz="6" w:space="0" w:color="auto"/>
              <w:right w:val="single" w:sz="6" w:space="0" w:color="auto"/>
            </w:tcBorders>
            <w:shd w:val="clear" w:color="auto" w:fill="ECECEC"/>
          </w:tcPr>
          <w:p w14:paraId="664FCBA8" w14:textId="77777777" w:rsidR="00C017A8" w:rsidRDefault="00C017A8" w:rsidP="00110B65">
            <w:pPr>
              <w:pStyle w:val="FSTableText"/>
              <w:rPr>
                <w:rFonts w:eastAsia="Arial"/>
              </w:rPr>
            </w:pPr>
            <w:r w:rsidRPr="0682D99A">
              <w:rPr>
                <w:rFonts w:eastAsia="Arial"/>
                <w:i/>
                <w:iCs/>
              </w:rPr>
              <w:t>Non-</w:t>
            </w:r>
            <w:proofErr w:type="spellStart"/>
            <w:r w:rsidRPr="0682D99A">
              <w:rPr>
                <w:rFonts w:eastAsia="Arial"/>
                <w:i/>
                <w:iCs/>
              </w:rPr>
              <w:t>bLf</w:t>
            </w:r>
            <w:proofErr w:type="spellEnd"/>
            <w:r w:rsidRPr="0682D99A">
              <w:rPr>
                <w:rFonts w:eastAsia="Arial"/>
                <w:i/>
                <w:iCs/>
              </w:rPr>
              <w:t>-IFP</w:t>
            </w:r>
            <w:r w:rsidRPr="0682D99A">
              <w:rPr>
                <w:rFonts w:eastAsia="Arial"/>
              </w:rPr>
              <w:t xml:space="preserve"> </w:t>
            </w:r>
          </w:p>
          <w:p w14:paraId="1E44C7E5" w14:textId="77777777" w:rsidR="00C017A8" w:rsidRDefault="00C017A8" w:rsidP="00110B65">
            <w:pPr>
              <w:pStyle w:val="FSTableText"/>
              <w:rPr>
                <w:rFonts w:eastAsia="Arial"/>
              </w:rPr>
            </w:pPr>
            <w:proofErr w:type="spellStart"/>
            <w:r w:rsidRPr="0682D99A">
              <w:rPr>
                <w:rFonts w:eastAsia="Arial"/>
              </w:rPr>
              <w:t>bLf</w:t>
            </w:r>
            <w:proofErr w:type="spellEnd"/>
            <w:r w:rsidRPr="0682D99A">
              <w:rPr>
                <w:rFonts w:eastAsia="Arial"/>
              </w:rPr>
              <w:t>: 0 g/L</w:t>
            </w:r>
          </w:p>
          <w:p w14:paraId="4FB56A31" w14:textId="77777777" w:rsidR="00C017A8" w:rsidRDefault="00C017A8" w:rsidP="00110B65">
            <w:pPr>
              <w:pStyle w:val="FSTableText"/>
              <w:rPr>
                <w:rFonts w:eastAsia="Arial"/>
                <w:sz w:val="16"/>
                <w:szCs w:val="16"/>
              </w:rPr>
            </w:pPr>
            <w:r w:rsidRPr="0682D99A">
              <w:rPr>
                <w:rFonts w:eastAsia="Arial"/>
              </w:rPr>
              <w:t xml:space="preserve">Iron saturation of naturally occurring </w:t>
            </w:r>
            <w:proofErr w:type="spellStart"/>
            <w:r w:rsidRPr="0682D99A">
              <w:rPr>
                <w:rFonts w:eastAsia="Arial"/>
              </w:rPr>
              <w:t>bLf</w:t>
            </w:r>
            <w:proofErr w:type="spellEnd"/>
            <w:r w:rsidRPr="0682D99A">
              <w:rPr>
                <w:rFonts w:eastAsia="Arial"/>
              </w:rPr>
              <w:t xml:space="preserve"> (if present): not stated</w:t>
            </w:r>
            <w:r w:rsidRPr="0682D99A">
              <w:rPr>
                <w:rFonts w:eastAsia="Arial"/>
                <w:vertAlign w:val="superscript"/>
                <w:lang w:val="en-AU"/>
              </w:rPr>
              <w:t>3</w:t>
            </w:r>
          </w:p>
          <w:p w14:paraId="7DB7B702" w14:textId="77777777" w:rsidR="00C017A8" w:rsidRDefault="00C017A8" w:rsidP="00110B65">
            <w:pPr>
              <w:pStyle w:val="FSTableText"/>
              <w:rPr>
                <w:rFonts w:eastAsia="Arial"/>
                <w:sz w:val="16"/>
                <w:szCs w:val="16"/>
              </w:rPr>
            </w:pPr>
            <w:r w:rsidRPr="0682D99A">
              <w:rPr>
                <w:rFonts w:eastAsia="Arial"/>
              </w:rPr>
              <w:t>Iron: 1.0 mg/L</w:t>
            </w:r>
            <w:r w:rsidRPr="0682D99A">
              <w:rPr>
                <w:rFonts w:eastAsia="Arial"/>
                <w:vertAlign w:val="superscript"/>
                <w:lang w:val="en-AU"/>
              </w:rPr>
              <w:t>4</w:t>
            </w:r>
          </w:p>
          <w:p w14:paraId="0BF4C66F" w14:textId="77777777" w:rsidR="00C017A8" w:rsidRDefault="00C017A8" w:rsidP="00110B65">
            <w:pPr>
              <w:pStyle w:val="FSTableText"/>
              <w:rPr>
                <w:rFonts w:eastAsia="Arial"/>
              </w:rPr>
            </w:pPr>
          </w:p>
          <w:p w14:paraId="486D49CB" w14:textId="77777777" w:rsidR="00C017A8" w:rsidRDefault="00C017A8" w:rsidP="00110B65">
            <w:pPr>
              <w:pStyle w:val="FSTableText"/>
              <w:rPr>
                <w:rFonts w:eastAsia="Arial"/>
              </w:rPr>
            </w:pPr>
            <w:r w:rsidRPr="0682D99A">
              <w:rPr>
                <w:rFonts w:eastAsia="Arial"/>
                <w:i/>
                <w:iCs/>
              </w:rPr>
              <w:t>Low-</w:t>
            </w:r>
            <w:proofErr w:type="spellStart"/>
            <w:r w:rsidRPr="0682D99A">
              <w:rPr>
                <w:rFonts w:eastAsia="Arial"/>
                <w:i/>
                <w:iCs/>
              </w:rPr>
              <w:t>bLf</w:t>
            </w:r>
            <w:proofErr w:type="spellEnd"/>
            <w:r w:rsidRPr="0682D99A">
              <w:rPr>
                <w:rFonts w:eastAsia="Arial"/>
                <w:i/>
                <w:iCs/>
              </w:rPr>
              <w:t>-IFP</w:t>
            </w:r>
          </w:p>
          <w:p w14:paraId="23B4D6CD" w14:textId="77777777" w:rsidR="00C017A8" w:rsidRDefault="00C017A8" w:rsidP="00110B65">
            <w:pPr>
              <w:pStyle w:val="FSTableText"/>
              <w:rPr>
                <w:rFonts w:eastAsia="Arial"/>
              </w:rPr>
            </w:pPr>
            <w:proofErr w:type="spellStart"/>
            <w:r w:rsidRPr="0682D99A">
              <w:rPr>
                <w:rFonts w:eastAsia="Arial"/>
              </w:rPr>
              <w:t>bLf</w:t>
            </w:r>
            <w:proofErr w:type="spellEnd"/>
            <w:r w:rsidRPr="0682D99A">
              <w:rPr>
                <w:rFonts w:eastAsia="Arial"/>
              </w:rPr>
              <w:t>: 0.6 g/L + 5000 mg/L milk fat globule membrane</w:t>
            </w:r>
          </w:p>
          <w:p w14:paraId="6BA13915" w14:textId="77777777" w:rsidR="00C017A8" w:rsidRDefault="00C017A8" w:rsidP="00110B65">
            <w:pPr>
              <w:pStyle w:val="FSTableText"/>
              <w:rPr>
                <w:rFonts w:eastAsia="Arial"/>
                <w:sz w:val="16"/>
                <w:szCs w:val="16"/>
              </w:rPr>
            </w:pPr>
            <w:r w:rsidRPr="0682D99A">
              <w:rPr>
                <w:rFonts w:eastAsia="Arial"/>
              </w:rPr>
              <w:t xml:space="preserve">Iron saturation of </w:t>
            </w:r>
            <w:proofErr w:type="spellStart"/>
            <w:r w:rsidRPr="0682D99A">
              <w:rPr>
                <w:rFonts w:eastAsia="Arial"/>
              </w:rPr>
              <w:t>bLf</w:t>
            </w:r>
            <w:proofErr w:type="spellEnd"/>
            <w:r w:rsidRPr="0682D99A">
              <w:rPr>
                <w:rFonts w:eastAsia="Arial"/>
              </w:rPr>
              <w:t>: not stated</w:t>
            </w:r>
            <w:r w:rsidRPr="0682D99A">
              <w:rPr>
                <w:rFonts w:eastAsia="Arial"/>
                <w:vertAlign w:val="superscript"/>
                <w:lang w:val="en-AU"/>
              </w:rPr>
              <w:t>3</w:t>
            </w:r>
          </w:p>
          <w:p w14:paraId="2317C6D4" w14:textId="77777777" w:rsidR="00C017A8" w:rsidRDefault="00C017A8" w:rsidP="00110B65">
            <w:pPr>
              <w:pStyle w:val="FSTableText"/>
              <w:rPr>
                <w:rFonts w:eastAsia="Arial"/>
                <w:sz w:val="16"/>
                <w:szCs w:val="16"/>
              </w:rPr>
            </w:pPr>
            <w:r w:rsidRPr="0682D99A">
              <w:rPr>
                <w:rFonts w:eastAsia="Arial"/>
              </w:rPr>
              <w:t>Iron: 1.0 mg/L</w:t>
            </w:r>
            <w:r w:rsidRPr="0682D99A">
              <w:rPr>
                <w:rFonts w:eastAsia="Arial"/>
                <w:vertAlign w:val="superscript"/>
                <w:lang w:val="en-AU"/>
              </w:rPr>
              <w:t>4</w:t>
            </w:r>
          </w:p>
        </w:tc>
        <w:tc>
          <w:tcPr>
            <w:tcW w:w="4035" w:type="dxa"/>
            <w:tcBorders>
              <w:top w:val="single" w:sz="6" w:space="0" w:color="auto"/>
              <w:left w:val="single" w:sz="6" w:space="0" w:color="auto"/>
              <w:bottom w:val="single" w:sz="6" w:space="0" w:color="auto"/>
              <w:right w:val="single" w:sz="6" w:space="0" w:color="auto"/>
            </w:tcBorders>
            <w:shd w:val="clear" w:color="auto" w:fill="ECECEC"/>
          </w:tcPr>
          <w:p w14:paraId="62337194" w14:textId="77777777" w:rsidR="00C017A8" w:rsidRDefault="00C017A8" w:rsidP="00110B65">
            <w:pPr>
              <w:pStyle w:val="FSTableText"/>
              <w:rPr>
                <w:rFonts w:eastAsia="Arial"/>
              </w:rPr>
            </w:pPr>
            <w:r w:rsidRPr="0682D99A">
              <w:rPr>
                <w:rFonts w:eastAsia="Arial"/>
              </w:rPr>
              <w:t xml:space="preserve">From days 14 to 120, weight gain in the </w:t>
            </w:r>
            <w:proofErr w:type="spellStart"/>
            <w:r w:rsidRPr="0682D99A">
              <w:rPr>
                <w:rFonts w:eastAsia="Arial"/>
              </w:rPr>
              <w:t>bLf</w:t>
            </w:r>
            <w:proofErr w:type="spellEnd"/>
            <w:r w:rsidRPr="0682D99A">
              <w:rPr>
                <w:rFonts w:eastAsia="Arial"/>
              </w:rPr>
              <w:t xml:space="preserve"> + MFGM group was 0.6 g/day lower in males and 1.1 g/day higher in females, however the differences were not statistically significant.</w:t>
            </w:r>
          </w:p>
        </w:tc>
      </w:tr>
    </w:tbl>
    <w:p w14:paraId="119243A0" w14:textId="77777777" w:rsidR="00C017A8" w:rsidRPr="00435480" w:rsidRDefault="00C017A8" w:rsidP="00C017A8">
      <w:pPr>
        <w:rPr>
          <w:rFonts w:eastAsia="Arial" w:cs="Arial"/>
          <w:color w:val="000000" w:themeColor="text1"/>
          <w:sz w:val="16"/>
          <w:szCs w:val="16"/>
        </w:rPr>
      </w:pPr>
      <w:proofErr w:type="spellStart"/>
      <w:r w:rsidRPr="00435480">
        <w:rPr>
          <w:rFonts w:eastAsia="Arial" w:cs="Arial"/>
          <w:color w:val="000000" w:themeColor="text1"/>
          <w:sz w:val="16"/>
          <w:szCs w:val="16"/>
        </w:rPr>
        <w:t>mo</w:t>
      </w:r>
      <w:proofErr w:type="spellEnd"/>
      <w:r w:rsidRPr="00435480">
        <w:rPr>
          <w:rFonts w:eastAsia="Arial" w:cs="Arial"/>
          <w:color w:val="000000" w:themeColor="text1"/>
          <w:sz w:val="16"/>
          <w:szCs w:val="16"/>
        </w:rPr>
        <w:t>, months; NSD, not significantly different (</w:t>
      </w:r>
      <w:r w:rsidRPr="00435480">
        <w:rPr>
          <w:rFonts w:eastAsia="Arial" w:cs="Arial"/>
          <w:i/>
          <w:iCs/>
          <w:color w:val="000000" w:themeColor="text1"/>
          <w:sz w:val="16"/>
          <w:szCs w:val="16"/>
        </w:rPr>
        <w:t>P</w:t>
      </w:r>
      <w:r w:rsidRPr="00435480">
        <w:rPr>
          <w:rFonts w:ascii="Segoe UI" w:eastAsia="Segoe UI" w:hAnsi="Segoe UI" w:cs="Segoe UI"/>
          <w:color w:val="000000" w:themeColor="text1"/>
          <w:sz w:val="16"/>
          <w:szCs w:val="16"/>
        </w:rPr>
        <w:t>≥0.05</w:t>
      </w:r>
      <w:r w:rsidRPr="00435480">
        <w:rPr>
          <w:rFonts w:eastAsia="Arial" w:cs="Arial"/>
          <w:color w:val="000000" w:themeColor="text1"/>
          <w:sz w:val="16"/>
          <w:szCs w:val="16"/>
        </w:rPr>
        <w:t>).</w:t>
      </w:r>
    </w:p>
    <w:p w14:paraId="33390A12" w14:textId="77777777" w:rsidR="00C017A8" w:rsidRPr="00435480" w:rsidRDefault="00C017A8" w:rsidP="00C017A8">
      <w:pPr>
        <w:rPr>
          <w:rFonts w:eastAsia="Arial" w:cs="Arial"/>
          <w:color w:val="000000" w:themeColor="text1"/>
          <w:sz w:val="16"/>
          <w:szCs w:val="16"/>
        </w:rPr>
      </w:pPr>
      <w:r w:rsidRPr="00435480">
        <w:rPr>
          <w:rFonts w:eastAsia="Arial" w:cs="Arial"/>
          <w:color w:val="000000" w:themeColor="text1"/>
          <w:sz w:val="16"/>
          <w:szCs w:val="16"/>
          <w:vertAlign w:val="superscript"/>
        </w:rPr>
        <w:t>1</w:t>
      </w:r>
      <w:r w:rsidRPr="00435480">
        <w:rPr>
          <w:rFonts w:eastAsia="Arial" w:cs="Arial"/>
          <w:color w:val="000000" w:themeColor="text1"/>
          <w:sz w:val="16"/>
          <w:szCs w:val="16"/>
        </w:rPr>
        <w:t>Other micronutrients levels of IFP are not reported because this did not form part of our study selection criteria (see Appendix 2, section A2.1.1).</w:t>
      </w:r>
    </w:p>
    <w:p w14:paraId="2E44302E" w14:textId="77777777" w:rsidR="00C017A8" w:rsidRPr="00435480" w:rsidRDefault="00C017A8" w:rsidP="00C017A8">
      <w:pPr>
        <w:rPr>
          <w:rFonts w:eastAsia="Arial" w:cs="Arial"/>
          <w:color w:val="000000" w:themeColor="text1"/>
          <w:sz w:val="16"/>
          <w:szCs w:val="16"/>
        </w:rPr>
      </w:pPr>
      <w:r w:rsidRPr="00435480">
        <w:rPr>
          <w:rFonts w:eastAsia="Arial" w:cs="Arial"/>
          <w:color w:val="000000" w:themeColor="text1"/>
          <w:sz w:val="16"/>
          <w:szCs w:val="16"/>
          <w:vertAlign w:val="superscript"/>
          <w:lang w:val="en-AU"/>
        </w:rPr>
        <w:t>2</w:t>
      </w:r>
      <w:r w:rsidRPr="00435480">
        <w:rPr>
          <w:rFonts w:eastAsia="Arial" w:cs="Arial"/>
          <w:color w:val="000000" w:themeColor="text1"/>
          <w:sz w:val="16"/>
          <w:szCs w:val="16"/>
          <w:lang w:val="en-AU"/>
        </w:rPr>
        <w:t xml:space="preserve">Calculated from details provided by the publication: 1.24 mg iron/g protein and </w:t>
      </w:r>
      <w:proofErr w:type="spellStart"/>
      <w:r w:rsidRPr="00435480">
        <w:rPr>
          <w:rFonts w:eastAsia="Arial" w:cs="Arial"/>
          <w:color w:val="000000" w:themeColor="text1"/>
          <w:sz w:val="16"/>
          <w:szCs w:val="16"/>
          <w:lang w:val="en-AU"/>
        </w:rPr>
        <w:t>bLf</w:t>
      </w:r>
      <w:proofErr w:type="spellEnd"/>
      <w:r w:rsidRPr="00435480">
        <w:rPr>
          <w:rFonts w:eastAsia="Arial" w:cs="Arial"/>
          <w:color w:val="000000" w:themeColor="text1"/>
          <w:sz w:val="16"/>
          <w:szCs w:val="16"/>
          <w:lang w:val="en-AU"/>
        </w:rPr>
        <w:t xml:space="preserve"> providing 1.3 mg iron/L.</w:t>
      </w:r>
    </w:p>
    <w:p w14:paraId="08F90DCF" w14:textId="77777777" w:rsidR="00C017A8" w:rsidRPr="00435480" w:rsidRDefault="00C017A8" w:rsidP="00C017A8">
      <w:pPr>
        <w:rPr>
          <w:rFonts w:eastAsia="Arial" w:cs="Arial"/>
          <w:color w:val="000000" w:themeColor="text1"/>
          <w:sz w:val="16"/>
          <w:szCs w:val="16"/>
        </w:rPr>
      </w:pPr>
      <w:r w:rsidRPr="00435480">
        <w:rPr>
          <w:rFonts w:eastAsia="Arial" w:cs="Arial"/>
          <w:color w:val="000000" w:themeColor="text1"/>
          <w:sz w:val="16"/>
          <w:szCs w:val="16"/>
          <w:vertAlign w:val="superscript"/>
          <w:lang w:val="en-AU"/>
        </w:rPr>
        <w:t>3</w:t>
      </w:r>
      <w:r w:rsidRPr="00435480">
        <w:rPr>
          <w:rFonts w:eastAsia="Arial" w:cs="Arial"/>
          <w:color w:val="000000" w:themeColor="text1"/>
          <w:sz w:val="16"/>
          <w:szCs w:val="16"/>
        </w:rPr>
        <w:t xml:space="preserve">The Application’s </w:t>
      </w:r>
      <w:proofErr w:type="spellStart"/>
      <w:r w:rsidRPr="00435480">
        <w:rPr>
          <w:rFonts w:eastAsia="Arial" w:cs="Arial"/>
          <w:color w:val="000000" w:themeColor="text1"/>
          <w:sz w:val="16"/>
          <w:szCs w:val="16"/>
        </w:rPr>
        <w:t>bLf</w:t>
      </w:r>
      <w:proofErr w:type="spellEnd"/>
      <w:r w:rsidRPr="00435480">
        <w:rPr>
          <w:rFonts w:eastAsia="Arial" w:cs="Arial"/>
          <w:color w:val="000000" w:themeColor="text1"/>
          <w:sz w:val="16"/>
          <w:szCs w:val="16"/>
        </w:rPr>
        <w:t xml:space="preserve"> product has a mean iron saturation of ~8.7% and proposes a maximum specification of 15 mg iron/100 g </w:t>
      </w:r>
      <w:proofErr w:type="spellStart"/>
      <w:r w:rsidRPr="00435480">
        <w:rPr>
          <w:rFonts w:eastAsia="Arial" w:cs="Arial"/>
          <w:color w:val="000000" w:themeColor="text1"/>
          <w:sz w:val="16"/>
          <w:szCs w:val="16"/>
        </w:rPr>
        <w:t>bLf</w:t>
      </w:r>
      <w:proofErr w:type="spellEnd"/>
      <w:r w:rsidRPr="00435480">
        <w:rPr>
          <w:rFonts w:eastAsia="Arial" w:cs="Arial"/>
          <w:color w:val="000000" w:themeColor="text1"/>
          <w:sz w:val="16"/>
          <w:szCs w:val="16"/>
        </w:rPr>
        <w:t xml:space="preserve"> (equivalent to 10.7%). In comparison, the iron saturation of </w:t>
      </w:r>
      <w:proofErr w:type="spellStart"/>
      <w:r w:rsidRPr="00435480">
        <w:rPr>
          <w:rFonts w:eastAsia="Arial" w:cs="Arial"/>
          <w:color w:val="000000" w:themeColor="text1"/>
          <w:sz w:val="16"/>
          <w:szCs w:val="16"/>
        </w:rPr>
        <w:t>bLf</w:t>
      </w:r>
      <w:proofErr w:type="spellEnd"/>
      <w:r w:rsidRPr="00435480">
        <w:rPr>
          <w:rFonts w:eastAsia="Arial" w:cs="Arial"/>
          <w:color w:val="000000" w:themeColor="text1"/>
          <w:sz w:val="16"/>
          <w:szCs w:val="16"/>
        </w:rPr>
        <w:t xml:space="preserve"> of tested </w:t>
      </w:r>
      <w:proofErr w:type="spellStart"/>
      <w:r w:rsidRPr="00435480">
        <w:rPr>
          <w:rFonts w:eastAsia="Arial" w:cs="Arial"/>
          <w:color w:val="000000" w:themeColor="text1"/>
          <w:sz w:val="16"/>
          <w:szCs w:val="16"/>
        </w:rPr>
        <w:t>bLf</w:t>
      </w:r>
      <w:proofErr w:type="spellEnd"/>
      <w:r w:rsidRPr="00435480">
        <w:rPr>
          <w:rFonts w:eastAsia="Arial" w:cs="Arial"/>
          <w:color w:val="000000" w:themeColor="text1"/>
          <w:sz w:val="16"/>
          <w:szCs w:val="16"/>
        </w:rPr>
        <w:t>-IFP varies widely, from 8.6% (King et al. 2007) to 88.6% (</w:t>
      </w:r>
      <w:proofErr w:type="spellStart"/>
      <w:r w:rsidRPr="00435480">
        <w:rPr>
          <w:rFonts w:eastAsia="Arial" w:cs="Arial"/>
          <w:color w:val="000000" w:themeColor="text1"/>
          <w:sz w:val="16"/>
          <w:szCs w:val="16"/>
        </w:rPr>
        <w:t>Hernell</w:t>
      </w:r>
      <w:proofErr w:type="spellEnd"/>
      <w:r w:rsidRPr="00435480">
        <w:rPr>
          <w:rFonts w:eastAsia="Arial" w:cs="Arial"/>
          <w:color w:val="000000" w:themeColor="text1"/>
          <w:sz w:val="16"/>
          <w:szCs w:val="16"/>
        </w:rPr>
        <w:t xml:space="preserve"> &amp; </w:t>
      </w:r>
      <w:proofErr w:type="spellStart"/>
      <w:r w:rsidRPr="00435480">
        <w:rPr>
          <w:rFonts w:eastAsia="Arial" w:cs="Arial"/>
          <w:color w:val="000000" w:themeColor="text1"/>
          <w:sz w:val="16"/>
          <w:szCs w:val="16"/>
          <w:lang w:val="en-AU"/>
        </w:rPr>
        <w:t>L</w:t>
      </w:r>
      <w:r w:rsidRPr="00435480">
        <w:rPr>
          <w:rFonts w:ascii="Segoe UI" w:eastAsia="Segoe UI" w:hAnsi="Segoe UI" w:cs="Segoe UI"/>
          <w:color w:val="000000" w:themeColor="text1"/>
          <w:sz w:val="16"/>
          <w:szCs w:val="16"/>
          <w:lang w:val="en-AU"/>
        </w:rPr>
        <w:t>önnerdal</w:t>
      </w:r>
      <w:proofErr w:type="spellEnd"/>
      <w:r w:rsidRPr="00435480">
        <w:rPr>
          <w:rFonts w:eastAsia="Arial" w:cs="Arial"/>
          <w:color w:val="000000" w:themeColor="text1"/>
          <w:sz w:val="16"/>
          <w:szCs w:val="16"/>
        </w:rPr>
        <w:t xml:space="preserve"> 2002). We note the iron saturation is not reported for the </w:t>
      </w:r>
      <w:proofErr w:type="spellStart"/>
      <w:r w:rsidRPr="00435480">
        <w:rPr>
          <w:rFonts w:eastAsia="Arial" w:cs="Arial"/>
          <w:color w:val="000000" w:themeColor="text1"/>
          <w:sz w:val="16"/>
          <w:szCs w:val="16"/>
        </w:rPr>
        <w:t>bLf</w:t>
      </w:r>
      <w:proofErr w:type="spellEnd"/>
      <w:r w:rsidRPr="00435480">
        <w:rPr>
          <w:rFonts w:eastAsia="Arial" w:cs="Arial"/>
          <w:color w:val="000000" w:themeColor="text1"/>
          <w:sz w:val="16"/>
          <w:szCs w:val="16"/>
        </w:rPr>
        <w:t xml:space="preserve">-IFP tested by </w:t>
      </w:r>
      <w:proofErr w:type="spellStart"/>
      <w:r w:rsidRPr="00435480">
        <w:rPr>
          <w:rFonts w:eastAsia="Arial" w:cs="Arial"/>
          <w:color w:val="000000" w:themeColor="text1"/>
          <w:sz w:val="16"/>
          <w:szCs w:val="16"/>
          <w:lang w:val="en-AU"/>
        </w:rPr>
        <w:t>Björmsjö</w:t>
      </w:r>
      <w:proofErr w:type="spellEnd"/>
      <w:r w:rsidRPr="00435480">
        <w:rPr>
          <w:rFonts w:eastAsia="Arial" w:cs="Arial"/>
          <w:color w:val="000000" w:themeColor="text1"/>
          <w:sz w:val="16"/>
          <w:szCs w:val="16"/>
          <w:lang w:val="en-AU"/>
        </w:rPr>
        <w:t xml:space="preserve"> et al. (2021), the low-</w:t>
      </w:r>
      <w:proofErr w:type="spellStart"/>
      <w:r w:rsidRPr="00435480">
        <w:rPr>
          <w:rFonts w:eastAsia="Arial" w:cs="Arial"/>
          <w:color w:val="000000" w:themeColor="text1"/>
          <w:sz w:val="16"/>
          <w:szCs w:val="16"/>
          <w:lang w:val="en-AU"/>
        </w:rPr>
        <w:t>bLf</w:t>
      </w:r>
      <w:proofErr w:type="spellEnd"/>
      <w:r w:rsidRPr="00435480">
        <w:rPr>
          <w:rFonts w:eastAsia="Arial" w:cs="Arial"/>
          <w:color w:val="000000" w:themeColor="text1"/>
          <w:sz w:val="16"/>
          <w:szCs w:val="16"/>
          <w:lang w:val="en-AU"/>
        </w:rPr>
        <w:t xml:space="preserve">-IFP tested by King et al. (2007), nor for any potentially naturally occurring </w:t>
      </w:r>
      <w:proofErr w:type="spellStart"/>
      <w:r w:rsidRPr="00435480">
        <w:rPr>
          <w:rFonts w:eastAsia="Arial" w:cs="Arial"/>
          <w:color w:val="000000" w:themeColor="text1"/>
          <w:sz w:val="16"/>
          <w:szCs w:val="16"/>
          <w:lang w:val="en-AU"/>
        </w:rPr>
        <w:t>bLf</w:t>
      </w:r>
      <w:proofErr w:type="spellEnd"/>
      <w:r w:rsidRPr="00435480">
        <w:rPr>
          <w:rFonts w:eastAsia="Arial" w:cs="Arial"/>
          <w:color w:val="000000" w:themeColor="text1"/>
          <w:sz w:val="16"/>
          <w:szCs w:val="16"/>
          <w:lang w:val="en-AU"/>
        </w:rPr>
        <w:t xml:space="preserve"> present in the non-</w:t>
      </w:r>
      <w:proofErr w:type="spellStart"/>
      <w:r w:rsidRPr="00435480">
        <w:rPr>
          <w:rFonts w:eastAsia="Arial" w:cs="Arial"/>
          <w:color w:val="000000" w:themeColor="text1"/>
          <w:sz w:val="16"/>
          <w:szCs w:val="16"/>
          <w:lang w:val="en-AU"/>
        </w:rPr>
        <w:t>bLf</w:t>
      </w:r>
      <w:proofErr w:type="spellEnd"/>
      <w:r w:rsidRPr="00435480">
        <w:rPr>
          <w:rFonts w:eastAsia="Arial" w:cs="Arial"/>
          <w:color w:val="000000" w:themeColor="text1"/>
          <w:sz w:val="16"/>
          <w:szCs w:val="16"/>
          <w:lang w:val="en-AU"/>
        </w:rPr>
        <w:t xml:space="preserve">-IFP </w:t>
      </w:r>
      <w:r w:rsidRPr="00435480">
        <w:rPr>
          <w:rFonts w:eastAsia="Arial" w:cs="Arial"/>
          <w:color w:val="000000" w:themeColor="text1"/>
          <w:sz w:val="16"/>
          <w:szCs w:val="16"/>
        </w:rPr>
        <w:t>(</w:t>
      </w:r>
      <w:proofErr w:type="spellStart"/>
      <w:r w:rsidRPr="00435480">
        <w:rPr>
          <w:rFonts w:eastAsia="Arial" w:cs="Arial"/>
          <w:color w:val="000000" w:themeColor="text1"/>
          <w:sz w:val="16"/>
          <w:szCs w:val="16"/>
        </w:rPr>
        <w:t>Hernell</w:t>
      </w:r>
      <w:proofErr w:type="spellEnd"/>
      <w:r w:rsidRPr="00435480">
        <w:rPr>
          <w:rFonts w:eastAsia="Arial" w:cs="Arial"/>
          <w:color w:val="000000" w:themeColor="text1"/>
          <w:sz w:val="16"/>
          <w:szCs w:val="16"/>
        </w:rPr>
        <w:t xml:space="preserve"> &amp; L</w:t>
      </w:r>
      <w:r w:rsidRPr="00435480">
        <w:rPr>
          <w:rFonts w:eastAsia="Arial" w:cs="Arial"/>
          <w:color w:val="000000" w:themeColor="text1"/>
          <w:sz w:val="16"/>
          <w:szCs w:val="16"/>
          <w:lang w:val="en-US"/>
        </w:rPr>
        <w:t>ö</w:t>
      </w:r>
      <w:proofErr w:type="spellStart"/>
      <w:r w:rsidRPr="00435480">
        <w:rPr>
          <w:rFonts w:eastAsia="Arial" w:cs="Arial"/>
          <w:color w:val="000000" w:themeColor="text1"/>
          <w:sz w:val="16"/>
          <w:szCs w:val="16"/>
        </w:rPr>
        <w:t>nnerdal</w:t>
      </w:r>
      <w:proofErr w:type="spellEnd"/>
      <w:r w:rsidRPr="00435480">
        <w:rPr>
          <w:rFonts w:eastAsia="Arial" w:cs="Arial"/>
          <w:color w:val="000000" w:themeColor="text1"/>
          <w:sz w:val="16"/>
          <w:szCs w:val="16"/>
        </w:rPr>
        <w:t xml:space="preserve"> 2002 and </w:t>
      </w:r>
      <w:proofErr w:type="spellStart"/>
      <w:r w:rsidRPr="00435480">
        <w:rPr>
          <w:rFonts w:eastAsia="Arial" w:cs="Arial"/>
          <w:color w:val="000000" w:themeColor="text1"/>
          <w:sz w:val="16"/>
          <w:szCs w:val="16"/>
          <w:lang w:val="en-AU"/>
        </w:rPr>
        <w:t>Björmsjö</w:t>
      </w:r>
      <w:proofErr w:type="spellEnd"/>
      <w:r w:rsidRPr="00435480">
        <w:rPr>
          <w:rFonts w:eastAsia="Arial" w:cs="Arial"/>
          <w:color w:val="000000" w:themeColor="text1"/>
          <w:sz w:val="16"/>
          <w:szCs w:val="16"/>
          <w:lang w:val="en-AU"/>
        </w:rPr>
        <w:t xml:space="preserve"> et al. 2021).</w:t>
      </w:r>
    </w:p>
    <w:p w14:paraId="55938169" w14:textId="77777777" w:rsidR="00C017A8" w:rsidRPr="00435480" w:rsidRDefault="00C017A8" w:rsidP="00C017A8">
      <w:pPr>
        <w:rPr>
          <w:rFonts w:eastAsia="Arial" w:cs="Arial"/>
          <w:color w:val="000000" w:themeColor="text1"/>
          <w:sz w:val="16"/>
          <w:szCs w:val="16"/>
        </w:rPr>
      </w:pPr>
      <w:r w:rsidRPr="00435480">
        <w:rPr>
          <w:rFonts w:eastAsia="Arial" w:cs="Arial"/>
          <w:color w:val="000000" w:themeColor="text1"/>
          <w:sz w:val="16"/>
          <w:szCs w:val="16"/>
          <w:vertAlign w:val="superscript"/>
          <w:lang w:val="en-AU"/>
        </w:rPr>
        <w:t>4</w:t>
      </w:r>
      <w:r w:rsidRPr="00435480">
        <w:rPr>
          <w:rFonts w:eastAsia="Arial" w:cs="Arial"/>
          <w:color w:val="000000" w:themeColor="text1"/>
          <w:sz w:val="16"/>
          <w:szCs w:val="16"/>
          <w:lang w:val="en-AU"/>
        </w:rPr>
        <w:t>The compositional requirements of Standard 2.9.1 and Schedule 29 of the Food Standards Code list a minimum and maximum iron level of 0.2 and 0.5 mg/100 kJ. Relative to the minimum level (0.2 mg/100 kJ equivalent to 5.5 mg/L based on 264 kJ/100 g and 1050 g/L), the iron content of IFP is 67% lower (</w:t>
      </w:r>
      <w:proofErr w:type="spellStart"/>
      <w:r w:rsidRPr="00435480">
        <w:rPr>
          <w:rFonts w:eastAsia="Arial" w:cs="Arial"/>
          <w:color w:val="000000" w:themeColor="text1"/>
          <w:sz w:val="16"/>
          <w:szCs w:val="16"/>
          <w:lang w:val="en-AU"/>
        </w:rPr>
        <w:t>bLf</w:t>
      </w:r>
      <w:proofErr w:type="spellEnd"/>
      <w:r w:rsidRPr="00435480">
        <w:rPr>
          <w:rFonts w:eastAsia="Arial" w:cs="Arial"/>
          <w:color w:val="000000" w:themeColor="text1"/>
          <w:sz w:val="16"/>
          <w:szCs w:val="16"/>
          <w:lang w:val="en-AU"/>
        </w:rPr>
        <w:t xml:space="preserve">-IFP; </w:t>
      </w:r>
      <w:proofErr w:type="spellStart"/>
      <w:r w:rsidRPr="00435480">
        <w:rPr>
          <w:rFonts w:eastAsia="Arial" w:cs="Arial"/>
          <w:color w:val="000000" w:themeColor="text1"/>
          <w:sz w:val="16"/>
          <w:szCs w:val="16"/>
          <w:lang w:val="en-AU"/>
        </w:rPr>
        <w:t>Hernell</w:t>
      </w:r>
      <w:proofErr w:type="spellEnd"/>
      <w:r w:rsidRPr="00435480">
        <w:rPr>
          <w:rFonts w:eastAsia="Arial" w:cs="Arial"/>
          <w:color w:val="000000" w:themeColor="text1"/>
          <w:sz w:val="16"/>
          <w:szCs w:val="16"/>
          <w:lang w:val="en-AU"/>
        </w:rPr>
        <w:t xml:space="preserve"> &amp; </w:t>
      </w:r>
      <w:proofErr w:type="spellStart"/>
      <w:r w:rsidRPr="00435480">
        <w:rPr>
          <w:rFonts w:eastAsia="Arial" w:cs="Arial"/>
          <w:color w:val="000000" w:themeColor="text1"/>
          <w:sz w:val="16"/>
          <w:szCs w:val="16"/>
          <w:lang w:val="en-AU"/>
        </w:rPr>
        <w:t>Lönnerdal</w:t>
      </w:r>
      <w:proofErr w:type="spellEnd"/>
      <w:r w:rsidRPr="00435480">
        <w:rPr>
          <w:rFonts w:eastAsia="Arial" w:cs="Arial"/>
          <w:color w:val="000000" w:themeColor="text1"/>
          <w:sz w:val="16"/>
          <w:szCs w:val="16"/>
          <w:lang w:val="en-AU"/>
        </w:rPr>
        <w:t xml:space="preserve"> 2002), 71% lower (non-</w:t>
      </w:r>
      <w:proofErr w:type="spellStart"/>
      <w:r w:rsidRPr="00435480">
        <w:rPr>
          <w:rFonts w:eastAsia="Arial" w:cs="Arial"/>
          <w:color w:val="000000" w:themeColor="text1"/>
          <w:sz w:val="16"/>
          <w:szCs w:val="16"/>
          <w:lang w:val="en-AU"/>
        </w:rPr>
        <w:t>bLf</w:t>
      </w:r>
      <w:proofErr w:type="spellEnd"/>
      <w:r w:rsidRPr="00435480">
        <w:rPr>
          <w:rFonts w:eastAsia="Arial" w:cs="Arial"/>
          <w:color w:val="000000" w:themeColor="text1"/>
          <w:sz w:val="16"/>
          <w:szCs w:val="16"/>
          <w:lang w:val="en-AU"/>
        </w:rPr>
        <w:t xml:space="preserve">-IFP; </w:t>
      </w:r>
      <w:proofErr w:type="spellStart"/>
      <w:r w:rsidRPr="00435480">
        <w:rPr>
          <w:rFonts w:eastAsia="Arial" w:cs="Arial"/>
          <w:color w:val="000000" w:themeColor="text1"/>
          <w:sz w:val="16"/>
          <w:szCs w:val="16"/>
          <w:lang w:val="en-AU"/>
        </w:rPr>
        <w:t>Hernell</w:t>
      </w:r>
      <w:proofErr w:type="spellEnd"/>
      <w:r w:rsidRPr="00435480">
        <w:rPr>
          <w:rFonts w:eastAsia="Arial" w:cs="Arial"/>
          <w:color w:val="000000" w:themeColor="text1"/>
          <w:sz w:val="16"/>
          <w:szCs w:val="16"/>
          <w:lang w:val="en-AU"/>
        </w:rPr>
        <w:t xml:space="preserve"> </w:t>
      </w:r>
      <w:r w:rsidRPr="00435480">
        <w:rPr>
          <w:rFonts w:eastAsia="Arial" w:cs="Arial"/>
          <w:color w:val="000000" w:themeColor="text1"/>
          <w:sz w:val="16"/>
          <w:szCs w:val="16"/>
        </w:rPr>
        <w:t>&amp; L</w:t>
      </w:r>
      <w:r w:rsidRPr="00435480">
        <w:rPr>
          <w:rFonts w:eastAsia="Arial" w:cs="Arial"/>
          <w:color w:val="000000" w:themeColor="text1"/>
          <w:sz w:val="16"/>
          <w:szCs w:val="16"/>
          <w:lang w:val="en-US"/>
        </w:rPr>
        <w:t>ö</w:t>
      </w:r>
      <w:proofErr w:type="spellStart"/>
      <w:r w:rsidRPr="00435480">
        <w:rPr>
          <w:rFonts w:eastAsia="Arial" w:cs="Arial"/>
          <w:color w:val="000000" w:themeColor="text1"/>
          <w:sz w:val="16"/>
          <w:szCs w:val="16"/>
        </w:rPr>
        <w:t>nnerdal</w:t>
      </w:r>
      <w:proofErr w:type="spellEnd"/>
      <w:r w:rsidRPr="00435480">
        <w:rPr>
          <w:rFonts w:eastAsia="Arial" w:cs="Arial"/>
          <w:color w:val="000000" w:themeColor="text1"/>
          <w:sz w:val="16"/>
          <w:szCs w:val="16"/>
        </w:rPr>
        <w:t xml:space="preserve"> 2002</w:t>
      </w:r>
      <w:r w:rsidRPr="00435480">
        <w:rPr>
          <w:rFonts w:eastAsia="Arial" w:cs="Arial"/>
          <w:color w:val="000000" w:themeColor="text1"/>
          <w:sz w:val="16"/>
          <w:szCs w:val="16"/>
          <w:lang w:val="en-AU"/>
        </w:rPr>
        <w:t>), 64% lower (</w:t>
      </w:r>
      <w:proofErr w:type="spellStart"/>
      <w:r w:rsidRPr="00435480">
        <w:rPr>
          <w:rFonts w:eastAsia="Arial" w:cs="Arial"/>
          <w:color w:val="000000" w:themeColor="text1"/>
          <w:sz w:val="16"/>
          <w:szCs w:val="16"/>
          <w:lang w:val="en-AU"/>
        </w:rPr>
        <w:t>bLf</w:t>
      </w:r>
      <w:proofErr w:type="spellEnd"/>
      <w:r w:rsidRPr="00435480">
        <w:rPr>
          <w:rFonts w:eastAsia="Arial" w:cs="Arial"/>
          <w:color w:val="000000" w:themeColor="text1"/>
          <w:sz w:val="16"/>
          <w:szCs w:val="16"/>
          <w:lang w:val="en-AU"/>
        </w:rPr>
        <w:t>- and non-</w:t>
      </w:r>
      <w:proofErr w:type="spellStart"/>
      <w:r w:rsidRPr="00435480">
        <w:rPr>
          <w:rFonts w:eastAsia="Arial" w:cs="Arial"/>
          <w:color w:val="000000" w:themeColor="text1"/>
          <w:sz w:val="16"/>
          <w:szCs w:val="16"/>
          <w:lang w:val="en-AU"/>
        </w:rPr>
        <w:t>bLf</w:t>
      </w:r>
      <w:proofErr w:type="spellEnd"/>
      <w:r w:rsidRPr="00435480">
        <w:rPr>
          <w:rFonts w:eastAsia="Arial" w:cs="Arial"/>
          <w:color w:val="000000" w:themeColor="text1"/>
          <w:sz w:val="16"/>
          <w:szCs w:val="16"/>
          <w:lang w:val="en-AU"/>
        </w:rPr>
        <w:t xml:space="preserve">-IFP; </w:t>
      </w:r>
      <w:proofErr w:type="spellStart"/>
      <w:r w:rsidRPr="00435480">
        <w:rPr>
          <w:rFonts w:eastAsia="Arial" w:cs="Arial"/>
          <w:color w:val="000000" w:themeColor="text1"/>
          <w:sz w:val="16"/>
          <w:szCs w:val="16"/>
          <w:lang w:val="en-AU"/>
        </w:rPr>
        <w:t>Björmsjö</w:t>
      </w:r>
      <w:proofErr w:type="spellEnd"/>
      <w:r w:rsidRPr="00435480">
        <w:rPr>
          <w:rFonts w:eastAsia="Arial" w:cs="Arial"/>
          <w:color w:val="000000" w:themeColor="text1"/>
          <w:sz w:val="16"/>
          <w:szCs w:val="16"/>
          <w:lang w:val="en-AU"/>
        </w:rPr>
        <w:t xml:space="preserve"> et al. 2021), 45% lower (</w:t>
      </w:r>
      <w:proofErr w:type="spellStart"/>
      <w:r w:rsidRPr="00435480">
        <w:rPr>
          <w:rFonts w:eastAsia="Arial" w:cs="Arial"/>
          <w:color w:val="000000" w:themeColor="text1"/>
          <w:sz w:val="16"/>
          <w:szCs w:val="16"/>
          <w:lang w:val="en-AU"/>
        </w:rPr>
        <w:t>bLf</w:t>
      </w:r>
      <w:proofErr w:type="spellEnd"/>
      <w:r w:rsidRPr="00435480">
        <w:rPr>
          <w:rFonts w:eastAsia="Arial" w:cs="Arial"/>
          <w:color w:val="000000" w:themeColor="text1"/>
          <w:sz w:val="16"/>
          <w:szCs w:val="16"/>
          <w:lang w:val="en-AU"/>
        </w:rPr>
        <w:t>- and low-</w:t>
      </w:r>
      <w:proofErr w:type="spellStart"/>
      <w:r w:rsidRPr="00435480">
        <w:rPr>
          <w:rFonts w:eastAsia="Arial" w:cs="Arial"/>
          <w:color w:val="000000" w:themeColor="text1"/>
          <w:sz w:val="16"/>
          <w:szCs w:val="16"/>
          <w:lang w:val="en-AU"/>
        </w:rPr>
        <w:t>bLf</w:t>
      </w:r>
      <w:proofErr w:type="spellEnd"/>
      <w:r w:rsidRPr="00435480">
        <w:rPr>
          <w:rFonts w:eastAsia="Arial" w:cs="Arial"/>
          <w:color w:val="000000" w:themeColor="text1"/>
          <w:sz w:val="16"/>
          <w:szCs w:val="16"/>
          <w:lang w:val="en-AU"/>
        </w:rPr>
        <w:t>-IFP; King et al. 2007), 67% lower (for all IFP; Johnston et al. 2015), and 82% lower (for both IFP; Li et al. 2019).</w:t>
      </w:r>
    </w:p>
    <w:p w14:paraId="16D8705D" w14:textId="77777777" w:rsidR="00C017A8" w:rsidRPr="00435480" w:rsidRDefault="00C017A8" w:rsidP="00C017A8">
      <w:pPr>
        <w:spacing w:line="259" w:lineRule="auto"/>
        <w:rPr>
          <w:rFonts w:eastAsia="Arial" w:cs="Arial"/>
          <w:color w:val="000000" w:themeColor="text1"/>
          <w:sz w:val="16"/>
          <w:szCs w:val="16"/>
        </w:rPr>
      </w:pPr>
      <w:r w:rsidRPr="00435480">
        <w:rPr>
          <w:rFonts w:eastAsia="Arial" w:cs="Arial"/>
          <w:color w:val="000000" w:themeColor="text1"/>
          <w:sz w:val="16"/>
          <w:szCs w:val="16"/>
          <w:vertAlign w:val="superscript"/>
          <w:lang w:val="en-AU"/>
        </w:rPr>
        <w:t>5</w:t>
      </w:r>
      <w:r w:rsidRPr="00435480">
        <w:rPr>
          <w:rFonts w:eastAsia="Arial" w:cs="Arial"/>
          <w:color w:val="000000" w:themeColor="text1"/>
          <w:sz w:val="16"/>
          <w:szCs w:val="16"/>
        </w:rPr>
        <w:t xml:space="preserve">IFP was a whey-predominant (60:40) formula, but the study does not report if any naturally occurring </w:t>
      </w:r>
      <w:proofErr w:type="spellStart"/>
      <w:r w:rsidRPr="00435480">
        <w:rPr>
          <w:rFonts w:eastAsia="Arial" w:cs="Arial"/>
          <w:color w:val="000000" w:themeColor="text1"/>
          <w:sz w:val="16"/>
          <w:szCs w:val="16"/>
        </w:rPr>
        <w:t>bLf</w:t>
      </w:r>
      <w:proofErr w:type="spellEnd"/>
      <w:r w:rsidRPr="00435480">
        <w:rPr>
          <w:rFonts w:eastAsia="Arial" w:cs="Arial"/>
          <w:color w:val="000000" w:themeColor="text1"/>
          <w:sz w:val="16"/>
          <w:szCs w:val="16"/>
        </w:rPr>
        <w:t xml:space="preserve"> was present in the existing non-fortified IFP. We assume that if small amounts of </w:t>
      </w:r>
      <w:proofErr w:type="spellStart"/>
      <w:r w:rsidRPr="00435480">
        <w:rPr>
          <w:rFonts w:eastAsia="Arial" w:cs="Arial"/>
          <w:color w:val="000000" w:themeColor="text1"/>
          <w:sz w:val="16"/>
          <w:szCs w:val="16"/>
        </w:rPr>
        <w:t>bLf</w:t>
      </w:r>
      <w:proofErr w:type="spellEnd"/>
      <w:r w:rsidRPr="00435480">
        <w:rPr>
          <w:rFonts w:eastAsia="Arial" w:cs="Arial"/>
          <w:color w:val="000000" w:themeColor="text1"/>
          <w:sz w:val="16"/>
          <w:szCs w:val="16"/>
        </w:rPr>
        <w:t xml:space="preserve"> were present, this same amount would also be present in the </w:t>
      </w:r>
      <w:proofErr w:type="spellStart"/>
      <w:r w:rsidRPr="00435480">
        <w:rPr>
          <w:rFonts w:eastAsia="Arial" w:cs="Arial"/>
          <w:color w:val="000000" w:themeColor="text1"/>
          <w:sz w:val="16"/>
          <w:szCs w:val="16"/>
        </w:rPr>
        <w:t>bLf</w:t>
      </w:r>
      <w:proofErr w:type="spellEnd"/>
      <w:r w:rsidRPr="00435480">
        <w:rPr>
          <w:rFonts w:eastAsia="Arial" w:cs="Arial"/>
          <w:color w:val="000000" w:themeColor="text1"/>
          <w:sz w:val="16"/>
          <w:szCs w:val="16"/>
        </w:rPr>
        <w:t>-IFP (in addition to the reported values).</w:t>
      </w:r>
    </w:p>
    <w:p w14:paraId="085B63C0" w14:textId="77777777" w:rsidR="00C017A8" w:rsidRPr="00435480" w:rsidRDefault="00C017A8" w:rsidP="00C017A8">
      <w:pPr>
        <w:rPr>
          <w:rFonts w:eastAsia="Arial" w:cs="Arial"/>
          <w:color w:val="000000" w:themeColor="text1"/>
          <w:sz w:val="16"/>
          <w:szCs w:val="16"/>
        </w:rPr>
      </w:pPr>
      <w:r w:rsidRPr="00435480">
        <w:rPr>
          <w:rFonts w:eastAsia="Arial" w:cs="Arial"/>
          <w:color w:val="000000" w:themeColor="text1"/>
          <w:sz w:val="16"/>
          <w:szCs w:val="16"/>
          <w:vertAlign w:val="superscript"/>
          <w:lang w:val="en-AU"/>
        </w:rPr>
        <w:t>6</w:t>
      </w:r>
      <w:r w:rsidRPr="00435480">
        <w:rPr>
          <w:rFonts w:eastAsia="Arial" w:cs="Arial"/>
          <w:color w:val="000000" w:themeColor="text1"/>
          <w:sz w:val="16"/>
          <w:szCs w:val="16"/>
        </w:rPr>
        <w:t xml:space="preserve">IFP is reported to contain 0 g </w:t>
      </w:r>
      <w:proofErr w:type="spellStart"/>
      <w:r w:rsidRPr="00435480">
        <w:rPr>
          <w:rFonts w:eastAsia="Arial" w:cs="Arial"/>
          <w:color w:val="000000" w:themeColor="text1"/>
          <w:sz w:val="16"/>
          <w:szCs w:val="16"/>
        </w:rPr>
        <w:t>bLf</w:t>
      </w:r>
      <w:proofErr w:type="spellEnd"/>
      <w:r w:rsidRPr="00435480">
        <w:rPr>
          <w:rFonts w:eastAsia="Arial" w:cs="Arial"/>
          <w:color w:val="000000" w:themeColor="text1"/>
          <w:sz w:val="16"/>
          <w:szCs w:val="16"/>
        </w:rPr>
        <w:t>/L in the supplementary Table S1 (</w:t>
      </w:r>
      <w:proofErr w:type="spellStart"/>
      <w:r w:rsidRPr="00435480">
        <w:rPr>
          <w:rFonts w:eastAsia="Arial" w:cs="Arial"/>
          <w:color w:val="000000" w:themeColor="text1"/>
          <w:sz w:val="16"/>
          <w:szCs w:val="16"/>
          <w:lang w:val="en-AU"/>
        </w:rPr>
        <w:t>Björmsjö</w:t>
      </w:r>
      <w:proofErr w:type="spellEnd"/>
      <w:r w:rsidRPr="00435480">
        <w:rPr>
          <w:rFonts w:eastAsia="Arial" w:cs="Arial"/>
          <w:color w:val="000000" w:themeColor="text1"/>
          <w:sz w:val="16"/>
          <w:szCs w:val="16"/>
          <w:lang w:val="en-AU"/>
        </w:rPr>
        <w:t xml:space="preserve"> et al. 2021), however, it is unclear whether this is based on analytical results or inferred from the lack of </w:t>
      </w:r>
      <w:proofErr w:type="spellStart"/>
      <w:r w:rsidRPr="00435480">
        <w:rPr>
          <w:rFonts w:eastAsia="Arial" w:cs="Arial"/>
          <w:color w:val="000000" w:themeColor="text1"/>
          <w:sz w:val="16"/>
          <w:szCs w:val="16"/>
          <w:lang w:val="en-AU"/>
        </w:rPr>
        <w:t>bLf</w:t>
      </w:r>
      <w:proofErr w:type="spellEnd"/>
      <w:r w:rsidRPr="00435480">
        <w:rPr>
          <w:rFonts w:eastAsia="Arial" w:cs="Arial"/>
          <w:color w:val="000000" w:themeColor="text1"/>
          <w:sz w:val="16"/>
          <w:szCs w:val="16"/>
          <w:lang w:val="en-AU"/>
        </w:rPr>
        <w:t xml:space="preserve"> being added to this IFP</w:t>
      </w:r>
      <w:r w:rsidRPr="00435480">
        <w:rPr>
          <w:rFonts w:eastAsia="Arial" w:cs="Arial"/>
          <w:color w:val="000000" w:themeColor="text1"/>
          <w:sz w:val="16"/>
          <w:szCs w:val="16"/>
        </w:rPr>
        <w:t xml:space="preserve">. We assume that if small amounts of </w:t>
      </w:r>
      <w:proofErr w:type="spellStart"/>
      <w:r w:rsidRPr="00435480">
        <w:rPr>
          <w:rFonts w:eastAsia="Arial" w:cs="Arial"/>
          <w:color w:val="000000" w:themeColor="text1"/>
          <w:sz w:val="16"/>
          <w:szCs w:val="16"/>
        </w:rPr>
        <w:t>bLf</w:t>
      </w:r>
      <w:proofErr w:type="spellEnd"/>
      <w:r w:rsidRPr="00435480">
        <w:rPr>
          <w:rFonts w:eastAsia="Arial" w:cs="Arial"/>
          <w:color w:val="000000" w:themeColor="text1"/>
          <w:sz w:val="16"/>
          <w:szCs w:val="16"/>
        </w:rPr>
        <w:t xml:space="preserve"> were present, this same amount would also be present in the </w:t>
      </w:r>
      <w:proofErr w:type="spellStart"/>
      <w:r w:rsidRPr="00435480">
        <w:rPr>
          <w:rFonts w:eastAsia="Arial" w:cs="Arial"/>
          <w:color w:val="000000" w:themeColor="text1"/>
          <w:sz w:val="16"/>
          <w:szCs w:val="16"/>
        </w:rPr>
        <w:t>bLf</w:t>
      </w:r>
      <w:proofErr w:type="spellEnd"/>
      <w:r w:rsidRPr="00435480">
        <w:rPr>
          <w:rFonts w:eastAsia="Arial" w:cs="Arial"/>
          <w:color w:val="000000" w:themeColor="text1"/>
          <w:sz w:val="16"/>
          <w:szCs w:val="16"/>
        </w:rPr>
        <w:t>-IFP (in addition to the reported values).</w:t>
      </w:r>
    </w:p>
    <w:p w14:paraId="350E6690" w14:textId="77777777" w:rsidR="00C017A8" w:rsidRPr="00435480" w:rsidRDefault="00C017A8" w:rsidP="00C017A8">
      <w:pPr>
        <w:rPr>
          <w:rFonts w:eastAsia="Arial" w:cs="Arial"/>
          <w:color w:val="000000" w:themeColor="text1"/>
          <w:sz w:val="16"/>
          <w:szCs w:val="16"/>
        </w:rPr>
      </w:pPr>
      <w:r w:rsidRPr="00435480">
        <w:rPr>
          <w:rFonts w:eastAsia="Arial" w:cs="Arial"/>
          <w:color w:val="000000" w:themeColor="text1"/>
          <w:sz w:val="16"/>
          <w:szCs w:val="16"/>
          <w:vertAlign w:val="superscript"/>
          <w:lang w:val="en-AU"/>
        </w:rPr>
        <w:t>7</w:t>
      </w:r>
      <w:r w:rsidRPr="00435480">
        <w:rPr>
          <w:rFonts w:eastAsia="Arial" w:cs="Arial"/>
          <w:color w:val="000000" w:themeColor="text1"/>
          <w:sz w:val="16"/>
          <w:szCs w:val="16"/>
        </w:rPr>
        <w:t xml:space="preserve">We interpret this value as representing the naturally occurring </w:t>
      </w:r>
      <w:proofErr w:type="spellStart"/>
      <w:r w:rsidRPr="00435480">
        <w:rPr>
          <w:rFonts w:eastAsia="Arial" w:cs="Arial"/>
          <w:color w:val="000000" w:themeColor="text1"/>
          <w:sz w:val="16"/>
          <w:szCs w:val="16"/>
        </w:rPr>
        <w:t>bLf</w:t>
      </w:r>
      <w:proofErr w:type="spellEnd"/>
      <w:r w:rsidRPr="00435480">
        <w:rPr>
          <w:rFonts w:eastAsia="Arial" w:cs="Arial"/>
          <w:color w:val="000000" w:themeColor="text1"/>
          <w:sz w:val="16"/>
          <w:szCs w:val="16"/>
        </w:rPr>
        <w:t xml:space="preserve"> was present in the existing non-fortified </w:t>
      </w:r>
      <w:proofErr w:type="spellStart"/>
      <w:r w:rsidRPr="00435480">
        <w:rPr>
          <w:rFonts w:eastAsia="Arial" w:cs="Arial"/>
          <w:color w:val="000000" w:themeColor="text1"/>
          <w:sz w:val="16"/>
          <w:szCs w:val="16"/>
        </w:rPr>
        <w:t>bLf</w:t>
      </w:r>
      <w:proofErr w:type="spellEnd"/>
      <w:r w:rsidRPr="00435480">
        <w:rPr>
          <w:rFonts w:eastAsia="Arial" w:cs="Arial"/>
          <w:color w:val="000000" w:themeColor="text1"/>
          <w:sz w:val="16"/>
          <w:szCs w:val="16"/>
        </w:rPr>
        <w:t xml:space="preserve"> IFP (commercial cow-milk based formula).</w:t>
      </w:r>
    </w:p>
    <w:p w14:paraId="0481636E" w14:textId="77777777" w:rsidR="00C017A8" w:rsidRPr="00435480" w:rsidRDefault="00C017A8" w:rsidP="00C017A8">
      <w:pPr>
        <w:rPr>
          <w:sz w:val="16"/>
          <w:szCs w:val="16"/>
        </w:rPr>
      </w:pPr>
      <w:r w:rsidRPr="00435480">
        <w:rPr>
          <w:rFonts w:eastAsia="Arial" w:cs="Arial"/>
          <w:color w:val="000000" w:themeColor="text1"/>
          <w:sz w:val="16"/>
          <w:szCs w:val="16"/>
          <w:vertAlign w:val="superscript"/>
          <w:lang w:val="en-AU"/>
        </w:rPr>
        <w:t>8</w:t>
      </w:r>
      <w:r w:rsidRPr="00435480">
        <w:rPr>
          <w:rFonts w:eastAsia="Arial" w:cs="Arial"/>
          <w:color w:val="000000" w:themeColor="text1"/>
          <w:sz w:val="16"/>
          <w:szCs w:val="16"/>
        </w:rPr>
        <w:t xml:space="preserve">We calculated body weight gain using the weight when the trial started (1 </w:t>
      </w:r>
      <w:proofErr w:type="spellStart"/>
      <w:r w:rsidRPr="00435480">
        <w:rPr>
          <w:rFonts w:eastAsia="Arial" w:cs="Arial"/>
          <w:color w:val="000000" w:themeColor="text1"/>
          <w:sz w:val="16"/>
          <w:szCs w:val="16"/>
        </w:rPr>
        <w:t>mo</w:t>
      </w:r>
      <w:proofErr w:type="spellEnd"/>
      <w:r w:rsidRPr="00435480">
        <w:rPr>
          <w:rFonts w:eastAsia="Arial" w:cs="Arial"/>
          <w:color w:val="000000" w:themeColor="text1"/>
          <w:sz w:val="16"/>
          <w:szCs w:val="16"/>
        </w:rPr>
        <w:t xml:space="preserve"> not birth weight).</w:t>
      </w:r>
    </w:p>
    <w:p w14:paraId="72D02084" w14:textId="77777777" w:rsidR="00C017A8" w:rsidRDefault="00C017A8" w:rsidP="00C017A8">
      <w:pPr>
        <w:rPr>
          <w:rFonts w:eastAsia="Arial" w:cs="Arial"/>
          <w:color w:val="000000" w:themeColor="text1"/>
          <w:sz w:val="20"/>
          <w:szCs w:val="20"/>
          <w:lang w:val="en-AU"/>
        </w:rPr>
        <w:sectPr w:rsidR="00C017A8" w:rsidSect="008B0A33">
          <w:pgSz w:w="16838" w:h="11906" w:orient="landscape"/>
          <w:pgMar w:top="1418" w:right="1418" w:bottom="1418" w:left="1418" w:header="709" w:footer="709" w:gutter="0"/>
          <w:cols w:space="708"/>
          <w:docGrid w:linePitch="360"/>
        </w:sectPr>
      </w:pPr>
    </w:p>
    <w:p w14:paraId="357C5294" w14:textId="5980B702" w:rsidR="00C017A8" w:rsidRDefault="00C017A8" w:rsidP="00C017A8">
      <w:pPr>
        <w:rPr>
          <w:rFonts w:eastAsia="Arial" w:cs="Arial"/>
          <w:color w:val="000000" w:themeColor="text1"/>
          <w:lang w:val="en-AU"/>
        </w:rPr>
      </w:pPr>
      <w:proofErr w:type="spellStart"/>
      <w:r w:rsidRPr="66531369">
        <w:rPr>
          <w:rFonts w:eastAsia="Arial" w:cs="Arial"/>
          <w:color w:val="000000" w:themeColor="text1"/>
          <w:lang w:val="en-AU"/>
        </w:rPr>
        <w:t>Hernell</w:t>
      </w:r>
      <w:proofErr w:type="spellEnd"/>
      <w:r w:rsidRPr="66531369">
        <w:rPr>
          <w:rFonts w:eastAsia="Arial" w:cs="Arial"/>
          <w:color w:val="000000" w:themeColor="text1"/>
          <w:lang w:val="en-AU"/>
        </w:rPr>
        <w:t xml:space="preserve"> &amp; </w:t>
      </w:r>
      <w:proofErr w:type="spellStart"/>
      <w:r w:rsidRPr="66531369">
        <w:rPr>
          <w:rFonts w:eastAsia="Arial" w:cs="Arial"/>
          <w:color w:val="000000" w:themeColor="text1"/>
          <w:lang w:val="en-AU"/>
        </w:rPr>
        <w:t>Lönnerdal</w:t>
      </w:r>
      <w:proofErr w:type="spellEnd"/>
      <w:r w:rsidRPr="66531369">
        <w:rPr>
          <w:rFonts w:eastAsia="Arial" w:cs="Arial"/>
          <w:color w:val="000000" w:themeColor="text1"/>
          <w:lang w:val="en-AU"/>
        </w:rPr>
        <w:t xml:space="preserve"> (2002) measured weight and height (mean ± SD) at one, four, and six months of age. For the comparison between </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 xml:space="preserve">-IFP and human milk consumption: infant weight at enrolment (one month of age) was lower in the </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-IFP intervention group (n=10) than the human milk-fed comparator (n=16): 4117 ± 445 g versus 4607 ± 757 g. Infant weight at four months of age was higher in the intervention (</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 group than the human milk-fed comparator: 7298 ± 980 g versus 6852 ± 830 g. These differences did not reach statistical significance (</w:t>
      </w:r>
      <w:r w:rsidRPr="66531369">
        <w:rPr>
          <w:rFonts w:eastAsia="Arial" w:cs="Arial"/>
          <w:i/>
          <w:iCs/>
          <w:color w:val="000000" w:themeColor="text1"/>
          <w:lang w:val="en-AU"/>
        </w:rPr>
        <w:t>P</w:t>
      </w:r>
      <w:r w:rsidRPr="0015682D">
        <w:rPr>
          <w:rFonts w:eastAsia="Arial" w:cs="Arial"/>
          <w:color w:val="000000" w:themeColor="text1"/>
          <w:lang w:val="en-AU"/>
        </w:rPr>
        <w:t>≥0.05).</w:t>
      </w:r>
      <w:r w:rsidRPr="66531369">
        <w:rPr>
          <w:rFonts w:eastAsia="Arial" w:cs="Arial"/>
          <w:color w:val="000000" w:themeColor="text1"/>
          <w:lang w:val="en-AU"/>
        </w:rPr>
        <w:t xml:space="preserve"> Infants consuming </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-IFP grew faster than infants consuming non-</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-IFP. They gained a mean of 10.4 g/day more, relative to human milk, between the age of one month and four months</w:t>
      </w:r>
      <w:r w:rsidR="00DA31A0">
        <w:rPr>
          <w:rFonts w:eastAsia="Arial" w:cs="Arial"/>
          <w:color w:val="000000" w:themeColor="text1"/>
          <w:lang w:val="en-AU"/>
        </w:rPr>
        <w:t xml:space="preserve"> (see Table 8)</w:t>
      </w:r>
      <w:r>
        <w:rPr>
          <w:rFonts w:eastAsia="Arial" w:cs="Arial"/>
          <w:color w:val="000000" w:themeColor="text1"/>
          <w:lang w:val="en-AU"/>
        </w:rPr>
        <w:t>, however t</w:t>
      </w:r>
      <w:r w:rsidRPr="66531369">
        <w:rPr>
          <w:rFonts w:eastAsia="Arial" w:cs="Arial"/>
          <w:color w:val="000000" w:themeColor="text1"/>
          <w:lang w:val="en-AU"/>
        </w:rPr>
        <w:t>his difference in weight gain between groups was not detected statistically despite being much greater than the 2.6 g/day difference</w:t>
      </w:r>
      <w:r w:rsidR="00DA31A0">
        <w:rPr>
          <w:rFonts w:eastAsia="Arial" w:cs="Arial"/>
          <w:color w:val="000000" w:themeColor="text1"/>
          <w:lang w:val="en-AU"/>
        </w:rPr>
        <w:t xml:space="preserve"> (Table 8)</w:t>
      </w:r>
      <w:r w:rsidRPr="66531369">
        <w:rPr>
          <w:rFonts w:eastAsia="Arial" w:cs="Arial"/>
          <w:color w:val="000000" w:themeColor="text1"/>
          <w:lang w:val="en-AU"/>
        </w:rPr>
        <w:t xml:space="preserve"> detected in a subsequent trial, discussed below (</w:t>
      </w:r>
      <w:proofErr w:type="spellStart"/>
      <w:r w:rsidRPr="66531369">
        <w:rPr>
          <w:rFonts w:eastAsia="Arial" w:cs="Arial"/>
          <w:color w:val="000000" w:themeColor="text1"/>
          <w:lang w:val="en-US"/>
        </w:rPr>
        <w:t>Björmsjö</w:t>
      </w:r>
      <w:proofErr w:type="spellEnd"/>
      <w:r w:rsidRPr="66531369">
        <w:rPr>
          <w:rFonts w:eastAsia="Arial" w:cs="Arial"/>
          <w:color w:val="000000" w:themeColor="text1"/>
          <w:sz w:val="20"/>
          <w:szCs w:val="20"/>
          <w:lang w:val="en-US"/>
        </w:rPr>
        <w:t xml:space="preserve"> </w:t>
      </w:r>
      <w:r w:rsidRPr="66531369">
        <w:rPr>
          <w:rFonts w:eastAsia="Arial" w:cs="Arial"/>
          <w:color w:val="000000" w:themeColor="text1"/>
          <w:lang w:val="en-US"/>
        </w:rPr>
        <w:t xml:space="preserve">et al. 2021). The lack of detection is likely due to the much larger variances in body weight of infants studied by </w:t>
      </w:r>
      <w:proofErr w:type="spellStart"/>
      <w:r w:rsidRPr="66531369">
        <w:rPr>
          <w:rFonts w:eastAsia="Arial" w:cs="Arial"/>
          <w:color w:val="000000" w:themeColor="text1"/>
          <w:lang w:val="en-AU"/>
        </w:rPr>
        <w:t>Hernell</w:t>
      </w:r>
      <w:proofErr w:type="spellEnd"/>
      <w:r w:rsidRPr="66531369">
        <w:rPr>
          <w:rFonts w:eastAsia="Arial" w:cs="Arial"/>
          <w:color w:val="000000" w:themeColor="text1"/>
          <w:lang w:val="en-AU"/>
        </w:rPr>
        <w:t xml:space="preserve"> &amp; </w:t>
      </w:r>
      <w:proofErr w:type="spellStart"/>
      <w:r w:rsidRPr="66531369">
        <w:rPr>
          <w:rFonts w:eastAsia="Arial" w:cs="Arial"/>
          <w:color w:val="000000" w:themeColor="text1"/>
          <w:lang w:val="en-AU"/>
        </w:rPr>
        <w:t>Lönnerdal</w:t>
      </w:r>
      <w:proofErr w:type="spellEnd"/>
      <w:r w:rsidRPr="66531369">
        <w:rPr>
          <w:rFonts w:eastAsia="Arial" w:cs="Arial"/>
          <w:color w:val="000000" w:themeColor="text1"/>
          <w:lang w:val="en-AU"/>
        </w:rPr>
        <w:t xml:space="preserve"> (2002) relative to the mean body weight. A similar pattern was observed for infant height; lower in the intervention (</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 group at one month, higher at four months, but not statistically significant (</w:t>
      </w:r>
      <w:r w:rsidRPr="66531369">
        <w:rPr>
          <w:rFonts w:eastAsia="Arial" w:cs="Arial"/>
          <w:i/>
          <w:iCs/>
          <w:color w:val="000000" w:themeColor="text1"/>
          <w:lang w:val="en-AU"/>
        </w:rPr>
        <w:t>P</w:t>
      </w:r>
      <w:r w:rsidRPr="66531369">
        <w:rPr>
          <w:rFonts w:ascii="Segoe UI" w:eastAsia="Segoe UI" w:hAnsi="Segoe UI" w:cs="Segoe UI"/>
          <w:color w:val="000000" w:themeColor="text1"/>
          <w:lang w:val="en-AU"/>
        </w:rPr>
        <w:t>≥</w:t>
      </w:r>
      <w:r w:rsidRPr="66531369">
        <w:rPr>
          <w:rFonts w:eastAsia="Arial" w:cs="Arial"/>
          <w:color w:val="000000" w:themeColor="text1"/>
          <w:lang w:val="en-AU"/>
        </w:rPr>
        <w:t>0.05).</w:t>
      </w:r>
    </w:p>
    <w:p w14:paraId="7D78BD85" w14:textId="77777777" w:rsidR="00C017A8" w:rsidRDefault="00C017A8" w:rsidP="00C017A8">
      <w:pPr>
        <w:rPr>
          <w:rFonts w:eastAsia="Arial" w:cs="Arial"/>
          <w:color w:val="000000" w:themeColor="text1"/>
          <w:szCs w:val="22"/>
          <w:lang w:val="en-AU"/>
        </w:rPr>
      </w:pPr>
    </w:p>
    <w:p w14:paraId="1C0B9BA4" w14:textId="377A6456" w:rsidR="00C017A8" w:rsidRDefault="00C017A8" w:rsidP="00C017A8">
      <w:pPr>
        <w:rPr>
          <w:rFonts w:eastAsia="Arial" w:cs="Arial"/>
          <w:color w:val="000000" w:themeColor="text1"/>
          <w:lang w:val="en-AU"/>
        </w:rPr>
      </w:pPr>
      <w:r w:rsidRPr="66531369">
        <w:rPr>
          <w:rFonts w:eastAsia="Arial" w:cs="Arial"/>
          <w:color w:val="000000" w:themeColor="text1"/>
          <w:lang w:val="en-AU"/>
        </w:rPr>
        <w:t xml:space="preserve">For the comparison between </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-IFP and non-</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 xml:space="preserve">-IFP consumption: infants were heavier in the </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-IFP intervention group (n=10) than the non-</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 xml:space="preserve">-IFP comparator (n=12) at all time points; for example, 8524 ± 1315 g versus 7721 ± 625 g, respectively, at six months. Infant height was greater in the </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-IFP intervention group (n=10) than the non-</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 xml:space="preserve">-IFP comparator (n=12) at four and six months of age. These weight and height differences (within an age group) did not reach statistical significance </w:t>
      </w:r>
      <w:r>
        <w:rPr>
          <w:rFonts w:eastAsia="Arial" w:cs="Arial"/>
          <w:color w:val="000000" w:themeColor="text1"/>
          <w:lang w:val="en-AU"/>
        </w:rPr>
        <w:t>(</w:t>
      </w:r>
      <w:r w:rsidRPr="4F47B7AA">
        <w:rPr>
          <w:rFonts w:eastAsia="Arial" w:cs="Arial"/>
          <w:i/>
          <w:iCs/>
          <w:color w:val="000000" w:themeColor="text1"/>
          <w:lang w:val="en-AU"/>
        </w:rPr>
        <w:t>P</w:t>
      </w:r>
      <w:r w:rsidRPr="00DF68D2">
        <w:rPr>
          <w:rFonts w:eastAsia="Arial" w:cs="Arial"/>
          <w:color w:val="000000" w:themeColor="text1"/>
          <w:lang w:val="en-AU"/>
        </w:rPr>
        <w:t xml:space="preserve">≥0.05). </w:t>
      </w:r>
      <w:r w:rsidRPr="66531369">
        <w:rPr>
          <w:rFonts w:eastAsia="Arial" w:cs="Arial"/>
          <w:color w:val="000000" w:themeColor="text1"/>
          <w:lang w:val="en-AU"/>
        </w:rPr>
        <w:t xml:space="preserve">Infants consuming </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-IFP grew faster than infants consuming non-</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-IFP. They gained a mean of 7.2 g/day more, relative to non-</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-IFP, between the ages of one and four months</w:t>
      </w:r>
      <w:r w:rsidR="00827588">
        <w:rPr>
          <w:rFonts w:eastAsia="Arial" w:cs="Arial"/>
          <w:color w:val="000000" w:themeColor="text1"/>
          <w:lang w:val="en-AU"/>
        </w:rPr>
        <w:t xml:space="preserve"> (see Table 8)</w:t>
      </w:r>
      <w:r w:rsidRPr="66531369">
        <w:rPr>
          <w:rFonts w:eastAsia="Arial" w:cs="Arial"/>
          <w:color w:val="000000" w:themeColor="text1"/>
          <w:lang w:val="en-AU"/>
        </w:rPr>
        <w:t xml:space="preserve">. </w:t>
      </w:r>
    </w:p>
    <w:p w14:paraId="045EB407" w14:textId="77777777" w:rsidR="00C017A8" w:rsidRDefault="00C017A8" w:rsidP="00C017A8">
      <w:pPr>
        <w:rPr>
          <w:rFonts w:eastAsia="Arial" w:cs="Arial"/>
          <w:color w:val="000000" w:themeColor="text1"/>
          <w:szCs w:val="22"/>
          <w:lang w:val="en-AU"/>
        </w:rPr>
      </w:pPr>
    </w:p>
    <w:p w14:paraId="402D3507" w14:textId="2DE9BEFD" w:rsidR="00C017A8" w:rsidRDefault="00C017A8" w:rsidP="00C017A8">
      <w:pPr>
        <w:rPr>
          <w:rFonts w:eastAsia="Arial" w:cs="Arial"/>
          <w:color w:val="000000" w:themeColor="text1"/>
          <w:lang w:val="en-AU"/>
        </w:rPr>
      </w:pPr>
      <w:proofErr w:type="spellStart"/>
      <w:r w:rsidRPr="66531369">
        <w:rPr>
          <w:rFonts w:eastAsia="Arial" w:cs="Arial"/>
          <w:color w:val="000000" w:themeColor="text1"/>
          <w:lang w:val="en-US"/>
        </w:rPr>
        <w:t>Björmsjö</w:t>
      </w:r>
      <w:proofErr w:type="spellEnd"/>
      <w:r w:rsidRPr="66531369">
        <w:rPr>
          <w:rFonts w:eastAsia="Arial" w:cs="Arial"/>
          <w:color w:val="000000" w:themeColor="text1"/>
          <w:sz w:val="20"/>
          <w:szCs w:val="20"/>
          <w:lang w:val="en-US"/>
        </w:rPr>
        <w:t xml:space="preserve"> </w:t>
      </w:r>
      <w:r w:rsidRPr="66531369">
        <w:rPr>
          <w:rFonts w:eastAsia="Arial" w:cs="Arial"/>
          <w:color w:val="000000" w:themeColor="text1"/>
          <w:lang w:val="en-US"/>
        </w:rPr>
        <w:t>et al. (2021)</w:t>
      </w:r>
      <w:r w:rsidRPr="66531369">
        <w:rPr>
          <w:rFonts w:eastAsia="Arial" w:cs="Arial"/>
          <w:color w:val="000000" w:themeColor="text1"/>
          <w:lang w:val="en-AU"/>
        </w:rPr>
        <w:t xml:space="preserve"> reported nine anthropometric measures: weight; length; head circumference; weight SD score (age-adjusted standard deviation scores); length SD score; head circumference SD score; weight gain (g/day from six weeks to six months only); length gain (mm/day from six weeks to six months); and, head circumference gain (mm/day from six weeks to six months). For the comparison between </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 xml:space="preserve">-IFP and human milk consumption: at four months of age, anthropometric data did not differ between the </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 xml:space="preserve"> intervention group (n=72) and the human milk-fed comparator (n=70). However, differences between groups over time, for the weight gain, length gain, and head circumference gain were not analysed at four months. We are unsure about the extent to which complementary feeding contributed energy intake and whether there were differences between groups. To avoid this potential confounder, we considered growth up to four months. </w:t>
      </w:r>
      <w:r w:rsidR="00DC226E">
        <w:rPr>
          <w:rFonts w:eastAsia="Arial" w:cs="Arial"/>
          <w:color w:val="000000" w:themeColor="text1"/>
          <w:lang w:val="en-AU"/>
        </w:rPr>
        <w:t>Greater</w:t>
      </w:r>
      <w:r w:rsidRPr="66531369">
        <w:rPr>
          <w:rFonts w:eastAsia="Arial" w:cs="Arial"/>
          <w:color w:val="000000" w:themeColor="text1"/>
          <w:lang w:val="en-AU"/>
        </w:rPr>
        <w:t xml:space="preserve"> weight gain of 2.6 g/day was detected statistically, in infants consuming </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 xml:space="preserve">-IFP compared to human milk between six weeks and six months. For the comparison between </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-IFP and non-</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 xml:space="preserve">-IFP consumption: </w:t>
      </w:r>
      <w:r>
        <w:rPr>
          <w:rFonts w:eastAsia="Arial" w:cs="Arial"/>
          <w:color w:val="000000" w:themeColor="text1"/>
          <w:lang w:val="en-AU"/>
        </w:rPr>
        <w:t>a</w:t>
      </w:r>
      <w:r w:rsidRPr="66531369">
        <w:rPr>
          <w:rFonts w:eastAsia="Arial" w:cs="Arial"/>
          <w:color w:val="000000" w:themeColor="text1"/>
          <w:lang w:val="en-AU"/>
        </w:rPr>
        <w:t xml:space="preserve">t four and six months of age, anthropometric data did not differ between the </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-IFP intervention group (n=72) and the non-</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 xml:space="preserve">-IFP comparator (n=71) for any measure. </w:t>
      </w:r>
    </w:p>
    <w:p w14:paraId="21582822" w14:textId="77777777" w:rsidR="00C017A8" w:rsidRDefault="00C017A8" w:rsidP="00C017A8">
      <w:pPr>
        <w:rPr>
          <w:rFonts w:eastAsia="Arial" w:cs="Arial"/>
          <w:color w:val="000000" w:themeColor="text1"/>
          <w:szCs w:val="22"/>
          <w:lang w:val="en-US"/>
        </w:rPr>
      </w:pPr>
    </w:p>
    <w:p w14:paraId="4E086AFB" w14:textId="77777777" w:rsidR="00C017A8" w:rsidRDefault="00C017A8" w:rsidP="00C017A8">
      <w:pPr>
        <w:rPr>
          <w:rFonts w:eastAsia="Arial" w:cs="Arial"/>
          <w:color w:val="000000" w:themeColor="text1"/>
          <w:lang w:val="en-AU"/>
        </w:rPr>
      </w:pPr>
      <w:r w:rsidRPr="66531369">
        <w:rPr>
          <w:rFonts w:eastAsia="Arial" w:cs="Arial"/>
          <w:color w:val="000000" w:themeColor="text1"/>
          <w:lang w:val="en-AU"/>
        </w:rPr>
        <w:t>A pilot study by King et al. (2007)</w:t>
      </w:r>
      <w:r w:rsidRPr="66531369">
        <w:rPr>
          <w:rFonts w:eastAsia="Arial" w:cs="Arial"/>
          <w:color w:val="000000" w:themeColor="text1"/>
          <w:lang w:val="en-US"/>
        </w:rPr>
        <w:t xml:space="preserve"> reported weight, height and head circumference of infants consuming IFP with a moderate </w:t>
      </w:r>
      <w:proofErr w:type="spellStart"/>
      <w:r w:rsidRPr="66531369">
        <w:rPr>
          <w:rFonts w:eastAsia="Arial" w:cs="Arial"/>
          <w:color w:val="000000" w:themeColor="text1"/>
          <w:lang w:val="en-US"/>
        </w:rPr>
        <w:t>bLf</w:t>
      </w:r>
      <w:proofErr w:type="spellEnd"/>
      <w:r w:rsidRPr="66531369">
        <w:rPr>
          <w:rFonts w:eastAsia="Arial" w:cs="Arial"/>
          <w:color w:val="000000" w:themeColor="text1"/>
          <w:lang w:val="en-US"/>
        </w:rPr>
        <w:t xml:space="preserve"> level (850 mg/L) versus a low </w:t>
      </w:r>
      <w:proofErr w:type="spellStart"/>
      <w:r w:rsidRPr="66531369">
        <w:rPr>
          <w:rFonts w:eastAsia="Arial" w:cs="Arial"/>
          <w:color w:val="000000" w:themeColor="text1"/>
          <w:lang w:val="en-US"/>
        </w:rPr>
        <w:t>bLf</w:t>
      </w:r>
      <w:proofErr w:type="spellEnd"/>
      <w:r w:rsidRPr="66531369">
        <w:rPr>
          <w:rFonts w:eastAsia="Arial" w:cs="Arial"/>
          <w:color w:val="000000" w:themeColor="text1"/>
          <w:lang w:val="en-US"/>
        </w:rPr>
        <w:t xml:space="preserve"> level (102 mg/L). </w:t>
      </w:r>
      <w:r w:rsidRPr="66531369">
        <w:rPr>
          <w:rFonts w:eastAsia="Arial" w:cs="Arial"/>
          <w:color w:val="000000" w:themeColor="text1"/>
          <w:lang w:val="en-AU"/>
        </w:rPr>
        <w:t>There were no statistically significant differences in any anthropometric outcome between the groups, at any time point (birth, and one, two, four, and six months of age). There was a trend toward greater weight over time for the moderate-</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-IFP group for the first six months (</w:t>
      </w:r>
      <w:r w:rsidRPr="66531369">
        <w:rPr>
          <w:rFonts w:eastAsia="Arial" w:cs="Arial"/>
          <w:i/>
          <w:iCs/>
          <w:color w:val="000000" w:themeColor="text1"/>
          <w:lang w:val="en-AU"/>
        </w:rPr>
        <w:t>P</w:t>
      </w:r>
      <w:r w:rsidRPr="66531369">
        <w:rPr>
          <w:rFonts w:eastAsia="Arial" w:cs="Arial"/>
          <w:color w:val="000000" w:themeColor="text1"/>
          <w:lang w:val="en-AU"/>
        </w:rPr>
        <w:t>=0.06). Weight (kg; mean ± SD) at six months was: 8.24 ± 1.10 kg versus 7.95 ± 1.02 kg for the moderate- and low-</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 xml:space="preserve">-IFP group (both </w:t>
      </w:r>
      <w:r w:rsidRPr="66531369">
        <w:rPr>
          <w:rFonts w:eastAsia="Arial" w:cs="Arial"/>
          <w:color w:val="000000" w:themeColor="text1"/>
          <w:lang w:val="en-US"/>
        </w:rPr>
        <w:t>n=26)</w:t>
      </w:r>
      <w:r w:rsidRPr="66531369">
        <w:rPr>
          <w:rFonts w:eastAsia="Arial" w:cs="Arial"/>
          <w:color w:val="000000" w:themeColor="text1"/>
          <w:lang w:val="en-AU"/>
        </w:rPr>
        <w:t>, respectively. The moderate-</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-IFP group gained 2 g/day more weight compared to the low-</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 xml:space="preserve">-IFP, from one to four months of age. However, this was not statistically analysed. </w:t>
      </w:r>
    </w:p>
    <w:p w14:paraId="33FCF5BA" w14:textId="77777777" w:rsidR="00C017A8" w:rsidRDefault="00C017A8" w:rsidP="00C017A8">
      <w:pPr>
        <w:spacing w:line="259" w:lineRule="auto"/>
        <w:rPr>
          <w:rFonts w:eastAsia="Arial" w:cs="Arial"/>
          <w:color w:val="000000" w:themeColor="text1"/>
          <w:szCs w:val="22"/>
          <w:lang w:val="en-AU"/>
        </w:rPr>
      </w:pPr>
    </w:p>
    <w:p w14:paraId="0A6BB28C" w14:textId="0CFBC4D7" w:rsidR="00C017A8" w:rsidRDefault="00C017A8" w:rsidP="00C017A8">
      <w:pPr>
        <w:spacing w:line="259" w:lineRule="auto"/>
        <w:rPr>
          <w:rFonts w:eastAsia="Arial" w:cs="Arial"/>
          <w:color w:val="000000" w:themeColor="text1"/>
          <w:szCs w:val="22"/>
          <w:lang w:val="en-AU"/>
        </w:rPr>
      </w:pPr>
      <w:r w:rsidRPr="0682D99A">
        <w:rPr>
          <w:rFonts w:eastAsia="Arial" w:cs="Arial"/>
          <w:color w:val="000000" w:themeColor="text1"/>
          <w:szCs w:val="22"/>
          <w:lang w:val="en-US"/>
        </w:rPr>
        <w:t xml:space="preserve">In the study by Johnston et al. (2015), the two test formulas (containing </w:t>
      </w:r>
      <w:proofErr w:type="spellStart"/>
      <w:r w:rsidRPr="0682D99A">
        <w:rPr>
          <w:rFonts w:eastAsia="Arial" w:cs="Arial"/>
          <w:color w:val="000000" w:themeColor="text1"/>
          <w:szCs w:val="22"/>
          <w:lang w:val="en-US"/>
        </w:rPr>
        <w:t>bLf</w:t>
      </w:r>
      <w:proofErr w:type="spellEnd"/>
      <w:r w:rsidRPr="0682D99A">
        <w:rPr>
          <w:rFonts w:eastAsia="Arial" w:cs="Arial"/>
          <w:color w:val="000000" w:themeColor="text1"/>
          <w:szCs w:val="22"/>
          <w:lang w:val="en-US"/>
        </w:rPr>
        <w:t xml:space="preserve"> at 0.6 and 1.0</w:t>
      </w:r>
      <w:r w:rsidR="009710C6">
        <w:rPr>
          <w:rFonts w:eastAsia="Arial" w:cs="Arial"/>
          <w:color w:val="000000" w:themeColor="text1"/>
          <w:szCs w:val="22"/>
          <w:lang w:val="en-US"/>
        </w:rPr>
        <w:t> </w:t>
      </w:r>
      <w:r w:rsidRPr="0682D99A">
        <w:rPr>
          <w:rFonts w:eastAsia="Arial" w:cs="Arial"/>
          <w:color w:val="000000" w:themeColor="text1"/>
          <w:szCs w:val="22"/>
          <w:lang w:val="en-US"/>
        </w:rPr>
        <w:t xml:space="preserve">g/L) also contained an added blend of polydextrose and </w:t>
      </w:r>
      <w:proofErr w:type="spellStart"/>
      <w:r w:rsidRPr="0682D99A">
        <w:rPr>
          <w:rFonts w:eastAsia="Arial" w:cs="Arial"/>
          <w:color w:val="000000" w:themeColor="text1"/>
          <w:szCs w:val="22"/>
          <w:lang w:val="en-US"/>
        </w:rPr>
        <w:t>galactooligosaccharides</w:t>
      </w:r>
      <w:proofErr w:type="spellEnd"/>
      <w:r w:rsidRPr="0682D99A">
        <w:rPr>
          <w:rFonts w:eastAsia="Arial" w:cs="Arial"/>
          <w:color w:val="000000" w:themeColor="text1"/>
          <w:szCs w:val="22"/>
          <w:lang w:val="en-US"/>
        </w:rPr>
        <w:t xml:space="preserve"> (4 g/L) that was not added to the control formula. The sample size (~160/group) was chosen to detect a clinically relevant difference of 3 g/day in weight gain. There were no statistically significant differences between groups in weight gain from 14–120 days of age. </w:t>
      </w:r>
    </w:p>
    <w:p w14:paraId="60AD4D65" w14:textId="77777777" w:rsidR="00C017A8" w:rsidRDefault="00C017A8" w:rsidP="00C017A8">
      <w:pPr>
        <w:spacing w:line="259" w:lineRule="auto"/>
        <w:rPr>
          <w:rFonts w:eastAsia="Arial" w:cs="Arial"/>
          <w:color w:val="000000" w:themeColor="text1"/>
          <w:szCs w:val="22"/>
          <w:lang w:val="en-AU"/>
        </w:rPr>
      </w:pPr>
      <w:r w:rsidRPr="0682D99A">
        <w:rPr>
          <w:rFonts w:eastAsia="Arial" w:cs="Arial"/>
          <w:color w:val="000000" w:themeColor="text1"/>
          <w:szCs w:val="22"/>
        </w:rPr>
        <w:t xml:space="preserve"> </w:t>
      </w:r>
    </w:p>
    <w:p w14:paraId="737EFFCB" w14:textId="77777777" w:rsidR="00C017A8" w:rsidRDefault="00C017A8" w:rsidP="00C017A8">
      <w:pPr>
        <w:spacing w:line="259" w:lineRule="auto"/>
        <w:rPr>
          <w:rFonts w:eastAsia="Arial" w:cs="Arial"/>
          <w:color w:val="000000" w:themeColor="text1"/>
          <w:szCs w:val="22"/>
          <w:lang w:val="en-AU"/>
        </w:rPr>
      </w:pPr>
      <w:r w:rsidRPr="0682D99A">
        <w:rPr>
          <w:rFonts w:eastAsia="Arial" w:cs="Arial"/>
          <w:color w:val="000000" w:themeColor="text1"/>
          <w:szCs w:val="22"/>
        </w:rPr>
        <w:t xml:space="preserve">In the study by Li et al. (2019) the test formula contained added </w:t>
      </w:r>
      <w:proofErr w:type="spellStart"/>
      <w:r w:rsidRPr="0682D99A">
        <w:rPr>
          <w:rFonts w:eastAsia="Arial" w:cs="Arial"/>
          <w:color w:val="000000" w:themeColor="text1"/>
          <w:szCs w:val="22"/>
        </w:rPr>
        <w:t>bLf</w:t>
      </w:r>
      <w:proofErr w:type="spellEnd"/>
      <w:r w:rsidRPr="0682D99A">
        <w:rPr>
          <w:rFonts w:eastAsia="Arial" w:cs="Arial"/>
          <w:color w:val="000000" w:themeColor="text1"/>
          <w:szCs w:val="22"/>
        </w:rPr>
        <w:t xml:space="preserve"> (0.6 g/L) and bovine milk fat globule membrane (MFGM; 5 g/L). There were ~190 infants in both the control and test groups by day 120 of the study. From days 14 to 120, weight gain in the </w:t>
      </w:r>
      <w:proofErr w:type="spellStart"/>
      <w:r w:rsidRPr="0682D99A">
        <w:rPr>
          <w:rFonts w:eastAsia="Arial" w:cs="Arial"/>
          <w:color w:val="000000" w:themeColor="text1"/>
          <w:szCs w:val="22"/>
        </w:rPr>
        <w:t>bLf</w:t>
      </w:r>
      <w:proofErr w:type="spellEnd"/>
      <w:r w:rsidRPr="0682D99A">
        <w:rPr>
          <w:rFonts w:eastAsia="Arial" w:cs="Arial"/>
          <w:color w:val="000000" w:themeColor="text1"/>
          <w:szCs w:val="22"/>
        </w:rPr>
        <w:t xml:space="preserve"> + MFGM group was 0.6 g/day lower in males and 1.1 g/day higher in females, however the differences were not statistically significant.</w:t>
      </w:r>
    </w:p>
    <w:p w14:paraId="6A28025C" w14:textId="21A4A35C" w:rsidR="00C017A8" w:rsidRDefault="00373E72" w:rsidP="00733CE2">
      <w:pPr>
        <w:pStyle w:val="Heading2"/>
        <w:rPr>
          <w:rFonts w:eastAsia="Arial"/>
          <w:lang w:val="en-AU"/>
        </w:rPr>
      </w:pPr>
      <w:bookmarkStart w:id="101" w:name="_Toc113523067"/>
      <w:r>
        <w:rPr>
          <w:rFonts w:eastAsia="Arial"/>
        </w:rPr>
        <w:t>4</w:t>
      </w:r>
      <w:r w:rsidR="00C017A8" w:rsidRPr="0682D99A">
        <w:rPr>
          <w:rFonts w:eastAsia="Arial"/>
        </w:rPr>
        <w:t>.3</w:t>
      </w:r>
      <w:r w:rsidR="000D2B0D">
        <w:rPr>
          <w:rFonts w:eastAsia="Arial"/>
        </w:rPr>
        <w:tab/>
      </w:r>
      <w:r w:rsidR="00C017A8" w:rsidRPr="0682D99A">
        <w:rPr>
          <w:rFonts w:eastAsia="Arial"/>
        </w:rPr>
        <w:t>Bioavailability of bovine versus human lactoferrin</w:t>
      </w:r>
      <w:bookmarkEnd w:id="101"/>
    </w:p>
    <w:p w14:paraId="1BEF67C1" w14:textId="3736CA36" w:rsidR="00C017A8" w:rsidRDefault="00373E72" w:rsidP="00C017A8">
      <w:pPr>
        <w:pStyle w:val="Heading3"/>
        <w:rPr>
          <w:rFonts w:eastAsia="Arial"/>
          <w:lang w:val="en-AU"/>
        </w:rPr>
      </w:pPr>
      <w:bookmarkStart w:id="102" w:name="_Toc113523068"/>
      <w:r>
        <w:rPr>
          <w:rFonts w:eastAsia="Arial"/>
        </w:rPr>
        <w:t>4</w:t>
      </w:r>
      <w:r w:rsidR="00C017A8" w:rsidRPr="0682D99A">
        <w:rPr>
          <w:rFonts w:eastAsia="Arial"/>
        </w:rPr>
        <w:t>.3.1</w:t>
      </w:r>
      <w:r w:rsidR="000D2B0D">
        <w:rPr>
          <w:rFonts w:eastAsia="Arial"/>
        </w:rPr>
        <w:tab/>
      </w:r>
      <w:r w:rsidR="00C017A8" w:rsidRPr="0682D99A">
        <w:rPr>
          <w:rFonts w:eastAsia="Arial"/>
        </w:rPr>
        <w:t>Objective</w:t>
      </w:r>
      <w:bookmarkEnd w:id="102"/>
    </w:p>
    <w:p w14:paraId="4A6C12E8" w14:textId="77777777" w:rsidR="00C017A8" w:rsidRDefault="00C017A8" w:rsidP="00C017A8">
      <w:pPr>
        <w:spacing w:before="240" w:after="240"/>
        <w:rPr>
          <w:rFonts w:eastAsia="Arial" w:cs="Arial"/>
          <w:color w:val="000000" w:themeColor="text1"/>
          <w:szCs w:val="22"/>
          <w:lang w:val="en-AU"/>
        </w:rPr>
      </w:pPr>
      <w:r w:rsidRPr="0FA3F79A">
        <w:rPr>
          <w:rFonts w:eastAsia="Arial" w:cs="Arial"/>
          <w:color w:val="000000" w:themeColor="text1"/>
          <w:szCs w:val="22"/>
        </w:rPr>
        <w:t xml:space="preserve">The objective of this assessment is to </w:t>
      </w:r>
      <w:r w:rsidRPr="0FA3F79A">
        <w:rPr>
          <w:rFonts w:eastAsia="Arial" w:cs="Arial"/>
          <w:color w:val="000000" w:themeColor="text1"/>
          <w:szCs w:val="22"/>
          <w:lang w:val="en-AU"/>
        </w:rPr>
        <w:t xml:space="preserve">determine the extent to which bovine and human lactoferrin are equivalent </w:t>
      </w:r>
      <w:r>
        <w:rPr>
          <w:rFonts w:eastAsia="Arial" w:cs="Arial"/>
          <w:color w:val="000000" w:themeColor="text1"/>
          <w:szCs w:val="22"/>
          <w:lang w:val="en-AU"/>
        </w:rPr>
        <w:t>in terms of their</w:t>
      </w:r>
      <w:r w:rsidRPr="0FA3F79A">
        <w:rPr>
          <w:rFonts w:eastAsia="Arial" w:cs="Arial"/>
          <w:color w:val="000000" w:themeColor="text1"/>
          <w:szCs w:val="22"/>
          <w:lang w:val="en-AU"/>
        </w:rPr>
        <w:t xml:space="preserve"> bioavailability.</w:t>
      </w:r>
    </w:p>
    <w:p w14:paraId="2F1E262C" w14:textId="661343A1" w:rsidR="00C017A8" w:rsidRDefault="00373E72" w:rsidP="00C017A8">
      <w:pPr>
        <w:pStyle w:val="Heading3"/>
        <w:rPr>
          <w:rFonts w:eastAsia="Arial"/>
          <w:lang w:val="en-AU"/>
        </w:rPr>
      </w:pPr>
      <w:bookmarkStart w:id="103" w:name="_Toc113523069"/>
      <w:r>
        <w:rPr>
          <w:rFonts w:eastAsia="Arial"/>
        </w:rPr>
        <w:t>4</w:t>
      </w:r>
      <w:r w:rsidR="00C017A8" w:rsidRPr="0682D99A">
        <w:rPr>
          <w:rFonts w:eastAsia="Arial"/>
        </w:rPr>
        <w:t>.3.2</w:t>
      </w:r>
      <w:r w:rsidR="000D2B0D">
        <w:rPr>
          <w:rFonts w:eastAsia="Arial"/>
        </w:rPr>
        <w:tab/>
      </w:r>
      <w:r w:rsidR="00C017A8" w:rsidRPr="0682D99A">
        <w:rPr>
          <w:rFonts w:eastAsia="Arial"/>
        </w:rPr>
        <w:t>Methods and results</w:t>
      </w:r>
      <w:bookmarkEnd w:id="103"/>
    </w:p>
    <w:p w14:paraId="32AB424C" w14:textId="6A6966D0" w:rsidR="00C017A8" w:rsidRDefault="00C017A8" w:rsidP="00C017A8">
      <w:pPr>
        <w:rPr>
          <w:rFonts w:eastAsia="Arial" w:cs="Arial"/>
          <w:color w:val="000000" w:themeColor="text1"/>
          <w:szCs w:val="22"/>
          <w:lang w:val="en-AU"/>
        </w:rPr>
      </w:pPr>
      <w:r w:rsidRPr="0682D99A">
        <w:rPr>
          <w:rFonts w:eastAsia="Arial" w:cs="Arial"/>
          <w:color w:val="000000" w:themeColor="text1"/>
          <w:szCs w:val="22"/>
          <w:lang w:val="en-AU"/>
        </w:rPr>
        <w:t>We reviewed the literature published since date of inception to June 2022. No studies meeting the pre-specified inclusion criteria were identified. Details are provided in Appendix</w:t>
      </w:r>
      <w:r w:rsidR="007C74CD">
        <w:rPr>
          <w:rFonts w:eastAsia="Arial" w:cs="Arial"/>
          <w:color w:val="000000" w:themeColor="text1"/>
          <w:szCs w:val="22"/>
          <w:lang w:val="en-AU"/>
        </w:rPr>
        <w:t> </w:t>
      </w:r>
      <w:r w:rsidRPr="0682D99A">
        <w:rPr>
          <w:rFonts w:eastAsia="Arial" w:cs="Arial"/>
          <w:color w:val="000000" w:themeColor="text1"/>
          <w:szCs w:val="22"/>
          <w:lang w:val="en-AU"/>
        </w:rPr>
        <w:t>2.</w:t>
      </w:r>
    </w:p>
    <w:p w14:paraId="6F1B2F0E" w14:textId="3FAFB3EC" w:rsidR="00C017A8" w:rsidRDefault="00373E72" w:rsidP="00C017A8">
      <w:pPr>
        <w:pStyle w:val="Heading3"/>
        <w:rPr>
          <w:rFonts w:eastAsia="Arial"/>
          <w:lang w:val="en-AU"/>
        </w:rPr>
      </w:pPr>
      <w:bookmarkStart w:id="104" w:name="_Toc113523070"/>
      <w:r>
        <w:rPr>
          <w:rFonts w:eastAsia="Arial"/>
        </w:rPr>
        <w:t>4</w:t>
      </w:r>
      <w:r w:rsidR="00C017A8" w:rsidRPr="0682D99A">
        <w:rPr>
          <w:rFonts w:eastAsia="Arial"/>
        </w:rPr>
        <w:t>.3.3</w:t>
      </w:r>
      <w:r w:rsidR="000D2B0D">
        <w:rPr>
          <w:rFonts w:eastAsia="Arial"/>
          <w:lang w:val="en-AU"/>
        </w:rPr>
        <w:tab/>
      </w:r>
      <w:r w:rsidR="00C017A8" w:rsidRPr="0682D99A">
        <w:rPr>
          <w:rFonts w:eastAsia="Arial"/>
          <w:lang w:val="en-AU"/>
        </w:rPr>
        <w:t>Selected excluded studies’ findings</w:t>
      </w:r>
      <w:bookmarkEnd w:id="104"/>
    </w:p>
    <w:p w14:paraId="00E916F0" w14:textId="77777777" w:rsidR="00C017A8" w:rsidRDefault="00C017A8" w:rsidP="00C017A8">
      <w:pPr>
        <w:spacing w:line="259" w:lineRule="auto"/>
        <w:rPr>
          <w:rFonts w:eastAsia="Arial" w:cs="Arial"/>
          <w:color w:val="000000" w:themeColor="text1"/>
          <w:lang w:val="en-AU"/>
        </w:rPr>
      </w:pPr>
      <w:r w:rsidRPr="66531369">
        <w:rPr>
          <w:rFonts w:eastAsia="Arial" w:cs="Arial"/>
          <w:color w:val="000000" w:themeColor="text1"/>
          <w:lang w:val="en-AU"/>
        </w:rPr>
        <w:t xml:space="preserve">The Application provided a study by Kawakami &amp; </w:t>
      </w:r>
      <w:proofErr w:type="spellStart"/>
      <w:r w:rsidRPr="66531369">
        <w:rPr>
          <w:rFonts w:eastAsia="Arial" w:cs="Arial"/>
          <w:color w:val="000000" w:themeColor="text1"/>
          <w:lang w:val="en-AU"/>
        </w:rPr>
        <w:t>Lönnerdal</w:t>
      </w:r>
      <w:proofErr w:type="spellEnd"/>
      <w:r w:rsidRPr="66531369">
        <w:rPr>
          <w:rFonts w:eastAsia="Arial" w:cs="Arial"/>
          <w:color w:val="000000" w:themeColor="text1"/>
          <w:lang w:val="en-AU"/>
        </w:rPr>
        <w:t xml:space="preserve"> (1991) which was not retrieved by our search because it is an </w:t>
      </w:r>
      <w:r w:rsidRPr="009562B1">
        <w:rPr>
          <w:rFonts w:eastAsia="Arial" w:cs="Arial"/>
          <w:i/>
          <w:iCs/>
          <w:color w:val="000000" w:themeColor="text1"/>
          <w:lang w:val="en-AU"/>
        </w:rPr>
        <w:t>in vitro</w:t>
      </w:r>
      <w:r w:rsidRPr="66531369">
        <w:rPr>
          <w:rFonts w:eastAsia="Arial" w:cs="Arial"/>
          <w:color w:val="000000" w:themeColor="text1"/>
          <w:lang w:val="en-AU"/>
        </w:rPr>
        <w:t xml:space="preserve"> study. Kawakami &amp; </w:t>
      </w:r>
      <w:proofErr w:type="spellStart"/>
      <w:r w:rsidRPr="66531369">
        <w:rPr>
          <w:rFonts w:eastAsia="Arial" w:cs="Arial"/>
          <w:color w:val="000000" w:themeColor="text1"/>
          <w:lang w:val="en-AU"/>
        </w:rPr>
        <w:t>Lönnerdal</w:t>
      </w:r>
      <w:proofErr w:type="spellEnd"/>
      <w:r w:rsidRPr="66531369">
        <w:rPr>
          <w:rFonts w:eastAsia="Arial" w:cs="Arial"/>
          <w:color w:val="000000" w:themeColor="text1"/>
          <w:lang w:val="en-AU"/>
        </w:rPr>
        <w:t xml:space="preserve"> (1991) investigated the binding of </w:t>
      </w:r>
      <w:proofErr w:type="spellStart"/>
      <w:r w:rsidRPr="66531369">
        <w:rPr>
          <w:rFonts w:eastAsia="Arial" w:cs="Arial"/>
          <w:color w:val="000000" w:themeColor="text1"/>
          <w:lang w:val="en-AU"/>
        </w:rPr>
        <w:t>hLf</w:t>
      </w:r>
      <w:proofErr w:type="spellEnd"/>
      <w:r w:rsidRPr="66531369">
        <w:rPr>
          <w:rFonts w:eastAsia="Arial" w:cs="Arial"/>
          <w:color w:val="000000" w:themeColor="text1"/>
          <w:lang w:val="en-AU"/>
        </w:rPr>
        <w:t xml:space="preserve"> and </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 xml:space="preserve"> to brush-border membrane vesicles, taken from small intestines of human foetuses aborted at 22-24 weeks of gestation, to estimate the ability of </w:t>
      </w:r>
      <w:proofErr w:type="spellStart"/>
      <w:r w:rsidRPr="66531369">
        <w:rPr>
          <w:rFonts w:eastAsia="Arial" w:cs="Arial"/>
          <w:color w:val="000000" w:themeColor="text1"/>
          <w:lang w:val="en-AU"/>
        </w:rPr>
        <w:t>hLf</w:t>
      </w:r>
      <w:proofErr w:type="spellEnd"/>
      <w:r w:rsidRPr="66531369">
        <w:rPr>
          <w:rFonts w:eastAsia="Arial" w:cs="Arial"/>
          <w:color w:val="000000" w:themeColor="text1"/>
          <w:lang w:val="en-AU"/>
        </w:rPr>
        <w:t xml:space="preserve"> to deliver iron to infants. The publication states that the preparation of the </w:t>
      </w:r>
      <w:proofErr w:type="spellStart"/>
      <w:r w:rsidRPr="66531369">
        <w:rPr>
          <w:rFonts w:eastAsia="Arial" w:cs="Arial"/>
          <w:color w:val="000000" w:themeColor="text1"/>
          <w:lang w:val="en-AU"/>
        </w:rPr>
        <w:t>Lf</w:t>
      </w:r>
      <w:proofErr w:type="spellEnd"/>
      <w:r w:rsidRPr="66531369">
        <w:rPr>
          <w:rFonts w:eastAsia="Arial" w:cs="Arial"/>
          <w:color w:val="000000" w:themeColor="text1"/>
          <w:lang w:val="en-AU"/>
        </w:rPr>
        <w:t xml:space="preserve"> allowed for 90-100% retention of its iron-binding ability. A substantially lower binding of </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 xml:space="preserve"> to brush-border membrane vesicles was observed in comparison to </w:t>
      </w:r>
      <w:proofErr w:type="spellStart"/>
      <w:r w:rsidRPr="66531369">
        <w:rPr>
          <w:rFonts w:eastAsia="Arial" w:cs="Arial"/>
          <w:color w:val="000000" w:themeColor="text1"/>
          <w:lang w:val="en-AU"/>
        </w:rPr>
        <w:t>hLf</w:t>
      </w:r>
      <w:proofErr w:type="spellEnd"/>
      <w:r w:rsidRPr="66531369">
        <w:rPr>
          <w:rFonts w:eastAsia="Arial" w:cs="Arial"/>
          <w:color w:val="000000" w:themeColor="text1"/>
          <w:lang w:val="en-AU"/>
        </w:rPr>
        <w:t xml:space="preserve">, suggesting a lower relative efficiency of </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 xml:space="preserve"> to deliver iron than </w:t>
      </w:r>
      <w:proofErr w:type="spellStart"/>
      <w:r w:rsidRPr="66531369">
        <w:rPr>
          <w:rFonts w:eastAsia="Arial" w:cs="Arial"/>
          <w:color w:val="000000" w:themeColor="text1"/>
          <w:lang w:val="en-AU"/>
        </w:rPr>
        <w:t>hLf</w:t>
      </w:r>
      <w:proofErr w:type="spellEnd"/>
      <w:r w:rsidRPr="66531369">
        <w:rPr>
          <w:rFonts w:eastAsia="Arial" w:cs="Arial"/>
          <w:color w:val="000000" w:themeColor="text1"/>
          <w:lang w:val="en-AU"/>
        </w:rPr>
        <w:t xml:space="preserve">. To explore the specificity of binding, a competitive binding assay of </w:t>
      </w:r>
      <w:r w:rsidRPr="66531369">
        <w:rPr>
          <w:rFonts w:eastAsia="Arial" w:cs="Arial"/>
          <w:color w:val="000000" w:themeColor="text1"/>
          <w:vertAlign w:val="superscript"/>
          <w:lang w:val="en-AU"/>
        </w:rPr>
        <w:t>125</w:t>
      </w:r>
      <w:r w:rsidRPr="66531369">
        <w:rPr>
          <w:rFonts w:eastAsia="Arial" w:cs="Arial"/>
          <w:color w:val="000000" w:themeColor="text1"/>
          <w:lang w:val="en-AU"/>
        </w:rPr>
        <w:t xml:space="preserve">I-labelled </w:t>
      </w:r>
      <w:proofErr w:type="spellStart"/>
      <w:r w:rsidRPr="66531369">
        <w:rPr>
          <w:rFonts w:eastAsia="Arial" w:cs="Arial"/>
          <w:color w:val="000000" w:themeColor="text1"/>
          <w:lang w:val="en-AU"/>
        </w:rPr>
        <w:t>hLf</w:t>
      </w:r>
      <w:proofErr w:type="spellEnd"/>
      <w:r w:rsidRPr="66531369">
        <w:rPr>
          <w:rFonts w:eastAsia="Arial" w:cs="Arial"/>
          <w:color w:val="000000" w:themeColor="text1"/>
          <w:lang w:val="en-AU"/>
        </w:rPr>
        <w:t xml:space="preserve"> to the brush-border membrane vesicles was conducted. Increasing amounts of unlabelled </w:t>
      </w:r>
      <w:proofErr w:type="spellStart"/>
      <w:r w:rsidRPr="66531369">
        <w:rPr>
          <w:rFonts w:eastAsia="Arial" w:cs="Arial"/>
          <w:color w:val="000000" w:themeColor="text1"/>
          <w:lang w:val="en-AU"/>
        </w:rPr>
        <w:t>hLf</w:t>
      </w:r>
      <w:proofErr w:type="spellEnd"/>
      <w:r w:rsidRPr="66531369">
        <w:rPr>
          <w:rFonts w:eastAsia="Arial" w:cs="Arial"/>
          <w:color w:val="000000" w:themeColor="text1"/>
          <w:lang w:val="en-AU"/>
        </w:rPr>
        <w:t xml:space="preserve"> and </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 xml:space="preserve"> were used as inhibitors. Unlabelled </w:t>
      </w:r>
      <w:proofErr w:type="spellStart"/>
      <w:r w:rsidRPr="66531369">
        <w:rPr>
          <w:rFonts w:eastAsia="Arial" w:cs="Arial"/>
          <w:color w:val="000000" w:themeColor="text1"/>
          <w:lang w:val="en-AU"/>
        </w:rPr>
        <w:t>hLf</w:t>
      </w:r>
      <w:proofErr w:type="spellEnd"/>
      <w:r w:rsidRPr="66531369">
        <w:rPr>
          <w:rFonts w:eastAsia="Arial" w:cs="Arial"/>
          <w:color w:val="000000" w:themeColor="text1"/>
          <w:lang w:val="en-AU"/>
        </w:rPr>
        <w:t xml:space="preserve"> inhibited the binding of labelled </w:t>
      </w:r>
      <w:proofErr w:type="spellStart"/>
      <w:r w:rsidRPr="66531369">
        <w:rPr>
          <w:rFonts w:eastAsia="Arial" w:cs="Arial"/>
          <w:color w:val="000000" w:themeColor="text1"/>
          <w:lang w:val="en-AU"/>
        </w:rPr>
        <w:t>hLf</w:t>
      </w:r>
      <w:proofErr w:type="spellEnd"/>
      <w:r w:rsidRPr="66531369">
        <w:rPr>
          <w:rFonts w:eastAsia="Arial" w:cs="Arial"/>
          <w:color w:val="000000" w:themeColor="text1"/>
          <w:lang w:val="en-AU"/>
        </w:rPr>
        <w:t xml:space="preserve"> to the brush-border membrane vesicles, but increasingly excess </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 xml:space="preserve"> exhibited no inhibition. This demonstrates that the binding of </w:t>
      </w:r>
      <w:proofErr w:type="spellStart"/>
      <w:r w:rsidRPr="66531369">
        <w:rPr>
          <w:rFonts w:eastAsia="Arial" w:cs="Arial"/>
          <w:color w:val="000000" w:themeColor="text1"/>
          <w:lang w:val="en-AU"/>
        </w:rPr>
        <w:t>hLf</w:t>
      </w:r>
      <w:proofErr w:type="spellEnd"/>
      <w:r w:rsidRPr="66531369">
        <w:rPr>
          <w:rFonts w:eastAsia="Arial" w:cs="Arial"/>
          <w:color w:val="000000" w:themeColor="text1"/>
          <w:lang w:val="en-AU"/>
        </w:rPr>
        <w:t xml:space="preserve"> to the intestinal brush-border membrane vesicles is specific. Bovine </w:t>
      </w:r>
      <w:proofErr w:type="spellStart"/>
      <w:r w:rsidRPr="66531369">
        <w:rPr>
          <w:rFonts w:eastAsia="Arial" w:cs="Arial"/>
          <w:color w:val="000000" w:themeColor="text1"/>
          <w:lang w:val="en-AU"/>
        </w:rPr>
        <w:t>Lf</w:t>
      </w:r>
      <w:proofErr w:type="spellEnd"/>
      <w:r w:rsidRPr="66531369">
        <w:rPr>
          <w:rFonts w:eastAsia="Arial" w:cs="Arial"/>
          <w:color w:val="000000" w:themeColor="text1"/>
          <w:lang w:val="en-AU"/>
        </w:rPr>
        <w:t xml:space="preserve"> did not compete with </w:t>
      </w:r>
      <w:proofErr w:type="spellStart"/>
      <w:r w:rsidRPr="66531369">
        <w:rPr>
          <w:rFonts w:eastAsia="Arial" w:cs="Arial"/>
          <w:color w:val="000000" w:themeColor="text1"/>
          <w:lang w:val="en-AU"/>
        </w:rPr>
        <w:t>hLf</w:t>
      </w:r>
      <w:proofErr w:type="spellEnd"/>
      <w:r w:rsidRPr="66531369">
        <w:rPr>
          <w:rFonts w:eastAsia="Arial" w:cs="Arial"/>
          <w:color w:val="000000" w:themeColor="text1"/>
          <w:lang w:val="en-AU"/>
        </w:rPr>
        <w:t xml:space="preserve"> for binding. The authors suggest that </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 xml:space="preserve"> binding is probably non-specific and that human intestinal brush-border member lacks a receptor that is specific to </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w:t>
      </w:r>
    </w:p>
    <w:p w14:paraId="0921A991" w14:textId="3F4B2FFE" w:rsidR="00C017A8" w:rsidRDefault="00C017A8" w:rsidP="00733CE2">
      <w:pPr>
        <w:pStyle w:val="Heading2"/>
        <w:rPr>
          <w:rFonts w:eastAsia="Arial"/>
          <w:lang w:val="en-AU"/>
        </w:rPr>
      </w:pPr>
      <w:bookmarkStart w:id="105" w:name="_Toc113523071"/>
      <w:r w:rsidRPr="0682D99A">
        <w:rPr>
          <w:rFonts w:eastAsia="Arial"/>
        </w:rPr>
        <w:t>4.4</w:t>
      </w:r>
      <w:r w:rsidR="000D2B0D">
        <w:rPr>
          <w:rFonts w:eastAsia="Arial"/>
        </w:rPr>
        <w:tab/>
      </w:r>
      <w:r w:rsidRPr="0682D99A">
        <w:rPr>
          <w:rFonts w:eastAsia="Arial"/>
        </w:rPr>
        <w:t>The effect of bovine versus human lactoferrin on nutrient bioavailability</w:t>
      </w:r>
      <w:bookmarkEnd w:id="105"/>
      <w:r w:rsidRPr="0682D99A">
        <w:rPr>
          <w:rFonts w:eastAsia="Arial"/>
        </w:rPr>
        <w:t xml:space="preserve"> </w:t>
      </w:r>
    </w:p>
    <w:p w14:paraId="6B72D1E0" w14:textId="1FFB14EA" w:rsidR="00C017A8" w:rsidRDefault="009B10FC" w:rsidP="00C017A8">
      <w:pPr>
        <w:pStyle w:val="Heading3"/>
        <w:rPr>
          <w:rFonts w:eastAsia="Arial"/>
          <w:lang w:val="en-AU"/>
        </w:rPr>
      </w:pPr>
      <w:bookmarkStart w:id="106" w:name="_Toc113523072"/>
      <w:r>
        <w:rPr>
          <w:rFonts w:eastAsia="Arial"/>
        </w:rPr>
        <w:t>4</w:t>
      </w:r>
      <w:r w:rsidR="00C017A8" w:rsidRPr="0682D99A">
        <w:rPr>
          <w:rFonts w:eastAsia="Arial"/>
        </w:rPr>
        <w:t>.4.1</w:t>
      </w:r>
      <w:r w:rsidR="000D2B0D">
        <w:rPr>
          <w:rFonts w:eastAsia="Arial"/>
        </w:rPr>
        <w:tab/>
      </w:r>
      <w:r w:rsidR="00C017A8" w:rsidRPr="0682D99A">
        <w:rPr>
          <w:rFonts w:eastAsia="Arial"/>
        </w:rPr>
        <w:t>Objective</w:t>
      </w:r>
      <w:bookmarkEnd w:id="106"/>
    </w:p>
    <w:p w14:paraId="2EEA7E8B" w14:textId="77777777" w:rsidR="00C017A8" w:rsidRDefault="00C017A8" w:rsidP="00C017A8">
      <w:pPr>
        <w:spacing w:before="240" w:after="240"/>
        <w:rPr>
          <w:rFonts w:eastAsia="Arial" w:cs="Arial"/>
          <w:color w:val="000000" w:themeColor="text1"/>
          <w:szCs w:val="22"/>
          <w:lang w:val="en-AU"/>
        </w:rPr>
      </w:pPr>
      <w:r w:rsidRPr="0682D99A">
        <w:rPr>
          <w:rFonts w:eastAsia="Arial" w:cs="Arial"/>
          <w:color w:val="000000" w:themeColor="text1"/>
          <w:szCs w:val="22"/>
        </w:rPr>
        <w:t xml:space="preserve">The objective of this assessment is to </w:t>
      </w:r>
      <w:r w:rsidRPr="0682D99A">
        <w:rPr>
          <w:rFonts w:eastAsia="Arial" w:cs="Arial"/>
          <w:color w:val="000000" w:themeColor="text1"/>
          <w:szCs w:val="22"/>
          <w:lang w:val="en-AU"/>
        </w:rPr>
        <w:t xml:space="preserve">determine the effect (if any) of consuming IFP with added </w:t>
      </w:r>
      <w:proofErr w:type="spellStart"/>
      <w:r w:rsidRPr="0682D99A">
        <w:rPr>
          <w:rFonts w:eastAsia="Arial" w:cs="Arial"/>
          <w:color w:val="000000" w:themeColor="text1"/>
          <w:szCs w:val="22"/>
          <w:lang w:val="en-AU"/>
        </w:rPr>
        <w:t>bLf</w:t>
      </w:r>
      <w:proofErr w:type="spellEnd"/>
      <w:r w:rsidRPr="0682D99A">
        <w:rPr>
          <w:rFonts w:eastAsia="Arial" w:cs="Arial"/>
          <w:color w:val="000000" w:themeColor="text1"/>
          <w:szCs w:val="22"/>
          <w:lang w:val="en-AU"/>
        </w:rPr>
        <w:t xml:space="preserve"> at the proposed maximum permitted amount (40 mg/100 kJ) compared to consuming human milk on nutrient bioavailability.</w:t>
      </w:r>
    </w:p>
    <w:p w14:paraId="7505559D" w14:textId="31BE8496" w:rsidR="00C017A8" w:rsidRDefault="009B10FC" w:rsidP="00C017A8">
      <w:pPr>
        <w:pStyle w:val="Heading3"/>
        <w:rPr>
          <w:rFonts w:eastAsia="Arial"/>
          <w:lang w:val="en-AU"/>
        </w:rPr>
      </w:pPr>
      <w:bookmarkStart w:id="107" w:name="_Toc113523073"/>
      <w:r>
        <w:rPr>
          <w:rFonts w:eastAsia="Arial"/>
        </w:rPr>
        <w:t>4</w:t>
      </w:r>
      <w:r w:rsidR="00C017A8" w:rsidRPr="0682D99A">
        <w:rPr>
          <w:rFonts w:eastAsia="Arial"/>
        </w:rPr>
        <w:t>.4.2</w:t>
      </w:r>
      <w:r w:rsidR="000D2B0D">
        <w:rPr>
          <w:rFonts w:eastAsia="Arial"/>
        </w:rPr>
        <w:tab/>
      </w:r>
      <w:r w:rsidR="00C017A8" w:rsidRPr="0682D99A">
        <w:rPr>
          <w:rFonts w:eastAsia="Arial"/>
        </w:rPr>
        <w:t>Methods and results</w:t>
      </w:r>
      <w:bookmarkEnd w:id="107"/>
    </w:p>
    <w:p w14:paraId="68B24DEF" w14:textId="7EB290DD" w:rsidR="00C017A8" w:rsidRDefault="00C017A8" w:rsidP="00C017A8">
      <w:pPr>
        <w:rPr>
          <w:rFonts w:eastAsia="Arial" w:cs="Arial"/>
          <w:color w:val="000000" w:themeColor="text1"/>
          <w:szCs w:val="22"/>
          <w:lang w:val="en-AU"/>
        </w:rPr>
      </w:pPr>
      <w:r w:rsidRPr="0682D99A">
        <w:rPr>
          <w:rFonts w:eastAsia="Arial" w:cs="Arial"/>
          <w:color w:val="000000" w:themeColor="text1"/>
          <w:szCs w:val="22"/>
          <w:lang w:val="en-AU"/>
        </w:rPr>
        <w:t>We reviewed the literature published since date of inception to June 2022. No studies meeting the pre-specified inclusion criteria were identified. Details are provided in Appendix</w:t>
      </w:r>
      <w:r w:rsidR="007C74CD">
        <w:rPr>
          <w:rFonts w:eastAsia="Arial" w:cs="Arial"/>
          <w:color w:val="000000" w:themeColor="text1"/>
          <w:szCs w:val="22"/>
          <w:lang w:val="en-AU"/>
        </w:rPr>
        <w:t> </w:t>
      </w:r>
      <w:r w:rsidRPr="0682D99A">
        <w:rPr>
          <w:rFonts w:eastAsia="Arial" w:cs="Arial"/>
          <w:color w:val="000000" w:themeColor="text1"/>
          <w:szCs w:val="22"/>
          <w:lang w:val="en-AU"/>
        </w:rPr>
        <w:t xml:space="preserve">2. </w:t>
      </w:r>
    </w:p>
    <w:p w14:paraId="1B64CB3A" w14:textId="0DE01E7E" w:rsidR="00C017A8" w:rsidRDefault="009B10FC" w:rsidP="00C017A8">
      <w:pPr>
        <w:pStyle w:val="Heading3"/>
        <w:rPr>
          <w:rFonts w:eastAsia="Arial"/>
          <w:lang w:val="en-AU"/>
        </w:rPr>
      </w:pPr>
      <w:bookmarkStart w:id="108" w:name="_Toc113523074"/>
      <w:r>
        <w:rPr>
          <w:rFonts w:eastAsia="Arial"/>
        </w:rPr>
        <w:t>4</w:t>
      </w:r>
      <w:r w:rsidR="00C017A8" w:rsidRPr="0682D99A">
        <w:rPr>
          <w:rFonts w:eastAsia="Arial"/>
        </w:rPr>
        <w:t>.4.3</w:t>
      </w:r>
      <w:r w:rsidR="000D2B0D">
        <w:rPr>
          <w:rFonts w:eastAsia="Arial"/>
          <w:lang w:val="en-AU"/>
        </w:rPr>
        <w:tab/>
      </w:r>
      <w:r w:rsidR="00C017A8" w:rsidRPr="0682D99A">
        <w:rPr>
          <w:rFonts w:eastAsia="Arial"/>
          <w:lang w:val="en-AU"/>
        </w:rPr>
        <w:t>Selected excluded studies’ findings</w:t>
      </w:r>
      <w:bookmarkEnd w:id="108"/>
      <w:r w:rsidR="00C017A8" w:rsidRPr="0682D99A">
        <w:rPr>
          <w:rFonts w:eastAsia="Arial"/>
          <w:lang w:val="en-AU"/>
        </w:rPr>
        <w:t xml:space="preserve">  </w:t>
      </w:r>
    </w:p>
    <w:p w14:paraId="04D53E26" w14:textId="77777777" w:rsidR="00C017A8" w:rsidRDefault="00C017A8" w:rsidP="00C017A8">
      <w:pPr>
        <w:rPr>
          <w:rFonts w:eastAsia="Arial" w:cs="Arial"/>
          <w:color w:val="000000" w:themeColor="text1"/>
          <w:szCs w:val="22"/>
          <w:lang w:val="en-AU"/>
        </w:rPr>
      </w:pPr>
      <w:r w:rsidRPr="0682D99A">
        <w:rPr>
          <w:rFonts w:eastAsia="Arial" w:cs="Arial"/>
          <w:color w:val="000000" w:themeColor="text1"/>
          <w:szCs w:val="22"/>
          <w:lang w:val="en-AU"/>
        </w:rPr>
        <w:t xml:space="preserve">In lieu of relevant evidence, we have reported on a selection of the excluded studies that either represent the closest alignment to the study selection criteria or are studies provided by the Application. This includes: Kawakami &amp; </w:t>
      </w:r>
      <w:proofErr w:type="spellStart"/>
      <w:r w:rsidRPr="0682D99A">
        <w:rPr>
          <w:rFonts w:eastAsia="Arial" w:cs="Arial"/>
          <w:color w:val="000000" w:themeColor="text1"/>
          <w:szCs w:val="22"/>
          <w:lang w:val="en-AU"/>
        </w:rPr>
        <w:t>Lönnerdal</w:t>
      </w:r>
      <w:proofErr w:type="spellEnd"/>
      <w:r w:rsidRPr="0682D99A">
        <w:rPr>
          <w:rFonts w:eastAsia="Arial" w:cs="Arial"/>
          <w:color w:val="000000" w:themeColor="text1"/>
          <w:szCs w:val="22"/>
          <w:lang w:val="en-AU"/>
        </w:rPr>
        <w:t xml:space="preserve"> (1991); </w:t>
      </w:r>
      <w:proofErr w:type="spellStart"/>
      <w:r w:rsidRPr="0682D99A">
        <w:rPr>
          <w:rFonts w:eastAsia="Arial" w:cs="Arial"/>
          <w:color w:val="000000" w:themeColor="text1"/>
          <w:szCs w:val="22"/>
          <w:lang w:val="en-AU"/>
        </w:rPr>
        <w:t>Björmsjö</w:t>
      </w:r>
      <w:proofErr w:type="spellEnd"/>
      <w:r w:rsidRPr="0682D99A">
        <w:rPr>
          <w:rFonts w:eastAsia="Arial" w:cs="Arial"/>
          <w:color w:val="000000" w:themeColor="text1"/>
          <w:sz w:val="20"/>
          <w:szCs w:val="20"/>
          <w:lang w:val="en-AU"/>
        </w:rPr>
        <w:t xml:space="preserve"> </w:t>
      </w:r>
      <w:r w:rsidRPr="0682D99A">
        <w:rPr>
          <w:rFonts w:eastAsia="Arial" w:cs="Arial"/>
          <w:color w:val="000000" w:themeColor="text1"/>
          <w:szCs w:val="22"/>
          <w:lang w:val="en-AU"/>
        </w:rPr>
        <w:t xml:space="preserve">et al. (2021); </w:t>
      </w:r>
      <w:proofErr w:type="spellStart"/>
      <w:r w:rsidRPr="0682D99A">
        <w:rPr>
          <w:rFonts w:eastAsia="Arial" w:cs="Arial"/>
          <w:color w:val="000000" w:themeColor="text1"/>
          <w:szCs w:val="22"/>
          <w:lang w:val="en-AU"/>
        </w:rPr>
        <w:t>Hernell</w:t>
      </w:r>
      <w:proofErr w:type="spellEnd"/>
      <w:r w:rsidRPr="0682D99A">
        <w:rPr>
          <w:rFonts w:eastAsia="Arial" w:cs="Arial"/>
          <w:color w:val="000000" w:themeColor="text1"/>
          <w:szCs w:val="22"/>
          <w:lang w:val="en-AU"/>
        </w:rPr>
        <w:t xml:space="preserve"> &amp; </w:t>
      </w:r>
      <w:proofErr w:type="spellStart"/>
      <w:r w:rsidRPr="0682D99A">
        <w:rPr>
          <w:rFonts w:eastAsia="Arial" w:cs="Arial"/>
          <w:color w:val="000000" w:themeColor="text1"/>
          <w:szCs w:val="22"/>
          <w:lang w:val="en-AU"/>
        </w:rPr>
        <w:t>Lönnerdal</w:t>
      </w:r>
      <w:proofErr w:type="spellEnd"/>
      <w:r w:rsidRPr="0682D99A">
        <w:rPr>
          <w:rFonts w:eastAsia="Arial" w:cs="Arial"/>
          <w:color w:val="000000" w:themeColor="text1"/>
          <w:szCs w:val="22"/>
          <w:lang w:val="en-AU"/>
        </w:rPr>
        <w:t xml:space="preserve"> (2002);</w:t>
      </w:r>
      <w:r w:rsidRPr="0682D99A">
        <w:rPr>
          <w:rFonts w:eastAsia="Arial" w:cs="Arial"/>
          <w:color w:val="000000" w:themeColor="text1"/>
          <w:szCs w:val="22"/>
        </w:rPr>
        <w:t xml:space="preserve"> </w:t>
      </w:r>
      <w:proofErr w:type="spellStart"/>
      <w:r w:rsidRPr="0682D99A">
        <w:rPr>
          <w:rFonts w:eastAsia="Arial" w:cs="Arial"/>
          <w:color w:val="000000" w:themeColor="text1"/>
          <w:szCs w:val="22"/>
        </w:rPr>
        <w:t>Chierici</w:t>
      </w:r>
      <w:proofErr w:type="spellEnd"/>
      <w:r w:rsidRPr="0682D99A">
        <w:rPr>
          <w:rFonts w:eastAsia="Arial" w:cs="Arial"/>
          <w:color w:val="000000" w:themeColor="text1"/>
          <w:szCs w:val="22"/>
        </w:rPr>
        <w:t xml:space="preserve"> et al. (1992); and, </w:t>
      </w:r>
      <w:r w:rsidRPr="0682D99A">
        <w:rPr>
          <w:rFonts w:eastAsia="Arial" w:cs="Arial"/>
          <w:color w:val="000000" w:themeColor="text1"/>
          <w:szCs w:val="22"/>
          <w:lang w:val="en-AU"/>
        </w:rPr>
        <w:t>Schulz-</w:t>
      </w:r>
      <w:proofErr w:type="spellStart"/>
      <w:r w:rsidRPr="0682D99A">
        <w:rPr>
          <w:rFonts w:eastAsia="Arial" w:cs="Arial"/>
          <w:color w:val="000000" w:themeColor="text1"/>
          <w:szCs w:val="22"/>
          <w:lang w:val="en-AU"/>
        </w:rPr>
        <w:t>Lell</w:t>
      </w:r>
      <w:proofErr w:type="spellEnd"/>
      <w:r w:rsidRPr="0682D99A">
        <w:rPr>
          <w:rFonts w:eastAsia="Arial" w:cs="Arial"/>
          <w:color w:val="000000" w:themeColor="text1"/>
          <w:szCs w:val="22"/>
          <w:lang w:val="en-AU"/>
        </w:rPr>
        <w:t xml:space="preserve"> et al. (1991). </w:t>
      </w:r>
    </w:p>
    <w:p w14:paraId="03BDF5A0" w14:textId="77777777" w:rsidR="00C017A8" w:rsidRDefault="00C017A8" w:rsidP="00C017A8">
      <w:pPr>
        <w:rPr>
          <w:rFonts w:eastAsia="Arial" w:cs="Arial"/>
          <w:color w:val="000000" w:themeColor="text1"/>
          <w:szCs w:val="22"/>
          <w:lang w:val="en-AU"/>
        </w:rPr>
      </w:pPr>
    </w:p>
    <w:p w14:paraId="2984A8FC" w14:textId="77777777" w:rsidR="00C017A8" w:rsidRDefault="00C017A8" w:rsidP="00C017A8">
      <w:pPr>
        <w:rPr>
          <w:rFonts w:eastAsia="Arial" w:cs="Arial"/>
          <w:color w:val="000000" w:themeColor="text1"/>
          <w:szCs w:val="22"/>
          <w:lang w:val="en-AU"/>
        </w:rPr>
      </w:pPr>
      <w:r w:rsidRPr="0682D99A">
        <w:rPr>
          <w:rFonts w:eastAsia="Arial" w:cs="Arial"/>
          <w:color w:val="000000" w:themeColor="text1"/>
          <w:szCs w:val="22"/>
          <w:lang w:val="en-AU"/>
        </w:rPr>
        <w:t xml:space="preserve">Kawakami &amp; </w:t>
      </w:r>
      <w:proofErr w:type="spellStart"/>
      <w:r w:rsidRPr="0682D99A">
        <w:rPr>
          <w:rFonts w:eastAsia="Arial" w:cs="Arial"/>
          <w:color w:val="000000" w:themeColor="text1"/>
          <w:szCs w:val="22"/>
          <w:lang w:val="en-AU"/>
        </w:rPr>
        <w:t>Lönnerdal</w:t>
      </w:r>
      <w:proofErr w:type="spellEnd"/>
      <w:r w:rsidRPr="0682D99A">
        <w:rPr>
          <w:rFonts w:eastAsia="Arial" w:cs="Arial"/>
          <w:color w:val="000000" w:themeColor="text1"/>
          <w:szCs w:val="22"/>
          <w:lang w:val="en-AU"/>
        </w:rPr>
        <w:t xml:space="preserve"> (1991), discussed above, hypothesised a higher bioavailability of iron bound to </w:t>
      </w:r>
      <w:proofErr w:type="spellStart"/>
      <w:r w:rsidRPr="0682D99A">
        <w:rPr>
          <w:rFonts w:eastAsia="Arial" w:cs="Arial"/>
          <w:color w:val="000000" w:themeColor="text1"/>
          <w:szCs w:val="22"/>
          <w:lang w:val="en-AU"/>
        </w:rPr>
        <w:t>hLf</w:t>
      </w:r>
      <w:proofErr w:type="spellEnd"/>
      <w:r w:rsidRPr="0682D99A">
        <w:rPr>
          <w:rFonts w:eastAsia="Arial" w:cs="Arial"/>
          <w:color w:val="000000" w:themeColor="text1"/>
          <w:szCs w:val="22"/>
          <w:lang w:val="en-AU"/>
        </w:rPr>
        <w:t xml:space="preserve"> compared to </w:t>
      </w:r>
      <w:proofErr w:type="spellStart"/>
      <w:r w:rsidRPr="0682D99A">
        <w:rPr>
          <w:rFonts w:eastAsia="Arial" w:cs="Arial"/>
          <w:color w:val="000000" w:themeColor="text1"/>
          <w:szCs w:val="22"/>
          <w:lang w:val="en-AU"/>
        </w:rPr>
        <w:t>bLf</w:t>
      </w:r>
      <w:proofErr w:type="spellEnd"/>
      <w:r w:rsidRPr="0682D99A">
        <w:rPr>
          <w:rFonts w:eastAsia="Arial" w:cs="Arial"/>
          <w:color w:val="000000" w:themeColor="text1"/>
          <w:szCs w:val="22"/>
          <w:lang w:val="en-AU"/>
        </w:rPr>
        <w:t>.</w:t>
      </w:r>
    </w:p>
    <w:p w14:paraId="61538551" w14:textId="77777777" w:rsidR="00C017A8" w:rsidRDefault="00C017A8" w:rsidP="00C017A8">
      <w:pPr>
        <w:rPr>
          <w:rFonts w:eastAsia="Arial" w:cs="Arial"/>
          <w:color w:val="000000" w:themeColor="text1"/>
          <w:szCs w:val="22"/>
          <w:lang w:val="en-AU"/>
        </w:rPr>
      </w:pPr>
    </w:p>
    <w:p w14:paraId="5C2E4FFD" w14:textId="77777777" w:rsidR="00C017A8" w:rsidRDefault="00C017A8" w:rsidP="00C017A8">
      <w:pPr>
        <w:rPr>
          <w:rFonts w:eastAsia="Arial" w:cs="Arial"/>
          <w:color w:val="000000" w:themeColor="text1"/>
          <w:szCs w:val="22"/>
          <w:lang w:val="en-AU"/>
        </w:rPr>
      </w:pPr>
      <w:proofErr w:type="spellStart"/>
      <w:r w:rsidRPr="0682D99A">
        <w:rPr>
          <w:rFonts w:eastAsia="Arial" w:cs="Arial"/>
          <w:color w:val="000000" w:themeColor="text1"/>
          <w:szCs w:val="22"/>
        </w:rPr>
        <w:t>Björmsjö</w:t>
      </w:r>
      <w:proofErr w:type="spellEnd"/>
      <w:r w:rsidRPr="0682D99A">
        <w:rPr>
          <w:rFonts w:eastAsia="Arial" w:cs="Arial"/>
          <w:color w:val="000000" w:themeColor="text1"/>
          <w:szCs w:val="22"/>
        </w:rPr>
        <w:t xml:space="preserve"> et al. (2021) found statistically significant differences between</w:t>
      </w:r>
      <w:r w:rsidRPr="0682D99A">
        <w:rPr>
          <w:rFonts w:eastAsia="Arial" w:cs="Arial"/>
          <w:color w:val="000000" w:themeColor="text1"/>
          <w:szCs w:val="22"/>
          <w:lang w:val="en-AU"/>
        </w:rPr>
        <w:t xml:space="preserve"> the intervention (</w:t>
      </w:r>
      <w:proofErr w:type="spellStart"/>
      <w:r w:rsidRPr="0682D99A">
        <w:rPr>
          <w:rFonts w:eastAsia="Arial" w:cs="Arial"/>
          <w:color w:val="000000" w:themeColor="text1"/>
          <w:szCs w:val="22"/>
          <w:lang w:val="en-AU"/>
        </w:rPr>
        <w:t>bLf</w:t>
      </w:r>
      <w:proofErr w:type="spellEnd"/>
      <w:r w:rsidRPr="0682D99A">
        <w:rPr>
          <w:rFonts w:eastAsia="Arial" w:cs="Arial"/>
          <w:color w:val="000000" w:themeColor="text1"/>
          <w:szCs w:val="22"/>
          <w:lang w:val="en-AU"/>
        </w:rPr>
        <w:t>-IFP) group (n=63-69) and the human milk-fed group (n=65-69)</w:t>
      </w:r>
      <w:r w:rsidRPr="0682D99A">
        <w:rPr>
          <w:rFonts w:eastAsia="Arial" w:cs="Arial"/>
          <w:color w:val="000000" w:themeColor="text1"/>
          <w:szCs w:val="22"/>
        </w:rPr>
        <w:t xml:space="preserve"> at four months of age in mean cell volume (higher in intervention) and ferritin (lower in intervention). At six months of age, hepcidin was higher in the intervention group (n=65-67; </w:t>
      </w:r>
      <w:r w:rsidRPr="0682D99A">
        <w:rPr>
          <w:rFonts w:eastAsia="Arial" w:cs="Arial"/>
          <w:i/>
          <w:iCs/>
          <w:color w:val="000000" w:themeColor="text1"/>
          <w:szCs w:val="22"/>
        </w:rPr>
        <w:t>P</w:t>
      </w:r>
      <w:r w:rsidRPr="0682D99A">
        <w:rPr>
          <w:rFonts w:eastAsia="Arial" w:cs="Arial"/>
          <w:color w:val="000000" w:themeColor="text1"/>
          <w:szCs w:val="22"/>
        </w:rPr>
        <w:t xml:space="preserve">&lt;0.05) compared to the </w:t>
      </w:r>
      <w:r w:rsidRPr="0682D99A">
        <w:rPr>
          <w:rFonts w:eastAsia="Arial" w:cs="Arial"/>
          <w:color w:val="000000" w:themeColor="text1"/>
          <w:szCs w:val="22"/>
          <w:lang w:val="en-AU"/>
        </w:rPr>
        <w:t>human milk-fed group (n=65-67)</w:t>
      </w:r>
      <w:r w:rsidRPr="0682D99A">
        <w:rPr>
          <w:rFonts w:eastAsia="Arial" w:cs="Arial"/>
          <w:color w:val="000000" w:themeColor="text1"/>
          <w:szCs w:val="22"/>
        </w:rPr>
        <w:t>. Other parameters did not significantly differ, including haemoglobin, iron, transferrin, transferrin saturation, transferrin receptor, iron depletion, iron deficiency, iron deficiency anaemia, mean cell volume and ferritin (at six months of age), and hepcidin (at four months of age only).</w:t>
      </w:r>
    </w:p>
    <w:p w14:paraId="77BF7566" w14:textId="77777777" w:rsidR="00C017A8" w:rsidRDefault="00C017A8" w:rsidP="00C017A8">
      <w:pPr>
        <w:rPr>
          <w:rFonts w:eastAsia="Arial" w:cs="Arial"/>
          <w:color w:val="000000" w:themeColor="text1"/>
          <w:szCs w:val="22"/>
          <w:lang w:val="en-AU"/>
        </w:rPr>
      </w:pPr>
    </w:p>
    <w:p w14:paraId="0707B7C1" w14:textId="77777777" w:rsidR="00C017A8" w:rsidRDefault="00C017A8" w:rsidP="00C017A8">
      <w:pPr>
        <w:rPr>
          <w:rFonts w:eastAsia="Arial" w:cs="Arial"/>
          <w:color w:val="000000" w:themeColor="text1"/>
          <w:lang w:val="en-AU"/>
        </w:rPr>
      </w:pPr>
      <w:proofErr w:type="spellStart"/>
      <w:r w:rsidRPr="66531369">
        <w:rPr>
          <w:rFonts w:eastAsia="Arial" w:cs="Arial"/>
          <w:color w:val="000000" w:themeColor="text1"/>
        </w:rPr>
        <w:t>Chierici</w:t>
      </w:r>
      <w:proofErr w:type="spellEnd"/>
      <w:r w:rsidRPr="66531369">
        <w:rPr>
          <w:rFonts w:eastAsia="Arial" w:cs="Arial"/>
          <w:color w:val="000000" w:themeColor="text1"/>
        </w:rPr>
        <w:t xml:space="preserve"> et al. (1992) </w:t>
      </w:r>
      <w:r w:rsidRPr="66531369">
        <w:rPr>
          <w:rFonts w:eastAsia="Arial" w:cs="Arial"/>
          <w:color w:val="000000" w:themeColor="text1"/>
          <w:lang w:val="en-AU"/>
        </w:rPr>
        <w:t xml:space="preserve">measured haemoglobin, haematocrit, serum iron, serum ferritin, and serum zinc at multiple time points (at 0, 7, 30, 90 and 150 days of age). Of the two </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 xml:space="preserve">-IFP intervention groups, we report the results of the group with the higher </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 xml:space="preserve"> concentration </w:t>
      </w:r>
      <w:r w:rsidRPr="66531369">
        <w:rPr>
          <w:rFonts w:eastAsia="Arial" w:cs="Arial"/>
          <w:color w:val="000000" w:themeColor="text1"/>
        </w:rPr>
        <w:t xml:space="preserve">(1 g </w:t>
      </w:r>
      <w:proofErr w:type="spellStart"/>
      <w:r w:rsidRPr="66531369">
        <w:rPr>
          <w:rFonts w:eastAsia="Arial" w:cs="Arial"/>
          <w:color w:val="000000" w:themeColor="text1"/>
        </w:rPr>
        <w:t>bLf</w:t>
      </w:r>
      <w:proofErr w:type="spellEnd"/>
      <w:r w:rsidRPr="66531369">
        <w:rPr>
          <w:rFonts w:eastAsia="Arial" w:cs="Arial"/>
          <w:color w:val="000000" w:themeColor="text1"/>
        </w:rPr>
        <w:t>/L).</w:t>
      </w:r>
      <w:r w:rsidRPr="66531369">
        <w:rPr>
          <w:rFonts w:eastAsia="Arial" w:cs="Arial"/>
          <w:color w:val="000000" w:themeColor="text1"/>
          <w:lang w:val="en-AU"/>
        </w:rPr>
        <w:t xml:space="preserve"> Serum iron was higher in the </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-IFP intervention group (n=14) compared to the human milk-fed group (n=10) at day 30 (</w:t>
      </w:r>
      <w:r w:rsidRPr="66531369">
        <w:rPr>
          <w:rFonts w:eastAsia="Arial" w:cs="Arial"/>
          <w:i/>
          <w:iCs/>
          <w:color w:val="000000" w:themeColor="text1"/>
          <w:lang w:val="en-AU"/>
        </w:rPr>
        <w:t>P</w:t>
      </w:r>
      <w:r w:rsidRPr="66531369">
        <w:rPr>
          <w:rFonts w:eastAsia="Arial" w:cs="Arial"/>
          <w:color w:val="000000" w:themeColor="text1"/>
          <w:lang w:val="en-AU"/>
        </w:rPr>
        <w:t>=0.041). Median values were 22 and 17</w:t>
      </w:r>
      <w:r w:rsidRPr="66531369">
        <w:rPr>
          <w:rFonts w:ascii="Segoe UI" w:eastAsia="Segoe UI" w:hAnsi="Segoe UI" w:cs="Segoe UI"/>
          <w:color w:val="000000" w:themeColor="text1"/>
          <w:lang w:val="en-AU"/>
        </w:rPr>
        <w:t xml:space="preserve"> </w:t>
      </w:r>
      <w:r w:rsidRPr="66531369">
        <w:rPr>
          <w:rFonts w:eastAsia="Arial" w:cs="Arial"/>
          <w:color w:val="000000" w:themeColor="text1"/>
          <w:lang w:val="en-AU"/>
        </w:rPr>
        <w:t xml:space="preserve">µmol/L, respectively. Serum ferritin was lower in the </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-IFP intervention group compared to the human milk-fed comparator at day 30 (</w:t>
      </w:r>
      <w:r w:rsidRPr="66531369">
        <w:rPr>
          <w:rFonts w:eastAsia="Arial" w:cs="Arial"/>
          <w:i/>
          <w:iCs/>
          <w:color w:val="000000" w:themeColor="text1"/>
          <w:lang w:val="en-AU"/>
        </w:rPr>
        <w:t>P</w:t>
      </w:r>
      <w:r w:rsidRPr="66531369">
        <w:rPr>
          <w:rFonts w:eastAsia="Arial" w:cs="Arial"/>
          <w:color w:val="000000" w:themeColor="text1"/>
          <w:lang w:val="en-AU"/>
        </w:rPr>
        <w:t xml:space="preserve">&lt;0.05; values are provided in a figure and were not extracted for the current assessment). </w:t>
      </w:r>
      <w:r w:rsidRPr="66531369">
        <w:rPr>
          <w:rFonts w:eastAsia="Arial" w:cs="Arial"/>
          <w:color w:val="000000" w:themeColor="text1"/>
        </w:rPr>
        <w:t xml:space="preserve">In addition to the limitations described in Appendix 2, </w:t>
      </w:r>
      <w:r w:rsidRPr="00A71BB1">
        <w:rPr>
          <w:rFonts w:eastAsia="Arial" w:cs="Arial"/>
          <w:color w:val="000000" w:themeColor="text1"/>
        </w:rPr>
        <w:t>section A2.4.1, the</w:t>
      </w:r>
      <w:r w:rsidRPr="66531369">
        <w:rPr>
          <w:rFonts w:eastAsia="Arial" w:cs="Arial"/>
          <w:color w:val="000000" w:themeColor="text1"/>
        </w:rPr>
        <w:t xml:space="preserve"> trial by </w:t>
      </w:r>
      <w:proofErr w:type="spellStart"/>
      <w:r w:rsidRPr="66531369">
        <w:rPr>
          <w:rFonts w:eastAsia="Arial" w:cs="Arial"/>
          <w:color w:val="000000" w:themeColor="text1"/>
        </w:rPr>
        <w:t>Chierici</w:t>
      </w:r>
      <w:proofErr w:type="spellEnd"/>
      <w:r w:rsidRPr="66531369">
        <w:rPr>
          <w:rFonts w:eastAsia="Arial" w:cs="Arial"/>
          <w:color w:val="000000" w:themeColor="text1"/>
        </w:rPr>
        <w:t xml:space="preserve"> et al. (1992) was not randomised, which increases the level of uncertainty in its findings.</w:t>
      </w:r>
    </w:p>
    <w:p w14:paraId="4E211797" w14:textId="77777777" w:rsidR="00C017A8" w:rsidRDefault="00C017A8" w:rsidP="00C017A8">
      <w:pPr>
        <w:rPr>
          <w:rFonts w:eastAsia="Arial" w:cs="Arial"/>
          <w:color w:val="000000" w:themeColor="text1"/>
          <w:szCs w:val="22"/>
          <w:lang w:val="en-AU"/>
        </w:rPr>
      </w:pPr>
    </w:p>
    <w:p w14:paraId="6692E9B3" w14:textId="77777777" w:rsidR="00C017A8" w:rsidRDefault="00C017A8" w:rsidP="00C017A8">
      <w:pPr>
        <w:rPr>
          <w:rFonts w:eastAsia="Arial" w:cs="Arial"/>
          <w:color w:val="000000" w:themeColor="text1"/>
          <w:szCs w:val="22"/>
          <w:lang w:val="en-AU"/>
        </w:rPr>
      </w:pPr>
      <w:proofErr w:type="spellStart"/>
      <w:r w:rsidRPr="0682D99A">
        <w:rPr>
          <w:rFonts w:eastAsia="Arial" w:cs="Arial"/>
          <w:color w:val="000000" w:themeColor="text1"/>
          <w:szCs w:val="22"/>
          <w:lang w:val="en-AU"/>
        </w:rPr>
        <w:t>Hernell</w:t>
      </w:r>
      <w:proofErr w:type="spellEnd"/>
      <w:r w:rsidRPr="0682D99A">
        <w:rPr>
          <w:rFonts w:eastAsia="Arial" w:cs="Arial"/>
          <w:color w:val="000000" w:themeColor="text1"/>
          <w:szCs w:val="22"/>
          <w:lang w:val="en-AU"/>
        </w:rPr>
        <w:t xml:space="preserve"> &amp; </w:t>
      </w:r>
      <w:proofErr w:type="spellStart"/>
      <w:r w:rsidRPr="0682D99A">
        <w:rPr>
          <w:rFonts w:eastAsia="Arial" w:cs="Arial"/>
          <w:color w:val="000000" w:themeColor="text1"/>
          <w:szCs w:val="22"/>
          <w:lang w:val="en-AU"/>
        </w:rPr>
        <w:t>Lönnerdal</w:t>
      </w:r>
      <w:proofErr w:type="spellEnd"/>
      <w:r w:rsidRPr="0682D99A">
        <w:rPr>
          <w:rFonts w:eastAsia="Arial" w:cs="Arial"/>
          <w:color w:val="000000" w:themeColor="text1"/>
          <w:szCs w:val="22"/>
          <w:lang w:val="en-AU"/>
        </w:rPr>
        <w:t xml:space="preserve"> (2002) reported no significant differences in haemoglobin, mean corpuscular volume, serum iron, total-iron-binding capacity, serum ferritin, serum transferrin receptor, serum zinc or serum copper at four and six months of age, after correction for initial differences at one month of age, between the </w:t>
      </w:r>
      <w:proofErr w:type="spellStart"/>
      <w:r w:rsidRPr="0682D99A">
        <w:rPr>
          <w:rFonts w:eastAsia="Arial" w:cs="Arial"/>
          <w:color w:val="000000" w:themeColor="text1"/>
          <w:szCs w:val="22"/>
          <w:lang w:val="en-AU"/>
        </w:rPr>
        <w:t>bLf</w:t>
      </w:r>
      <w:proofErr w:type="spellEnd"/>
      <w:r w:rsidRPr="0682D99A">
        <w:rPr>
          <w:rFonts w:eastAsia="Arial" w:cs="Arial"/>
          <w:color w:val="000000" w:themeColor="text1"/>
          <w:szCs w:val="22"/>
          <w:lang w:val="en-AU"/>
        </w:rPr>
        <w:t>-IFP intervention group (n=10) and the human milk-fed comparator (n=16).</w:t>
      </w:r>
    </w:p>
    <w:p w14:paraId="2D1C5CCF" w14:textId="77777777" w:rsidR="00C017A8" w:rsidRDefault="00C017A8" w:rsidP="00C017A8">
      <w:pPr>
        <w:rPr>
          <w:rFonts w:eastAsia="Arial" w:cs="Arial"/>
          <w:color w:val="000000" w:themeColor="text1"/>
          <w:szCs w:val="22"/>
          <w:lang w:val="en-AU"/>
        </w:rPr>
      </w:pPr>
    </w:p>
    <w:p w14:paraId="34213071" w14:textId="77777777" w:rsidR="00C017A8" w:rsidRDefault="00C017A8" w:rsidP="00C017A8">
      <w:pPr>
        <w:rPr>
          <w:rFonts w:eastAsia="Arial" w:cs="Arial"/>
          <w:color w:val="000000" w:themeColor="text1"/>
          <w:lang w:val="en-AU"/>
        </w:rPr>
      </w:pPr>
      <w:r w:rsidRPr="66531369">
        <w:rPr>
          <w:rFonts w:eastAsia="Arial" w:cs="Arial"/>
          <w:color w:val="000000" w:themeColor="text1"/>
          <w:lang w:val="en-AU"/>
        </w:rPr>
        <w:t>Schulz-</w:t>
      </w:r>
      <w:proofErr w:type="spellStart"/>
      <w:r w:rsidRPr="66531369">
        <w:rPr>
          <w:rFonts w:eastAsia="Arial" w:cs="Arial"/>
          <w:color w:val="000000" w:themeColor="text1"/>
          <w:lang w:val="en-AU"/>
        </w:rPr>
        <w:t>Lell</w:t>
      </w:r>
      <w:proofErr w:type="spellEnd"/>
      <w:r w:rsidRPr="66531369">
        <w:rPr>
          <w:rFonts w:eastAsia="Arial" w:cs="Arial"/>
          <w:color w:val="000000" w:themeColor="text1"/>
          <w:lang w:val="en-AU"/>
        </w:rPr>
        <w:t xml:space="preserve"> et al. (1991) conducted iron balance studies in infants from their third to 17</w:t>
      </w:r>
      <w:r w:rsidRPr="66531369">
        <w:rPr>
          <w:rFonts w:eastAsia="Arial" w:cs="Arial"/>
          <w:color w:val="000000" w:themeColor="text1"/>
          <w:vertAlign w:val="superscript"/>
          <w:lang w:val="en-AU"/>
        </w:rPr>
        <w:t>th</w:t>
      </w:r>
      <w:r w:rsidRPr="66531369">
        <w:rPr>
          <w:rFonts w:eastAsia="Arial" w:cs="Arial"/>
          <w:color w:val="000000" w:themeColor="text1"/>
          <w:lang w:val="en-AU"/>
        </w:rPr>
        <w:t xml:space="preserve"> week of life. Infants consuming either a </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 xml:space="preserve">-IFP containing 100 mg </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/100 mL and 1060 µg iron/L (n=7) or a non-</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 xml:space="preserve">-IFP containing 770 µg iron/L (n=9). The </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-IFP group received 169 µg iron/kg body weight (BW)/day and retained 63 µg iron/kg BW/day. The non-</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 xml:space="preserve">-IFP group received 118 µg iron/kg BW/day and retained 43 µg iron/kg BW/day. The mean percentage retention of iron in the </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-IFP and non-</w:t>
      </w:r>
      <w:proofErr w:type="spellStart"/>
      <w:r w:rsidRPr="66531369">
        <w:rPr>
          <w:rFonts w:eastAsia="Arial" w:cs="Arial"/>
          <w:color w:val="000000" w:themeColor="text1"/>
          <w:lang w:val="en-AU"/>
        </w:rPr>
        <w:t>bLf</w:t>
      </w:r>
      <w:proofErr w:type="spellEnd"/>
      <w:r w:rsidRPr="66531369">
        <w:rPr>
          <w:rFonts w:eastAsia="Arial" w:cs="Arial"/>
          <w:color w:val="000000" w:themeColor="text1"/>
          <w:lang w:val="en-AU"/>
        </w:rPr>
        <w:t>-IFP groups were 36% and 28%, respectively, however this was not statistically significant.</w:t>
      </w:r>
    </w:p>
    <w:p w14:paraId="784C1E36" w14:textId="5517293A" w:rsidR="00C017A8" w:rsidRDefault="007C24BB" w:rsidP="00733CE2">
      <w:pPr>
        <w:pStyle w:val="Heading2"/>
        <w:rPr>
          <w:rFonts w:eastAsia="Arial"/>
        </w:rPr>
      </w:pPr>
      <w:bookmarkStart w:id="109" w:name="_Toc113523075"/>
      <w:r>
        <w:rPr>
          <w:rFonts w:eastAsia="Arial"/>
        </w:rPr>
        <w:t>4</w:t>
      </w:r>
      <w:r w:rsidR="00C017A8" w:rsidRPr="0682D99A">
        <w:rPr>
          <w:rFonts w:eastAsia="Arial"/>
        </w:rPr>
        <w:t>.5</w:t>
      </w:r>
      <w:r w:rsidR="009D18E7">
        <w:rPr>
          <w:rFonts w:eastAsia="Arial"/>
        </w:rPr>
        <w:tab/>
      </w:r>
      <w:r w:rsidR="00C017A8">
        <w:rPr>
          <w:rFonts w:eastAsia="Arial"/>
        </w:rPr>
        <w:t>Discussion and conclusion</w:t>
      </w:r>
      <w:bookmarkEnd w:id="109"/>
    </w:p>
    <w:p w14:paraId="1B30028B" w14:textId="749481A6" w:rsidR="00C017A8" w:rsidRPr="00F47829" w:rsidRDefault="00C017A8" w:rsidP="00C017A8">
      <w:pPr>
        <w:rPr>
          <w:rFonts w:eastAsia="Arial"/>
        </w:rPr>
      </w:pPr>
      <w:r w:rsidRPr="64946D53">
        <w:rPr>
          <w:rFonts w:eastAsia="Arial"/>
        </w:rPr>
        <w:t xml:space="preserve">The Application describes five trials investigating the growth and development of healthy term or near-term infants consuming IFP with added </w:t>
      </w:r>
      <w:proofErr w:type="spellStart"/>
      <w:r w:rsidRPr="64946D53">
        <w:rPr>
          <w:rFonts w:eastAsia="Arial"/>
        </w:rPr>
        <w:t>bLf</w:t>
      </w:r>
      <w:proofErr w:type="spellEnd"/>
      <w:r w:rsidRPr="64946D53">
        <w:rPr>
          <w:rFonts w:eastAsia="Arial"/>
        </w:rPr>
        <w:t xml:space="preserve"> at various levels. As discussed in section</w:t>
      </w:r>
      <w:r w:rsidRPr="64946D53">
        <w:rPr>
          <w:rFonts w:eastAsia="Arial" w:cs="Arial"/>
          <w:color w:val="000000" w:themeColor="text1"/>
        </w:rPr>
        <w:t xml:space="preserve"> </w:t>
      </w:r>
      <w:r w:rsidR="6CC6D947" w:rsidRPr="64946D53">
        <w:rPr>
          <w:rFonts w:eastAsia="Arial" w:cs="Arial"/>
          <w:color w:val="000000" w:themeColor="text1"/>
        </w:rPr>
        <w:t>4</w:t>
      </w:r>
      <w:r w:rsidRPr="64946D53">
        <w:rPr>
          <w:rFonts w:eastAsia="Arial" w:cs="Arial"/>
          <w:color w:val="000000" w:themeColor="text1"/>
        </w:rPr>
        <w:t>.2,</w:t>
      </w:r>
      <w:r w:rsidRPr="64946D53">
        <w:rPr>
          <w:rFonts w:eastAsia="Arial" w:cs="Arial"/>
        </w:rPr>
        <w:t xml:space="preserve"> </w:t>
      </w:r>
      <w:r w:rsidRPr="64946D53">
        <w:rPr>
          <w:rFonts w:eastAsia="Arial"/>
        </w:rPr>
        <w:t>these trials had a number of limitations. FSANZ did not locate studies in the published literature that did not have one or more of these limitations.</w:t>
      </w:r>
    </w:p>
    <w:p w14:paraId="1BDE4AF7" w14:textId="77777777" w:rsidR="00C017A8" w:rsidRPr="00F47829" w:rsidRDefault="00C017A8" w:rsidP="00C017A8">
      <w:pPr>
        <w:rPr>
          <w:rFonts w:eastAsia="Arial"/>
        </w:rPr>
      </w:pPr>
    </w:p>
    <w:p w14:paraId="39EEAF9C" w14:textId="77777777" w:rsidR="00C017A8" w:rsidRPr="00F47829" w:rsidRDefault="00C017A8" w:rsidP="00C017A8">
      <w:pPr>
        <w:rPr>
          <w:rFonts w:eastAsia="Arial"/>
        </w:rPr>
      </w:pPr>
      <w:r w:rsidRPr="1578867F">
        <w:rPr>
          <w:rFonts w:eastAsia="Arial"/>
        </w:rPr>
        <w:t xml:space="preserve">King et al. (2007) was a double-blind, randomised, controlled trial (RCT) with 26 infants in each of the </w:t>
      </w:r>
      <w:proofErr w:type="spellStart"/>
      <w:r w:rsidRPr="1578867F">
        <w:rPr>
          <w:rFonts w:eastAsia="Arial"/>
        </w:rPr>
        <w:t>bLf</w:t>
      </w:r>
      <w:proofErr w:type="spellEnd"/>
      <w:r w:rsidRPr="1578867F">
        <w:rPr>
          <w:rFonts w:eastAsia="Arial"/>
        </w:rPr>
        <w:t xml:space="preserve"> and control formula groups. </w:t>
      </w:r>
      <w:r w:rsidRPr="66531369">
        <w:rPr>
          <w:rFonts w:eastAsia="Arial"/>
        </w:rPr>
        <w:t xml:space="preserve">Bovine </w:t>
      </w:r>
      <w:proofErr w:type="spellStart"/>
      <w:r w:rsidRPr="66531369">
        <w:rPr>
          <w:rFonts w:eastAsia="Arial"/>
        </w:rPr>
        <w:t>Lf</w:t>
      </w:r>
      <w:proofErr w:type="spellEnd"/>
      <w:r w:rsidRPr="1578867F">
        <w:rPr>
          <w:rFonts w:eastAsia="Arial"/>
        </w:rPr>
        <w:t xml:space="preserve"> concentrations in the test and control formulas were 820 and 102 mg/L, respectively. </w:t>
      </w:r>
      <w:r w:rsidRPr="66531369">
        <w:rPr>
          <w:rFonts w:eastAsia="Arial"/>
        </w:rPr>
        <w:t>Mean body weight</w:t>
      </w:r>
      <w:r w:rsidRPr="1578867F">
        <w:rPr>
          <w:rFonts w:eastAsia="Arial"/>
        </w:rPr>
        <w:t xml:space="preserve"> gain from </w:t>
      </w:r>
      <w:r w:rsidRPr="66531369">
        <w:rPr>
          <w:rFonts w:eastAsia="Arial"/>
        </w:rPr>
        <w:t>one</w:t>
      </w:r>
      <w:r w:rsidRPr="1578867F">
        <w:rPr>
          <w:rFonts w:eastAsia="Arial"/>
        </w:rPr>
        <w:t xml:space="preserve"> to </w:t>
      </w:r>
      <w:r w:rsidRPr="66531369">
        <w:rPr>
          <w:rFonts w:eastAsia="Arial"/>
        </w:rPr>
        <w:t>four</w:t>
      </w:r>
      <w:r w:rsidRPr="1578867F">
        <w:rPr>
          <w:rFonts w:eastAsia="Arial"/>
        </w:rPr>
        <w:t xml:space="preserve"> months (i.e. before the introduction of complementary feeding) was 2.0 g/day greater in the </w:t>
      </w:r>
      <w:proofErr w:type="spellStart"/>
      <w:r w:rsidRPr="1578867F">
        <w:rPr>
          <w:rFonts w:eastAsia="Arial"/>
        </w:rPr>
        <w:t>bLf</w:t>
      </w:r>
      <w:proofErr w:type="spellEnd"/>
      <w:r w:rsidRPr="1578867F">
        <w:rPr>
          <w:rFonts w:eastAsia="Arial"/>
        </w:rPr>
        <w:t xml:space="preserve"> group, however statistical significance testing was not conducted.</w:t>
      </w:r>
    </w:p>
    <w:p w14:paraId="14D3D143" w14:textId="77777777" w:rsidR="00C017A8" w:rsidRPr="00F47829" w:rsidRDefault="00C017A8" w:rsidP="00C017A8">
      <w:pPr>
        <w:rPr>
          <w:rFonts w:eastAsia="Arial"/>
        </w:rPr>
      </w:pPr>
    </w:p>
    <w:p w14:paraId="1D0FA5CC" w14:textId="77777777" w:rsidR="00C017A8" w:rsidRPr="00F47829" w:rsidRDefault="00C017A8" w:rsidP="00C017A8">
      <w:pPr>
        <w:rPr>
          <w:rFonts w:eastAsia="Arial"/>
        </w:rPr>
      </w:pPr>
      <w:r w:rsidRPr="1578867F">
        <w:rPr>
          <w:rFonts w:eastAsia="Arial"/>
        </w:rPr>
        <w:t xml:space="preserve">In a double-blind RCT described by Johnston et al. (2015), the two test formulas (containing </w:t>
      </w:r>
      <w:proofErr w:type="spellStart"/>
      <w:r w:rsidRPr="1578867F">
        <w:rPr>
          <w:rFonts w:eastAsia="Arial"/>
        </w:rPr>
        <w:t>bLf</w:t>
      </w:r>
      <w:proofErr w:type="spellEnd"/>
      <w:r w:rsidRPr="1578867F">
        <w:rPr>
          <w:rFonts w:eastAsia="Arial"/>
        </w:rPr>
        <w:t xml:space="preserve"> at 0.6 and 1.0 g/L) also contained an added blend of polydextrose and </w:t>
      </w:r>
      <w:proofErr w:type="spellStart"/>
      <w:r w:rsidRPr="1578867F">
        <w:rPr>
          <w:rFonts w:eastAsia="Arial"/>
        </w:rPr>
        <w:t>galactooligosaccharides</w:t>
      </w:r>
      <w:proofErr w:type="spellEnd"/>
      <w:r w:rsidRPr="1578867F">
        <w:rPr>
          <w:rFonts w:eastAsia="Arial"/>
        </w:rPr>
        <w:t xml:space="preserve"> (4 g/L) that was not added to the control formula. The sample size (~160/group) was chosen to detect a clinically relevant difference of 3 g/day in weight gain. There were no statistically significant differences between groups in weight gain from 14–120 days of age.</w:t>
      </w:r>
    </w:p>
    <w:p w14:paraId="7C584E42" w14:textId="77777777" w:rsidR="00C017A8" w:rsidRPr="00F47829" w:rsidRDefault="00C017A8" w:rsidP="00C017A8">
      <w:pPr>
        <w:rPr>
          <w:rFonts w:eastAsia="Arial"/>
        </w:rPr>
      </w:pPr>
    </w:p>
    <w:p w14:paraId="62BF414C" w14:textId="77777777" w:rsidR="00C017A8" w:rsidRPr="00F47829" w:rsidRDefault="00C017A8" w:rsidP="00C017A8">
      <w:pPr>
        <w:rPr>
          <w:rFonts w:eastAsia="Arial"/>
        </w:rPr>
      </w:pPr>
      <w:r w:rsidRPr="0682D99A">
        <w:rPr>
          <w:rFonts w:eastAsia="Arial"/>
        </w:rPr>
        <w:t>Li</w:t>
      </w:r>
      <w:r w:rsidRPr="1578867F">
        <w:rPr>
          <w:rFonts w:eastAsia="Arial"/>
        </w:rPr>
        <w:t xml:space="preserve"> et al. (2019) describe a double-blind RCT in which the test formula contained added </w:t>
      </w:r>
      <w:proofErr w:type="spellStart"/>
      <w:r w:rsidRPr="1578867F">
        <w:rPr>
          <w:rFonts w:eastAsia="Arial"/>
        </w:rPr>
        <w:t>bLf</w:t>
      </w:r>
      <w:proofErr w:type="spellEnd"/>
      <w:r w:rsidRPr="1578867F">
        <w:rPr>
          <w:rFonts w:eastAsia="Arial"/>
        </w:rPr>
        <w:t xml:space="preserve"> (0.6 g/L) and bovine milk fat globule membrane (MFGM; 5 g/L). There were ~190 infants in both the control and test groups by day 120 of the study. From days 14 to 120, weight gain in the </w:t>
      </w:r>
      <w:proofErr w:type="spellStart"/>
      <w:r w:rsidRPr="1578867F">
        <w:rPr>
          <w:rFonts w:eastAsia="Arial"/>
        </w:rPr>
        <w:t>bLf</w:t>
      </w:r>
      <w:proofErr w:type="spellEnd"/>
      <w:r w:rsidRPr="1578867F">
        <w:rPr>
          <w:rFonts w:eastAsia="Arial"/>
        </w:rPr>
        <w:t xml:space="preserve"> + MFGM group was 0.6 g/day lower in males and 1.1 g/day higher in females, however the differences were not statistically significant.</w:t>
      </w:r>
    </w:p>
    <w:p w14:paraId="5E38DC3F" w14:textId="77777777" w:rsidR="00C017A8" w:rsidRPr="00F47829" w:rsidRDefault="00C017A8" w:rsidP="00C017A8">
      <w:pPr>
        <w:rPr>
          <w:rFonts w:eastAsia="Arial"/>
        </w:rPr>
      </w:pPr>
    </w:p>
    <w:p w14:paraId="46663C58" w14:textId="77777777" w:rsidR="00C017A8" w:rsidRPr="00F47829" w:rsidRDefault="00C017A8" w:rsidP="00C017A8">
      <w:pPr>
        <w:rPr>
          <w:rFonts w:eastAsia="Arial"/>
        </w:rPr>
      </w:pPr>
      <w:r w:rsidRPr="00F47829">
        <w:rPr>
          <w:rFonts w:eastAsia="Arial"/>
        </w:rPr>
        <w:t xml:space="preserve">Two trials included a </w:t>
      </w:r>
      <w:r w:rsidRPr="66531369">
        <w:rPr>
          <w:rFonts w:eastAsia="Arial"/>
        </w:rPr>
        <w:t>human milk-fed</w:t>
      </w:r>
      <w:r w:rsidRPr="00F47829">
        <w:rPr>
          <w:rFonts w:eastAsia="Arial"/>
        </w:rPr>
        <w:t xml:space="preserve"> reference group (</w:t>
      </w:r>
      <w:proofErr w:type="spellStart"/>
      <w:r w:rsidRPr="00F47829">
        <w:rPr>
          <w:rFonts w:eastAsia="Arial"/>
        </w:rPr>
        <w:t>Hernell</w:t>
      </w:r>
      <w:proofErr w:type="spellEnd"/>
      <w:r w:rsidRPr="00F47829">
        <w:rPr>
          <w:rFonts w:eastAsia="Arial"/>
        </w:rPr>
        <w:t xml:space="preserve"> &amp; </w:t>
      </w:r>
      <w:proofErr w:type="spellStart"/>
      <w:r w:rsidRPr="00F47829">
        <w:rPr>
          <w:rFonts w:eastAsia="Arial"/>
        </w:rPr>
        <w:t>Lönnerdal</w:t>
      </w:r>
      <w:proofErr w:type="spellEnd"/>
      <w:r w:rsidRPr="00F47829">
        <w:rPr>
          <w:rFonts w:eastAsia="Arial"/>
        </w:rPr>
        <w:t xml:space="preserve"> 2002; </w:t>
      </w:r>
      <w:proofErr w:type="spellStart"/>
      <w:r w:rsidRPr="00F47829">
        <w:rPr>
          <w:rFonts w:eastAsia="Arial"/>
        </w:rPr>
        <w:t>Björmsjö</w:t>
      </w:r>
      <w:proofErr w:type="spellEnd"/>
      <w:r w:rsidRPr="00F47829">
        <w:rPr>
          <w:rFonts w:eastAsia="Arial"/>
        </w:rPr>
        <w:t xml:space="preserve"> et al. 2021). The desired growth trajectory for formula-fed infants is one similar to that of a concurrent </w:t>
      </w:r>
      <w:r w:rsidRPr="66531369">
        <w:rPr>
          <w:rFonts w:eastAsia="Arial"/>
        </w:rPr>
        <w:t>human milk-fed</w:t>
      </w:r>
      <w:r w:rsidRPr="00F47829">
        <w:rPr>
          <w:rFonts w:eastAsia="Arial"/>
        </w:rPr>
        <w:t xml:space="preserve"> reference group. Compositional differences between </w:t>
      </w:r>
      <w:r w:rsidRPr="66531369">
        <w:rPr>
          <w:rFonts w:eastAsia="Arial"/>
        </w:rPr>
        <w:t>human milk</w:t>
      </w:r>
      <w:r w:rsidRPr="00F47829">
        <w:rPr>
          <w:rFonts w:eastAsia="Arial"/>
        </w:rPr>
        <w:t xml:space="preserve"> and infant formula, including temporal changes in </w:t>
      </w:r>
      <w:r w:rsidRPr="66531369">
        <w:rPr>
          <w:rFonts w:eastAsia="Arial"/>
        </w:rPr>
        <w:t>human milk</w:t>
      </w:r>
      <w:r w:rsidRPr="00F47829">
        <w:rPr>
          <w:rFonts w:eastAsia="Arial"/>
        </w:rPr>
        <w:t xml:space="preserve"> composition, contribute to differences in growth trajectories observed in trials.</w:t>
      </w:r>
    </w:p>
    <w:p w14:paraId="5B25E58B" w14:textId="77777777" w:rsidR="00C017A8" w:rsidRPr="00F47829" w:rsidRDefault="00C017A8" w:rsidP="00C017A8">
      <w:pPr>
        <w:rPr>
          <w:rFonts w:eastAsia="Arial"/>
        </w:rPr>
      </w:pPr>
    </w:p>
    <w:p w14:paraId="57E3DCB6" w14:textId="77777777" w:rsidR="00C017A8" w:rsidRPr="00F47829" w:rsidRDefault="00C017A8" w:rsidP="00C017A8">
      <w:pPr>
        <w:rPr>
          <w:rFonts w:eastAsia="Arial"/>
        </w:rPr>
      </w:pPr>
      <w:proofErr w:type="spellStart"/>
      <w:r w:rsidRPr="1578867F">
        <w:rPr>
          <w:rFonts w:eastAsia="Arial"/>
        </w:rPr>
        <w:t>Hernell</w:t>
      </w:r>
      <w:proofErr w:type="spellEnd"/>
      <w:r w:rsidRPr="1578867F">
        <w:rPr>
          <w:rFonts w:eastAsia="Arial"/>
        </w:rPr>
        <w:t xml:space="preserve"> &amp; </w:t>
      </w:r>
      <w:proofErr w:type="spellStart"/>
      <w:r w:rsidRPr="1578867F">
        <w:rPr>
          <w:rFonts w:eastAsia="Arial"/>
        </w:rPr>
        <w:t>Lönnerdal</w:t>
      </w:r>
      <w:proofErr w:type="spellEnd"/>
      <w:r w:rsidRPr="1578867F">
        <w:rPr>
          <w:rFonts w:eastAsia="Arial"/>
        </w:rPr>
        <w:t xml:space="preserve"> (2002) describe a small </w:t>
      </w:r>
      <w:r w:rsidRPr="66531369">
        <w:rPr>
          <w:rFonts w:eastAsia="Arial"/>
        </w:rPr>
        <w:t xml:space="preserve">single-blind </w:t>
      </w:r>
      <w:r w:rsidRPr="1578867F">
        <w:rPr>
          <w:rFonts w:eastAsia="Arial"/>
        </w:rPr>
        <w:t xml:space="preserve">study with 10 to 12 infants in the formula groups and 16 in the breastfed group. Mean bodyweight gain from </w:t>
      </w:r>
      <w:r w:rsidRPr="66531369">
        <w:rPr>
          <w:rFonts w:eastAsia="Arial"/>
        </w:rPr>
        <w:t>one</w:t>
      </w:r>
      <w:r w:rsidRPr="1578867F">
        <w:rPr>
          <w:rFonts w:eastAsia="Arial"/>
        </w:rPr>
        <w:t xml:space="preserve"> month to </w:t>
      </w:r>
      <w:r w:rsidRPr="66531369">
        <w:rPr>
          <w:rFonts w:eastAsia="Arial"/>
        </w:rPr>
        <w:t>four</w:t>
      </w:r>
      <w:r w:rsidRPr="1578867F">
        <w:rPr>
          <w:rFonts w:eastAsia="Arial"/>
        </w:rPr>
        <w:t xml:space="preserve"> months was 7.2 and 10.4 g/day greater in the </w:t>
      </w:r>
      <w:proofErr w:type="spellStart"/>
      <w:r w:rsidRPr="1578867F">
        <w:rPr>
          <w:rFonts w:eastAsia="Arial"/>
        </w:rPr>
        <w:t>bLf</w:t>
      </w:r>
      <w:proofErr w:type="spellEnd"/>
      <w:r w:rsidRPr="1578867F">
        <w:rPr>
          <w:rFonts w:eastAsia="Arial"/>
        </w:rPr>
        <w:t xml:space="preserve"> group compared to the non-</w:t>
      </w:r>
      <w:proofErr w:type="spellStart"/>
      <w:r w:rsidRPr="1578867F">
        <w:rPr>
          <w:rFonts w:eastAsia="Arial"/>
        </w:rPr>
        <w:t>bLf</w:t>
      </w:r>
      <w:proofErr w:type="spellEnd"/>
      <w:r w:rsidRPr="1578867F">
        <w:rPr>
          <w:rFonts w:eastAsia="Arial"/>
        </w:rPr>
        <w:t xml:space="preserve"> and </w:t>
      </w:r>
      <w:r w:rsidRPr="66531369">
        <w:rPr>
          <w:rFonts w:eastAsia="Arial"/>
        </w:rPr>
        <w:t>human milk-fed</w:t>
      </w:r>
      <w:r w:rsidRPr="1578867F">
        <w:rPr>
          <w:rFonts w:eastAsia="Arial"/>
        </w:rPr>
        <w:t xml:space="preserve"> groups, respectively. These differences were not statistically significant.</w:t>
      </w:r>
    </w:p>
    <w:p w14:paraId="5B971C70" w14:textId="77777777" w:rsidR="00C017A8" w:rsidRPr="00F47829" w:rsidRDefault="00C017A8" w:rsidP="00C017A8">
      <w:pPr>
        <w:rPr>
          <w:rFonts w:eastAsia="Arial"/>
        </w:rPr>
      </w:pPr>
    </w:p>
    <w:p w14:paraId="4F2AEB39" w14:textId="77777777" w:rsidR="00C017A8" w:rsidRPr="00F47829" w:rsidRDefault="00C017A8" w:rsidP="00C017A8">
      <w:pPr>
        <w:rPr>
          <w:rFonts w:eastAsia="Arial"/>
        </w:rPr>
      </w:pPr>
      <w:proofErr w:type="spellStart"/>
      <w:r w:rsidRPr="00F47829">
        <w:rPr>
          <w:rFonts w:eastAsia="Arial"/>
        </w:rPr>
        <w:t>Björmsjö</w:t>
      </w:r>
      <w:proofErr w:type="spellEnd"/>
      <w:r w:rsidRPr="00F47829">
        <w:rPr>
          <w:rFonts w:eastAsia="Arial"/>
        </w:rPr>
        <w:t xml:space="preserve"> et al. (2021) describe a double blind RCT investigating the growth of infants (n=33−72/group) fed formula containing: (</w:t>
      </w:r>
      <w:proofErr w:type="spellStart"/>
      <w:r w:rsidRPr="00F47829">
        <w:rPr>
          <w:rFonts w:eastAsia="Arial"/>
        </w:rPr>
        <w:t>i</w:t>
      </w:r>
      <w:proofErr w:type="spellEnd"/>
      <w:r w:rsidRPr="00F47829">
        <w:rPr>
          <w:rFonts w:eastAsia="Arial"/>
        </w:rPr>
        <w:t xml:space="preserve">) </w:t>
      </w:r>
      <w:proofErr w:type="spellStart"/>
      <w:r w:rsidRPr="00F47829">
        <w:rPr>
          <w:rFonts w:eastAsia="Arial"/>
        </w:rPr>
        <w:t>bLf</w:t>
      </w:r>
      <w:proofErr w:type="spellEnd"/>
      <w:r w:rsidRPr="00F47829">
        <w:rPr>
          <w:rFonts w:eastAsia="Arial"/>
        </w:rPr>
        <w:t xml:space="preserve"> (1 g/L) + iron (2 mg/L); (ii) no added </w:t>
      </w:r>
      <w:proofErr w:type="spellStart"/>
      <w:r w:rsidRPr="00F47829">
        <w:rPr>
          <w:rFonts w:eastAsia="Arial"/>
        </w:rPr>
        <w:t>bLf</w:t>
      </w:r>
      <w:proofErr w:type="spellEnd"/>
      <w:r w:rsidRPr="00F47829">
        <w:rPr>
          <w:rFonts w:eastAsia="Arial"/>
        </w:rPr>
        <w:t xml:space="preserve"> + iron (2 mg/L); or</w:t>
      </w:r>
      <w:r w:rsidRPr="66531369">
        <w:rPr>
          <w:rFonts w:eastAsia="Arial"/>
        </w:rPr>
        <w:t>,</w:t>
      </w:r>
      <w:r w:rsidRPr="00F47829">
        <w:rPr>
          <w:rFonts w:eastAsia="Arial"/>
        </w:rPr>
        <w:t xml:space="preserve"> (iii) no added </w:t>
      </w:r>
      <w:proofErr w:type="spellStart"/>
      <w:r w:rsidRPr="00F47829">
        <w:rPr>
          <w:rFonts w:eastAsia="Arial"/>
        </w:rPr>
        <w:t>bLf</w:t>
      </w:r>
      <w:proofErr w:type="spellEnd"/>
      <w:r w:rsidRPr="00F47829">
        <w:rPr>
          <w:rFonts w:eastAsia="Arial"/>
        </w:rPr>
        <w:t xml:space="preserve"> + iron (8 mg/L). A group of 70 infants served as a breastfed reference. Mean </w:t>
      </w:r>
      <w:r w:rsidRPr="66531369">
        <w:rPr>
          <w:rFonts w:eastAsia="Arial"/>
        </w:rPr>
        <w:t>body weight</w:t>
      </w:r>
      <w:r w:rsidRPr="00F47829">
        <w:rPr>
          <w:rFonts w:eastAsia="Arial"/>
        </w:rPr>
        <w:t xml:space="preserve"> gain from </w:t>
      </w:r>
      <w:r w:rsidRPr="66531369">
        <w:rPr>
          <w:rFonts w:eastAsia="Arial"/>
        </w:rPr>
        <w:t>six</w:t>
      </w:r>
      <w:r w:rsidRPr="00F47829">
        <w:rPr>
          <w:rFonts w:eastAsia="Arial"/>
        </w:rPr>
        <w:t xml:space="preserve"> weeks to </w:t>
      </w:r>
      <w:r w:rsidRPr="66531369">
        <w:rPr>
          <w:rFonts w:eastAsia="Arial"/>
        </w:rPr>
        <w:t>four</w:t>
      </w:r>
      <w:r w:rsidRPr="00F47829">
        <w:rPr>
          <w:rFonts w:eastAsia="Arial"/>
        </w:rPr>
        <w:t xml:space="preserve"> months was 1.8 g/day greater in the </w:t>
      </w:r>
      <w:proofErr w:type="spellStart"/>
      <w:r w:rsidRPr="00F47829">
        <w:rPr>
          <w:rFonts w:eastAsia="Arial"/>
        </w:rPr>
        <w:t>bLf</w:t>
      </w:r>
      <w:proofErr w:type="spellEnd"/>
      <w:r w:rsidRPr="00F47829">
        <w:rPr>
          <w:rFonts w:eastAsia="Arial"/>
        </w:rPr>
        <w:t xml:space="preserve"> group compared to the </w:t>
      </w:r>
      <w:r w:rsidRPr="66531369">
        <w:rPr>
          <w:rFonts w:eastAsia="Arial"/>
        </w:rPr>
        <w:t>human milk-fed</w:t>
      </w:r>
      <w:r w:rsidRPr="00F47829">
        <w:rPr>
          <w:rFonts w:eastAsia="Arial"/>
        </w:rPr>
        <w:t xml:space="preserve"> group, but was 0.9 and 1.8 g/day lower relative to groups (ii) and (iii). Statistical significance testing was only reported relative to the </w:t>
      </w:r>
      <w:r w:rsidRPr="66531369">
        <w:rPr>
          <w:rFonts w:eastAsia="Arial"/>
        </w:rPr>
        <w:t>human milk-fed</w:t>
      </w:r>
      <w:r w:rsidRPr="00F47829">
        <w:rPr>
          <w:rFonts w:eastAsia="Arial"/>
        </w:rPr>
        <w:t xml:space="preserve"> group, with no differences evident. There were no statistically significant differences in iron status indicators.</w:t>
      </w:r>
    </w:p>
    <w:p w14:paraId="3C8ED12F" w14:textId="77777777" w:rsidR="00C017A8" w:rsidRPr="00F47829" w:rsidRDefault="00C017A8" w:rsidP="00C017A8">
      <w:pPr>
        <w:rPr>
          <w:rFonts w:eastAsia="Arial"/>
        </w:rPr>
      </w:pPr>
    </w:p>
    <w:p w14:paraId="4DFBCBFE" w14:textId="77777777" w:rsidR="00C017A8" w:rsidRDefault="00C017A8" w:rsidP="00C017A8">
      <w:r w:rsidRPr="00F47829">
        <w:rPr>
          <w:rFonts w:eastAsia="Arial"/>
        </w:rPr>
        <w:t>Despite limitations in the available studies, the observed differences in weight gain in four of the five studies were less than 3 g/day, a value considered to be the clinically relevant threshold (</w:t>
      </w:r>
      <w:r>
        <w:rPr>
          <w:rFonts w:eastAsia="Arial"/>
        </w:rPr>
        <w:t>AAP 1988</w:t>
      </w:r>
      <w:r w:rsidRPr="00F47829">
        <w:rPr>
          <w:rFonts w:eastAsia="Arial"/>
        </w:rPr>
        <w:t xml:space="preserve">). It is therefore concluded that consumption of infant formula with added </w:t>
      </w:r>
      <w:proofErr w:type="spellStart"/>
      <w:r w:rsidRPr="66531369">
        <w:rPr>
          <w:rFonts w:eastAsia="Arial"/>
        </w:rPr>
        <w:t>bLf</w:t>
      </w:r>
      <w:proofErr w:type="spellEnd"/>
      <w:r w:rsidRPr="00F47829">
        <w:rPr>
          <w:rFonts w:eastAsia="Arial"/>
        </w:rPr>
        <w:t>, at up to 1 g/L (equivalent to 40 mg/100 kJ), is unlikely to adversely affect infant growth and development.</w:t>
      </w:r>
      <w:r w:rsidRPr="1F557A3B">
        <w:rPr>
          <w:rFonts w:eastAsia="Arial"/>
          <w:color w:val="000000" w:themeColor="text1"/>
        </w:rPr>
        <w:t xml:space="preserve"> </w:t>
      </w:r>
    </w:p>
    <w:p w14:paraId="14AACBB0" w14:textId="77777777" w:rsidR="00C017A8" w:rsidRPr="005B5A94" w:rsidRDefault="00C017A8" w:rsidP="005B5A94">
      <w:pPr>
        <w:widowControl/>
        <w:textAlignment w:val="baseline"/>
        <w:rPr>
          <w:rFonts w:ascii="Segoe UI" w:hAnsi="Segoe UI" w:cs="Segoe UI"/>
          <w:sz w:val="18"/>
          <w:szCs w:val="18"/>
          <w:lang w:val="en-AU" w:eastAsia="en-AU" w:bidi="ar-SA"/>
        </w:rPr>
      </w:pPr>
    </w:p>
    <w:p w14:paraId="1D44B447" w14:textId="523D3997" w:rsidR="00664637" w:rsidRPr="001C0482" w:rsidRDefault="007C24BB" w:rsidP="001C0482">
      <w:pPr>
        <w:pStyle w:val="Heading1"/>
      </w:pPr>
      <w:bookmarkStart w:id="110" w:name="_Toc113523076"/>
      <w:r>
        <w:t>5</w:t>
      </w:r>
      <w:r w:rsidR="00664637">
        <w:tab/>
      </w:r>
      <w:r w:rsidR="164D29C6">
        <w:t xml:space="preserve">Beneficial health </w:t>
      </w:r>
      <w:r w:rsidR="370A5AFC">
        <w:t>effects assessment</w:t>
      </w:r>
      <w:bookmarkEnd w:id="98"/>
      <w:bookmarkEnd w:id="99"/>
      <w:bookmarkEnd w:id="110"/>
    </w:p>
    <w:p w14:paraId="09742D70" w14:textId="70FBB78F" w:rsidR="00987924" w:rsidRDefault="00987924" w:rsidP="00987924">
      <w:r>
        <w:t xml:space="preserve">The applicant proposes that </w:t>
      </w:r>
      <w:proofErr w:type="spellStart"/>
      <w:r>
        <w:t>bLf</w:t>
      </w:r>
      <w:proofErr w:type="spellEnd"/>
      <w:r>
        <w:t xml:space="preserve"> added to infant formula is likely to have a beneficial role in the growth and development of infants similar to that carried out by human lactoferrin present in the diet of breastfeeding infants. In particular, they suggest that </w:t>
      </w:r>
      <w:proofErr w:type="spellStart"/>
      <w:r>
        <w:t>bLf</w:t>
      </w:r>
      <w:proofErr w:type="spellEnd"/>
      <w:r>
        <w:t xml:space="preserve"> will have the specific health outcome of reducing the risk of infection through:</w:t>
      </w:r>
    </w:p>
    <w:p w14:paraId="48FFDB28" w14:textId="5166BD1F" w:rsidR="00987924" w:rsidRDefault="007B18C2" w:rsidP="00996AC3">
      <w:pPr>
        <w:pStyle w:val="ListParagraph"/>
        <w:numPr>
          <w:ilvl w:val="0"/>
          <w:numId w:val="4"/>
        </w:numPr>
      </w:pPr>
      <w:r>
        <w:t>a</w:t>
      </w:r>
      <w:r w:rsidR="00987924">
        <w:t>ntibacterial and/or bacteriostatic effects</w:t>
      </w:r>
    </w:p>
    <w:p w14:paraId="1A877396" w14:textId="0DFB2E48" w:rsidR="00987924" w:rsidRDefault="007B18C2" w:rsidP="00996AC3">
      <w:pPr>
        <w:pStyle w:val="ListParagraph"/>
        <w:numPr>
          <w:ilvl w:val="0"/>
          <w:numId w:val="4"/>
        </w:numPr>
      </w:pPr>
      <w:r>
        <w:t>a</w:t>
      </w:r>
      <w:r w:rsidR="00987924">
        <w:t>n anti-viral effect</w:t>
      </w:r>
    </w:p>
    <w:p w14:paraId="596A041A" w14:textId="29AA6384" w:rsidR="00987924" w:rsidRDefault="007B18C2" w:rsidP="00996AC3">
      <w:pPr>
        <w:pStyle w:val="ListParagraph"/>
        <w:numPr>
          <w:ilvl w:val="0"/>
          <w:numId w:val="4"/>
        </w:numPr>
      </w:pPr>
      <w:r>
        <w:t>a</w:t>
      </w:r>
      <w:r w:rsidR="00987924">
        <w:t>n immunomodulatory effect</w:t>
      </w:r>
    </w:p>
    <w:p w14:paraId="532C45A4" w14:textId="531FF3AC" w:rsidR="00987924" w:rsidRDefault="007B18C2" w:rsidP="00996AC3">
      <w:pPr>
        <w:pStyle w:val="ListParagraph"/>
        <w:numPr>
          <w:ilvl w:val="0"/>
          <w:numId w:val="4"/>
        </w:numPr>
      </w:pPr>
      <w:r>
        <w:t>r</w:t>
      </w:r>
      <w:r w:rsidR="00987924">
        <w:t>educing the severity and duration of infection.</w:t>
      </w:r>
    </w:p>
    <w:p w14:paraId="29935185" w14:textId="77777777" w:rsidR="003E6BBA" w:rsidRDefault="003E6BBA" w:rsidP="00664637"/>
    <w:p w14:paraId="58B4FECF" w14:textId="18BD19CB" w:rsidR="001851DF" w:rsidRDefault="00987924" w:rsidP="00664637">
      <w:r>
        <w:t xml:space="preserve">This assessment considers the weight of evidence derived from </w:t>
      </w:r>
      <w:r w:rsidRPr="007B18C2">
        <w:rPr>
          <w:i/>
        </w:rPr>
        <w:t>in vitro</w:t>
      </w:r>
      <w:r>
        <w:t xml:space="preserve">, </w:t>
      </w:r>
      <w:r w:rsidRPr="007B18C2">
        <w:rPr>
          <w:i/>
        </w:rPr>
        <w:t>ex vivo</w:t>
      </w:r>
      <w:r>
        <w:t xml:space="preserve"> and animal studies, which provide evidence about possible mechanisms by which the beneficial effect might be achieved, as well as evidence generated through human intervention and observational studies.</w:t>
      </w:r>
    </w:p>
    <w:p w14:paraId="4D71C5E7" w14:textId="5F8E306D" w:rsidR="003947C0" w:rsidRDefault="0021716D" w:rsidP="00733CE2">
      <w:pPr>
        <w:pStyle w:val="Heading2"/>
      </w:pPr>
      <w:bookmarkStart w:id="111" w:name="_Toc111626703"/>
      <w:bookmarkStart w:id="112" w:name="_Toc112915013"/>
      <w:bookmarkStart w:id="113" w:name="_Toc113523077"/>
      <w:r>
        <w:t>5</w:t>
      </w:r>
      <w:r w:rsidR="003947C0">
        <w:t>.1</w:t>
      </w:r>
      <w:r w:rsidR="003947C0">
        <w:tab/>
        <w:t>Antibacterial and/or bacteriostatic effects</w:t>
      </w:r>
      <w:bookmarkEnd w:id="111"/>
      <w:bookmarkEnd w:id="112"/>
      <w:bookmarkEnd w:id="113"/>
    </w:p>
    <w:p w14:paraId="07249FAA" w14:textId="77777777" w:rsidR="006D2CCB" w:rsidRDefault="006D2CCB" w:rsidP="006D2CCB">
      <w:pPr>
        <w:rPr>
          <w:rFonts w:cs="Arial"/>
        </w:rPr>
      </w:pPr>
      <w:r>
        <w:rPr>
          <w:rFonts w:cs="Arial"/>
        </w:rPr>
        <w:t>Lactoferrins are known to exert antimicrobial effects by at least two distinct mechanisms: a bacteriostatic effect related to sequestration of iron; and a bactericidal effect mediated through binding to cell surface molecules and causing damage to cell membranes.</w:t>
      </w:r>
    </w:p>
    <w:p w14:paraId="230DE286" w14:textId="77777777" w:rsidR="006D2CCB" w:rsidRPr="00DF5AA6" w:rsidRDefault="006D2CCB" w:rsidP="006D2CCB">
      <w:pPr>
        <w:rPr>
          <w:rFonts w:cs="Arial"/>
        </w:rPr>
      </w:pPr>
      <w:r>
        <w:rPr>
          <w:rFonts w:cs="Arial"/>
        </w:rPr>
        <w:t xml:space="preserve">Iron sequestration leading to inhibition of bacterial growth was first demonstrated by Bullen et al. (1972). They demonstrated that inhibition of the growth of a strain of enteropathogenic </w:t>
      </w:r>
      <w:r w:rsidRPr="00FE282D">
        <w:rPr>
          <w:rFonts w:cs="Arial"/>
          <w:i/>
        </w:rPr>
        <w:t>Escherichia coli</w:t>
      </w:r>
      <w:r>
        <w:rPr>
          <w:rFonts w:cs="Arial"/>
        </w:rPr>
        <w:t xml:space="preserve"> 0111 by human lactoferrin was negatively correlated with the degree of iron saturation, and could be abolished by addition of free ferric ions. They also reported that bovine colostrum—known to have high levels of lactoferrin (up </w:t>
      </w:r>
      <w:r w:rsidRPr="00DF5AA6">
        <w:rPr>
          <w:rFonts w:cs="Arial"/>
        </w:rPr>
        <w:t xml:space="preserve">to 2 mg/mL: Tsuji et al., 1990)—exerted a similar bacteriostatic effect, although they did not directly demonstrate a role for </w:t>
      </w:r>
      <w:proofErr w:type="spellStart"/>
      <w:r w:rsidRPr="00DF5AA6">
        <w:rPr>
          <w:rFonts w:cs="Arial"/>
        </w:rPr>
        <w:t>bLf</w:t>
      </w:r>
      <w:proofErr w:type="spellEnd"/>
      <w:r w:rsidRPr="00DF5AA6">
        <w:rPr>
          <w:rFonts w:cs="Arial"/>
        </w:rPr>
        <w:t xml:space="preserve">. Similar Fe-sensitive bacteriostatic effects of </w:t>
      </w:r>
      <w:proofErr w:type="spellStart"/>
      <w:r w:rsidRPr="00DF5AA6">
        <w:rPr>
          <w:rFonts w:cs="Arial"/>
        </w:rPr>
        <w:t>hLf</w:t>
      </w:r>
      <w:proofErr w:type="spellEnd"/>
      <w:r w:rsidRPr="00DF5AA6">
        <w:rPr>
          <w:rFonts w:cs="Arial"/>
        </w:rPr>
        <w:t xml:space="preserve"> and/or</w:t>
      </w:r>
      <w:r>
        <w:rPr>
          <w:rFonts w:cs="Arial"/>
        </w:rPr>
        <w:t xml:space="preserve"> </w:t>
      </w:r>
      <w:proofErr w:type="spellStart"/>
      <w:r>
        <w:rPr>
          <w:rFonts w:cs="Arial"/>
        </w:rPr>
        <w:t>bLf</w:t>
      </w:r>
      <w:proofErr w:type="spellEnd"/>
      <w:r>
        <w:rPr>
          <w:rFonts w:cs="Arial"/>
        </w:rPr>
        <w:t xml:space="preserve"> have been reported for a variety of microorganisms, including </w:t>
      </w:r>
      <w:r w:rsidRPr="006658F3">
        <w:rPr>
          <w:rFonts w:cs="Arial"/>
          <w:i/>
        </w:rPr>
        <w:t>Staphylococcus aureus</w:t>
      </w:r>
      <w:r>
        <w:rPr>
          <w:rFonts w:cs="Arial"/>
        </w:rPr>
        <w:t xml:space="preserve">, clostridia and </w:t>
      </w:r>
      <w:r w:rsidRPr="00DF5AA6">
        <w:rPr>
          <w:rFonts w:cs="Arial"/>
        </w:rPr>
        <w:t xml:space="preserve">Enterobacteriaceae, (Aguila et al., 2001; </w:t>
      </w:r>
      <w:proofErr w:type="spellStart"/>
      <w:r w:rsidRPr="00DF5AA6">
        <w:rPr>
          <w:rFonts w:cs="Arial"/>
        </w:rPr>
        <w:t>Teraguchi</w:t>
      </w:r>
      <w:proofErr w:type="spellEnd"/>
      <w:r w:rsidRPr="00DF5AA6">
        <w:rPr>
          <w:rFonts w:cs="Arial"/>
        </w:rPr>
        <w:t xml:space="preserve"> et al., 1993;1995; </w:t>
      </w:r>
      <w:proofErr w:type="spellStart"/>
      <w:r w:rsidRPr="00DF5AA6">
        <w:rPr>
          <w:rFonts w:cs="Arial"/>
        </w:rPr>
        <w:t>Lonnerdahl</w:t>
      </w:r>
      <w:proofErr w:type="spellEnd"/>
      <w:r w:rsidRPr="00DF5AA6">
        <w:rPr>
          <w:rFonts w:cs="Arial"/>
        </w:rPr>
        <w:t xml:space="preserve"> et al., 2020).</w:t>
      </w:r>
    </w:p>
    <w:p w14:paraId="0FA85986" w14:textId="77777777" w:rsidR="007C5B6A" w:rsidRPr="00DF5AA6" w:rsidRDefault="007C5B6A" w:rsidP="006D2CCB">
      <w:pPr>
        <w:rPr>
          <w:rFonts w:cs="Arial"/>
        </w:rPr>
      </w:pPr>
    </w:p>
    <w:p w14:paraId="66B7F722" w14:textId="50F6F127" w:rsidR="006D2CCB" w:rsidRPr="00DF5AA6" w:rsidRDefault="213091D4" w:rsidP="006D2CCB">
      <w:pPr>
        <w:rPr>
          <w:rFonts w:cs="Arial"/>
        </w:rPr>
      </w:pPr>
      <w:r w:rsidRPr="00DF5AA6">
        <w:rPr>
          <w:rFonts w:cs="Arial"/>
        </w:rPr>
        <w:t>A direct bactericidal effect of apo-</w:t>
      </w:r>
      <w:proofErr w:type="spellStart"/>
      <w:r w:rsidRPr="00DF5AA6">
        <w:rPr>
          <w:rFonts w:cs="Arial"/>
        </w:rPr>
        <w:t>hLf</w:t>
      </w:r>
      <w:proofErr w:type="spellEnd"/>
      <w:r w:rsidRPr="00DF5AA6">
        <w:rPr>
          <w:rFonts w:cs="Arial"/>
        </w:rPr>
        <w:t xml:space="preserve"> against a wide variety of microorganisms was demonstrated by Arnold et al. (1980). Micromolar</w:t>
      </w:r>
      <w:r w:rsidRPr="57F8FDA9">
        <w:rPr>
          <w:rFonts w:cs="Arial"/>
        </w:rPr>
        <w:t xml:space="preserve"> concentrations of </w:t>
      </w:r>
      <w:proofErr w:type="spellStart"/>
      <w:r w:rsidRPr="57F8FDA9">
        <w:rPr>
          <w:rFonts w:cs="Arial"/>
        </w:rPr>
        <w:t>hLf</w:t>
      </w:r>
      <w:proofErr w:type="spellEnd"/>
      <w:r w:rsidRPr="57F8FDA9">
        <w:rPr>
          <w:rFonts w:cs="Arial"/>
        </w:rPr>
        <w:t xml:space="preserve"> typically resulted in greater than a 3 log reduction of viable colony forming units within 1 hour of exposure to apo</w:t>
      </w:r>
      <w:r w:rsidR="003F34B3">
        <w:rPr>
          <w:rFonts w:cs="Arial"/>
        </w:rPr>
        <w:noBreakHyphen/>
      </w:r>
      <w:proofErr w:type="spellStart"/>
      <w:r w:rsidRPr="57F8FDA9">
        <w:rPr>
          <w:rFonts w:cs="Arial"/>
        </w:rPr>
        <w:t>hLf</w:t>
      </w:r>
      <w:proofErr w:type="spellEnd"/>
      <w:r w:rsidRPr="57F8FDA9">
        <w:rPr>
          <w:rFonts w:cs="Arial"/>
        </w:rPr>
        <w:t>. Lactoferrin sensitivity was observed for Gram-positive and Gram-negative bacteria; rods and cocci; aerotolerant anaerobes, facultative anaerobes and strict aerobes; and</w:t>
      </w:r>
      <w:r w:rsidR="0946A647" w:rsidRPr="48784B51">
        <w:rPr>
          <w:rFonts w:cs="Arial"/>
        </w:rPr>
        <w:t xml:space="preserve"> </w:t>
      </w:r>
      <w:r w:rsidRPr="48784B51">
        <w:rPr>
          <w:rFonts w:cs="Arial"/>
          <w:i/>
          <w:iCs/>
        </w:rPr>
        <w:t>Candida albicans</w:t>
      </w:r>
      <w:r w:rsidRPr="00DF5AA6">
        <w:rPr>
          <w:rFonts w:cs="Arial"/>
        </w:rPr>
        <w:t>.</w:t>
      </w:r>
    </w:p>
    <w:p w14:paraId="0DA788DA" w14:textId="77777777" w:rsidR="007C5B6A" w:rsidRPr="00DF5AA6" w:rsidRDefault="007C5B6A" w:rsidP="006D2CCB">
      <w:pPr>
        <w:rPr>
          <w:rFonts w:cs="Arial"/>
        </w:rPr>
      </w:pPr>
    </w:p>
    <w:p w14:paraId="3A90C5FE" w14:textId="0E95B950" w:rsidR="006D2CCB" w:rsidRDefault="3AB3360C" w:rsidP="001B74D2">
      <w:pPr>
        <w:tabs>
          <w:tab w:val="left" w:pos="5103"/>
        </w:tabs>
        <w:rPr>
          <w:rFonts w:cs="Arial"/>
        </w:rPr>
      </w:pPr>
      <w:r w:rsidRPr="48784B51">
        <w:rPr>
          <w:rFonts w:cs="Arial"/>
        </w:rPr>
        <w:t xml:space="preserve">Ellison et al. (1988; 1990) showed that </w:t>
      </w:r>
      <w:proofErr w:type="spellStart"/>
      <w:r w:rsidRPr="48784B51">
        <w:rPr>
          <w:rFonts w:cs="Arial"/>
        </w:rPr>
        <w:t>hLf</w:t>
      </w:r>
      <w:proofErr w:type="spellEnd"/>
      <w:r w:rsidRPr="48784B51">
        <w:rPr>
          <w:rFonts w:cs="Arial"/>
        </w:rPr>
        <w:t xml:space="preserve"> causes the release of lipopolysaccharide (LPS) from the outer membrane of Gram-negative bacteria (</w:t>
      </w:r>
      <w:r w:rsidRPr="48784B51">
        <w:rPr>
          <w:rFonts w:cs="Arial"/>
          <w:i/>
          <w:iCs/>
        </w:rPr>
        <w:t>E. coli</w:t>
      </w:r>
      <w:r w:rsidRPr="48784B51">
        <w:rPr>
          <w:rFonts w:cs="Arial"/>
        </w:rPr>
        <w:t xml:space="preserve"> and </w:t>
      </w:r>
      <w:r w:rsidRPr="48784B51">
        <w:rPr>
          <w:rFonts w:cs="Arial"/>
          <w:i/>
          <w:iCs/>
        </w:rPr>
        <w:t>Salmonella</w:t>
      </w:r>
      <w:r w:rsidRPr="48784B51">
        <w:rPr>
          <w:rFonts w:cs="Arial"/>
        </w:rPr>
        <w:t xml:space="preserve"> Typhimurium) in a dose</w:t>
      </w:r>
      <w:r w:rsidR="001B74D2">
        <w:rPr>
          <w:rFonts w:cs="Arial"/>
        </w:rPr>
        <w:noBreakHyphen/>
      </w:r>
      <w:r w:rsidRPr="48784B51">
        <w:rPr>
          <w:rFonts w:cs="Arial"/>
        </w:rPr>
        <w:t>dependent manner and at a level comparable to that caused by the chelating agent, EDTA. The release of LPS was blocked by addition of Fe</w:t>
      </w:r>
      <w:r w:rsidRPr="48784B51">
        <w:rPr>
          <w:rFonts w:cs="Arial"/>
          <w:vertAlign w:val="superscript"/>
        </w:rPr>
        <w:t>3+</w:t>
      </w:r>
      <w:r w:rsidRPr="48784B51">
        <w:rPr>
          <w:rFonts w:cs="Arial"/>
        </w:rPr>
        <w:t xml:space="preserve"> ions and by low levels of the divalent cations Ca</w:t>
      </w:r>
      <w:r w:rsidRPr="48784B51">
        <w:rPr>
          <w:rFonts w:cs="Arial"/>
          <w:vertAlign w:val="superscript"/>
        </w:rPr>
        <w:t>2+</w:t>
      </w:r>
      <w:r w:rsidRPr="48784B51">
        <w:rPr>
          <w:rFonts w:cs="Arial"/>
        </w:rPr>
        <w:t xml:space="preserve"> and Mg</w:t>
      </w:r>
      <w:r w:rsidRPr="48784B51">
        <w:rPr>
          <w:rFonts w:cs="Arial"/>
          <w:vertAlign w:val="superscript"/>
        </w:rPr>
        <w:t>2+</w:t>
      </w:r>
      <w:r w:rsidRPr="48784B51">
        <w:rPr>
          <w:rFonts w:cs="Arial"/>
        </w:rPr>
        <w:t>, which are known to stabilise the bacterial outer membrane by binding to LPS. Damage to the bacterial membrane was demonstrated by the concomitant increase in the antibacterial effect of an otherwise sub-inhibitory concentration of the antibiotic rifampicin, which is normally excluded from cell entry by the outer membrane.</w:t>
      </w:r>
    </w:p>
    <w:p w14:paraId="71792025" w14:textId="77777777" w:rsidR="007C5B6A" w:rsidRDefault="007C5B6A" w:rsidP="006D2CCB">
      <w:pPr>
        <w:rPr>
          <w:rFonts w:cs="Arial"/>
        </w:rPr>
      </w:pPr>
    </w:p>
    <w:p w14:paraId="5F0877AA" w14:textId="77777777" w:rsidR="006D2CCB" w:rsidRPr="00DF5AA6" w:rsidRDefault="006D2CCB" w:rsidP="006D2CCB">
      <w:pPr>
        <w:rPr>
          <w:rFonts w:cs="Arial"/>
        </w:rPr>
      </w:pPr>
      <w:r w:rsidRPr="57F8FDA9">
        <w:rPr>
          <w:rFonts w:cs="Arial"/>
        </w:rPr>
        <w:t xml:space="preserve">While also able to be blocked by addition of free ferric ions, the bactericidal effect was shown to be independent of the iron sequestration function of lactoferrin, and is related to direct interaction of </w:t>
      </w:r>
      <w:r w:rsidRPr="00DF5AA6">
        <w:rPr>
          <w:rFonts w:cs="Arial"/>
        </w:rPr>
        <w:t>the N-terminal domain of the protein with cell surface structures.</w:t>
      </w:r>
    </w:p>
    <w:p w14:paraId="62E39F27" w14:textId="4B59C24F" w:rsidR="006D2CCB" w:rsidRDefault="006D2CCB" w:rsidP="006D2CCB">
      <w:pPr>
        <w:rPr>
          <w:rFonts w:cs="Arial"/>
        </w:rPr>
      </w:pPr>
      <w:proofErr w:type="spellStart"/>
      <w:r w:rsidRPr="00DF5AA6">
        <w:rPr>
          <w:rFonts w:cs="Arial"/>
        </w:rPr>
        <w:t>Applemelk</w:t>
      </w:r>
      <w:proofErr w:type="spellEnd"/>
      <w:r w:rsidRPr="00DF5AA6">
        <w:rPr>
          <w:rFonts w:cs="Arial"/>
        </w:rPr>
        <w:t xml:space="preserve"> et al. (1994) demonstrated</w:t>
      </w:r>
      <w:r w:rsidRPr="57F8FDA9">
        <w:rPr>
          <w:rFonts w:cs="Arial"/>
        </w:rPr>
        <w:t xml:space="preserve"> that </w:t>
      </w:r>
      <w:proofErr w:type="spellStart"/>
      <w:r w:rsidRPr="57F8FDA9">
        <w:rPr>
          <w:rFonts w:cs="Arial"/>
        </w:rPr>
        <w:t>hLf</w:t>
      </w:r>
      <w:proofErr w:type="spellEnd"/>
      <w:r w:rsidRPr="57F8FDA9">
        <w:rPr>
          <w:rFonts w:cs="Arial"/>
        </w:rPr>
        <w:t xml:space="preserve"> bound to the lipid A region of LPS from a range of human pathogens with an affinity constant of </w:t>
      </w:r>
      <w:r w:rsidRPr="00DF5AA6">
        <w:rPr>
          <w:rFonts w:cs="Arial"/>
        </w:rPr>
        <w:t xml:space="preserve">around 2 </w:t>
      </w:r>
      <w:proofErr w:type="spellStart"/>
      <w:r w:rsidRPr="00DF5AA6">
        <w:rPr>
          <w:rFonts w:cs="Arial"/>
        </w:rPr>
        <w:t>nM.</w:t>
      </w:r>
      <w:proofErr w:type="spellEnd"/>
      <w:r w:rsidRPr="00DF5AA6">
        <w:rPr>
          <w:rFonts w:cs="Arial"/>
        </w:rPr>
        <w:t xml:space="preserve"> </w:t>
      </w:r>
      <w:proofErr w:type="spellStart"/>
      <w:r w:rsidRPr="00DF5AA6">
        <w:rPr>
          <w:rFonts w:cs="Arial"/>
        </w:rPr>
        <w:t>Elass-Rochard</w:t>
      </w:r>
      <w:proofErr w:type="spellEnd"/>
      <w:r w:rsidRPr="00DF5AA6">
        <w:rPr>
          <w:rFonts w:cs="Arial"/>
        </w:rPr>
        <w:t xml:space="preserve"> et al (1995) subsequently showed that the bactericidal effect</w:t>
      </w:r>
      <w:r w:rsidRPr="57F8FDA9">
        <w:rPr>
          <w:rFonts w:cs="Arial"/>
        </w:rPr>
        <w:t xml:space="preserve"> of </w:t>
      </w:r>
      <w:proofErr w:type="spellStart"/>
      <w:r w:rsidRPr="57F8FDA9">
        <w:rPr>
          <w:rFonts w:cs="Arial"/>
        </w:rPr>
        <w:t>hLf</w:t>
      </w:r>
      <w:proofErr w:type="spellEnd"/>
      <w:r w:rsidRPr="57F8FDA9">
        <w:rPr>
          <w:rFonts w:cs="Arial"/>
        </w:rPr>
        <w:t xml:space="preserve"> was mediated by this direct binding interaction between the N-terminal domain of </w:t>
      </w:r>
      <w:proofErr w:type="spellStart"/>
      <w:r w:rsidRPr="57F8FDA9">
        <w:rPr>
          <w:rFonts w:cs="Arial"/>
        </w:rPr>
        <w:t>hLf</w:t>
      </w:r>
      <w:proofErr w:type="spellEnd"/>
      <w:r w:rsidRPr="57F8FDA9">
        <w:rPr>
          <w:rFonts w:cs="Arial"/>
        </w:rPr>
        <w:t xml:space="preserve"> and LPS. The N-terminal domain bound LPS with a binding constant of around 3.6 </w:t>
      </w:r>
      <w:proofErr w:type="spellStart"/>
      <w:r w:rsidRPr="57F8FDA9">
        <w:rPr>
          <w:rFonts w:cs="Arial"/>
        </w:rPr>
        <w:t>nM.</w:t>
      </w:r>
      <w:proofErr w:type="spellEnd"/>
      <w:r w:rsidRPr="57F8FDA9">
        <w:rPr>
          <w:rFonts w:cs="Arial"/>
        </w:rPr>
        <w:t xml:space="preserve"> They also demonstrated that there was a second, low-affinity site, in the C-terminal domain, which had a binding constant around 390 </w:t>
      </w:r>
      <w:proofErr w:type="spellStart"/>
      <w:r w:rsidRPr="57F8FDA9">
        <w:rPr>
          <w:rFonts w:cs="Arial"/>
        </w:rPr>
        <w:t>nM.</w:t>
      </w:r>
      <w:proofErr w:type="spellEnd"/>
      <w:r w:rsidRPr="57F8FDA9">
        <w:rPr>
          <w:rFonts w:cs="Arial"/>
        </w:rPr>
        <w:t xml:space="preserve"> They further demonstrated that </w:t>
      </w:r>
      <w:proofErr w:type="spellStart"/>
      <w:r w:rsidRPr="57F8FDA9">
        <w:rPr>
          <w:rFonts w:cs="Arial"/>
        </w:rPr>
        <w:t>bLf</w:t>
      </w:r>
      <w:proofErr w:type="spellEnd"/>
      <w:r w:rsidRPr="57F8FDA9">
        <w:rPr>
          <w:rFonts w:cs="Arial"/>
        </w:rPr>
        <w:t xml:space="preserve"> also contained two LPS-binding sites, with similar affinities to those of </w:t>
      </w:r>
      <w:proofErr w:type="spellStart"/>
      <w:r w:rsidRPr="57F8FDA9">
        <w:rPr>
          <w:rFonts w:cs="Arial"/>
        </w:rPr>
        <w:t>hLf</w:t>
      </w:r>
      <w:proofErr w:type="spellEnd"/>
      <w:r w:rsidRPr="57F8FDA9">
        <w:rPr>
          <w:rFonts w:cs="Arial"/>
        </w:rPr>
        <w:t xml:space="preserve">, and showed that an N-terminal fragment of </w:t>
      </w:r>
      <w:proofErr w:type="spellStart"/>
      <w:r w:rsidRPr="57F8FDA9">
        <w:rPr>
          <w:rFonts w:cs="Arial"/>
        </w:rPr>
        <w:t>bLf</w:t>
      </w:r>
      <w:proofErr w:type="spellEnd"/>
      <w:r w:rsidRPr="57F8FDA9">
        <w:rPr>
          <w:rFonts w:cs="Arial"/>
        </w:rPr>
        <w:t xml:space="preserve"> inhibited the binding of </w:t>
      </w:r>
      <w:proofErr w:type="spellStart"/>
      <w:r w:rsidRPr="57F8FDA9">
        <w:rPr>
          <w:rFonts w:cs="Arial"/>
        </w:rPr>
        <w:t>hLf</w:t>
      </w:r>
      <w:proofErr w:type="spellEnd"/>
      <w:r w:rsidRPr="57F8FDA9">
        <w:rPr>
          <w:rFonts w:cs="Arial"/>
        </w:rPr>
        <w:t xml:space="preserve"> to LPS.</w:t>
      </w:r>
    </w:p>
    <w:p w14:paraId="20A723CD" w14:textId="77777777" w:rsidR="007C5B6A" w:rsidRDefault="007C5B6A" w:rsidP="006D2CCB">
      <w:pPr>
        <w:rPr>
          <w:rFonts w:cs="Arial"/>
        </w:rPr>
      </w:pPr>
    </w:p>
    <w:p w14:paraId="515D98AC" w14:textId="77777777" w:rsidR="006D2CCB" w:rsidRPr="00DF5AA6" w:rsidRDefault="006D2CCB" w:rsidP="006D2CCB">
      <w:pPr>
        <w:rPr>
          <w:rFonts w:cs="Arial"/>
        </w:rPr>
      </w:pPr>
      <w:r>
        <w:rPr>
          <w:rFonts w:cs="Arial"/>
        </w:rPr>
        <w:t xml:space="preserve">It should also be noted that N-terminal fragments of </w:t>
      </w:r>
      <w:proofErr w:type="spellStart"/>
      <w:r>
        <w:rPr>
          <w:rFonts w:cs="Arial"/>
        </w:rPr>
        <w:t>bLf</w:t>
      </w:r>
      <w:proofErr w:type="spellEnd"/>
      <w:r>
        <w:rPr>
          <w:rFonts w:cs="Arial"/>
        </w:rPr>
        <w:t xml:space="preserve">, termed lactoferricin and </w:t>
      </w:r>
      <w:proofErr w:type="spellStart"/>
      <w:r>
        <w:rPr>
          <w:rFonts w:cs="Arial"/>
        </w:rPr>
        <w:t>lactoferrampin</w:t>
      </w:r>
      <w:proofErr w:type="spellEnd"/>
      <w:r>
        <w:rPr>
          <w:rFonts w:cs="Arial"/>
        </w:rPr>
        <w:t xml:space="preserve">—which can be generated through peptic digestion in the stomach—have been described as </w:t>
      </w:r>
      <w:r w:rsidRPr="00DF5AA6">
        <w:rPr>
          <w:rFonts w:cs="Arial"/>
        </w:rPr>
        <w:t xml:space="preserve">having similar or greater antibacterial and/or antiviral activity to the parent protein </w:t>
      </w:r>
      <w:r w:rsidRPr="00DF5AA6">
        <w:rPr>
          <w:rFonts w:eastAsia="Arial" w:cs="Arial"/>
        </w:rPr>
        <w:t xml:space="preserve">both </w:t>
      </w:r>
      <w:r w:rsidRPr="00DF5AA6">
        <w:rPr>
          <w:rFonts w:eastAsia="Arial" w:cs="Arial"/>
          <w:i/>
        </w:rPr>
        <w:t>in vitro</w:t>
      </w:r>
      <w:r w:rsidRPr="00DF5AA6">
        <w:rPr>
          <w:rFonts w:eastAsia="Arial" w:cs="Arial"/>
        </w:rPr>
        <w:t xml:space="preserve"> and </w:t>
      </w:r>
      <w:r w:rsidRPr="00DF5AA6">
        <w:rPr>
          <w:rFonts w:eastAsia="Arial" w:cs="Arial"/>
          <w:i/>
        </w:rPr>
        <w:t>in vivo</w:t>
      </w:r>
      <w:r w:rsidRPr="00DF5AA6">
        <w:rPr>
          <w:rFonts w:eastAsia="Arial" w:cs="Arial"/>
        </w:rPr>
        <w:t xml:space="preserve"> </w:t>
      </w:r>
      <w:r w:rsidRPr="00DF5AA6">
        <w:rPr>
          <w:rFonts w:cs="Arial"/>
        </w:rPr>
        <w:t xml:space="preserve">(Gifford et al., 2005; van der </w:t>
      </w:r>
      <w:proofErr w:type="spellStart"/>
      <w:r w:rsidRPr="00DF5AA6">
        <w:rPr>
          <w:rFonts w:cs="Arial"/>
        </w:rPr>
        <w:t>kraan</w:t>
      </w:r>
      <w:proofErr w:type="spellEnd"/>
      <w:r w:rsidRPr="00DF5AA6">
        <w:rPr>
          <w:rFonts w:cs="Arial"/>
        </w:rPr>
        <w:t xml:space="preserve"> et al., 2005; Vogel 2012).</w:t>
      </w:r>
    </w:p>
    <w:p w14:paraId="22CCFF17" w14:textId="77777777" w:rsidR="007C5B6A" w:rsidRPr="00DF5AA6" w:rsidRDefault="007C5B6A" w:rsidP="006D2CCB">
      <w:pPr>
        <w:rPr>
          <w:rFonts w:cs="Arial"/>
        </w:rPr>
      </w:pPr>
    </w:p>
    <w:p w14:paraId="0EB6E1D8" w14:textId="77777777" w:rsidR="006D2CCB" w:rsidRDefault="006D2CCB" w:rsidP="006D2CCB">
      <w:pPr>
        <w:rPr>
          <w:rFonts w:cs="Arial"/>
        </w:rPr>
      </w:pPr>
      <w:r w:rsidRPr="00DF5AA6">
        <w:rPr>
          <w:rFonts w:cs="Arial"/>
        </w:rPr>
        <w:t xml:space="preserve">The relevance of these </w:t>
      </w:r>
      <w:r w:rsidRPr="00DF5AA6">
        <w:rPr>
          <w:rFonts w:cs="Arial"/>
          <w:i/>
        </w:rPr>
        <w:t>in vitro</w:t>
      </w:r>
      <w:r w:rsidRPr="00DF5AA6">
        <w:rPr>
          <w:rFonts w:cs="Arial"/>
        </w:rPr>
        <w:t xml:space="preserve"> effects</w:t>
      </w:r>
      <w:r>
        <w:rPr>
          <w:rFonts w:cs="Arial"/>
        </w:rPr>
        <w:t xml:space="preserve"> of lactoferrins to the potential for </w:t>
      </w:r>
      <w:proofErr w:type="spellStart"/>
      <w:r>
        <w:rPr>
          <w:rFonts w:cs="Arial"/>
        </w:rPr>
        <w:t>bLf</w:t>
      </w:r>
      <w:proofErr w:type="spellEnd"/>
      <w:r>
        <w:rPr>
          <w:rFonts w:cs="Arial"/>
        </w:rPr>
        <w:t xml:space="preserve"> to inhibit colonisation and/or infection by human intestinal pathogens </w:t>
      </w:r>
      <w:r w:rsidRPr="009C7A1B">
        <w:rPr>
          <w:rFonts w:cs="Arial"/>
          <w:i/>
        </w:rPr>
        <w:t>in vivo</w:t>
      </w:r>
      <w:r>
        <w:rPr>
          <w:rFonts w:cs="Arial"/>
        </w:rPr>
        <w:t xml:space="preserve"> can be seen in studies by </w:t>
      </w:r>
      <w:proofErr w:type="spellStart"/>
      <w:r>
        <w:rPr>
          <w:rFonts w:cs="Arial"/>
        </w:rPr>
        <w:t>Teraguchi</w:t>
      </w:r>
      <w:proofErr w:type="spellEnd"/>
      <w:r>
        <w:rPr>
          <w:rFonts w:cs="Arial"/>
        </w:rPr>
        <w:t xml:space="preserve"> and colleagues on populations of faecal Enterobacteriaceae in mice fed a diet of either bovine milk or ordinary solid commercial pellets (</w:t>
      </w:r>
      <w:proofErr w:type="spellStart"/>
      <w:r>
        <w:rPr>
          <w:rFonts w:cs="Arial"/>
        </w:rPr>
        <w:t>Teraguchi</w:t>
      </w:r>
      <w:proofErr w:type="spellEnd"/>
      <w:r>
        <w:rPr>
          <w:rFonts w:cs="Arial"/>
        </w:rPr>
        <w:t xml:space="preserve"> et al., 1993; 1995).</w:t>
      </w:r>
    </w:p>
    <w:p w14:paraId="4EC36B28" w14:textId="77777777" w:rsidR="009140C1" w:rsidRDefault="009140C1" w:rsidP="006D2CCB">
      <w:pPr>
        <w:rPr>
          <w:rFonts w:cs="Arial"/>
        </w:rPr>
      </w:pPr>
    </w:p>
    <w:p w14:paraId="1902C967" w14:textId="64A35C2A" w:rsidR="006D2CCB" w:rsidRDefault="006D2CCB" w:rsidP="006D2CCB">
      <w:pPr>
        <w:rPr>
          <w:rFonts w:cs="Arial"/>
        </w:rPr>
      </w:pPr>
      <w:r w:rsidRPr="57F8FDA9">
        <w:rPr>
          <w:rFonts w:cs="Arial"/>
        </w:rPr>
        <w:t xml:space="preserve">Across a four week period, the number of faecal Enterobacteriaceae (expressed as CFU/g faeces) remained fairly constant for mice on the commercial pellet diet, regardless of whether or not it was supplemented with </w:t>
      </w:r>
      <w:proofErr w:type="spellStart"/>
      <w:r w:rsidRPr="544FA2B4">
        <w:rPr>
          <w:rFonts w:cs="Arial"/>
        </w:rPr>
        <w:t>bL</w:t>
      </w:r>
      <w:r w:rsidR="40F995A6" w:rsidRPr="544FA2B4">
        <w:rPr>
          <w:rFonts w:cs="Arial"/>
        </w:rPr>
        <w:t>f</w:t>
      </w:r>
      <w:proofErr w:type="spellEnd"/>
      <w:r w:rsidRPr="57F8FDA9">
        <w:rPr>
          <w:rFonts w:cs="Arial"/>
        </w:rPr>
        <w:t xml:space="preserve"> (iron saturation 14.5%). However, on a bovine milk diet, levels of faecal Enterobacteriaceae increased considerably. Supplementation of the milk diet with </w:t>
      </w:r>
      <w:r w:rsidR="00ED7EFF">
        <w:rPr>
          <w:rFonts w:cs="Arial"/>
        </w:rPr>
        <w:t xml:space="preserve">5% </w:t>
      </w:r>
      <w:proofErr w:type="spellStart"/>
      <w:r w:rsidRPr="57F8FDA9">
        <w:rPr>
          <w:rFonts w:cs="Arial"/>
        </w:rPr>
        <w:t>bLf</w:t>
      </w:r>
      <w:proofErr w:type="spellEnd"/>
      <w:r w:rsidRPr="57F8FDA9">
        <w:rPr>
          <w:rFonts w:cs="Arial"/>
        </w:rPr>
        <w:t xml:space="preserve"> between days 8 to 21 reduced the levels of Enterobacteriaceae almost to baseline, but they rose again quickly on cessation of supplementation after day 21. In contrast to other reports of the iron-sensitivity of the antibacterial properties of lactoferrins, </w:t>
      </w:r>
      <w:r w:rsidR="007748F9">
        <w:rPr>
          <w:rFonts w:cs="Arial"/>
        </w:rPr>
        <w:t xml:space="preserve">there was </w:t>
      </w:r>
      <w:r w:rsidRPr="57F8FDA9">
        <w:rPr>
          <w:rFonts w:cs="Arial"/>
        </w:rPr>
        <w:t xml:space="preserve">little effect of </w:t>
      </w:r>
      <w:r w:rsidR="00A74E28">
        <w:rPr>
          <w:rFonts w:cs="Arial"/>
        </w:rPr>
        <w:t xml:space="preserve">the degree of </w:t>
      </w:r>
      <w:r w:rsidRPr="57F8FDA9">
        <w:rPr>
          <w:rFonts w:cs="Arial"/>
        </w:rPr>
        <w:t xml:space="preserve">iron saturation </w:t>
      </w:r>
      <w:r w:rsidR="007748F9">
        <w:rPr>
          <w:rFonts w:cs="Arial"/>
        </w:rPr>
        <w:t>(between</w:t>
      </w:r>
      <w:r w:rsidR="007748F9" w:rsidRPr="007748F9">
        <w:t xml:space="preserve"> </w:t>
      </w:r>
      <w:r w:rsidR="00A74E28" w:rsidRPr="007748F9">
        <w:rPr>
          <w:rFonts w:cs="Arial"/>
        </w:rPr>
        <w:t>2.3% to 97.6%</w:t>
      </w:r>
      <w:r w:rsidR="00A74E28">
        <w:rPr>
          <w:rFonts w:cs="Arial"/>
        </w:rPr>
        <w:t xml:space="preserve">) </w:t>
      </w:r>
      <w:r w:rsidRPr="57F8FDA9">
        <w:rPr>
          <w:rFonts w:cs="Arial"/>
        </w:rPr>
        <w:t xml:space="preserve">on the ability of </w:t>
      </w:r>
      <w:proofErr w:type="spellStart"/>
      <w:r w:rsidRPr="57F8FDA9">
        <w:rPr>
          <w:rFonts w:cs="Arial"/>
        </w:rPr>
        <w:t>bLf</w:t>
      </w:r>
      <w:proofErr w:type="spellEnd"/>
      <w:r w:rsidRPr="57F8FDA9">
        <w:rPr>
          <w:rFonts w:cs="Arial"/>
        </w:rPr>
        <w:t xml:space="preserve"> to suppress the growth of Enterobacteriaceae in milk-fed mice (</w:t>
      </w:r>
      <w:proofErr w:type="spellStart"/>
      <w:r w:rsidRPr="57F8FDA9">
        <w:rPr>
          <w:rFonts w:cs="Arial"/>
        </w:rPr>
        <w:t>Teraguchi</w:t>
      </w:r>
      <w:proofErr w:type="spellEnd"/>
      <w:r w:rsidRPr="57F8FDA9">
        <w:rPr>
          <w:rFonts w:cs="Arial"/>
        </w:rPr>
        <w:t xml:space="preserve"> et al., 1993).</w:t>
      </w:r>
    </w:p>
    <w:p w14:paraId="68ACB79A" w14:textId="77777777" w:rsidR="00A74E28" w:rsidRDefault="00A74E28" w:rsidP="006D2CCB">
      <w:pPr>
        <w:rPr>
          <w:rFonts w:cs="Arial"/>
        </w:rPr>
      </w:pPr>
    </w:p>
    <w:p w14:paraId="1AF53529" w14:textId="06A8C1FD" w:rsidR="006D2CCB" w:rsidRPr="006D0184" w:rsidRDefault="006D2CCB" w:rsidP="006D2CCB">
      <w:pPr>
        <w:rPr>
          <w:rFonts w:cs="Arial"/>
        </w:rPr>
      </w:pPr>
      <w:r w:rsidRPr="57F8FDA9">
        <w:rPr>
          <w:rFonts w:cs="Arial"/>
        </w:rPr>
        <w:t xml:space="preserve">In subsequent experiments, </w:t>
      </w:r>
      <w:proofErr w:type="spellStart"/>
      <w:r w:rsidRPr="57F8FDA9">
        <w:rPr>
          <w:rFonts w:cs="Arial"/>
        </w:rPr>
        <w:t>Teraguchi</w:t>
      </w:r>
      <w:proofErr w:type="spellEnd"/>
      <w:r w:rsidRPr="57F8FDA9">
        <w:rPr>
          <w:rFonts w:cs="Arial"/>
        </w:rPr>
        <w:t xml:space="preserve"> et al. (1995) investigated the effect of </w:t>
      </w:r>
      <w:proofErr w:type="spellStart"/>
      <w:r w:rsidRPr="57F8FDA9">
        <w:rPr>
          <w:rFonts w:cs="Arial"/>
        </w:rPr>
        <w:t>bLf</w:t>
      </w:r>
      <w:proofErr w:type="spellEnd"/>
      <w:r w:rsidRPr="57F8FDA9">
        <w:rPr>
          <w:rFonts w:cs="Arial"/>
        </w:rPr>
        <w:t xml:space="preserve"> and a pepsin hyd</w:t>
      </w:r>
      <w:r w:rsidR="00EE5A22">
        <w:rPr>
          <w:rFonts w:cs="Arial"/>
        </w:rPr>
        <w:t>r</w:t>
      </w:r>
      <w:r w:rsidRPr="57F8FDA9">
        <w:rPr>
          <w:rFonts w:cs="Arial"/>
        </w:rPr>
        <w:t xml:space="preserve">olysate of </w:t>
      </w:r>
      <w:proofErr w:type="spellStart"/>
      <w:r w:rsidRPr="57F8FDA9">
        <w:rPr>
          <w:rFonts w:cs="Arial"/>
        </w:rPr>
        <w:t>bLf</w:t>
      </w:r>
      <w:proofErr w:type="spellEnd"/>
      <w:r w:rsidRPr="57F8FDA9">
        <w:rPr>
          <w:rFonts w:cs="Arial"/>
        </w:rPr>
        <w:t xml:space="preserve"> (</w:t>
      </w:r>
      <w:proofErr w:type="spellStart"/>
      <w:r w:rsidRPr="57F8FDA9">
        <w:rPr>
          <w:rFonts w:cs="Arial"/>
        </w:rPr>
        <w:t>bLfH</w:t>
      </w:r>
      <w:proofErr w:type="spellEnd"/>
      <w:r w:rsidRPr="57F8FDA9">
        <w:rPr>
          <w:rFonts w:cs="Arial"/>
        </w:rPr>
        <w:t xml:space="preserve">) on milk-fed mice that had been orally inoculated with strains of </w:t>
      </w:r>
      <w:r w:rsidRPr="57F8FDA9">
        <w:rPr>
          <w:rFonts w:cs="Arial"/>
          <w:i/>
        </w:rPr>
        <w:t>Clostridium</w:t>
      </w:r>
      <w:r w:rsidRPr="57F8FDA9">
        <w:rPr>
          <w:rFonts w:cs="Arial"/>
        </w:rPr>
        <w:t xml:space="preserve"> spp., including human strains of </w:t>
      </w:r>
      <w:r w:rsidRPr="57F8FDA9">
        <w:rPr>
          <w:rFonts w:cs="Arial"/>
          <w:i/>
        </w:rPr>
        <w:t>C. difficile</w:t>
      </w:r>
      <w:r w:rsidRPr="57F8FDA9">
        <w:rPr>
          <w:rFonts w:cs="Arial"/>
        </w:rPr>
        <w:t xml:space="preserve"> and </w:t>
      </w:r>
      <w:r w:rsidRPr="57F8FDA9">
        <w:rPr>
          <w:rFonts w:cs="Arial"/>
          <w:i/>
        </w:rPr>
        <w:t>C. perfringens</w:t>
      </w:r>
      <w:r w:rsidRPr="57F8FDA9">
        <w:rPr>
          <w:rFonts w:cs="Arial"/>
        </w:rPr>
        <w:t xml:space="preserve">. Initial </w:t>
      </w:r>
      <w:r w:rsidRPr="57F8FDA9">
        <w:rPr>
          <w:rFonts w:cs="Arial"/>
          <w:i/>
        </w:rPr>
        <w:t>in vitro</w:t>
      </w:r>
      <w:r w:rsidRPr="57F8FDA9">
        <w:rPr>
          <w:rFonts w:cs="Arial"/>
        </w:rPr>
        <w:t xml:space="preserve"> studies determined that </w:t>
      </w:r>
      <w:proofErr w:type="spellStart"/>
      <w:r w:rsidRPr="57F8FDA9">
        <w:rPr>
          <w:rFonts w:cs="Arial"/>
        </w:rPr>
        <w:t>bLfH</w:t>
      </w:r>
      <w:proofErr w:type="spellEnd"/>
      <w:r w:rsidRPr="57F8FDA9">
        <w:rPr>
          <w:rFonts w:cs="Arial"/>
        </w:rPr>
        <w:t xml:space="preserve"> had at least an 8-fold lower minimal inhibitory concentration than </w:t>
      </w:r>
      <w:proofErr w:type="spellStart"/>
      <w:r w:rsidRPr="57F8FDA9">
        <w:rPr>
          <w:rFonts w:cs="Arial"/>
        </w:rPr>
        <w:t>bLf</w:t>
      </w:r>
      <w:proofErr w:type="spellEnd"/>
      <w:r w:rsidRPr="57F8FDA9">
        <w:rPr>
          <w:rFonts w:cs="Arial"/>
        </w:rPr>
        <w:t xml:space="preserve"> for many of the clostridial strains, in line with some other studies on lactoferricin and </w:t>
      </w:r>
      <w:proofErr w:type="spellStart"/>
      <w:r w:rsidRPr="57F8FDA9">
        <w:rPr>
          <w:rFonts w:cs="Arial"/>
        </w:rPr>
        <w:t>lactoferrampin</w:t>
      </w:r>
      <w:proofErr w:type="spellEnd"/>
      <w:r w:rsidRPr="57F8FDA9">
        <w:rPr>
          <w:rFonts w:cs="Arial"/>
        </w:rPr>
        <w:t xml:space="preserve"> (see above). Intestinal colonisation by a strain of </w:t>
      </w:r>
      <w:r w:rsidRPr="57F8FDA9">
        <w:rPr>
          <w:rFonts w:cs="Arial"/>
          <w:i/>
        </w:rPr>
        <w:t xml:space="preserve">C. </w:t>
      </w:r>
      <w:proofErr w:type="spellStart"/>
      <w:r w:rsidRPr="57F8FDA9">
        <w:rPr>
          <w:rFonts w:cs="Arial"/>
          <w:i/>
        </w:rPr>
        <w:t>ramosum</w:t>
      </w:r>
      <w:proofErr w:type="spellEnd"/>
      <w:r w:rsidRPr="57F8FDA9">
        <w:rPr>
          <w:rFonts w:cs="Arial"/>
        </w:rPr>
        <w:t xml:space="preserve"> administered at a dose of 10</w:t>
      </w:r>
      <w:r w:rsidRPr="57F8FDA9">
        <w:rPr>
          <w:rFonts w:cs="Arial"/>
          <w:vertAlign w:val="superscript"/>
        </w:rPr>
        <w:t>5</w:t>
      </w:r>
      <w:r w:rsidRPr="57F8FDA9">
        <w:rPr>
          <w:rFonts w:cs="Arial"/>
        </w:rPr>
        <w:t xml:space="preserve"> or 10</w:t>
      </w:r>
      <w:r w:rsidRPr="57F8FDA9">
        <w:rPr>
          <w:rFonts w:cs="Arial"/>
          <w:vertAlign w:val="superscript"/>
        </w:rPr>
        <w:t>7</w:t>
      </w:r>
      <w:r w:rsidRPr="57F8FDA9">
        <w:rPr>
          <w:rFonts w:cs="Arial"/>
        </w:rPr>
        <w:t xml:space="preserve"> CFU persisted for the 14 days of the experiment in milk-fed mice, but only transient residence of the strain was observed in pellet-fed mice, 1 day after inoculation. Administration of 2% </w:t>
      </w:r>
      <w:proofErr w:type="spellStart"/>
      <w:r w:rsidRPr="57F8FDA9">
        <w:rPr>
          <w:rFonts w:cs="Arial"/>
        </w:rPr>
        <w:t>bLf</w:t>
      </w:r>
      <w:proofErr w:type="spellEnd"/>
      <w:r w:rsidRPr="57F8FDA9">
        <w:rPr>
          <w:rFonts w:cs="Arial"/>
        </w:rPr>
        <w:t xml:space="preserve"> in the milk-fed diet after day 7 resulted in a reduction in faecal levels of </w:t>
      </w:r>
      <w:r w:rsidRPr="57F8FDA9">
        <w:rPr>
          <w:rFonts w:cs="Arial"/>
          <w:i/>
        </w:rPr>
        <w:t xml:space="preserve">C. </w:t>
      </w:r>
      <w:proofErr w:type="spellStart"/>
      <w:r w:rsidRPr="57F8FDA9">
        <w:rPr>
          <w:rFonts w:cs="Arial"/>
          <w:i/>
        </w:rPr>
        <w:t>ramosum</w:t>
      </w:r>
      <w:proofErr w:type="spellEnd"/>
      <w:r w:rsidRPr="57F8FDA9">
        <w:rPr>
          <w:rFonts w:cs="Arial"/>
        </w:rPr>
        <w:t xml:space="preserve"> and some commensals, while levels of </w:t>
      </w:r>
      <w:proofErr w:type="spellStart"/>
      <w:r w:rsidRPr="57F8FDA9">
        <w:rPr>
          <w:rFonts w:cs="Arial"/>
        </w:rPr>
        <w:t>Bifidobacteria</w:t>
      </w:r>
      <w:proofErr w:type="spellEnd"/>
      <w:r w:rsidRPr="57F8FDA9">
        <w:rPr>
          <w:rFonts w:cs="Arial"/>
        </w:rPr>
        <w:t xml:space="preserve"> did not change. In a separate experiment, the diet of milk fed mice was supplemented with 2% </w:t>
      </w:r>
      <w:proofErr w:type="spellStart"/>
      <w:r w:rsidRPr="57F8FDA9">
        <w:rPr>
          <w:rFonts w:cs="Arial"/>
        </w:rPr>
        <w:t>bLf</w:t>
      </w:r>
      <w:proofErr w:type="spellEnd"/>
      <w:r w:rsidRPr="57F8FDA9">
        <w:rPr>
          <w:rFonts w:cs="Arial"/>
        </w:rPr>
        <w:t xml:space="preserve"> for seven days prior to, and 7 days after inoculation with six clostridial strains (separately). Compared to the </w:t>
      </w:r>
      <w:proofErr w:type="spellStart"/>
      <w:r w:rsidRPr="57F8FDA9">
        <w:rPr>
          <w:rFonts w:cs="Arial"/>
        </w:rPr>
        <w:t>unsupplemented</w:t>
      </w:r>
      <w:proofErr w:type="spellEnd"/>
      <w:r w:rsidRPr="57F8FDA9">
        <w:rPr>
          <w:rFonts w:cs="Arial"/>
        </w:rPr>
        <w:t xml:space="preserve"> milk diet, </w:t>
      </w:r>
      <w:proofErr w:type="spellStart"/>
      <w:r w:rsidRPr="57F8FDA9">
        <w:rPr>
          <w:rFonts w:cs="Arial"/>
        </w:rPr>
        <w:t>bLf</w:t>
      </w:r>
      <w:proofErr w:type="spellEnd"/>
      <w:r w:rsidRPr="57F8FDA9">
        <w:rPr>
          <w:rFonts w:cs="Arial"/>
        </w:rPr>
        <w:t xml:space="preserve"> significantly reduced the levels and/or incidence of four of the six strains in faeces tested seven days post-inoculation. The authors conclude that these results demonstrate a bacteriostatic effect of </w:t>
      </w:r>
      <w:proofErr w:type="spellStart"/>
      <w:r w:rsidRPr="57F8FDA9">
        <w:rPr>
          <w:rFonts w:cs="Arial"/>
        </w:rPr>
        <w:t>bLf</w:t>
      </w:r>
      <w:proofErr w:type="spellEnd"/>
      <w:r w:rsidRPr="57F8FDA9">
        <w:rPr>
          <w:rFonts w:cs="Arial"/>
        </w:rPr>
        <w:t xml:space="preserve"> supplementation, although it is not clear that they could not also be explained by a direct bactericidal effect of </w:t>
      </w:r>
      <w:proofErr w:type="spellStart"/>
      <w:r w:rsidRPr="57F8FDA9">
        <w:rPr>
          <w:rFonts w:cs="Arial"/>
        </w:rPr>
        <w:t>bLf</w:t>
      </w:r>
      <w:proofErr w:type="spellEnd"/>
      <w:r w:rsidRPr="57F8FDA9">
        <w:rPr>
          <w:rFonts w:cs="Arial"/>
        </w:rPr>
        <w:t xml:space="preserve"> </w:t>
      </w:r>
      <w:r w:rsidRPr="57F8FDA9">
        <w:rPr>
          <w:rFonts w:cs="Arial"/>
          <w:i/>
        </w:rPr>
        <w:t>in vivo</w:t>
      </w:r>
      <w:r w:rsidRPr="57F8FDA9">
        <w:rPr>
          <w:rFonts w:cs="Arial"/>
        </w:rPr>
        <w:t>.</w:t>
      </w:r>
    </w:p>
    <w:p w14:paraId="20C20DB4" w14:textId="799888C8" w:rsidR="003947C0" w:rsidRDefault="00043769" w:rsidP="00733CE2">
      <w:pPr>
        <w:pStyle w:val="Heading2"/>
      </w:pPr>
      <w:bookmarkStart w:id="114" w:name="_Toc111626704"/>
      <w:bookmarkStart w:id="115" w:name="_Toc112915014"/>
      <w:bookmarkStart w:id="116" w:name="_Toc113523078"/>
      <w:r>
        <w:t>5</w:t>
      </w:r>
      <w:r w:rsidR="00E16439">
        <w:t>.</w:t>
      </w:r>
      <w:r w:rsidR="003947C0">
        <w:t>2</w:t>
      </w:r>
      <w:r w:rsidR="003947C0">
        <w:tab/>
        <w:t>Anti-viral effect</w:t>
      </w:r>
      <w:bookmarkEnd w:id="114"/>
      <w:bookmarkEnd w:id="115"/>
      <w:bookmarkEnd w:id="116"/>
    </w:p>
    <w:p w14:paraId="6A70833B" w14:textId="5B2ED949" w:rsidR="009E2D7B" w:rsidRDefault="009E2D7B" w:rsidP="009E2D7B">
      <w:pPr>
        <w:rPr>
          <w:rFonts w:eastAsia="Arial" w:cs="Arial"/>
        </w:rPr>
      </w:pPr>
      <w:r>
        <w:rPr>
          <w:rFonts w:eastAsia="Arial" w:cs="Arial"/>
        </w:rPr>
        <w:t xml:space="preserve">As with the antibacterial effects discussed above, the evidence for an antiviral effect of </w:t>
      </w:r>
      <w:proofErr w:type="spellStart"/>
      <w:r>
        <w:rPr>
          <w:rFonts w:eastAsia="Arial" w:cs="Arial"/>
        </w:rPr>
        <w:t>bLf</w:t>
      </w:r>
      <w:proofErr w:type="spellEnd"/>
      <w:r>
        <w:rPr>
          <w:rFonts w:eastAsia="Arial" w:cs="Arial"/>
        </w:rPr>
        <w:t xml:space="preserve"> is mainly derived from </w:t>
      </w:r>
      <w:r w:rsidRPr="00350AD1">
        <w:rPr>
          <w:rFonts w:eastAsia="Arial" w:cs="Arial"/>
          <w:i/>
        </w:rPr>
        <w:t>in vitro</w:t>
      </w:r>
      <w:r>
        <w:rPr>
          <w:rFonts w:eastAsia="Arial" w:cs="Arial"/>
        </w:rPr>
        <w:t xml:space="preserve"> </w:t>
      </w:r>
      <w:r w:rsidRPr="00BC214A">
        <w:rPr>
          <w:rFonts w:eastAsia="Arial" w:cs="Arial"/>
        </w:rPr>
        <w:t>studies.</w:t>
      </w:r>
    </w:p>
    <w:p w14:paraId="08BCBC81" w14:textId="77777777" w:rsidR="009E2D7B" w:rsidRDefault="009E2D7B" w:rsidP="009E2D7B">
      <w:pPr>
        <w:rPr>
          <w:rFonts w:eastAsia="Arial" w:cs="Arial"/>
        </w:rPr>
      </w:pPr>
    </w:p>
    <w:p w14:paraId="79674F03" w14:textId="2FDDE5F6" w:rsidR="009E2D7B" w:rsidRDefault="009E2D7B" w:rsidP="009E2D7B">
      <w:pPr>
        <w:rPr>
          <w:rFonts w:eastAsia="Arial" w:cs="Arial"/>
        </w:rPr>
      </w:pPr>
      <w:r w:rsidRPr="57F8FDA9">
        <w:rPr>
          <w:rFonts w:eastAsia="Arial" w:cs="Arial"/>
        </w:rPr>
        <w:t xml:space="preserve">An indirect protective effect of subcutaneous injection of </w:t>
      </w:r>
      <w:proofErr w:type="spellStart"/>
      <w:r w:rsidRPr="57F8FDA9">
        <w:rPr>
          <w:rFonts w:eastAsia="Arial" w:cs="Arial"/>
        </w:rPr>
        <w:t>hLf</w:t>
      </w:r>
      <w:proofErr w:type="spellEnd"/>
      <w:r w:rsidRPr="57F8FDA9">
        <w:rPr>
          <w:rFonts w:eastAsia="Arial" w:cs="Arial"/>
        </w:rPr>
        <w:t xml:space="preserve"> against the severity of viral disease in mice inoculated with the </w:t>
      </w:r>
      <w:proofErr w:type="spellStart"/>
      <w:r w:rsidRPr="57F8FDA9">
        <w:rPr>
          <w:rFonts w:eastAsia="Arial" w:cs="Arial"/>
        </w:rPr>
        <w:t>polycythemia</w:t>
      </w:r>
      <w:proofErr w:type="spellEnd"/>
      <w:r w:rsidRPr="57F8FDA9">
        <w:rPr>
          <w:rFonts w:eastAsia="Arial" w:cs="Arial"/>
        </w:rPr>
        <w:t xml:space="preserve">-inducing strain of the Friend virus complex was reported </w:t>
      </w:r>
      <w:r w:rsidRPr="00DF5AA6">
        <w:rPr>
          <w:rFonts w:eastAsia="Arial" w:cs="Arial"/>
        </w:rPr>
        <w:t>by Lu et al</w:t>
      </w:r>
      <w:r w:rsidR="00475DAF" w:rsidRPr="00DF5AA6">
        <w:rPr>
          <w:rFonts w:eastAsia="Arial" w:cs="Arial"/>
        </w:rPr>
        <w:t>.</w:t>
      </w:r>
      <w:r w:rsidRPr="00DF5AA6">
        <w:rPr>
          <w:rFonts w:eastAsia="Arial" w:cs="Arial"/>
        </w:rPr>
        <w:t xml:space="preserve"> </w:t>
      </w:r>
      <w:r w:rsidR="00475DAF" w:rsidRPr="00DF5AA6">
        <w:rPr>
          <w:rFonts w:eastAsia="Arial" w:cs="Arial"/>
        </w:rPr>
        <w:t>(</w:t>
      </w:r>
      <w:r w:rsidRPr="00DF5AA6">
        <w:rPr>
          <w:rFonts w:eastAsia="Arial" w:cs="Arial"/>
        </w:rPr>
        <w:t>1987; 1991</w:t>
      </w:r>
      <w:r w:rsidR="00475DAF" w:rsidRPr="00DF5AA6">
        <w:rPr>
          <w:rFonts w:eastAsia="Arial" w:cs="Arial"/>
        </w:rPr>
        <w:t>)</w:t>
      </w:r>
      <w:r w:rsidRPr="00DF5AA6">
        <w:rPr>
          <w:rFonts w:eastAsia="Arial" w:cs="Arial"/>
        </w:rPr>
        <w:t>. Subsequently, Hasegawa et al. (1994) examined</w:t>
      </w:r>
      <w:r w:rsidRPr="57F8FDA9">
        <w:rPr>
          <w:rFonts w:eastAsia="Arial" w:cs="Arial"/>
        </w:rPr>
        <w:t xml:space="preserve"> the effect of </w:t>
      </w:r>
      <w:proofErr w:type="spellStart"/>
      <w:r w:rsidRPr="57F8FDA9">
        <w:rPr>
          <w:rFonts w:eastAsia="Arial" w:cs="Arial"/>
        </w:rPr>
        <w:t>hLf</w:t>
      </w:r>
      <w:proofErr w:type="spellEnd"/>
      <w:r w:rsidRPr="57F8FDA9">
        <w:rPr>
          <w:rFonts w:eastAsia="Arial" w:cs="Arial"/>
        </w:rPr>
        <w:t xml:space="preserve"> and </w:t>
      </w:r>
      <w:proofErr w:type="spellStart"/>
      <w:r w:rsidRPr="57F8FDA9">
        <w:rPr>
          <w:rFonts w:eastAsia="Arial" w:cs="Arial"/>
        </w:rPr>
        <w:t>bLf</w:t>
      </w:r>
      <w:proofErr w:type="spellEnd"/>
      <w:r w:rsidRPr="57F8FDA9">
        <w:rPr>
          <w:rFonts w:eastAsia="Arial" w:cs="Arial"/>
        </w:rPr>
        <w:t xml:space="preserve"> on infection and replication of the human herpes viruses, herpes simplex virus-1 (HSV1) and cytomegalovirus (CMV), in human embryo lung cell tissue culture. They demonstrated that pre-incubation of cell cultures with 0.5–1 mg/mL lactoferrin resulted in 3- and 6-log reduction in viral titres of HSV-1 and CMV, respectively, ten days after infection. This effect was shown to be related to the protein component of the lactoferrins, and not due to iron or to sialic acid residues of their glycan moieties. It was also shown that the inhibitory effect of lactoferrin was mediated by a cell-binding interaction, rather than by viral binding, leading to inhibition of viral adsorption and/or penetration of the host cells.</w:t>
      </w:r>
    </w:p>
    <w:p w14:paraId="0076A025" w14:textId="77777777" w:rsidR="009E2D7B" w:rsidRDefault="009E2D7B" w:rsidP="009E2D7B">
      <w:pPr>
        <w:rPr>
          <w:rFonts w:eastAsia="Arial" w:cs="Arial"/>
        </w:rPr>
      </w:pPr>
    </w:p>
    <w:p w14:paraId="0B4F2B77" w14:textId="0493D8BB" w:rsidR="009E2D7B" w:rsidRDefault="009E2D7B" w:rsidP="009E2D7B">
      <w:pPr>
        <w:rPr>
          <w:rFonts w:cs="Arial"/>
        </w:rPr>
      </w:pPr>
      <w:proofErr w:type="spellStart"/>
      <w:r>
        <w:rPr>
          <w:rFonts w:cs="Arial"/>
        </w:rPr>
        <w:t>Superti</w:t>
      </w:r>
      <w:proofErr w:type="spellEnd"/>
      <w:r>
        <w:rPr>
          <w:rFonts w:cs="Arial"/>
        </w:rPr>
        <w:t xml:space="preserve"> and colleagues investigated the ability of </w:t>
      </w:r>
      <w:proofErr w:type="spellStart"/>
      <w:r>
        <w:rPr>
          <w:rFonts w:cs="Arial"/>
        </w:rPr>
        <w:t>bLf</w:t>
      </w:r>
      <w:proofErr w:type="spellEnd"/>
      <w:r>
        <w:rPr>
          <w:rFonts w:cs="Arial"/>
        </w:rPr>
        <w:t xml:space="preserve"> to inhibit </w:t>
      </w:r>
      <w:proofErr w:type="spellStart"/>
      <w:r>
        <w:rPr>
          <w:rFonts w:cs="Arial"/>
        </w:rPr>
        <w:t>rotarial</w:t>
      </w:r>
      <w:proofErr w:type="spellEnd"/>
      <w:r>
        <w:rPr>
          <w:rFonts w:cs="Arial"/>
        </w:rPr>
        <w:t xml:space="preserve"> infection of a human colon enterocyte cell line, </w:t>
      </w:r>
      <w:r w:rsidRPr="00DF5AA6">
        <w:rPr>
          <w:rFonts w:cs="Arial"/>
        </w:rPr>
        <w:t>HT-29 (</w:t>
      </w:r>
      <w:proofErr w:type="spellStart"/>
      <w:r w:rsidRPr="00DF5AA6">
        <w:rPr>
          <w:rFonts w:cs="Arial"/>
        </w:rPr>
        <w:t>Superti</w:t>
      </w:r>
      <w:proofErr w:type="spellEnd"/>
      <w:r w:rsidRPr="00DF5AA6">
        <w:rPr>
          <w:rFonts w:cs="Arial"/>
        </w:rPr>
        <w:t xml:space="preserve"> et al., 1997; 2001). They showed dose-dependent inhibition of viral attachment to cellular receptors mediated by </w:t>
      </w:r>
      <w:proofErr w:type="spellStart"/>
      <w:r w:rsidRPr="00DF5AA6">
        <w:rPr>
          <w:rFonts w:cs="Arial"/>
        </w:rPr>
        <w:t>bLf</w:t>
      </w:r>
      <w:proofErr w:type="spellEnd"/>
      <w:r w:rsidRPr="00DF5AA6">
        <w:rPr>
          <w:rFonts w:cs="Arial"/>
        </w:rPr>
        <w:t xml:space="preserve"> binding to viral particles. </w:t>
      </w:r>
      <w:proofErr w:type="spellStart"/>
      <w:r w:rsidRPr="00DF5AA6">
        <w:rPr>
          <w:rFonts w:cs="Arial"/>
        </w:rPr>
        <w:t>bLf</w:t>
      </w:r>
      <w:proofErr w:type="spellEnd"/>
      <w:r w:rsidRPr="00DF5AA6">
        <w:rPr>
          <w:rFonts w:cs="Arial"/>
        </w:rPr>
        <w:t xml:space="preserve"> also inhibited viral antigen</w:t>
      </w:r>
      <w:r>
        <w:rPr>
          <w:rFonts w:cs="Arial"/>
        </w:rPr>
        <w:t xml:space="preserve"> synthesis and viral yield when added during or shortly after viral infection, implying a further intracellular role for </w:t>
      </w:r>
      <w:proofErr w:type="spellStart"/>
      <w:r>
        <w:rPr>
          <w:rFonts w:cs="Arial"/>
        </w:rPr>
        <w:t>bLf</w:t>
      </w:r>
      <w:proofErr w:type="spellEnd"/>
      <w:r>
        <w:rPr>
          <w:rFonts w:cs="Arial"/>
        </w:rPr>
        <w:t xml:space="preserve"> in its antiviral activity. The antiviral activity was shown to be independent of the state of iron saturation of </w:t>
      </w:r>
      <w:proofErr w:type="spellStart"/>
      <w:r>
        <w:rPr>
          <w:rFonts w:cs="Arial"/>
        </w:rPr>
        <w:t>bLf</w:t>
      </w:r>
      <w:proofErr w:type="spellEnd"/>
      <w:r>
        <w:rPr>
          <w:rFonts w:cs="Arial"/>
        </w:rPr>
        <w:t>, and</w:t>
      </w:r>
      <w:r w:rsidRPr="00CB5A2F">
        <w:rPr>
          <w:rFonts w:cs="Arial"/>
        </w:rPr>
        <w:t xml:space="preserve"> </w:t>
      </w:r>
      <w:r>
        <w:rPr>
          <w:rFonts w:cs="Arial"/>
        </w:rPr>
        <w:t xml:space="preserve">was </w:t>
      </w:r>
      <w:r w:rsidRPr="00CB5A2F">
        <w:rPr>
          <w:rFonts w:cs="Arial"/>
        </w:rPr>
        <w:t>not due to iron or to sialic acid residues</w:t>
      </w:r>
      <w:r>
        <w:rPr>
          <w:rFonts w:cs="Arial"/>
        </w:rPr>
        <w:t>, in agreement with the results reported by Hasegawa et al</w:t>
      </w:r>
      <w:r w:rsidR="00BC214A">
        <w:rPr>
          <w:rFonts w:cs="Arial"/>
        </w:rPr>
        <w:t>.</w:t>
      </w:r>
      <w:r>
        <w:rPr>
          <w:rFonts w:cs="Arial"/>
        </w:rPr>
        <w:t xml:space="preserve"> (1994).</w:t>
      </w:r>
    </w:p>
    <w:p w14:paraId="757BF89E" w14:textId="77777777" w:rsidR="009E2D7B" w:rsidRDefault="009E2D7B" w:rsidP="009E2D7B">
      <w:pPr>
        <w:rPr>
          <w:rFonts w:cs="Arial"/>
        </w:rPr>
      </w:pPr>
    </w:p>
    <w:p w14:paraId="7935121C" w14:textId="7F4AFF29" w:rsidR="00E16439" w:rsidRDefault="009E2D7B" w:rsidP="003947C0">
      <w:r>
        <w:rPr>
          <w:rFonts w:cs="Arial"/>
        </w:rPr>
        <w:t xml:space="preserve">Other </w:t>
      </w:r>
      <w:r w:rsidRPr="008D7437">
        <w:rPr>
          <w:rFonts w:cs="Arial"/>
          <w:i/>
        </w:rPr>
        <w:t>in vitro</w:t>
      </w:r>
      <w:r>
        <w:rPr>
          <w:rFonts w:cs="Arial"/>
        </w:rPr>
        <w:t xml:space="preserve"> studies have also demonstrated that the antiviral activity of </w:t>
      </w:r>
      <w:proofErr w:type="spellStart"/>
      <w:r>
        <w:rPr>
          <w:rFonts w:cs="Arial"/>
        </w:rPr>
        <w:t>hLf</w:t>
      </w:r>
      <w:proofErr w:type="spellEnd"/>
      <w:r>
        <w:rPr>
          <w:rFonts w:cs="Arial"/>
        </w:rPr>
        <w:t xml:space="preserve"> and/or </w:t>
      </w:r>
      <w:proofErr w:type="spellStart"/>
      <w:r>
        <w:rPr>
          <w:rFonts w:cs="Arial"/>
        </w:rPr>
        <w:t>bLf</w:t>
      </w:r>
      <w:proofErr w:type="spellEnd"/>
      <w:r>
        <w:rPr>
          <w:rFonts w:cs="Arial"/>
        </w:rPr>
        <w:t xml:space="preserve"> is mediated by binding to either cell- or virus-surface structures and interfering with viral attachment and uptake into cells (</w:t>
      </w:r>
      <w:proofErr w:type="spellStart"/>
      <w:r>
        <w:rPr>
          <w:rFonts w:cs="Arial"/>
        </w:rPr>
        <w:t>Portelli</w:t>
      </w:r>
      <w:proofErr w:type="spellEnd"/>
      <w:r>
        <w:rPr>
          <w:rFonts w:cs="Arial"/>
        </w:rPr>
        <w:t xml:space="preserve"> et al., 1998; Clarke a</w:t>
      </w:r>
      <w:r w:rsidR="00DF5AA6">
        <w:rPr>
          <w:rFonts w:cs="Arial"/>
        </w:rPr>
        <w:t>nd May, 2000; Arnold et al., 200</w:t>
      </w:r>
      <w:r>
        <w:rPr>
          <w:rFonts w:cs="Arial"/>
        </w:rPr>
        <w:t xml:space="preserve">2; </w:t>
      </w:r>
      <w:proofErr w:type="spellStart"/>
      <w:r>
        <w:rPr>
          <w:rFonts w:cs="Arial"/>
        </w:rPr>
        <w:t>Pietrantoni</w:t>
      </w:r>
      <w:proofErr w:type="spellEnd"/>
      <w:r>
        <w:rPr>
          <w:rFonts w:cs="Arial"/>
        </w:rPr>
        <w:t xml:space="preserve"> et al., 2003; Yamamoto et al., 2010). Several studies have identified lactoferrin binding to cell-surface glycosaminoglycan viral-recognition and/or receptor molecules as a critical step in inhibition of viral binding (</w:t>
      </w:r>
      <w:proofErr w:type="spellStart"/>
      <w:r>
        <w:rPr>
          <w:rFonts w:cs="Arial"/>
        </w:rPr>
        <w:t>Pietrantoni</w:t>
      </w:r>
      <w:proofErr w:type="spellEnd"/>
      <w:r>
        <w:rPr>
          <w:rFonts w:cs="Arial"/>
        </w:rPr>
        <w:t xml:space="preserve"> et al., 2003; </w:t>
      </w:r>
      <w:proofErr w:type="spellStart"/>
      <w:r>
        <w:rPr>
          <w:rFonts w:cs="Arial"/>
        </w:rPr>
        <w:t>Berlutti</w:t>
      </w:r>
      <w:proofErr w:type="spellEnd"/>
      <w:r>
        <w:rPr>
          <w:rFonts w:cs="Arial"/>
        </w:rPr>
        <w:t xml:space="preserve"> et al., 2011; </w:t>
      </w:r>
      <w:proofErr w:type="spellStart"/>
      <w:r>
        <w:rPr>
          <w:rFonts w:cs="Arial"/>
        </w:rPr>
        <w:t>Denani</w:t>
      </w:r>
      <w:proofErr w:type="spellEnd"/>
      <w:r>
        <w:rPr>
          <w:rFonts w:cs="Arial"/>
        </w:rPr>
        <w:t xml:space="preserve"> et al., 2021). In cases where comparisons have been made, </w:t>
      </w:r>
      <w:proofErr w:type="spellStart"/>
      <w:r>
        <w:rPr>
          <w:rFonts w:cs="Arial"/>
        </w:rPr>
        <w:t>bLf</w:t>
      </w:r>
      <w:proofErr w:type="spellEnd"/>
      <w:r>
        <w:rPr>
          <w:rFonts w:cs="Arial"/>
        </w:rPr>
        <w:t xml:space="preserve"> is usually shown to have stronger antiviral activity than </w:t>
      </w:r>
      <w:proofErr w:type="spellStart"/>
      <w:r>
        <w:rPr>
          <w:rFonts w:cs="Arial"/>
        </w:rPr>
        <w:t>hLf</w:t>
      </w:r>
      <w:proofErr w:type="spellEnd"/>
      <w:r>
        <w:rPr>
          <w:rFonts w:cs="Arial"/>
        </w:rPr>
        <w:t xml:space="preserve"> (Hasegawa et al. 1994; Arnold et al., 2002; </w:t>
      </w:r>
      <w:proofErr w:type="spellStart"/>
      <w:r>
        <w:rPr>
          <w:rFonts w:cs="Arial"/>
        </w:rPr>
        <w:t>Berlutti</w:t>
      </w:r>
      <w:proofErr w:type="spellEnd"/>
      <w:r>
        <w:rPr>
          <w:rFonts w:cs="Arial"/>
        </w:rPr>
        <w:t xml:space="preserve"> et al., 2011).</w:t>
      </w:r>
    </w:p>
    <w:p w14:paraId="4F94839D" w14:textId="4FABA978" w:rsidR="003947C0" w:rsidRDefault="00043769" w:rsidP="00733CE2">
      <w:pPr>
        <w:pStyle w:val="Heading2"/>
      </w:pPr>
      <w:bookmarkStart w:id="117" w:name="_Toc111626705"/>
      <w:bookmarkStart w:id="118" w:name="_Toc112915015"/>
      <w:bookmarkStart w:id="119" w:name="_Toc113523079"/>
      <w:r>
        <w:t>5</w:t>
      </w:r>
      <w:r w:rsidR="00E16439">
        <w:t>.</w:t>
      </w:r>
      <w:r w:rsidR="003947C0">
        <w:t>3</w:t>
      </w:r>
      <w:r w:rsidR="003947C0">
        <w:tab/>
        <w:t>Immunomodulatory effect</w:t>
      </w:r>
      <w:bookmarkEnd w:id="117"/>
      <w:bookmarkEnd w:id="118"/>
      <w:bookmarkEnd w:id="119"/>
    </w:p>
    <w:p w14:paraId="4AE0195F" w14:textId="1733BB8A" w:rsidR="00BC214A" w:rsidRDefault="00BC214A" w:rsidP="00BC214A">
      <w:pPr>
        <w:rPr>
          <w:rFonts w:eastAsia="Arial" w:cs="Arial"/>
        </w:rPr>
      </w:pPr>
      <w:r w:rsidRPr="57F8FDA9">
        <w:rPr>
          <w:rFonts w:eastAsia="Arial" w:cs="Arial"/>
        </w:rPr>
        <w:t xml:space="preserve">Cell culture experiments and studies conducted in mammalian cells or organs </w:t>
      </w:r>
      <w:r w:rsidRPr="57F8FDA9">
        <w:rPr>
          <w:rFonts w:eastAsia="Arial" w:cs="Arial"/>
          <w:i/>
          <w:iCs/>
        </w:rPr>
        <w:t>ex vivo</w:t>
      </w:r>
      <w:r w:rsidRPr="57F8FDA9">
        <w:rPr>
          <w:rFonts w:eastAsia="Arial" w:cs="Arial"/>
        </w:rPr>
        <w:t xml:space="preserve"> demonstrate that ingested </w:t>
      </w:r>
      <w:proofErr w:type="spellStart"/>
      <w:r w:rsidRPr="57F8FDA9">
        <w:rPr>
          <w:rFonts w:eastAsia="Arial" w:cs="Arial"/>
        </w:rPr>
        <w:t>bLf</w:t>
      </w:r>
      <w:proofErr w:type="spellEnd"/>
      <w:r w:rsidRPr="57F8FDA9">
        <w:rPr>
          <w:rFonts w:eastAsia="Arial" w:cs="Arial"/>
        </w:rPr>
        <w:t xml:space="preserve"> has a complex array of effects on the host innate and adaptive immune responses in the gut lumen beyond the generation of a specific antibody response to the protein. There is compelling evidence that these effects are mediated by internalisation of </w:t>
      </w:r>
      <w:proofErr w:type="spellStart"/>
      <w:r w:rsidRPr="57F8FDA9">
        <w:rPr>
          <w:rFonts w:eastAsia="Arial" w:cs="Arial"/>
        </w:rPr>
        <w:t>bLf</w:t>
      </w:r>
      <w:proofErr w:type="spellEnd"/>
      <w:r w:rsidRPr="57F8FDA9">
        <w:rPr>
          <w:rFonts w:eastAsia="Arial" w:cs="Arial"/>
        </w:rPr>
        <w:t xml:space="preserve"> through interactions with specific gut epithelial cell surface receptor molecules.</w:t>
      </w:r>
    </w:p>
    <w:p w14:paraId="6E499CED" w14:textId="77777777" w:rsidR="00BC214A" w:rsidRDefault="00BC214A" w:rsidP="00BC214A">
      <w:pPr>
        <w:rPr>
          <w:rFonts w:eastAsia="Arial" w:cs="Arial"/>
        </w:rPr>
      </w:pPr>
    </w:p>
    <w:p w14:paraId="123A30C0" w14:textId="27F465DE" w:rsidR="00BC214A" w:rsidRDefault="00BC214A" w:rsidP="00BC214A">
      <w:pPr>
        <w:rPr>
          <w:rFonts w:eastAsia="Arial" w:cs="Arial"/>
        </w:rPr>
      </w:pPr>
      <w:r w:rsidRPr="00B410EF">
        <w:rPr>
          <w:rFonts w:eastAsia="Arial" w:cs="Arial"/>
        </w:rPr>
        <w:t>Receptors for lactoferrins have been reported in the small intestines of many mammalian species (Suzuki et al., 2005). Cross-species receptor binding and internalisation has been observed in many instances, presumably enabled by the evolutionary conservation of lactoferrin protein sequences and structure (</w:t>
      </w:r>
      <w:proofErr w:type="spellStart"/>
      <w:r w:rsidRPr="00B410EF">
        <w:rPr>
          <w:rFonts w:eastAsia="Arial" w:cs="Arial"/>
        </w:rPr>
        <w:t>Demmelmair</w:t>
      </w:r>
      <w:proofErr w:type="spellEnd"/>
      <w:r w:rsidRPr="00B410EF">
        <w:rPr>
          <w:rFonts w:eastAsia="Arial" w:cs="Arial"/>
        </w:rPr>
        <w:t xml:space="preserve"> et al., 2017). This</w:t>
      </w:r>
      <w:r w:rsidRPr="57F8FDA9">
        <w:rPr>
          <w:rFonts w:eastAsia="Arial" w:cs="Arial"/>
        </w:rPr>
        <w:t xml:space="preserve"> has enabled the study of immune responses to dietary </w:t>
      </w:r>
      <w:proofErr w:type="spellStart"/>
      <w:r w:rsidRPr="57F8FDA9">
        <w:rPr>
          <w:rFonts w:eastAsia="Arial" w:cs="Arial"/>
        </w:rPr>
        <w:t>bLf</w:t>
      </w:r>
      <w:proofErr w:type="spellEnd"/>
      <w:r w:rsidRPr="57F8FDA9">
        <w:rPr>
          <w:rFonts w:eastAsia="Arial" w:cs="Arial"/>
        </w:rPr>
        <w:t xml:space="preserve"> in a number of species, including mice, rats and pigs. It should also be noted that bacterial LPS, which strongly binds to </w:t>
      </w:r>
      <w:proofErr w:type="spellStart"/>
      <w:r w:rsidRPr="57F8FDA9">
        <w:rPr>
          <w:rFonts w:eastAsia="Arial" w:cs="Arial"/>
        </w:rPr>
        <w:t>bLf</w:t>
      </w:r>
      <w:proofErr w:type="spellEnd"/>
      <w:r w:rsidRPr="57F8FDA9">
        <w:rPr>
          <w:rFonts w:eastAsia="Arial" w:cs="Arial"/>
        </w:rPr>
        <w:t xml:space="preserve">, interferes with many of its receptor-mediated functions, most likely through steric hindrance of receptor </w:t>
      </w:r>
      <w:r w:rsidRPr="00B410EF">
        <w:rPr>
          <w:rFonts w:eastAsia="Arial" w:cs="Arial"/>
        </w:rPr>
        <w:t>binding (Miyazawa et al., 1991).</w:t>
      </w:r>
    </w:p>
    <w:p w14:paraId="1DED2581" w14:textId="77777777" w:rsidR="00BC214A" w:rsidRDefault="00BC214A" w:rsidP="00BC214A">
      <w:pPr>
        <w:rPr>
          <w:rFonts w:eastAsia="Arial" w:cs="Arial"/>
        </w:rPr>
      </w:pPr>
    </w:p>
    <w:p w14:paraId="5D6CE40E" w14:textId="00C6822B" w:rsidR="00BC214A" w:rsidRDefault="00BC214A" w:rsidP="00BC214A">
      <w:pPr>
        <w:rPr>
          <w:rFonts w:eastAsia="Arial" w:cs="Arial"/>
        </w:rPr>
      </w:pPr>
      <w:r>
        <w:rPr>
          <w:rFonts w:eastAsia="Arial" w:cs="Arial"/>
        </w:rPr>
        <w:t xml:space="preserve">The immunomodulatory effects of </w:t>
      </w:r>
      <w:proofErr w:type="spellStart"/>
      <w:r>
        <w:rPr>
          <w:rFonts w:eastAsia="Arial" w:cs="Arial"/>
        </w:rPr>
        <w:t>bLf</w:t>
      </w:r>
      <w:proofErr w:type="spellEnd"/>
      <w:r>
        <w:rPr>
          <w:rFonts w:eastAsia="Arial" w:cs="Arial"/>
        </w:rPr>
        <w:t xml:space="preserve"> in animal and cell culture studies is observed as a variety of effects on cellular proliferation, antibody production, and cytokine gene expression, production and/or secretion.</w:t>
      </w:r>
    </w:p>
    <w:p w14:paraId="5A7C5E59" w14:textId="77777777" w:rsidR="00BC214A" w:rsidRDefault="00BC214A" w:rsidP="00BC214A">
      <w:pPr>
        <w:rPr>
          <w:rFonts w:eastAsia="Arial" w:cs="Arial"/>
        </w:rPr>
      </w:pPr>
    </w:p>
    <w:p w14:paraId="3575D0AB" w14:textId="04CE6CCB" w:rsidR="00BC214A" w:rsidRDefault="73D2EF33" w:rsidP="00BC214A">
      <w:pPr>
        <w:rPr>
          <w:rFonts w:eastAsia="Arial" w:cs="Arial"/>
        </w:rPr>
      </w:pPr>
      <w:r w:rsidRPr="48784B51">
        <w:rPr>
          <w:rFonts w:eastAsia="Arial" w:cs="Arial"/>
        </w:rPr>
        <w:t xml:space="preserve">Induction of antibody production and increased antibody levels in the gut lumen were described by </w:t>
      </w:r>
      <w:proofErr w:type="spellStart"/>
      <w:r w:rsidRPr="48784B51">
        <w:rPr>
          <w:rFonts w:eastAsia="Arial" w:cs="Arial"/>
        </w:rPr>
        <w:t>Debbabi</w:t>
      </w:r>
      <w:proofErr w:type="spellEnd"/>
      <w:r w:rsidRPr="48784B51">
        <w:rPr>
          <w:rFonts w:eastAsia="Arial" w:cs="Arial"/>
        </w:rPr>
        <w:t xml:space="preserve"> et al. (1998) in mice fed </w:t>
      </w:r>
      <w:proofErr w:type="spellStart"/>
      <w:r w:rsidRPr="48784B51">
        <w:rPr>
          <w:rFonts w:eastAsia="Arial" w:cs="Arial"/>
        </w:rPr>
        <w:t>bLf</w:t>
      </w:r>
      <w:proofErr w:type="spellEnd"/>
      <w:r w:rsidRPr="48784B51">
        <w:rPr>
          <w:rFonts w:eastAsia="Arial" w:cs="Arial"/>
        </w:rPr>
        <w:t xml:space="preserve"> daily for four weeks at two dose levels, with water as a control. In mice given </w:t>
      </w:r>
      <w:proofErr w:type="spellStart"/>
      <w:r w:rsidRPr="48784B51">
        <w:rPr>
          <w:rFonts w:eastAsia="Arial" w:cs="Arial"/>
        </w:rPr>
        <w:t>bLf</w:t>
      </w:r>
      <w:proofErr w:type="spellEnd"/>
      <w:r w:rsidRPr="48784B51">
        <w:rPr>
          <w:rFonts w:eastAsia="Arial" w:cs="Arial"/>
        </w:rPr>
        <w:t>, specific anti-</w:t>
      </w:r>
      <w:proofErr w:type="spellStart"/>
      <w:r w:rsidRPr="48784B51">
        <w:rPr>
          <w:rFonts w:eastAsia="Arial" w:cs="Arial"/>
        </w:rPr>
        <w:t>bLf</w:t>
      </w:r>
      <w:proofErr w:type="spellEnd"/>
      <w:r w:rsidRPr="48784B51">
        <w:rPr>
          <w:rFonts w:eastAsia="Arial" w:cs="Arial"/>
        </w:rPr>
        <w:t xml:space="preserve"> IgA and IgG were observed in intestinal fluids and serum. However, increases in total </w:t>
      </w:r>
      <w:r w:rsidR="21AA9C18" w:rsidRPr="48784B51">
        <w:rPr>
          <w:rFonts w:eastAsia="Arial" w:cs="Arial"/>
        </w:rPr>
        <w:t>immunoglobulin</w:t>
      </w:r>
      <w:r w:rsidRPr="48784B51">
        <w:rPr>
          <w:rFonts w:eastAsia="Arial" w:cs="Arial"/>
        </w:rPr>
        <w:t xml:space="preserve"> levels were only observed in intestinal fluids and spleen, but not serum, implying a separate activation of the mucosal immune system by </w:t>
      </w:r>
      <w:proofErr w:type="spellStart"/>
      <w:r w:rsidRPr="48784B51">
        <w:rPr>
          <w:rFonts w:eastAsia="Arial" w:cs="Arial"/>
        </w:rPr>
        <w:t>bLf</w:t>
      </w:r>
      <w:proofErr w:type="spellEnd"/>
      <w:r w:rsidRPr="48784B51">
        <w:rPr>
          <w:rFonts w:eastAsia="Arial" w:cs="Arial"/>
        </w:rPr>
        <w:t>. IgA has a key role in prevention of pathogen attachment to the gut epithelium, as well as in prevention of inflammatory damage and maintenance of intestinal homeostasis (Murphy et al., 2008).</w:t>
      </w:r>
    </w:p>
    <w:p w14:paraId="0557375A" w14:textId="77777777" w:rsidR="00BC214A" w:rsidRDefault="00BC214A" w:rsidP="00BC214A">
      <w:pPr>
        <w:rPr>
          <w:rFonts w:eastAsia="Arial" w:cs="Arial"/>
        </w:rPr>
      </w:pPr>
    </w:p>
    <w:p w14:paraId="03D2F2F6" w14:textId="329ADE8F" w:rsidR="00BC214A" w:rsidRDefault="00BC214A" w:rsidP="00BC214A">
      <w:pPr>
        <w:rPr>
          <w:rFonts w:eastAsia="Arial" w:cs="Arial"/>
        </w:rPr>
      </w:pPr>
      <w:r w:rsidRPr="00B410EF">
        <w:rPr>
          <w:rFonts w:eastAsia="Arial" w:cs="Arial"/>
        </w:rPr>
        <w:t xml:space="preserve">Similarly, </w:t>
      </w:r>
      <w:proofErr w:type="spellStart"/>
      <w:r w:rsidRPr="00B410EF">
        <w:rPr>
          <w:rFonts w:eastAsia="Arial" w:cs="Arial"/>
        </w:rPr>
        <w:t>Arciniega</w:t>
      </w:r>
      <w:proofErr w:type="spellEnd"/>
      <w:r w:rsidRPr="00B410EF">
        <w:rPr>
          <w:rFonts w:eastAsia="Arial" w:cs="Arial"/>
        </w:rPr>
        <w:t>-Martinez et al. (2015) observed</w:t>
      </w:r>
      <w:r>
        <w:rPr>
          <w:rFonts w:eastAsia="Arial" w:cs="Arial"/>
        </w:rPr>
        <w:t xml:space="preserve"> increased levels of IgA and IgM in the distal small intestine in mice fed </w:t>
      </w:r>
      <w:proofErr w:type="spellStart"/>
      <w:r>
        <w:rPr>
          <w:rFonts w:eastAsia="Arial" w:cs="Arial"/>
        </w:rPr>
        <w:t>bLf</w:t>
      </w:r>
      <w:proofErr w:type="spellEnd"/>
      <w:r>
        <w:rPr>
          <w:rFonts w:eastAsia="Arial" w:cs="Arial"/>
        </w:rPr>
        <w:t xml:space="preserve"> at a single dose for four weeks, compared to water as control. This effect was accompanied by up-regulation of IgA</w:t>
      </w:r>
      <w:r w:rsidRPr="001F0A22">
        <w:rPr>
          <w:rFonts w:eastAsia="Arial" w:cs="Arial"/>
          <w:vertAlign w:val="superscript"/>
        </w:rPr>
        <w:t>+</w:t>
      </w:r>
      <w:r>
        <w:rPr>
          <w:rFonts w:eastAsia="Arial" w:cs="Arial"/>
        </w:rPr>
        <w:t xml:space="preserve"> and IgM</w:t>
      </w:r>
      <w:r w:rsidRPr="001F0A22">
        <w:rPr>
          <w:rFonts w:eastAsia="Arial" w:cs="Arial"/>
          <w:vertAlign w:val="superscript"/>
        </w:rPr>
        <w:t>+</w:t>
      </w:r>
      <w:r>
        <w:rPr>
          <w:rFonts w:eastAsia="Arial" w:cs="Arial"/>
        </w:rPr>
        <w:t xml:space="preserve"> plasma cells in </w:t>
      </w:r>
      <w:r w:rsidRPr="006654E2">
        <w:rPr>
          <w:rFonts w:eastAsia="Arial" w:cs="Arial"/>
        </w:rPr>
        <w:t>mucosal immune inductor (</w:t>
      </w:r>
      <w:proofErr w:type="spellStart"/>
      <w:r w:rsidRPr="006654E2">
        <w:rPr>
          <w:rFonts w:eastAsia="Arial" w:cs="Arial"/>
        </w:rPr>
        <w:t>eg</w:t>
      </w:r>
      <w:proofErr w:type="spellEnd"/>
      <w:r w:rsidRPr="006654E2">
        <w:rPr>
          <w:rFonts w:eastAsia="Arial" w:cs="Arial"/>
        </w:rPr>
        <w:t xml:space="preserve"> Peyer’s patches) and effector (</w:t>
      </w:r>
      <w:proofErr w:type="spellStart"/>
      <w:r w:rsidRPr="006654E2">
        <w:rPr>
          <w:rFonts w:eastAsia="Arial" w:cs="Arial"/>
        </w:rPr>
        <w:t>eg</w:t>
      </w:r>
      <w:proofErr w:type="spellEnd"/>
      <w:r w:rsidRPr="006654E2">
        <w:rPr>
          <w:rFonts w:eastAsia="Arial" w:cs="Arial"/>
        </w:rPr>
        <w:t xml:space="preserve"> lamina propria) regions</w:t>
      </w:r>
      <w:r>
        <w:rPr>
          <w:rFonts w:eastAsia="Arial" w:cs="Arial"/>
        </w:rPr>
        <w:t>. Analysis of cytokine responses indicated time- and site-dependency, with the proportion of CD3</w:t>
      </w:r>
      <w:r w:rsidRPr="001F0A22">
        <w:rPr>
          <w:rFonts w:eastAsia="Arial" w:cs="Arial"/>
          <w:vertAlign w:val="superscript"/>
        </w:rPr>
        <w:t>+</w:t>
      </w:r>
      <w:r>
        <w:rPr>
          <w:rFonts w:eastAsia="Arial" w:cs="Arial"/>
        </w:rPr>
        <w:t>/CD4</w:t>
      </w:r>
      <w:r w:rsidRPr="001F0A22">
        <w:rPr>
          <w:rFonts w:eastAsia="Arial" w:cs="Arial"/>
          <w:vertAlign w:val="superscript"/>
        </w:rPr>
        <w:t>+</w:t>
      </w:r>
      <w:r>
        <w:rPr>
          <w:rFonts w:eastAsia="Arial" w:cs="Arial"/>
        </w:rPr>
        <w:t xml:space="preserve"> T cells producing various pro-inflammatory or IgA-inducing cytokines rising and falling across the 28 days of </w:t>
      </w:r>
      <w:proofErr w:type="spellStart"/>
      <w:r>
        <w:rPr>
          <w:rFonts w:eastAsia="Arial" w:cs="Arial"/>
        </w:rPr>
        <w:t>bLf</w:t>
      </w:r>
      <w:proofErr w:type="spellEnd"/>
      <w:r>
        <w:rPr>
          <w:rFonts w:eastAsia="Arial" w:cs="Arial"/>
        </w:rPr>
        <w:t xml:space="preserve"> administration. Depending on the cytokine, changes </w:t>
      </w:r>
      <w:r w:rsidRPr="004B7547">
        <w:rPr>
          <w:rFonts w:eastAsia="Arial" w:cs="Arial"/>
        </w:rPr>
        <w:t>in Peyer’s patches and the lamina propria</w:t>
      </w:r>
      <w:r>
        <w:rPr>
          <w:rFonts w:eastAsia="Arial" w:cs="Arial"/>
        </w:rPr>
        <w:t xml:space="preserve"> were either reinforcing or opposite in effect at any particular time point. The impact of this on the efficacy of an immune response to challenge by a pathogen was not assessed.</w:t>
      </w:r>
    </w:p>
    <w:p w14:paraId="7A58EAF0" w14:textId="77777777" w:rsidR="00BC214A" w:rsidRDefault="00BC214A" w:rsidP="00BC214A">
      <w:pPr>
        <w:rPr>
          <w:rFonts w:eastAsia="Arial" w:cs="Arial"/>
        </w:rPr>
      </w:pPr>
    </w:p>
    <w:p w14:paraId="4EBF7BBE" w14:textId="605F2193" w:rsidR="00BC214A" w:rsidRDefault="73D2EF33" w:rsidP="00BC214A">
      <w:pPr>
        <w:rPr>
          <w:rFonts w:eastAsia="Arial" w:cs="Arial"/>
        </w:rPr>
      </w:pPr>
      <w:r w:rsidRPr="48784B51">
        <w:rPr>
          <w:rFonts w:eastAsia="Arial" w:cs="Arial"/>
        </w:rPr>
        <w:t xml:space="preserve">These waves of pro-inflammatory and inhibitory cytokine production, allied with a </w:t>
      </w:r>
      <w:proofErr w:type="spellStart"/>
      <w:r w:rsidRPr="48784B51">
        <w:rPr>
          <w:rFonts w:eastAsia="Arial" w:cs="Arial"/>
        </w:rPr>
        <w:t>bLf</w:t>
      </w:r>
      <w:proofErr w:type="spellEnd"/>
      <w:r w:rsidR="42A8377C" w:rsidRPr="48784B51">
        <w:rPr>
          <w:rFonts w:eastAsia="Arial" w:cs="Arial"/>
        </w:rPr>
        <w:t xml:space="preserve"> </w:t>
      </w:r>
      <w:r w:rsidRPr="48784B51">
        <w:rPr>
          <w:rFonts w:eastAsia="Arial" w:cs="Arial"/>
        </w:rPr>
        <w:t xml:space="preserve">induced increase in IgA production, were also observed in follow-up experiments reported by </w:t>
      </w:r>
      <w:proofErr w:type="spellStart"/>
      <w:r w:rsidRPr="48784B51">
        <w:rPr>
          <w:rFonts w:eastAsia="Arial" w:cs="Arial"/>
        </w:rPr>
        <w:t>Ynga</w:t>
      </w:r>
      <w:proofErr w:type="spellEnd"/>
      <w:r w:rsidR="00F3741A">
        <w:rPr>
          <w:rFonts w:eastAsia="Arial" w:cs="Arial"/>
        </w:rPr>
        <w:noBreakHyphen/>
      </w:r>
      <w:r w:rsidRPr="48784B51">
        <w:rPr>
          <w:rFonts w:eastAsia="Arial" w:cs="Arial"/>
        </w:rPr>
        <w:t>Durand et al. (2021).These effects, were modulated by various cytokine-producing cells. They show complex dynamics across experimental timeframes, and differ in detail and scale between the proximal and distal small gut, and between mucosal immune inductor (e</w:t>
      </w:r>
      <w:r w:rsidR="552C32A1" w:rsidRPr="48784B51">
        <w:rPr>
          <w:rFonts w:eastAsia="Arial" w:cs="Arial"/>
        </w:rPr>
        <w:t>.</w:t>
      </w:r>
      <w:r w:rsidRPr="48784B51">
        <w:rPr>
          <w:rFonts w:eastAsia="Arial" w:cs="Arial"/>
        </w:rPr>
        <w:t>g</w:t>
      </w:r>
      <w:r w:rsidR="552C32A1" w:rsidRPr="48784B51">
        <w:rPr>
          <w:rFonts w:eastAsia="Arial" w:cs="Arial"/>
        </w:rPr>
        <w:t>.</w:t>
      </w:r>
      <w:r w:rsidRPr="48784B51">
        <w:rPr>
          <w:rFonts w:eastAsia="Arial" w:cs="Arial"/>
        </w:rPr>
        <w:t xml:space="preserve"> Peyer’s patches) and effector (e</w:t>
      </w:r>
      <w:r w:rsidR="552C32A1" w:rsidRPr="48784B51">
        <w:rPr>
          <w:rFonts w:eastAsia="Arial" w:cs="Arial"/>
        </w:rPr>
        <w:t>.</w:t>
      </w:r>
      <w:r w:rsidRPr="48784B51">
        <w:rPr>
          <w:rFonts w:eastAsia="Arial" w:cs="Arial"/>
        </w:rPr>
        <w:t>g</w:t>
      </w:r>
      <w:r w:rsidR="552C32A1" w:rsidRPr="48784B51">
        <w:rPr>
          <w:rFonts w:eastAsia="Arial" w:cs="Arial"/>
        </w:rPr>
        <w:t>.</w:t>
      </w:r>
      <w:r w:rsidRPr="48784B51">
        <w:rPr>
          <w:rFonts w:eastAsia="Arial" w:cs="Arial"/>
        </w:rPr>
        <w:t xml:space="preserve"> lamina propria) regions.</w:t>
      </w:r>
    </w:p>
    <w:p w14:paraId="4529A253" w14:textId="77777777" w:rsidR="00BC214A" w:rsidRDefault="00BC214A" w:rsidP="00BC214A">
      <w:pPr>
        <w:rPr>
          <w:rFonts w:eastAsia="Arial" w:cs="Arial"/>
        </w:rPr>
      </w:pPr>
    </w:p>
    <w:p w14:paraId="412D75DD" w14:textId="77777777" w:rsidR="00BC214A" w:rsidRDefault="00BC214A" w:rsidP="00BC214A">
      <w:pPr>
        <w:rPr>
          <w:rFonts w:eastAsia="Arial" w:cs="Arial"/>
        </w:rPr>
      </w:pPr>
      <w:r>
        <w:rPr>
          <w:rFonts w:eastAsia="Arial" w:cs="Arial"/>
        </w:rPr>
        <w:t xml:space="preserve">Other cell culture and animal studies have demonstrated similar dual effects of </w:t>
      </w:r>
      <w:proofErr w:type="spellStart"/>
      <w:r>
        <w:rPr>
          <w:rFonts w:eastAsia="Arial" w:cs="Arial"/>
        </w:rPr>
        <w:t>bLf</w:t>
      </w:r>
      <w:proofErr w:type="spellEnd"/>
      <w:r>
        <w:rPr>
          <w:rFonts w:eastAsia="Arial" w:cs="Arial"/>
        </w:rPr>
        <w:t xml:space="preserve"> on pro</w:t>
      </w:r>
      <w:r>
        <w:rPr>
          <w:rFonts w:eastAsia="Arial" w:cs="Arial"/>
        </w:rPr>
        <w:noBreakHyphen/>
      </w:r>
      <w:r w:rsidRPr="00827A6B">
        <w:rPr>
          <w:rFonts w:eastAsia="Arial" w:cs="Arial"/>
        </w:rPr>
        <w:t>inflammatory and inhibitory</w:t>
      </w:r>
      <w:r>
        <w:rPr>
          <w:rFonts w:eastAsia="Arial" w:cs="Arial"/>
        </w:rPr>
        <w:t xml:space="preserve"> cytokine production in the mucosal immune system.</w:t>
      </w:r>
    </w:p>
    <w:p w14:paraId="43D2BF38" w14:textId="77777777" w:rsidR="00BC214A" w:rsidRDefault="00BC214A" w:rsidP="00BC214A">
      <w:pPr>
        <w:rPr>
          <w:rFonts w:eastAsia="Arial" w:cs="Arial"/>
        </w:rPr>
      </w:pPr>
    </w:p>
    <w:p w14:paraId="12526F29" w14:textId="4391FCC4" w:rsidR="00BC214A" w:rsidRDefault="73D2EF33" w:rsidP="00BC214A">
      <w:pPr>
        <w:rPr>
          <w:rFonts w:eastAsia="Arial" w:cs="Arial"/>
        </w:rPr>
      </w:pPr>
      <w:r>
        <w:rPr>
          <w:rFonts w:eastAsia="Arial" w:cs="Arial"/>
        </w:rPr>
        <w:t xml:space="preserve">For </w:t>
      </w:r>
      <w:r w:rsidRPr="00B410EF">
        <w:rPr>
          <w:rFonts w:eastAsia="Arial" w:cs="Arial"/>
        </w:rPr>
        <w:t>example, Takakura et al. (2006), observed</w:t>
      </w:r>
      <w:r>
        <w:rPr>
          <w:rFonts w:eastAsia="Arial" w:cs="Arial"/>
        </w:rPr>
        <w:t xml:space="preserve"> enhanced production of interferon gamma (IFN</w:t>
      </w:r>
      <w:r w:rsidR="00BC214A">
        <w:rPr>
          <w:rFonts w:eastAsia="Arial" w:cs="Arial"/>
        </w:rPr>
        <w:noBreakHyphen/>
      </w:r>
      <w:r w:rsidRPr="004E4BB0">
        <w:rPr>
          <w:rFonts w:eastAsia="Arial" w:cs="Arial"/>
        </w:rPr>
        <w:t>γ</w:t>
      </w:r>
      <w:r>
        <w:rPr>
          <w:rFonts w:eastAsia="Arial" w:cs="Arial"/>
        </w:rPr>
        <w:t xml:space="preserve">) and interleukin-10 (IL-10) by T cell populations isolated from mice after three days of oral administration of </w:t>
      </w:r>
      <w:proofErr w:type="spellStart"/>
      <w:r>
        <w:rPr>
          <w:rFonts w:eastAsia="Arial" w:cs="Arial"/>
        </w:rPr>
        <w:t>bLf</w:t>
      </w:r>
      <w:proofErr w:type="spellEnd"/>
      <w:r>
        <w:rPr>
          <w:rFonts w:eastAsia="Arial" w:cs="Arial"/>
        </w:rPr>
        <w:t xml:space="preserve"> (compared to bovine serum albumin as control). Intestinal intra</w:t>
      </w:r>
      <w:r>
        <w:rPr>
          <w:rFonts w:eastAsia="Arial" w:cs="Arial"/>
        </w:rPr>
        <w:noBreakHyphen/>
        <w:t xml:space="preserve">epithelial lymphocytes and mesenteric lymph node cells, isolated 24 hours after the last </w:t>
      </w:r>
      <w:proofErr w:type="spellStart"/>
      <w:r>
        <w:rPr>
          <w:rFonts w:eastAsia="Arial" w:cs="Arial"/>
        </w:rPr>
        <w:t>bLf</w:t>
      </w:r>
      <w:proofErr w:type="spellEnd"/>
      <w:r>
        <w:rPr>
          <w:rFonts w:eastAsia="Arial" w:cs="Arial"/>
        </w:rPr>
        <w:t xml:space="preserve"> dose, were assayed for cytokine production with or without T-cell receptor stimulation. IFN-γ</w:t>
      </w:r>
      <w:r w:rsidRPr="00EE5086">
        <w:rPr>
          <w:rFonts w:eastAsia="Arial" w:cs="Arial"/>
        </w:rPr>
        <w:t xml:space="preserve"> </w:t>
      </w:r>
      <w:r>
        <w:rPr>
          <w:rFonts w:eastAsia="Arial" w:cs="Arial"/>
        </w:rPr>
        <w:t>and IL-10 are considered to be inflammatory (T helper type 1; T</w:t>
      </w:r>
      <w:r w:rsidRPr="00EE5086">
        <w:rPr>
          <w:rFonts w:eastAsia="Arial" w:cs="Arial"/>
          <w:vertAlign w:val="subscript"/>
        </w:rPr>
        <w:t>H</w:t>
      </w:r>
      <w:r>
        <w:rPr>
          <w:rFonts w:eastAsia="Arial" w:cs="Arial"/>
        </w:rPr>
        <w:t xml:space="preserve">1) and </w:t>
      </w:r>
      <w:r w:rsidR="13787B96">
        <w:rPr>
          <w:rFonts w:eastAsia="Arial" w:cs="Arial"/>
        </w:rPr>
        <w:t>anti</w:t>
      </w:r>
      <w:r w:rsidR="00C1491F">
        <w:rPr>
          <w:rFonts w:eastAsia="Arial" w:cs="Arial"/>
        </w:rPr>
        <w:noBreakHyphen/>
      </w:r>
      <w:r w:rsidR="13787B96">
        <w:rPr>
          <w:rFonts w:eastAsia="Arial" w:cs="Arial"/>
        </w:rPr>
        <w:t>inflammatory</w:t>
      </w:r>
      <w:r>
        <w:rPr>
          <w:rFonts w:eastAsia="Arial" w:cs="Arial"/>
        </w:rPr>
        <w:t xml:space="preserve"> (T helper type 2; T</w:t>
      </w:r>
      <w:r w:rsidRPr="00EE5086">
        <w:rPr>
          <w:rFonts w:eastAsia="Arial" w:cs="Arial"/>
          <w:vertAlign w:val="subscript"/>
        </w:rPr>
        <w:t>H</w:t>
      </w:r>
      <w:r>
        <w:rPr>
          <w:rFonts w:eastAsia="Arial" w:cs="Arial"/>
        </w:rPr>
        <w:t>2) cytokines, respectively.</w:t>
      </w:r>
    </w:p>
    <w:p w14:paraId="4FEDF4B2" w14:textId="77777777" w:rsidR="00BC214A" w:rsidRDefault="00BC214A" w:rsidP="00BC214A">
      <w:pPr>
        <w:rPr>
          <w:rFonts w:eastAsia="Arial" w:cs="Arial"/>
        </w:rPr>
      </w:pPr>
    </w:p>
    <w:p w14:paraId="7F7F2440" w14:textId="380D9999" w:rsidR="00BC214A" w:rsidRDefault="73D2EF33" w:rsidP="00BC214A">
      <w:pPr>
        <w:rPr>
          <w:rFonts w:eastAsia="Arial" w:cs="Arial"/>
        </w:rPr>
      </w:pPr>
      <w:proofErr w:type="spellStart"/>
      <w:r w:rsidRPr="48784B51">
        <w:rPr>
          <w:rFonts w:eastAsia="Arial" w:cs="Arial"/>
        </w:rPr>
        <w:t>Lonnerdahl</w:t>
      </w:r>
      <w:proofErr w:type="spellEnd"/>
      <w:r w:rsidRPr="48784B51">
        <w:rPr>
          <w:rFonts w:eastAsia="Arial" w:cs="Arial"/>
        </w:rPr>
        <w:t xml:space="preserve"> et al. (2011; 2020) observed similar, apparently antagonistic immunomodulatory effects of </w:t>
      </w:r>
      <w:proofErr w:type="spellStart"/>
      <w:r w:rsidRPr="48784B51">
        <w:rPr>
          <w:rFonts w:eastAsia="Arial" w:cs="Arial"/>
        </w:rPr>
        <w:t>bLf</w:t>
      </w:r>
      <w:proofErr w:type="spellEnd"/>
      <w:r w:rsidRPr="48784B51">
        <w:rPr>
          <w:rFonts w:eastAsia="Arial" w:cs="Arial"/>
        </w:rPr>
        <w:t xml:space="preserve"> in Caco-2 cell culture experiments. They observed enhanced secretion of the inflammatory cytokine, IL-18, on treatment with iron-saturated (holo-) </w:t>
      </w:r>
      <w:proofErr w:type="spellStart"/>
      <w:r w:rsidRPr="48784B51">
        <w:rPr>
          <w:rFonts w:eastAsia="Arial" w:cs="Arial"/>
        </w:rPr>
        <w:t>bLf</w:t>
      </w:r>
      <w:proofErr w:type="spellEnd"/>
      <w:r w:rsidRPr="48784B51">
        <w:rPr>
          <w:rFonts w:eastAsia="Arial" w:cs="Arial"/>
        </w:rPr>
        <w:t xml:space="preserve">, while partially saturated (native-) </w:t>
      </w:r>
      <w:proofErr w:type="spellStart"/>
      <w:r w:rsidRPr="48784B51">
        <w:rPr>
          <w:rFonts w:eastAsia="Arial" w:cs="Arial"/>
        </w:rPr>
        <w:t>bLf</w:t>
      </w:r>
      <w:proofErr w:type="spellEnd"/>
      <w:r w:rsidRPr="48784B51">
        <w:rPr>
          <w:rFonts w:eastAsia="Arial" w:cs="Arial"/>
        </w:rPr>
        <w:t xml:space="preserve"> induced expression of transforming growth factor β1 (TGF-β1), an inhibitory cytokine (</w:t>
      </w:r>
      <w:proofErr w:type="spellStart"/>
      <w:r w:rsidRPr="48784B51">
        <w:rPr>
          <w:rFonts w:eastAsia="Arial" w:cs="Arial"/>
        </w:rPr>
        <w:t>Lonnerdahl</w:t>
      </w:r>
      <w:proofErr w:type="spellEnd"/>
      <w:r w:rsidRPr="48784B51">
        <w:rPr>
          <w:rFonts w:eastAsia="Arial" w:cs="Arial"/>
        </w:rPr>
        <w:t xml:space="preserve"> et al., 2011). Both these effects were also seen in an analysis of the function of a number of commercially available samples of </w:t>
      </w:r>
      <w:proofErr w:type="spellStart"/>
      <w:r w:rsidRPr="48784B51">
        <w:rPr>
          <w:rFonts w:eastAsia="Arial" w:cs="Arial"/>
        </w:rPr>
        <w:t>bLf</w:t>
      </w:r>
      <w:proofErr w:type="spellEnd"/>
      <w:r w:rsidRPr="48784B51">
        <w:rPr>
          <w:rFonts w:eastAsia="Arial" w:cs="Arial"/>
        </w:rPr>
        <w:t xml:space="preserve"> (all partially iron</w:t>
      </w:r>
      <w:r w:rsidR="00330DFA">
        <w:rPr>
          <w:rFonts w:eastAsia="Arial" w:cs="Arial"/>
        </w:rPr>
        <w:noBreakHyphen/>
      </w:r>
      <w:r w:rsidRPr="48784B51">
        <w:rPr>
          <w:rFonts w:eastAsia="Arial" w:cs="Arial"/>
        </w:rPr>
        <w:t>saturated), including that produced by the applicant (</w:t>
      </w:r>
      <w:proofErr w:type="spellStart"/>
      <w:r w:rsidRPr="48784B51">
        <w:rPr>
          <w:rFonts w:eastAsia="Arial" w:cs="Arial"/>
        </w:rPr>
        <w:t>Lonnerdahl</w:t>
      </w:r>
      <w:proofErr w:type="spellEnd"/>
      <w:r w:rsidRPr="48784B51">
        <w:rPr>
          <w:rFonts w:eastAsia="Arial" w:cs="Arial"/>
        </w:rPr>
        <w:t xml:space="preserve"> et al., 2020). Interestingly, Takakura et al. (2006) noted that the inhibitory cytokine IL-10, in the presence of IL-18, can also enhance inflammatory response indicators such as the cytotoxic response, natural killer cell proliferation and production of IFN-γ.</w:t>
      </w:r>
    </w:p>
    <w:p w14:paraId="2A98FE26" w14:textId="77777777" w:rsidR="00BC214A" w:rsidRDefault="00BC214A" w:rsidP="00BC214A">
      <w:pPr>
        <w:rPr>
          <w:rFonts w:eastAsia="Arial" w:cs="Arial"/>
        </w:rPr>
      </w:pPr>
    </w:p>
    <w:p w14:paraId="376B312D" w14:textId="3B564D63" w:rsidR="003947C0" w:rsidRDefault="00BC214A" w:rsidP="003947C0">
      <w:r w:rsidRPr="1C95CCE8">
        <w:rPr>
          <w:rFonts w:eastAsia="Arial" w:cs="Arial"/>
        </w:rPr>
        <w:t xml:space="preserve">These studies demonstrate that the immunomodulatory effects of </w:t>
      </w:r>
      <w:proofErr w:type="spellStart"/>
      <w:r w:rsidRPr="1C95CCE8">
        <w:rPr>
          <w:rFonts w:eastAsia="Arial" w:cs="Arial"/>
        </w:rPr>
        <w:t>bLf</w:t>
      </w:r>
      <w:proofErr w:type="spellEnd"/>
      <w:r w:rsidRPr="1C95CCE8">
        <w:rPr>
          <w:rFonts w:eastAsia="Arial" w:cs="Arial"/>
        </w:rPr>
        <w:t xml:space="preserve"> are complex, with time- and site-dependency observed, but without complete explanation for causes or consequences of these dynamics. In addition, studies vary in the degree to which they control for confounding factors, such as the prior or concurrent exposure of test animals to pathogens or other immune-stimulatory factors. While the effects point to some immunomodulatory mechanisms by which </w:t>
      </w:r>
      <w:proofErr w:type="spellStart"/>
      <w:r w:rsidRPr="1C95CCE8">
        <w:rPr>
          <w:rFonts w:eastAsia="Arial" w:cs="Arial"/>
        </w:rPr>
        <w:t>bLf</w:t>
      </w:r>
      <w:proofErr w:type="spellEnd"/>
      <w:r w:rsidRPr="1C95CCE8">
        <w:rPr>
          <w:rFonts w:eastAsia="Arial" w:cs="Arial"/>
        </w:rPr>
        <w:t xml:space="preserve"> might have a beneficial health effect—such as inducing an increase in IgA levels in the gut lumen—no clear conclusions can be drawn from these studies as to the potential for </w:t>
      </w:r>
      <w:proofErr w:type="spellStart"/>
      <w:r w:rsidRPr="1C95CCE8">
        <w:rPr>
          <w:rFonts w:eastAsia="Arial" w:cs="Arial"/>
        </w:rPr>
        <w:t>bLf</w:t>
      </w:r>
      <w:proofErr w:type="spellEnd"/>
      <w:r w:rsidRPr="1C95CCE8">
        <w:rPr>
          <w:rFonts w:eastAsia="Arial" w:cs="Arial"/>
        </w:rPr>
        <w:t xml:space="preserve"> to reduce the risk of infection in infants consuming </w:t>
      </w:r>
      <w:proofErr w:type="spellStart"/>
      <w:r w:rsidRPr="1C95CCE8">
        <w:rPr>
          <w:rFonts w:eastAsia="Arial" w:cs="Arial"/>
        </w:rPr>
        <w:t>bLf</w:t>
      </w:r>
      <w:proofErr w:type="spellEnd"/>
      <w:r w:rsidRPr="1C95CCE8">
        <w:rPr>
          <w:rFonts w:eastAsia="Arial" w:cs="Arial"/>
        </w:rPr>
        <w:t xml:space="preserve"> supplemented formula.</w:t>
      </w:r>
    </w:p>
    <w:p w14:paraId="2BE63EB4" w14:textId="313C4F23" w:rsidR="003947C0" w:rsidRDefault="00043769" w:rsidP="00733CE2">
      <w:pPr>
        <w:pStyle w:val="Heading2"/>
      </w:pPr>
      <w:bookmarkStart w:id="120" w:name="_Toc111626706"/>
      <w:bookmarkStart w:id="121" w:name="_Toc112915016"/>
      <w:bookmarkStart w:id="122" w:name="_Toc113523080"/>
      <w:r>
        <w:t>5</w:t>
      </w:r>
      <w:r w:rsidR="00E16439">
        <w:t>.</w:t>
      </w:r>
      <w:r w:rsidR="003947C0">
        <w:t>4</w:t>
      </w:r>
      <w:r w:rsidR="003947C0">
        <w:tab/>
        <w:t>Reduced severity and duration of infection</w:t>
      </w:r>
      <w:bookmarkEnd w:id="120"/>
      <w:bookmarkEnd w:id="121"/>
      <w:bookmarkEnd w:id="122"/>
    </w:p>
    <w:p w14:paraId="5660826A" w14:textId="1C71FCB1" w:rsidR="00BC214A" w:rsidRDefault="00BC214A" w:rsidP="00BC214A">
      <w:pPr>
        <w:rPr>
          <w:rFonts w:cs="Arial"/>
        </w:rPr>
      </w:pPr>
      <w:r>
        <w:rPr>
          <w:rFonts w:cs="Arial"/>
        </w:rPr>
        <w:t xml:space="preserve">Several animal studies have investigated the potential for prevention of gastrointestinal and other infections by dietary/oral lactoferrins, including </w:t>
      </w:r>
      <w:proofErr w:type="spellStart"/>
      <w:r>
        <w:rPr>
          <w:rFonts w:cs="Arial"/>
        </w:rPr>
        <w:t>bLf</w:t>
      </w:r>
      <w:proofErr w:type="spellEnd"/>
      <w:r>
        <w:rPr>
          <w:rFonts w:cs="Arial"/>
        </w:rPr>
        <w:t>.</w:t>
      </w:r>
    </w:p>
    <w:p w14:paraId="5BF7E5EB" w14:textId="77777777" w:rsidR="00475DAF" w:rsidRDefault="00475DAF" w:rsidP="00BC214A">
      <w:pPr>
        <w:rPr>
          <w:rFonts w:cs="Arial"/>
        </w:rPr>
      </w:pPr>
    </w:p>
    <w:p w14:paraId="4F77FAFE" w14:textId="520CEDE3" w:rsidR="00BC214A" w:rsidRDefault="185F0380" w:rsidP="00BC214A">
      <w:pPr>
        <w:rPr>
          <w:rFonts w:cs="Arial"/>
        </w:rPr>
      </w:pPr>
      <w:r w:rsidRPr="57F8FDA9">
        <w:rPr>
          <w:rFonts w:cs="Arial"/>
        </w:rPr>
        <w:t xml:space="preserve">Kawasaki et al. (2000) investigated the binding of two strains of enterotoxigenic </w:t>
      </w:r>
      <w:r w:rsidRPr="2F334E21">
        <w:rPr>
          <w:rFonts w:cs="Arial"/>
          <w:i/>
          <w:iCs/>
        </w:rPr>
        <w:t>E. coli</w:t>
      </w:r>
      <w:r w:rsidRPr="57F8FDA9">
        <w:rPr>
          <w:rFonts w:cs="Arial"/>
        </w:rPr>
        <w:t xml:space="preserve"> (ETEC) to the intestinal tract of mice provided a 10 mg/mL solution of </w:t>
      </w:r>
      <w:proofErr w:type="spellStart"/>
      <w:r w:rsidRPr="57F8FDA9">
        <w:rPr>
          <w:rFonts w:cs="Arial"/>
        </w:rPr>
        <w:t>bLf</w:t>
      </w:r>
      <w:proofErr w:type="spellEnd"/>
      <w:r w:rsidRPr="57F8FDA9">
        <w:rPr>
          <w:rFonts w:cs="Arial"/>
        </w:rPr>
        <w:t xml:space="preserve"> </w:t>
      </w:r>
      <w:r w:rsidRPr="2F334E21">
        <w:rPr>
          <w:rFonts w:cs="Arial"/>
          <w:i/>
          <w:iCs/>
        </w:rPr>
        <w:t>ad libitum</w:t>
      </w:r>
      <w:r w:rsidRPr="57F8FDA9">
        <w:rPr>
          <w:rFonts w:cs="Arial"/>
        </w:rPr>
        <w:t xml:space="preserve"> in place of drinking water. On day seven of </w:t>
      </w:r>
      <w:proofErr w:type="spellStart"/>
      <w:r w:rsidRPr="57F8FDA9">
        <w:rPr>
          <w:rFonts w:cs="Arial"/>
        </w:rPr>
        <w:t>bLf</w:t>
      </w:r>
      <w:proofErr w:type="spellEnd"/>
      <w:r w:rsidRPr="57F8FDA9">
        <w:rPr>
          <w:rFonts w:cs="Arial"/>
        </w:rPr>
        <w:t xml:space="preserve"> exposure, ETEC was administered by oral gavage (dose unknown). Periodic assessment of ETEC bound to colon, jejunum/ileum and duodenum over the following 30 days consistently showed 1-2 log lower counts</w:t>
      </w:r>
      <w:r w:rsidR="2E09792D">
        <w:rPr>
          <w:rFonts w:cs="Arial"/>
        </w:rPr>
        <w:t xml:space="preserve"> for the </w:t>
      </w:r>
      <w:proofErr w:type="spellStart"/>
      <w:r w:rsidR="2E09792D">
        <w:rPr>
          <w:rFonts w:cs="Arial"/>
        </w:rPr>
        <w:t>bLf</w:t>
      </w:r>
      <w:proofErr w:type="spellEnd"/>
      <w:r w:rsidR="70E7192E">
        <w:rPr>
          <w:rFonts w:cs="Arial"/>
        </w:rPr>
        <w:t>-</w:t>
      </w:r>
      <w:r w:rsidR="007F5B1C">
        <w:rPr>
          <w:rFonts w:cs="Arial"/>
        </w:rPr>
        <w:noBreakHyphen/>
      </w:r>
      <w:r w:rsidRPr="57F8FDA9">
        <w:rPr>
          <w:rFonts w:cs="Arial"/>
        </w:rPr>
        <w:t>treated</w:t>
      </w:r>
      <w:r w:rsidR="31B3646E" w:rsidRPr="57F8FDA9">
        <w:rPr>
          <w:rFonts w:cs="Arial"/>
        </w:rPr>
        <w:t xml:space="preserve"> </w:t>
      </w:r>
      <w:r w:rsidRPr="57F8FDA9">
        <w:rPr>
          <w:rFonts w:cs="Arial"/>
        </w:rPr>
        <w:t>animals.</w:t>
      </w:r>
    </w:p>
    <w:p w14:paraId="544C6358" w14:textId="77777777" w:rsidR="00475DAF" w:rsidRDefault="00475DAF" w:rsidP="00BC214A">
      <w:pPr>
        <w:rPr>
          <w:rFonts w:cs="Arial"/>
        </w:rPr>
      </w:pPr>
    </w:p>
    <w:p w14:paraId="48E4BDFC" w14:textId="50C4D606" w:rsidR="00BC214A" w:rsidRDefault="00BC214A" w:rsidP="00BC214A">
      <w:pPr>
        <w:rPr>
          <w:rFonts w:cs="Arial"/>
        </w:rPr>
      </w:pPr>
      <w:r>
        <w:rPr>
          <w:rFonts w:cs="Arial"/>
        </w:rPr>
        <w:t xml:space="preserve">These results were consistent with the results of </w:t>
      </w:r>
      <w:r w:rsidRPr="00475DAF">
        <w:rPr>
          <w:rFonts w:cs="Arial"/>
          <w:i/>
        </w:rPr>
        <w:t>in vitro</w:t>
      </w:r>
      <w:r>
        <w:rPr>
          <w:rFonts w:cs="Arial"/>
        </w:rPr>
        <w:t xml:space="preserve"> experiments assessing the effect of </w:t>
      </w:r>
      <w:proofErr w:type="spellStart"/>
      <w:r>
        <w:rPr>
          <w:rFonts w:cs="Arial"/>
        </w:rPr>
        <w:t>bLf</w:t>
      </w:r>
      <w:proofErr w:type="spellEnd"/>
      <w:r>
        <w:rPr>
          <w:rFonts w:cs="Arial"/>
        </w:rPr>
        <w:t xml:space="preserve"> on the adherence of several strains of ETEC and enteropathogenic </w:t>
      </w:r>
      <w:r w:rsidRPr="003A176C">
        <w:rPr>
          <w:rFonts w:cs="Arial"/>
          <w:i/>
        </w:rPr>
        <w:t>E. coli</w:t>
      </w:r>
      <w:r>
        <w:rPr>
          <w:rFonts w:cs="Arial"/>
        </w:rPr>
        <w:t xml:space="preserve"> (EPEC) to a human epithelial cell line, JTC-17</w:t>
      </w:r>
      <w:r w:rsidR="00FB1418">
        <w:rPr>
          <w:rFonts w:cs="Arial"/>
        </w:rPr>
        <w:t xml:space="preserve"> (Kawasaki et al., </w:t>
      </w:r>
      <w:r w:rsidR="00FB1418" w:rsidRPr="57F8FDA9">
        <w:rPr>
          <w:rFonts w:cs="Arial"/>
        </w:rPr>
        <w:t>2000)</w:t>
      </w:r>
      <w:r>
        <w:rPr>
          <w:rFonts w:cs="Arial"/>
        </w:rPr>
        <w:t>. Partially iron-saturated</w:t>
      </w:r>
      <w:r w:rsidR="0019537E">
        <w:rPr>
          <w:rFonts w:cs="Arial"/>
        </w:rPr>
        <w:t xml:space="preserve"> (30%) </w:t>
      </w:r>
      <w:proofErr w:type="spellStart"/>
      <w:r w:rsidR="0019537E">
        <w:rPr>
          <w:rFonts w:cs="Arial"/>
        </w:rPr>
        <w:t>bLf</w:t>
      </w:r>
      <w:proofErr w:type="spellEnd"/>
      <w:r w:rsidR="0019537E">
        <w:rPr>
          <w:rFonts w:cs="Arial"/>
        </w:rPr>
        <w:t xml:space="preserve"> at 16mg/mL showed 87</w:t>
      </w:r>
      <w:r w:rsidR="00FB1418">
        <w:rPr>
          <w:rFonts w:cs="Arial"/>
        </w:rPr>
        <w:t>–</w:t>
      </w:r>
      <w:r>
        <w:rPr>
          <w:rFonts w:cs="Arial"/>
        </w:rPr>
        <w:t xml:space="preserve">100% inhibition of binding by eight strains of </w:t>
      </w:r>
      <w:r w:rsidRPr="003A176C">
        <w:rPr>
          <w:rFonts w:cs="Arial"/>
          <w:i/>
        </w:rPr>
        <w:t>E. coli</w:t>
      </w:r>
      <w:r>
        <w:rPr>
          <w:rFonts w:cs="Arial"/>
        </w:rPr>
        <w:t xml:space="preserve"> to the cell line. Further analysis of the inhibition of binding of one ETEC strain showed 50% inhibition at around 1-2 mg/mL </w:t>
      </w:r>
      <w:proofErr w:type="spellStart"/>
      <w:r>
        <w:rPr>
          <w:rFonts w:cs="Arial"/>
        </w:rPr>
        <w:t>bLF</w:t>
      </w:r>
      <w:proofErr w:type="spellEnd"/>
      <w:r>
        <w:rPr>
          <w:rFonts w:cs="Arial"/>
        </w:rPr>
        <w:t>, and even stronger inhibition by holo-</w:t>
      </w:r>
      <w:proofErr w:type="spellStart"/>
      <w:r>
        <w:rPr>
          <w:rFonts w:cs="Arial"/>
        </w:rPr>
        <w:t>bLf</w:t>
      </w:r>
      <w:proofErr w:type="spellEnd"/>
      <w:r>
        <w:rPr>
          <w:rFonts w:cs="Arial"/>
        </w:rPr>
        <w:t>, in contrast to other studies showing that iron binding reduced the antibacterial effects of lactoferrins.</w:t>
      </w:r>
    </w:p>
    <w:p w14:paraId="0B321976" w14:textId="77777777" w:rsidR="00475DAF" w:rsidRDefault="00475DAF" w:rsidP="00BC214A">
      <w:pPr>
        <w:rPr>
          <w:rFonts w:cs="Arial"/>
        </w:rPr>
      </w:pPr>
    </w:p>
    <w:p w14:paraId="0A5952FA" w14:textId="7EA2E2BC" w:rsidR="00BC214A" w:rsidRDefault="00BC214A" w:rsidP="00BC214A">
      <w:pPr>
        <w:rPr>
          <w:rFonts w:cs="Arial"/>
        </w:rPr>
      </w:pPr>
      <w:r>
        <w:rPr>
          <w:rFonts w:cs="Arial"/>
        </w:rPr>
        <w:t xml:space="preserve">Mosquito et al. (2010) examined the protective effect of </w:t>
      </w:r>
      <w:proofErr w:type="spellStart"/>
      <w:r>
        <w:rPr>
          <w:rFonts w:cs="Arial"/>
        </w:rPr>
        <w:t>bLf</w:t>
      </w:r>
      <w:proofErr w:type="spellEnd"/>
      <w:r>
        <w:rPr>
          <w:rFonts w:cs="Arial"/>
        </w:rPr>
        <w:t xml:space="preserve"> (15% iron saturated) on mice exposed to 3x10</w:t>
      </w:r>
      <w:r w:rsidRPr="00190C1C">
        <w:rPr>
          <w:rFonts w:cs="Arial"/>
          <w:vertAlign w:val="superscript"/>
        </w:rPr>
        <w:t>6</w:t>
      </w:r>
      <w:r>
        <w:rPr>
          <w:rFonts w:cs="Arial"/>
        </w:rPr>
        <w:t xml:space="preserve"> CFU </w:t>
      </w:r>
      <w:r w:rsidRPr="00190C1C">
        <w:rPr>
          <w:rFonts w:cs="Arial"/>
          <w:i/>
        </w:rPr>
        <w:t>Salmonella</w:t>
      </w:r>
      <w:r>
        <w:rPr>
          <w:rFonts w:cs="Arial"/>
        </w:rPr>
        <w:t xml:space="preserve"> Typhimurium C52 by oral gavage two hours after </w:t>
      </w:r>
      <w:r w:rsidRPr="0019537E">
        <w:rPr>
          <w:rFonts w:cs="Arial"/>
          <w:i/>
        </w:rPr>
        <w:t>ad libitum</w:t>
      </w:r>
      <w:r>
        <w:rPr>
          <w:rFonts w:cs="Arial"/>
        </w:rPr>
        <w:t xml:space="preserve"> access to 10 mg/mL </w:t>
      </w:r>
      <w:proofErr w:type="spellStart"/>
      <w:r>
        <w:rPr>
          <w:rFonts w:cs="Arial"/>
        </w:rPr>
        <w:t>bLf</w:t>
      </w:r>
      <w:proofErr w:type="spellEnd"/>
      <w:r>
        <w:rPr>
          <w:rFonts w:cs="Arial"/>
        </w:rPr>
        <w:t xml:space="preserve"> in drinking water. </w:t>
      </w:r>
      <w:proofErr w:type="spellStart"/>
      <w:r>
        <w:rPr>
          <w:rFonts w:cs="Arial"/>
        </w:rPr>
        <w:t>bLf</w:t>
      </w:r>
      <w:proofErr w:type="spellEnd"/>
      <w:r>
        <w:rPr>
          <w:rFonts w:cs="Arial"/>
        </w:rPr>
        <w:t xml:space="preserve"> administration continued for 7 days post-infection, before animals were sacrificed for histopathologic analysis. Compared to controls, </w:t>
      </w:r>
      <w:proofErr w:type="spellStart"/>
      <w:r>
        <w:rPr>
          <w:rFonts w:cs="Arial"/>
        </w:rPr>
        <w:t>bLf</w:t>
      </w:r>
      <w:proofErr w:type="spellEnd"/>
      <w:r>
        <w:rPr>
          <w:rFonts w:cs="Arial"/>
        </w:rPr>
        <w:t xml:space="preserve"> group animals showed reduced weight loss, mortality and clinical signs of infection through the seven days post-infection, and had lower rates of bacteraemia and fewer histopathological abnormalities.</w:t>
      </w:r>
    </w:p>
    <w:p w14:paraId="49E130EB" w14:textId="77777777" w:rsidR="00475DAF" w:rsidRDefault="00475DAF" w:rsidP="00BC214A">
      <w:pPr>
        <w:rPr>
          <w:rFonts w:cs="Arial"/>
        </w:rPr>
      </w:pPr>
    </w:p>
    <w:p w14:paraId="1FD0FFEA" w14:textId="7B77A4F0" w:rsidR="00BC214A" w:rsidRDefault="00BC214A" w:rsidP="00BC214A">
      <w:pPr>
        <w:rPr>
          <w:rFonts w:cs="Arial"/>
        </w:rPr>
      </w:pPr>
      <w:r>
        <w:rPr>
          <w:rFonts w:cs="Arial"/>
        </w:rPr>
        <w:t xml:space="preserve">Similar results were reported by Drago-Serrano et al. (2010) for mice treated with 5 mg or 100 mg </w:t>
      </w:r>
      <w:proofErr w:type="spellStart"/>
      <w:r>
        <w:rPr>
          <w:rFonts w:cs="Arial"/>
        </w:rPr>
        <w:t>bLf</w:t>
      </w:r>
      <w:proofErr w:type="spellEnd"/>
      <w:r>
        <w:rPr>
          <w:rFonts w:cs="Arial"/>
        </w:rPr>
        <w:t xml:space="preserve"> daily for seven days preceding, and 21 days after, infection with either 10</w:t>
      </w:r>
      <w:r w:rsidRPr="006C4B5D">
        <w:rPr>
          <w:rFonts w:cs="Arial"/>
          <w:vertAlign w:val="superscript"/>
        </w:rPr>
        <w:t>4</w:t>
      </w:r>
      <w:r>
        <w:rPr>
          <w:rFonts w:cs="Arial"/>
        </w:rPr>
        <w:t xml:space="preserve"> CFU (sub</w:t>
      </w:r>
      <w:r>
        <w:rPr>
          <w:rFonts w:cs="Arial"/>
        </w:rPr>
        <w:noBreakHyphen/>
        <w:t>lethal dose) or 10</w:t>
      </w:r>
      <w:r w:rsidRPr="006C4B5D">
        <w:rPr>
          <w:rFonts w:cs="Arial"/>
          <w:vertAlign w:val="superscript"/>
        </w:rPr>
        <w:t>8</w:t>
      </w:r>
      <w:r>
        <w:rPr>
          <w:rFonts w:cs="Arial"/>
        </w:rPr>
        <w:t xml:space="preserve"> CFU (lethal dose) of </w:t>
      </w:r>
      <w:r w:rsidRPr="006C4B5D">
        <w:rPr>
          <w:rFonts w:cs="Arial"/>
          <w:i/>
        </w:rPr>
        <w:t xml:space="preserve">Salmonella </w:t>
      </w:r>
      <w:r>
        <w:rPr>
          <w:rFonts w:cs="Arial"/>
        </w:rPr>
        <w:t xml:space="preserve">Typhimurium </w:t>
      </w:r>
      <w:proofErr w:type="spellStart"/>
      <w:r>
        <w:rPr>
          <w:rFonts w:cs="Arial"/>
        </w:rPr>
        <w:t>intragastrically</w:t>
      </w:r>
      <w:proofErr w:type="spellEnd"/>
      <w:r>
        <w:rPr>
          <w:rFonts w:cs="Arial"/>
        </w:rPr>
        <w:t xml:space="preserve">. Both </w:t>
      </w:r>
      <w:proofErr w:type="spellStart"/>
      <w:r>
        <w:rPr>
          <w:rFonts w:cs="Arial"/>
        </w:rPr>
        <w:t>bLf</w:t>
      </w:r>
      <w:proofErr w:type="spellEnd"/>
      <w:r>
        <w:rPr>
          <w:rFonts w:cs="Arial"/>
        </w:rPr>
        <w:t xml:space="preserve"> doses decreased mortality to a similar extent in the lethal dose experiment (80% survival at day 14 post-injection, </w:t>
      </w:r>
      <w:proofErr w:type="spellStart"/>
      <w:r>
        <w:rPr>
          <w:rFonts w:cs="Arial"/>
        </w:rPr>
        <w:t>cf</w:t>
      </w:r>
      <w:proofErr w:type="spellEnd"/>
      <w:r>
        <w:rPr>
          <w:rFonts w:cs="Arial"/>
        </w:rPr>
        <w:t xml:space="preserve"> 40% for control animals). For the sub-lethal dose experiment, both </w:t>
      </w:r>
      <w:proofErr w:type="spellStart"/>
      <w:r>
        <w:rPr>
          <w:rFonts w:cs="Arial"/>
        </w:rPr>
        <w:t>bLf</w:t>
      </w:r>
      <w:proofErr w:type="spellEnd"/>
      <w:r>
        <w:rPr>
          <w:rFonts w:cs="Arial"/>
        </w:rPr>
        <w:t xml:space="preserve"> doses showed antibacterial and immunomodulatory effects. Antibacterial effects included reduced bacterial shedding in faeces and in intestinal fluids; reduced colonization of Peyer’s patches; and reduced translocation of </w:t>
      </w:r>
      <w:r w:rsidRPr="00945379">
        <w:rPr>
          <w:rFonts w:cs="Arial"/>
          <w:i/>
        </w:rPr>
        <w:t>Salmonella</w:t>
      </w:r>
      <w:r>
        <w:rPr>
          <w:rFonts w:cs="Arial"/>
        </w:rPr>
        <w:t xml:space="preserve"> to liver and spleen. Immune effects included an increased antibody response, with higher serum levels of total IgG and IgM, and higher levels of IgA in intestinal secretions.</w:t>
      </w:r>
    </w:p>
    <w:p w14:paraId="37FF7EA7" w14:textId="77777777" w:rsidR="00475DAF" w:rsidRDefault="00475DAF" w:rsidP="00BC214A">
      <w:pPr>
        <w:rPr>
          <w:rFonts w:cs="Arial"/>
        </w:rPr>
      </w:pPr>
    </w:p>
    <w:p w14:paraId="2FF6653D" w14:textId="2EFBECEF" w:rsidR="00BC214A" w:rsidRDefault="00BC214A" w:rsidP="00BC214A">
      <w:pPr>
        <w:rPr>
          <w:rFonts w:cs="Arial"/>
        </w:rPr>
      </w:pPr>
      <w:r>
        <w:rPr>
          <w:rFonts w:cs="Arial"/>
        </w:rPr>
        <w:t xml:space="preserve">Chen et al. (2008) investigated the effect </w:t>
      </w:r>
      <w:r w:rsidR="0019537E">
        <w:rPr>
          <w:rFonts w:cs="Arial"/>
        </w:rPr>
        <w:t xml:space="preserve">of </w:t>
      </w:r>
      <w:r>
        <w:rPr>
          <w:rFonts w:cs="Arial"/>
        </w:rPr>
        <w:t>porcine lactoferrin (</w:t>
      </w:r>
      <w:proofErr w:type="spellStart"/>
      <w:r>
        <w:rPr>
          <w:rFonts w:cs="Arial"/>
        </w:rPr>
        <w:t>pLf</w:t>
      </w:r>
      <w:proofErr w:type="spellEnd"/>
      <w:r>
        <w:rPr>
          <w:rFonts w:cs="Arial"/>
        </w:rPr>
        <w:t>), expressed in the milk of transgenic mice, on suckling mice</w:t>
      </w:r>
      <w:r w:rsidRPr="008D5E9C">
        <w:rPr>
          <w:rFonts w:cs="Arial"/>
        </w:rPr>
        <w:t xml:space="preserve"> </w:t>
      </w:r>
      <w:r>
        <w:rPr>
          <w:rFonts w:cs="Arial"/>
        </w:rPr>
        <w:t>infected with human enterovirus 71 (EV71) on the 4</w:t>
      </w:r>
      <w:r w:rsidRPr="008D5E9C">
        <w:rPr>
          <w:rFonts w:cs="Arial"/>
          <w:vertAlign w:val="superscript"/>
        </w:rPr>
        <w:t>th</w:t>
      </w:r>
      <w:r>
        <w:rPr>
          <w:rFonts w:cs="Arial"/>
        </w:rPr>
        <w:t xml:space="preserve"> day of life. Compared to mice ingesting non-transgenic milk, </w:t>
      </w:r>
      <w:proofErr w:type="spellStart"/>
      <w:r>
        <w:rPr>
          <w:rFonts w:cs="Arial"/>
        </w:rPr>
        <w:t>pLf</w:t>
      </w:r>
      <w:proofErr w:type="spellEnd"/>
      <w:r>
        <w:rPr>
          <w:rFonts w:cs="Arial"/>
        </w:rPr>
        <w:t xml:space="preserve">-ingesting mice showed higher body weights and increased rates of survival, implying a direct effect of </w:t>
      </w:r>
      <w:proofErr w:type="spellStart"/>
      <w:r>
        <w:rPr>
          <w:rFonts w:cs="Arial"/>
        </w:rPr>
        <w:t>pLf</w:t>
      </w:r>
      <w:proofErr w:type="spellEnd"/>
      <w:r>
        <w:rPr>
          <w:rFonts w:cs="Arial"/>
        </w:rPr>
        <w:t xml:space="preserve"> in inhibiting EV71 infection.</w:t>
      </w:r>
    </w:p>
    <w:p w14:paraId="29165D90" w14:textId="77777777" w:rsidR="00475DAF" w:rsidRDefault="00475DAF" w:rsidP="00BC214A">
      <w:pPr>
        <w:rPr>
          <w:rFonts w:cs="Arial"/>
        </w:rPr>
      </w:pPr>
    </w:p>
    <w:p w14:paraId="1A96959A" w14:textId="29FB29D4" w:rsidR="00BC214A" w:rsidRDefault="73D2EF33" w:rsidP="00BC214A">
      <w:pPr>
        <w:rPr>
          <w:rFonts w:cs="Arial"/>
        </w:rPr>
      </w:pPr>
      <w:r w:rsidRPr="48784B51">
        <w:rPr>
          <w:rFonts w:cs="Arial"/>
        </w:rPr>
        <w:t>There are few reports demonstrating anti-infectious activity of lactoferrins in organs besides the intestinal tract.</w:t>
      </w:r>
    </w:p>
    <w:p w14:paraId="7744FE06" w14:textId="77777777" w:rsidR="00475DAF" w:rsidRDefault="00475DAF" w:rsidP="00BC214A">
      <w:pPr>
        <w:rPr>
          <w:rFonts w:cs="Arial"/>
        </w:rPr>
      </w:pPr>
    </w:p>
    <w:p w14:paraId="1DF5F084" w14:textId="1866456D" w:rsidR="00BC214A" w:rsidRDefault="00BC214A" w:rsidP="00BC214A">
      <w:pPr>
        <w:rPr>
          <w:rFonts w:cs="Arial"/>
        </w:rPr>
      </w:pPr>
      <w:proofErr w:type="spellStart"/>
      <w:r>
        <w:rPr>
          <w:rFonts w:cs="Arial"/>
        </w:rPr>
        <w:t>Bhimani</w:t>
      </w:r>
      <w:proofErr w:type="spellEnd"/>
      <w:r>
        <w:rPr>
          <w:rFonts w:cs="Arial"/>
        </w:rPr>
        <w:t xml:space="preserve"> et al. (1999) showed</w:t>
      </w:r>
      <w:r w:rsidR="0019537E">
        <w:rPr>
          <w:rFonts w:cs="Arial"/>
        </w:rPr>
        <w:t xml:space="preserve"> a</w:t>
      </w:r>
      <w:r>
        <w:rPr>
          <w:rFonts w:cs="Arial"/>
        </w:rPr>
        <w:t xml:space="preserve"> weak anti-staphylococcal activity of apo-</w:t>
      </w:r>
      <w:proofErr w:type="spellStart"/>
      <w:r>
        <w:rPr>
          <w:rFonts w:cs="Arial"/>
        </w:rPr>
        <w:t>hLf</w:t>
      </w:r>
      <w:proofErr w:type="spellEnd"/>
      <w:r>
        <w:rPr>
          <w:rFonts w:cs="Arial"/>
        </w:rPr>
        <w:t xml:space="preserve"> and apo-</w:t>
      </w:r>
      <w:proofErr w:type="spellStart"/>
      <w:r>
        <w:rPr>
          <w:rFonts w:cs="Arial"/>
        </w:rPr>
        <w:t>bLf</w:t>
      </w:r>
      <w:proofErr w:type="spellEnd"/>
      <w:r>
        <w:rPr>
          <w:rFonts w:cs="Arial"/>
        </w:rPr>
        <w:t xml:space="preserve"> </w:t>
      </w:r>
      <w:r w:rsidRPr="00945379">
        <w:rPr>
          <w:rFonts w:cs="Arial"/>
          <w:i/>
        </w:rPr>
        <w:t>in vivo</w:t>
      </w:r>
      <w:r w:rsidR="0019537E">
        <w:rPr>
          <w:rFonts w:cs="Arial"/>
        </w:rPr>
        <w:t xml:space="preserve">. They </w:t>
      </w:r>
      <w:r>
        <w:rPr>
          <w:rFonts w:cs="Arial"/>
        </w:rPr>
        <w:t xml:space="preserve">observed that both intravenous and oral </w:t>
      </w:r>
      <w:proofErr w:type="spellStart"/>
      <w:r w:rsidR="0019537E">
        <w:rPr>
          <w:rFonts w:cs="Arial"/>
        </w:rPr>
        <w:t>bLf</w:t>
      </w:r>
      <w:proofErr w:type="spellEnd"/>
      <w:r w:rsidR="0019537E">
        <w:rPr>
          <w:rFonts w:cs="Arial"/>
        </w:rPr>
        <w:t xml:space="preserve"> </w:t>
      </w:r>
      <w:r>
        <w:rPr>
          <w:rFonts w:cs="Arial"/>
        </w:rPr>
        <w:t xml:space="preserve">administered one day before injection of a sub-lethal dose of </w:t>
      </w:r>
      <w:r w:rsidR="0019537E">
        <w:rPr>
          <w:rFonts w:cs="Arial"/>
          <w:i/>
        </w:rPr>
        <w:t xml:space="preserve">S. </w:t>
      </w:r>
      <w:r w:rsidRPr="00945379">
        <w:rPr>
          <w:rFonts w:cs="Arial"/>
          <w:i/>
        </w:rPr>
        <w:t>aureus</w:t>
      </w:r>
      <w:r>
        <w:rPr>
          <w:rFonts w:cs="Arial"/>
        </w:rPr>
        <w:t xml:space="preserve"> reduced bacterial loads in infected kidneys by about 1 log CFU, as well as reducing the incidence of kidney infection. However, Shin et al. (2005) showed very little effect of oral </w:t>
      </w:r>
      <w:proofErr w:type="spellStart"/>
      <w:r>
        <w:rPr>
          <w:rFonts w:cs="Arial"/>
        </w:rPr>
        <w:t>bLf</w:t>
      </w:r>
      <w:proofErr w:type="spellEnd"/>
      <w:r>
        <w:rPr>
          <w:rFonts w:cs="Arial"/>
        </w:rPr>
        <w:t xml:space="preserve"> on lung infection in a mouse model of influenza, with no effect on viral titre in bronchoalveolar</w:t>
      </w:r>
      <w:r w:rsidR="0019537E">
        <w:rPr>
          <w:rFonts w:cs="Arial"/>
        </w:rPr>
        <w:t xml:space="preserve"> fluid, and a small reduction in</w:t>
      </w:r>
      <w:r>
        <w:rPr>
          <w:rFonts w:cs="Arial"/>
        </w:rPr>
        <w:t xml:space="preserve"> infiltration of inflammatory cells into lung tissue.</w:t>
      </w:r>
    </w:p>
    <w:p w14:paraId="1FBBAA54" w14:textId="77777777" w:rsidR="00475DAF" w:rsidRDefault="00475DAF" w:rsidP="00BC214A">
      <w:pPr>
        <w:rPr>
          <w:rFonts w:cs="Arial"/>
        </w:rPr>
      </w:pPr>
    </w:p>
    <w:p w14:paraId="7F18BAEF" w14:textId="77791070" w:rsidR="00BC214A" w:rsidRDefault="00C82A4E" w:rsidP="00BC214A">
      <w:pPr>
        <w:rPr>
          <w:rFonts w:cs="Arial"/>
        </w:rPr>
      </w:pPr>
      <w:r>
        <w:rPr>
          <w:rFonts w:cs="Arial"/>
        </w:rPr>
        <w:t>Reznikov et al (2018</w:t>
      </w:r>
      <w:r w:rsidR="00BC214A">
        <w:rPr>
          <w:rFonts w:cs="Arial"/>
        </w:rPr>
        <w:t xml:space="preserve">) compared the effects of </w:t>
      </w:r>
      <w:proofErr w:type="spellStart"/>
      <w:r w:rsidR="00BC214A">
        <w:rPr>
          <w:rFonts w:cs="Arial"/>
        </w:rPr>
        <w:t>bLf</w:t>
      </w:r>
      <w:proofErr w:type="spellEnd"/>
      <w:r w:rsidR="00BC214A">
        <w:rPr>
          <w:rFonts w:cs="Arial"/>
        </w:rPr>
        <w:t xml:space="preserve"> versus whey protein control in formula-fed piglets, as well as any effect of added </w:t>
      </w:r>
      <w:r w:rsidR="00BC214A" w:rsidRPr="008D5E9C">
        <w:rPr>
          <w:rFonts w:cs="Arial"/>
          <w:i/>
        </w:rPr>
        <w:t xml:space="preserve">Bifidobacterium </w:t>
      </w:r>
      <w:proofErr w:type="spellStart"/>
      <w:r w:rsidR="00BC214A" w:rsidRPr="008D5E9C">
        <w:rPr>
          <w:rFonts w:cs="Arial"/>
          <w:i/>
        </w:rPr>
        <w:t>infantis</w:t>
      </w:r>
      <w:proofErr w:type="spellEnd"/>
      <w:r w:rsidR="00BC214A">
        <w:rPr>
          <w:rFonts w:cs="Arial"/>
        </w:rPr>
        <w:t xml:space="preserve"> as probiotic. Piglets received 4 g/day </w:t>
      </w:r>
      <w:proofErr w:type="spellStart"/>
      <w:r w:rsidR="00BC214A">
        <w:rPr>
          <w:rFonts w:cs="Arial"/>
        </w:rPr>
        <w:t>bLf</w:t>
      </w:r>
      <w:proofErr w:type="spellEnd"/>
      <w:r w:rsidR="00BC214A">
        <w:rPr>
          <w:rFonts w:cs="Arial"/>
        </w:rPr>
        <w:t xml:space="preserve"> or whey, </w:t>
      </w:r>
      <w:r w:rsidR="0019537E">
        <w:rPr>
          <w:rFonts w:cs="Arial"/>
        </w:rPr>
        <w:t>±</w:t>
      </w:r>
      <w:r w:rsidR="00BC214A">
        <w:rPr>
          <w:rFonts w:cs="Arial"/>
        </w:rPr>
        <w:t xml:space="preserve"> 10</w:t>
      </w:r>
      <w:r w:rsidR="00BC214A" w:rsidRPr="008D5E9C">
        <w:rPr>
          <w:rFonts w:cs="Arial"/>
          <w:vertAlign w:val="superscript"/>
        </w:rPr>
        <w:t>9</w:t>
      </w:r>
      <w:r w:rsidR="00BC214A">
        <w:rPr>
          <w:rFonts w:cs="Arial"/>
        </w:rPr>
        <w:t xml:space="preserve"> CFU/day </w:t>
      </w:r>
      <w:r w:rsidR="00BC214A" w:rsidRPr="008D5E9C">
        <w:rPr>
          <w:rFonts w:cs="Arial"/>
          <w:i/>
        </w:rPr>
        <w:t xml:space="preserve">B. </w:t>
      </w:r>
      <w:proofErr w:type="spellStart"/>
      <w:r w:rsidR="00BC214A" w:rsidRPr="008D5E9C">
        <w:rPr>
          <w:rFonts w:cs="Arial"/>
          <w:i/>
        </w:rPr>
        <w:t>infantis</w:t>
      </w:r>
      <w:proofErr w:type="spellEnd"/>
      <w:r w:rsidR="00BC214A">
        <w:rPr>
          <w:rFonts w:cs="Arial"/>
        </w:rPr>
        <w:t xml:space="preserve"> by oral gavage. On day 7, they were injected intravenously with </w:t>
      </w:r>
      <w:r w:rsidR="00BC214A" w:rsidRPr="008D5E9C">
        <w:rPr>
          <w:rFonts w:cs="Arial"/>
          <w:i/>
        </w:rPr>
        <w:t>S. aureus</w:t>
      </w:r>
      <w:r w:rsidR="00BC214A">
        <w:rPr>
          <w:rFonts w:cs="Arial"/>
        </w:rPr>
        <w:t>, 10</w:t>
      </w:r>
      <w:r w:rsidR="00BC214A" w:rsidRPr="008D5E9C">
        <w:rPr>
          <w:rFonts w:cs="Arial"/>
          <w:vertAlign w:val="superscript"/>
        </w:rPr>
        <w:t>5</w:t>
      </w:r>
      <w:r w:rsidR="00BC214A">
        <w:rPr>
          <w:rFonts w:cs="Arial"/>
        </w:rPr>
        <w:t xml:space="preserve"> CFU/kg body weight</w:t>
      </w:r>
      <w:r w:rsidR="0019537E">
        <w:rPr>
          <w:rFonts w:cs="Arial"/>
        </w:rPr>
        <w:t>,</w:t>
      </w:r>
      <w:r w:rsidR="00BC214A">
        <w:rPr>
          <w:rFonts w:cs="Arial"/>
        </w:rPr>
        <w:t xml:space="preserve"> and assessed for a further 5 days. The </w:t>
      </w:r>
      <w:proofErr w:type="spellStart"/>
      <w:r w:rsidR="00BC214A">
        <w:rPr>
          <w:rFonts w:cs="Arial"/>
        </w:rPr>
        <w:t>bLf</w:t>
      </w:r>
      <w:proofErr w:type="spellEnd"/>
      <w:r w:rsidR="00BC214A">
        <w:rPr>
          <w:rFonts w:cs="Arial"/>
        </w:rPr>
        <w:t xml:space="preserve"> cohort showed increased weight gain and lower </w:t>
      </w:r>
      <w:r w:rsidR="00BC214A" w:rsidRPr="005C336B">
        <w:rPr>
          <w:rFonts w:cs="Arial"/>
          <w:i/>
        </w:rPr>
        <w:t>S. aureus</w:t>
      </w:r>
      <w:r w:rsidR="00BC214A">
        <w:rPr>
          <w:rFonts w:cs="Arial"/>
        </w:rPr>
        <w:t xml:space="preserve"> counts in the kidney, with a tendency to lower counts in heart and lung. There was no synergistic effect of </w:t>
      </w:r>
      <w:r w:rsidR="00BC214A" w:rsidRPr="005C336B">
        <w:rPr>
          <w:rFonts w:cs="Arial"/>
          <w:i/>
        </w:rPr>
        <w:t xml:space="preserve">B. </w:t>
      </w:r>
      <w:proofErr w:type="spellStart"/>
      <w:r w:rsidR="00BC214A" w:rsidRPr="005C336B">
        <w:rPr>
          <w:rFonts w:cs="Arial"/>
          <w:i/>
        </w:rPr>
        <w:t>infantis</w:t>
      </w:r>
      <w:proofErr w:type="spellEnd"/>
      <w:r w:rsidR="00BC214A">
        <w:rPr>
          <w:rFonts w:cs="Arial"/>
        </w:rPr>
        <w:t xml:space="preserve"> with </w:t>
      </w:r>
      <w:proofErr w:type="spellStart"/>
      <w:r w:rsidR="00BC214A">
        <w:rPr>
          <w:rFonts w:cs="Arial"/>
        </w:rPr>
        <w:t>bLf</w:t>
      </w:r>
      <w:proofErr w:type="spellEnd"/>
      <w:r w:rsidR="00BC214A">
        <w:rPr>
          <w:rFonts w:cs="Arial"/>
        </w:rPr>
        <w:t>. Immunological effects included reduced circulating B cells and monocytes; reduced kidney IL</w:t>
      </w:r>
      <w:r w:rsidR="00BC214A">
        <w:rPr>
          <w:rFonts w:cs="Arial"/>
        </w:rPr>
        <w:noBreakHyphen/>
        <w:t>10, and increase</w:t>
      </w:r>
      <w:r w:rsidR="0019537E">
        <w:rPr>
          <w:rFonts w:cs="Arial"/>
        </w:rPr>
        <w:t>d</w:t>
      </w:r>
      <w:r w:rsidR="00BC214A">
        <w:rPr>
          <w:rFonts w:cs="Arial"/>
        </w:rPr>
        <w:t xml:space="preserve"> IFN-γ mRNA in lung tissue, indicating a pro-inflammatory response to </w:t>
      </w:r>
      <w:proofErr w:type="spellStart"/>
      <w:r w:rsidR="00BC214A">
        <w:rPr>
          <w:rFonts w:cs="Arial"/>
        </w:rPr>
        <w:t>bLf</w:t>
      </w:r>
      <w:proofErr w:type="spellEnd"/>
      <w:r w:rsidR="00BC214A">
        <w:rPr>
          <w:rFonts w:cs="Arial"/>
        </w:rPr>
        <w:t>.</w:t>
      </w:r>
    </w:p>
    <w:p w14:paraId="72C871DC" w14:textId="0DBB8D01" w:rsidR="00BC214A" w:rsidRDefault="00043769" w:rsidP="00733CE2">
      <w:pPr>
        <w:pStyle w:val="Heading2"/>
      </w:pPr>
      <w:bookmarkStart w:id="123" w:name="_Toc111626707"/>
      <w:bookmarkStart w:id="124" w:name="_Toc112915017"/>
      <w:bookmarkStart w:id="125" w:name="_Toc113523081"/>
      <w:r>
        <w:t>5</w:t>
      </w:r>
      <w:r w:rsidR="00BC214A">
        <w:t>.5</w:t>
      </w:r>
      <w:r w:rsidR="00BC214A">
        <w:tab/>
        <w:t>Human intervention studies</w:t>
      </w:r>
      <w:bookmarkEnd w:id="123"/>
      <w:bookmarkEnd w:id="124"/>
      <w:bookmarkEnd w:id="125"/>
    </w:p>
    <w:p w14:paraId="0EC4FBB0" w14:textId="3D8A8636" w:rsidR="00BC214A" w:rsidRDefault="00BC214A" w:rsidP="00BC214A">
      <w:pPr>
        <w:rPr>
          <w:rFonts w:cs="Arial"/>
        </w:rPr>
      </w:pPr>
      <w:r>
        <w:rPr>
          <w:rFonts w:cs="Arial"/>
        </w:rPr>
        <w:t xml:space="preserve">Four human intervention studies </w:t>
      </w:r>
      <w:r w:rsidRPr="7C378095">
        <w:rPr>
          <w:rFonts w:cs="Arial"/>
        </w:rPr>
        <w:t xml:space="preserve">were identified </w:t>
      </w:r>
      <w:r>
        <w:rPr>
          <w:rFonts w:cs="Arial"/>
        </w:rPr>
        <w:t xml:space="preserve">assessing the effects of </w:t>
      </w:r>
      <w:proofErr w:type="spellStart"/>
      <w:r>
        <w:rPr>
          <w:rFonts w:cs="Arial"/>
        </w:rPr>
        <w:t>bLf</w:t>
      </w:r>
      <w:proofErr w:type="spellEnd"/>
      <w:r>
        <w:rPr>
          <w:rFonts w:cs="Arial"/>
        </w:rPr>
        <w:t xml:space="preserve"> on risk of infection in healthy t</w:t>
      </w:r>
      <w:r w:rsidR="0019537E">
        <w:rPr>
          <w:rFonts w:cs="Arial"/>
        </w:rPr>
        <w:t>erm infants.</w:t>
      </w:r>
    </w:p>
    <w:p w14:paraId="064B9C3D" w14:textId="77777777" w:rsidR="0019537E" w:rsidRDefault="0019537E" w:rsidP="00BC214A">
      <w:pPr>
        <w:rPr>
          <w:rFonts w:cs="Arial"/>
        </w:rPr>
      </w:pPr>
    </w:p>
    <w:p w14:paraId="35F83EAB" w14:textId="09D32232" w:rsidR="00BC214A" w:rsidRDefault="00BC214A" w:rsidP="00BC214A">
      <w:pPr>
        <w:rPr>
          <w:rFonts w:cs="Arial"/>
        </w:rPr>
      </w:pPr>
      <w:r>
        <w:rPr>
          <w:rFonts w:cs="Arial"/>
        </w:rPr>
        <w:t xml:space="preserve">In a small study in the USA (52 infants across treatment and control groups), King et al. (2007) compared </w:t>
      </w:r>
      <w:r w:rsidR="00A35889">
        <w:rPr>
          <w:rFonts w:cs="Arial"/>
        </w:rPr>
        <w:t xml:space="preserve">control </w:t>
      </w:r>
      <w:r>
        <w:rPr>
          <w:rFonts w:cs="Arial"/>
        </w:rPr>
        <w:t xml:space="preserve">formula naturally containing 10.2 mg </w:t>
      </w:r>
      <w:proofErr w:type="spellStart"/>
      <w:r>
        <w:rPr>
          <w:rFonts w:cs="Arial"/>
        </w:rPr>
        <w:t>bLf</w:t>
      </w:r>
      <w:proofErr w:type="spellEnd"/>
      <w:r>
        <w:rPr>
          <w:rFonts w:cs="Arial"/>
        </w:rPr>
        <w:t xml:space="preserve"> per 100 mL with formula supplemented with 85 mg </w:t>
      </w:r>
      <w:proofErr w:type="spellStart"/>
      <w:r>
        <w:rPr>
          <w:rFonts w:cs="Arial"/>
        </w:rPr>
        <w:t>bLf</w:t>
      </w:r>
      <w:proofErr w:type="spellEnd"/>
      <w:r>
        <w:rPr>
          <w:rFonts w:cs="Arial"/>
        </w:rPr>
        <w:t xml:space="preserve"> per 100 </w:t>
      </w:r>
      <w:proofErr w:type="spellStart"/>
      <w:r>
        <w:rPr>
          <w:rFonts w:cs="Arial"/>
        </w:rPr>
        <w:t>mL.</w:t>
      </w:r>
      <w:proofErr w:type="spellEnd"/>
      <w:r>
        <w:rPr>
          <w:rFonts w:cs="Arial"/>
        </w:rPr>
        <w:t xml:space="preserve"> Infants were enrolled at 0-4 weeks of age and followed for the first year of life. They observed similar rates of adverse events and dropouts between </w:t>
      </w:r>
      <w:proofErr w:type="spellStart"/>
      <w:r>
        <w:rPr>
          <w:rFonts w:cs="Arial"/>
        </w:rPr>
        <w:t>bLf</w:t>
      </w:r>
      <w:proofErr w:type="spellEnd"/>
      <w:r>
        <w:rPr>
          <w:rFonts w:cs="Arial"/>
        </w:rPr>
        <w:t xml:space="preserve"> and control groups, and found significantly lower incidence of lower respiratory tract infections in the </w:t>
      </w:r>
      <w:proofErr w:type="spellStart"/>
      <w:r>
        <w:rPr>
          <w:rFonts w:cs="Arial"/>
        </w:rPr>
        <w:t>bLf</w:t>
      </w:r>
      <w:proofErr w:type="spellEnd"/>
      <w:r>
        <w:rPr>
          <w:rFonts w:cs="Arial"/>
        </w:rPr>
        <w:t>-fed infants. The study did not include a breastfed reference group.</w:t>
      </w:r>
    </w:p>
    <w:p w14:paraId="2DA5D2B5" w14:textId="77777777" w:rsidR="0019537E" w:rsidRDefault="0019537E" w:rsidP="00BC214A">
      <w:pPr>
        <w:rPr>
          <w:rFonts w:cs="Arial"/>
        </w:rPr>
      </w:pPr>
    </w:p>
    <w:p w14:paraId="0F88F4A6" w14:textId="7FC1819C" w:rsidR="00BC214A" w:rsidRDefault="00BC214A" w:rsidP="00BC214A">
      <w:pPr>
        <w:rPr>
          <w:rFonts w:cs="Arial"/>
        </w:rPr>
      </w:pPr>
      <w:r>
        <w:rPr>
          <w:rFonts w:cs="Arial"/>
        </w:rPr>
        <w:t>In a larger study in China, Chen et al</w:t>
      </w:r>
      <w:r w:rsidR="00A35889">
        <w:rPr>
          <w:rFonts w:cs="Arial"/>
        </w:rPr>
        <w:t>.</w:t>
      </w:r>
      <w:r>
        <w:rPr>
          <w:rFonts w:cs="Arial"/>
        </w:rPr>
        <w:t xml:space="preserve"> (2016) considered the effect of the addition of 38 mg </w:t>
      </w:r>
      <w:proofErr w:type="spellStart"/>
      <w:r>
        <w:rPr>
          <w:rFonts w:cs="Arial"/>
        </w:rPr>
        <w:t>bLf</w:t>
      </w:r>
      <w:proofErr w:type="spellEnd"/>
      <w:r>
        <w:rPr>
          <w:rFonts w:cs="Arial"/>
        </w:rPr>
        <w:t xml:space="preserve"> per 100g (ca 57mg/L made up formula) infant formula powder (n=115), compared to formula without </w:t>
      </w:r>
      <w:proofErr w:type="spellStart"/>
      <w:r>
        <w:rPr>
          <w:rFonts w:cs="Arial"/>
        </w:rPr>
        <w:t>bLf</w:t>
      </w:r>
      <w:proofErr w:type="spellEnd"/>
      <w:r>
        <w:rPr>
          <w:rFonts w:cs="Arial"/>
        </w:rPr>
        <w:t xml:space="preserve"> (n=98), and with a breastfed reference group (n=103). Infants had been breastfed to 4-6 months of age, then weaned before starting on the formula diet for 3 months. Breastfed and </w:t>
      </w:r>
      <w:proofErr w:type="spellStart"/>
      <w:r>
        <w:rPr>
          <w:rFonts w:cs="Arial"/>
        </w:rPr>
        <w:t>bLf</w:t>
      </w:r>
      <w:proofErr w:type="spellEnd"/>
      <w:r>
        <w:rPr>
          <w:rFonts w:cs="Arial"/>
        </w:rPr>
        <w:t>-containing formula-fed infants had similar health outcomes, and both groups had si</w:t>
      </w:r>
      <w:r w:rsidR="00A35889">
        <w:rPr>
          <w:rFonts w:cs="Arial"/>
        </w:rPr>
        <w:t>gnificantly fewer respiratory and</w:t>
      </w:r>
      <w:r>
        <w:rPr>
          <w:rFonts w:cs="Arial"/>
        </w:rPr>
        <w:t xml:space="preserve"> diarrhoea-related illnesses, and shorter duration of those illnesses, compared to the control formula group. A smaller follow up study by the same group (Chen et al. 2021</w:t>
      </w:r>
      <w:r w:rsidRPr="00FA0838">
        <w:rPr>
          <w:rFonts w:cs="Arial"/>
        </w:rPr>
        <w:t>)</w:t>
      </w:r>
      <w:r>
        <w:rPr>
          <w:rFonts w:cs="Arial"/>
        </w:rPr>
        <w:t>,</w:t>
      </w:r>
      <w:r w:rsidRPr="00FA0838">
        <w:rPr>
          <w:rFonts w:cs="Arial"/>
        </w:rPr>
        <w:t xml:space="preserve"> </w:t>
      </w:r>
      <w:r>
        <w:rPr>
          <w:rFonts w:cs="Arial"/>
        </w:rPr>
        <w:t xml:space="preserve">which was provided by the applicant, has not been </w:t>
      </w:r>
      <w:r w:rsidRPr="00FA0838">
        <w:rPr>
          <w:rFonts w:cs="Arial"/>
        </w:rPr>
        <w:t>considered</w:t>
      </w:r>
      <w:r>
        <w:rPr>
          <w:rFonts w:cs="Arial"/>
        </w:rPr>
        <w:t>, as infants were anaemic;</w:t>
      </w:r>
      <w:r w:rsidRPr="00FA0838">
        <w:rPr>
          <w:rFonts w:cs="Arial"/>
        </w:rPr>
        <w:t xml:space="preserve"> had been breastfed </w:t>
      </w:r>
      <w:r>
        <w:rPr>
          <w:rFonts w:cs="Arial"/>
        </w:rPr>
        <w:t xml:space="preserve">to </w:t>
      </w:r>
      <w:r w:rsidRPr="00FA0838">
        <w:rPr>
          <w:rFonts w:cs="Arial"/>
        </w:rPr>
        <w:t>6</w:t>
      </w:r>
      <w:r>
        <w:rPr>
          <w:rFonts w:cs="Arial"/>
        </w:rPr>
        <w:t>-9</w:t>
      </w:r>
      <w:r w:rsidRPr="00FA0838">
        <w:rPr>
          <w:rFonts w:cs="Arial"/>
        </w:rPr>
        <w:t xml:space="preserve"> months of age, then weaned before starting on the formula diet for 3 months</w:t>
      </w:r>
      <w:r>
        <w:rPr>
          <w:rFonts w:cs="Arial"/>
        </w:rPr>
        <w:t>; and the study lacked</w:t>
      </w:r>
      <w:r w:rsidRPr="00FA0838">
        <w:rPr>
          <w:rFonts w:cs="Arial"/>
        </w:rPr>
        <w:t xml:space="preserve"> </w:t>
      </w:r>
      <w:r>
        <w:rPr>
          <w:rFonts w:cs="Arial"/>
        </w:rPr>
        <w:t>a breastfed reference group</w:t>
      </w:r>
      <w:r w:rsidRPr="00FA0838">
        <w:rPr>
          <w:rFonts w:cs="Arial"/>
        </w:rPr>
        <w:t>.</w:t>
      </w:r>
    </w:p>
    <w:p w14:paraId="1BBC4C02" w14:textId="77777777" w:rsidR="0019537E" w:rsidRDefault="0019537E" w:rsidP="00BC214A">
      <w:pPr>
        <w:rPr>
          <w:rFonts w:cs="Arial"/>
        </w:rPr>
      </w:pPr>
    </w:p>
    <w:p w14:paraId="141E4592" w14:textId="7CC111C7" w:rsidR="00BC214A" w:rsidRDefault="00BC214A" w:rsidP="00BC214A">
      <w:pPr>
        <w:rPr>
          <w:rFonts w:cs="Arial"/>
        </w:rPr>
      </w:pPr>
      <w:r>
        <w:rPr>
          <w:rFonts w:cs="Arial"/>
        </w:rPr>
        <w:t xml:space="preserve">A study in Sweden by </w:t>
      </w:r>
      <w:proofErr w:type="spellStart"/>
      <w:r>
        <w:rPr>
          <w:rFonts w:cs="Arial"/>
        </w:rPr>
        <w:t>Bj</w:t>
      </w:r>
      <w:r w:rsidR="002C432F">
        <w:rPr>
          <w:rFonts w:cs="Arial"/>
        </w:rPr>
        <w:t>ö</w:t>
      </w:r>
      <w:r>
        <w:rPr>
          <w:rFonts w:cs="Arial"/>
        </w:rPr>
        <w:t>rmso</w:t>
      </w:r>
      <w:proofErr w:type="spellEnd"/>
      <w:r>
        <w:rPr>
          <w:rFonts w:cs="Arial"/>
        </w:rPr>
        <w:t xml:space="preserve"> et al</w:t>
      </w:r>
      <w:r w:rsidR="00A35889">
        <w:rPr>
          <w:rFonts w:cs="Arial"/>
        </w:rPr>
        <w:t>.</w:t>
      </w:r>
      <w:r>
        <w:rPr>
          <w:rFonts w:cs="Arial"/>
        </w:rPr>
        <w:t xml:space="preserve"> (2022) investigated </w:t>
      </w:r>
      <w:r w:rsidRPr="00CA6131">
        <w:rPr>
          <w:rFonts w:cs="Arial"/>
        </w:rPr>
        <w:t xml:space="preserve">the effect of the addition of </w:t>
      </w:r>
      <w:r>
        <w:rPr>
          <w:rFonts w:cs="Arial"/>
        </w:rPr>
        <w:t>1000</w:t>
      </w:r>
      <w:r w:rsidRPr="00CA6131">
        <w:rPr>
          <w:rFonts w:cs="Arial"/>
        </w:rPr>
        <w:t xml:space="preserve"> mg </w:t>
      </w:r>
      <w:proofErr w:type="spellStart"/>
      <w:r w:rsidRPr="00CA6131">
        <w:rPr>
          <w:rFonts w:cs="Arial"/>
        </w:rPr>
        <w:t>bLf</w:t>
      </w:r>
      <w:proofErr w:type="spellEnd"/>
      <w:r w:rsidRPr="00CA6131">
        <w:rPr>
          <w:rFonts w:cs="Arial"/>
        </w:rPr>
        <w:t xml:space="preserve"> per </w:t>
      </w:r>
      <w:r>
        <w:rPr>
          <w:rFonts w:cs="Arial"/>
        </w:rPr>
        <w:t>litre</w:t>
      </w:r>
      <w:r w:rsidRPr="00CA6131">
        <w:rPr>
          <w:rFonts w:cs="Arial"/>
        </w:rPr>
        <w:t xml:space="preserve"> formula (n</w:t>
      </w:r>
      <w:r>
        <w:rPr>
          <w:rFonts w:cs="Arial"/>
        </w:rPr>
        <w:t>=72</w:t>
      </w:r>
      <w:r w:rsidRPr="00CA6131">
        <w:rPr>
          <w:rFonts w:cs="Arial"/>
        </w:rPr>
        <w:t>), compared to</w:t>
      </w:r>
      <w:r>
        <w:rPr>
          <w:rFonts w:cs="Arial"/>
        </w:rPr>
        <w:t xml:space="preserve"> low- (n=71) and high-iron</w:t>
      </w:r>
      <w:r w:rsidRPr="00CA6131">
        <w:rPr>
          <w:rFonts w:cs="Arial"/>
        </w:rPr>
        <w:t xml:space="preserve"> </w:t>
      </w:r>
      <w:r>
        <w:rPr>
          <w:rFonts w:cs="Arial"/>
        </w:rPr>
        <w:t xml:space="preserve">(n=33) </w:t>
      </w:r>
      <w:r w:rsidRPr="00CA6131">
        <w:rPr>
          <w:rFonts w:cs="Arial"/>
        </w:rPr>
        <w:t>formula</w:t>
      </w:r>
      <w:r>
        <w:rPr>
          <w:rFonts w:cs="Arial"/>
        </w:rPr>
        <w:t>s</w:t>
      </w:r>
      <w:r w:rsidRPr="00CA6131">
        <w:rPr>
          <w:rFonts w:cs="Arial"/>
        </w:rPr>
        <w:t xml:space="preserve"> without </w:t>
      </w:r>
      <w:r>
        <w:rPr>
          <w:rFonts w:cs="Arial"/>
        </w:rPr>
        <w:t xml:space="preserve">added </w:t>
      </w:r>
      <w:proofErr w:type="spellStart"/>
      <w:r w:rsidRPr="00CA6131">
        <w:rPr>
          <w:rFonts w:cs="Arial"/>
        </w:rPr>
        <w:t>bLf</w:t>
      </w:r>
      <w:proofErr w:type="spellEnd"/>
      <w:r w:rsidRPr="00CA6131">
        <w:rPr>
          <w:rFonts w:cs="Arial"/>
        </w:rPr>
        <w:t xml:space="preserve">, and with a </w:t>
      </w:r>
      <w:r>
        <w:rPr>
          <w:rFonts w:cs="Arial"/>
        </w:rPr>
        <w:t>breastfed reference group (n=70</w:t>
      </w:r>
      <w:r w:rsidRPr="00CA6131">
        <w:rPr>
          <w:rFonts w:cs="Arial"/>
        </w:rPr>
        <w:t xml:space="preserve">). Infants </w:t>
      </w:r>
      <w:r>
        <w:rPr>
          <w:rFonts w:cs="Arial"/>
        </w:rPr>
        <w:t xml:space="preserve">were enrolled at 4-8 weeks of age and followed until 6 months of age. No significant effects of </w:t>
      </w:r>
      <w:proofErr w:type="spellStart"/>
      <w:r>
        <w:rPr>
          <w:rFonts w:cs="Arial"/>
        </w:rPr>
        <w:t>bLf</w:t>
      </w:r>
      <w:proofErr w:type="spellEnd"/>
      <w:r>
        <w:rPr>
          <w:rFonts w:cs="Arial"/>
        </w:rPr>
        <w:t xml:space="preserve"> </w:t>
      </w:r>
      <w:r w:rsidRPr="445F0F17">
        <w:rPr>
          <w:rFonts w:cs="Arial"/>
        </w:rPr>
        <w:t>supplementation</w:t>
      </w:r>
      <w:r>
        <w:rPr>
          <w:rFonts w:cs="Arial"/>
        </w:rPr>
        <w:t xml:space="preserve"> on infection-related morbidity were reported. Cytokine levels in venous blood were also assessed at inclusion and at 4-monthly intervals until 12 months of age. No significant differences between groups were reported in levels of cytokines.</w:t>
      </w:r>
    </w:p>
    <w:p w14:paraId="685FAD88" w14:textId="6A2D1957" w:rsidR="00BC214A" w:rsidRPr="006D0184" w:rsidRDefault="00043769" w:rsidP="00733CE2">
      <w:pPr>
        <w:pStyle w:val="Heading2"/>
      </w:pPr>
      <w:bookmarkStart w:id="126" w:name="_Toc111626708"/>
      <w:bookmarkStart w:id="127" w:name="_Toc112915018"/>
      <w:bookmarkStart w:id="128" w:name="_Toc113523082"/>
      <w:r>
        <w:rPr>
          <w:rFonts w:eastAsia="Arial"/>
        </w:rPr>
        <w:t>5</w:t>
      </w:r>
      <w:r w:rsidR="00BC214A">
        <w:rPr>
          <w:rFonts w:eastAsia="Arial"/>
        </w:rPr>
        <w:t>.6</w:t>
      </w:r>
      <w:r w:rsidR="00BC214A" w:rsidRPr="006D0184">
        <w:tab/>
      </w:r>
      <w:r w:rsidR="00BC214A">
        <w:rPr>
          <w:rFonts w:eastAsia="Arial"/>
        </w:rPr>
        <w:t>Conclusions of beneficial health effects assessment</w:t>
      </w:r>
      <w:bookmarkEnd w:id="126"/>
      <w:bookmarkEnd w:id="127"/>
      <w:bookmarkEnd w:id="128"/>
    </w:p>
    <w:p w14:paraId="39911CCA" w14:textId="234525C9" w:rsidR="00BC214A" w:rsidRDefault="00BC214A" w:rsidP="00BC214A">
      <w:pPr>
        <w:rPr>
          <w:rFonts w:cs="Arial"/>
        </w:rPr>
      </w:pPr>
      <w:r>
        <w:rPr>
          <w:rFonts w:cs="Arial"/>
        </w:rPr>
        <w:t xml:space="preserve">Evidence from </w:t>
      </w:r>
      <w:r w:rsidRPr="003C5B13">
        <w:rPr>
          <w:rFonts w:cs="Arial"/>
          <w:i/>
        </w:rPr>
        <w:t>in vitro</w:t>
      </w:r>
      <w:r>
        <w:rPr>
          <w:rFonts w:cs="Arial"/>
        </w:rPr>
        <w:t xml:space="preserve"> studies demonstrate that </w:t>
      </w:r>
      <w:proofErr w:type="spellStart"/>
      <w:r>
        <w:rPr>
          <w:rFonts w:cs="Arial"/>
        </w:rPr>
        <w:t>bLf</w:t>
      </w:r>
      <w:proofErr w:type="spellEnd"/>
      <w:r>
        <w:rPr>
          <w:rFonts w:cs="Arial"/>
        </w:rPr>
        <w:t xml:space="preserve"> and other lactoferrins exhibit strong bacteriostatic, bactericidal and antiviral effects. The bacteriostatic effect is principally mediated through iron-sequestration, denying bacteria access to a necessary mineral for growth. Direct bactericidal effects are mediated through binding to cell surface molecules, leading to membrane disruption and leakage. Antiviral effects are mainly mediated through binding to viral particles and/or receptors on target cells, hindering vi</w:t>
      </w:r>
      <w:r w:rsidR="00A35889">
        <w:rPr>
          <w:rFonts w:cs="Arial"/>
        </w:rPr>
        <w:t>ral adsorption and/or internalis</w:t>
      </w:r>
      <w:r>
        <w:rPr>
          <w:rFonts w:cs="Arial"/>
        </w:rPr>
        <w:t>ation.</w:t>
      </w:r>
    </w:p>
    <w:p w14:paraId="2B9A70ED" w14:textId="77777777" w:rsidR="00A35889" w:rsidRDefault="00A35889" w:rsidP="00BC214A">
      <w:pPr>
        <w:rPr>
          <w:rFonts w:cs="Arial"/>
        </w:rPr>
      </w:pPr>
    </w:p>
    <w:p w14:paraId="0F0A37D2" w14:textId="2C33E493" w:rsidR="00BC214A" w:rsidRDefault="00BC214A" w:rsidP="00BC214A">
      <w:pPr>
        <w:rPr>
          <w:rFonts w:cs="Arial"/>
        </w:rPr>
      </w:pPr>
      <w:r>
        <w:rPr>
          <w:rFonts w:cs="Arial"/>
        </w:rPr>
        <w:t xml:space="preserve">These </w:t>
      </w:r>
      <w:r w:rsidRPr="00475DAF">
        <w:rPr>
          <w:rFonts w:cs="Arial"/>
          <w:i/>
        </w:rPr>
        <w:t>in vitro</w:t>
      </w:r>
      <w:r>
        <w:rPr>
          <w:rFonts w:cs="Arial"/>
        </w:rPr>
        <w:t xml:space="preserve"> effects are supported by animal studies demonstrating the ability of </w:t>
      </w:r>
      <w:proofErr w:type="spellStart"/>
      <w:r>
        <w:rPr>
          <w:rFonts w:cs="Arial"/>
        </w:rPr>
        <w:t>bLf</w:t>
      </w:r>
      <w:proofErr w:type="spellEnd"/>
      <w:r>
        <w:rPr>
          <w:rFonts w:cs="Arial"/>
        </w:rPr>
        <w:t xml:space="preserve"> to interfere with pathogen adherence to intestinal epithelia, and reductions in bacterial loads and disease severity in experimentally-infected animals. These effects go beyond the gastrointestinal tract, with effects seen on bacterial load in kidney infections due to inoculation of mice with </w:t>
      </w:r>
      <w:r w:rsidRPr="00E762F3">
        <w:rPr>
          <w:rFonts w:cs="Arial"/>
          <w:i/>
        </w:rPr>
        <w:t>S. aureus</w:t>
      </w:r>
      <w:r>
        <w:rPr>
          <w:rFonts w:cs="Arial"/>
        </w:rPr>
        <w:t>.</w:t>
      </w:r>
    </w:p>
    <w:p w14:paraId="5DD4ABCD" w14:textId="77777777" w:rsidR="00A35889" w:rsidRDefault="00A35889" w:rsidP="00BC214A">
      <w:pPr>
        <w:rPr>
          <w:rFonts w:cs="Arial"/>
        </w:rPr>
      </w:pPr>
    </w:p>
    <w:p w14:paraId="160C1CE1" w14:textId="7D70280E" w:rsidR="00BC214A" w:rsidRDefault="00BC214A" w:rsidP="00BC214A">
      <w:pPr>
        <w:rPr>
          <w:rFonts w:eastAsia="Arial" w:cs="Arial"/>
        </w:rPr>
      </w:pPr>
      <w:r>
        <w:rPr>
          <w:rFonts w:cs="Arial"/>
        </w:rPr>
        <w:t xml:space="preserve">A large body of evidence from </w:t>
      </w:r>
      <w:r w:rsidRPr="00475DAF">
        <w:rPr>
          <w:rFonts w:cs="Arial"/>
          <w:i/>
        </w:rPr>
        <w:t>in vitro</w:t>
      </w:r>
      <w:r>
        <w:rPr>
          <w:rFonts w:cs="Arial"/>
        </w:rPr>
        <w:t xml:space="preserve"> studies also supports an immunomodulatory effect of </w:t>
      </w:r>
      <w:proofErr w:type="spellStart"/>
      <w:r>
        <w:rPr>
          <w:rFonts w:cs="Arial"/>
        </w:rPr>
        <w:t>bLf</w:t>
      </w:r>
      <w:proofErr w:type="spellEnd"/>
      <w:r>
        <w:rPr>
          <w:rFonts w:cs="Arial"/>
        </w:rPr>
        <w:t>, particularly on the mucosal immune system. These effects follow</w:t>
      </w:r>
      <w:r>
        <w:rPr>
          <w:rFonts w:eastAsia="Arial" w:cs="Arial"/>
        </w:rPr>
        <w:t xml:space="preserve"> internalisation of </w:t>
      </w:r>
      <w:proofErr w:type="spellStart"/>
      <w:r>
        <w:rPr>
          <w:rFonts w:eastAsia="Arial" w:cs="Arial"/>
        </w:rPr>
        <w:t>bLf</w:t>
      </w:r>
      <w:proofErr w:type="spellEnd"/>
      <w:r w:rsidR="00A35889">
        <w:rPr>
          <w:rFonts w:eastAsia="Arial" w:cs="Arial"/>
        </w:rPr>
        <w:t>,</w:t>
      </w:r>
      <w:r>
        <w:rPr>
          <w:rFonts w:eastAsia="Arial" w:cs="Arial"/>
        </w:rPr>
        <w:t xml:space="preserve"> mediated by interactions with specific gut epithelial cell surface receptor molecules, and include </w:t>
      </w:r>
      <w:r w:rsidR="00A35889">
        <w:rPr>
          <w:rFonts w:eastAsia="Arial" w:cs="Arial"/>
        </w:rPr>
        <w:t>cellular proliferation; antibody production;</w:t>
      </w:r>
      <w:r w:rsidRPr="00E762F3">
        <w:rPr>
          <w:rFonts w:eastAsia="Arial" w:cs="Arial"/>
        </w:rPr>
        <w:t xml:space="preserve"> and cytokine ge</w:t>
      </w:r>
      <w:r>
        <w:rPr>
          <w:rFonts w:eastAsia="Arial" w:cs="Arial"/>
        </w:rPr>
        <w:t>ne expression, production and</w:t>
      </w:r>
      <w:r w:rsidRPr="00E762F3">
        <w:rPr>
          <w:rFonts w:eastAsia="Arial" w:cs="Arial"/>
        </w:rPr>
        <w:t xml:space="preserve"> secretion</w:t>
      </w:r>
      <w:r>
        <w:rPr>
          <w:rFonts w:eastAsia="Arial" w:cs="Arial"/>
        </w:rPr>
        <w:t>. However, while they imply</w:t>
      </w:r>
      <w:r w:rsidRPr="00E762F3">
        <w:rPr>
          <w:rFonts w:eastAsia="Arial" w:cs="Arial"/>
        </w:rPr>
        <w:t xml:space="preserve"> immunomodulatory mechanisms by which </w:t>
      </w:r>
      <w:proofErr w:type="spellStart"/>
      <w:r w:rsidRPr="00E762F3">
        <w:rPr>
          <w:rFonts w:eastAsia="Arial" w:cs="Arial"/>
        </w:rPr>
        <w:t>bLf</w:t>
      </w:r>
      <w:proofErr w:type="spellEnd"/>
      <w:r w:rsidRPr="00E762F3">
        <w:rPr>
          <w:rFonts w:eastAsia="Arial" w:cs="Arial"/>
        </w:rPr>
        <w:t xml:space="preserve"> might </w:t>
      </w:r>
      <w:r>
        <w:rPr>
          <w:rFonts w:eastAsia="Arial" w:cs="Arial"/>
        </w:rPr>
        <w:t>function to reduce infection</w:t>
      </w:r>
      <w:r w:rsidRPr="00E762F3">
        <w:rPr>
          <w:rFonts w:eastAsia="Arial" w:cs="Arial"/>
        </w:rPr>
        <w:t>—such as inducing an increase in IgA levels in the gut lumen—</w:t>
      </w:r>
      <w:r>
        <w:rPr>
          <w:rFonts w:eastAsia="Arial" w:cs="Arial"/>
        </w:rPr>
        <w:t xml:space="preserve">the studies do not demonstrate </w:t>
      </w:r>
      <w:r w:rsidRPr="00E762F3">
        <w:rPr>
          <w:rFonts w:eastAsia="Arial" w:cs="Arial"/>
        </w:rPr>
        <w:t xml:space="preserve">clear </w:t>
      </w:r>
      <w:r>
        <w:rPr>
          <w:rFonts w:eastAsia="Arial" w:cs="Arial"/>
        </w:rPr>
        <w:t>links to that outcome.</w:t>
      </w:r>
    </w:p>
    <w:p w14:paraId="3A168826" w14:textId="77777777" w:rsidR="00A35889" w:rsidRDefault="00A35889" w:rsidP="00BC214A">
      <w:pPr>
        <w:rPr>
          <w:rFonts w:eastAsia="Arial" w:cs="Arial"/>
        </w:rPr>
      </w:pPr>
    </w:p>
    <w:p w14:paraId="69BC8FF2" w14:textId="436E5C6E" w:rsidR="00BC214A" w:rsidRDefault="00BC214A" w:rsidP="00BC214A">
      <w:pPr>
        <w:rPr>
          <w:rFonts w:eastAsia="Arial" w:cs="Arial"/>
        </w:rPr>
      </w:pPr>
      <w:r>
        <w:rPr>
          <w:rFonts w:eastAsia="Arial" w:cs="Arial"/>
        </w:rPr>
        <w:t xml:space="preserve">Evidence from human studies of the ability of </w:t>
      </w:r>
      <w:proofErr w:type="spellStart"/>
      <w:r>
        <w:rPr>
          <w:rFonts w:eastAsia="Arial" w:cs="Arial"/>
        </w:rPr>
        <w:t>bLf</w:t>
      </w:r>
      <w:proofErr w:type="spellEnd"/>
      <w:r>
        <w:rPr>
          <w:rFonts w:eastAsia="Arial" w:cs="Arial"/>
        </w:rPr>
        <w:t xml:space="preserve"> to reduce infection in</w:t>
      </w:r>
      <w:r w:rsidRPr="00A2665F">
        <w:t xml:space="preserve"> </w:t>
      </w:r>
      <w:r w:rsidRPr="00A2665F">
        <w:rPr>
          <w:rFonts w:eastAsia="Arial" w:cs="Arial"/>
        </w:rPr>
        <w:t>healthy, full-term</w:t>
      </w:r>
      <w:r>
        <w:rPr>
          <w:rFonts w:eastAsia="Arial" w:cs="Arial"/>
        </w:rPr>
        <w:t xml:space="preserve"> infants is limited, of low quality, and does not provide obvious links to the mechanistic evidence from </w:t>
      </w:r>
      <w:r w:rsidRPr="006B3E43">
        <w:rPr>
          <w:rFonts w:eastAsia="Arial" w:cs="Arial"/>
          <w:i/>
        </w:rPr>
        <w:t>in vitro</w:t>
      </w:r>
      <w:r>
        <w:rPr>
          <w:rFonts w:eastAsia="Arial" w:cs="Arial"/>
        </w:rPr>
        <w:t xml:space="preserve"> and animal studies. However, </w:t>
      </w:r>
      <w:r w:rsidR="00A35889">
        <w:rPr>
          <w:rFonts w:eastAsia="Arial" w:cs="Arial"/>
        </w:rPr>
        <w:t>the studies do</w:t>
      </w:r>
      <w:r>
        <w:rPr>
          <w:rFonts w:eastAsia="Arial" w:cs="Arial"/>
        </w:rPr>
        <w:t xml:space="preserve"> demonstrate a tendency for </w:t>
      </w:r>
      <w:proofErr w:type="spellStart"/>
      <w:r>
        <w:rPr>
          <w:rFonts w:eastAsia="Arial" w:cs="Arial"/>
        </w:rPr>
        <w:t>bLf</w:t>
      </w:r>
      <w:proofErr w:type="spellEnd"/>
      <w:r>
        <w:rPr>
          <w:rFonts w:eastAsia="Arial" w:cs="Arial"/>
        </w:rPr>
        <w:t>-supplemented formula to reduce reported gastrointestinal and respiratory illnesses compared to control formula.</w:t>
      </w:r>
    </w:p>
    <w:p w14:paraId="544283C2" w14:textId="77777777" w:rsidR="00A35889" w:rsidRDefault="00A35889" w:rsidP="00BC214A">
      <w:pPr>
        <w:rPr>
          <w:rFonts w:eastAsia="Arial" w:cs="Arial"/>
        </w:rPr>
      </w:pPr>
    </w:p>
    <w:p w14:paraId="3F15BD13" w14:textId="577729B8" w:rsidR="00E16439" w:rsidRDefault="00BC214A" w:rsidP="00664637">
      <w:r w:rsidRPr="5CA76357">
        <w:rPr>
          <w:rFonts w:eastAsia="Arial" w:cs="Arial"/>
        </w:rPr>
        <w:t xml:space="preserve">Considering all these lines of evidence together, FSANZ concludes that there is a strong evidence base from </w:t>
      </w:r>
      <w:r w:rsidRPr="5CA76357">
        <w:rPr>
          <w:rFonts w:eastAsia="Arial" w:cs="Arial"/>
          <w:i/>
          <w:iCs/>
        </w:rPr>
        <w:t>in vitro</w:t>
      </w:r>
      <w:r w:rsidRPr="5CA76357">
        <w:rPr>
          <w:rFonts w:eastAsia="Arial" w:cs="Arial"/>
        </w:rPr>
        <w:t xml:space="preserve"> and animal studies providing a mechanism by which </w:t>
      </w:r>
      <w:proofErr w:type="spellStart"/>
      <w:r w:rsidRPr="5CA76357">
        <w:rPr>
          <w:rFonts w:eastAsia="Arial" w:cs="Arial"/>
        </w:rPr>
        <w:t>bLf</w:t>
      </w:r>
      <w:proofErr w:type="spellEnd"/>
      <w:r w:rsidRPr="5CA76357">
        <w:rPr>
          <w:rFonts w:eastAsia="Arial" w:cs="Arial"/>
        </w:rPr>
        <w:t xml:space="preserve"> can reduce the risk of bacterial and viral infection through direct (e</w:t>
      </w:r>
      <w:r w:rsidR="0034345C">
        <w:rPr>
          <w:rFonts w:eastAsia="Arial" w:cs="Arial"/>
        </w:rPr>
        <w:t>.</w:t>
      </w:r>
      <w:r w:rsidRPr="5CA76357">
        <w:rPr>
          <w:rFonts w:eastAsia="Arial" w:cs="Arial"/>
        </w:rPr>
        <w:t>g</w:t>
      </w:r>
      <w:r w:rsidR="0034345C">
        <w:rPr>
          <w:rFonts w:eastAsia="Arial" w:cs="Arial"/>
        </w:rPr>
        <w:t>.</w:t>
      </w:r>
      <w:r w:rsidRPr="5CA76357">
        <w:rPr>
          <w:rFonts w:eastAsia="Arial" w:cs="Arial"/>
        </w:rPr>
        <w:t xml:space="preserve"> binding interactions) and indirect (e</w:t>
      </w:r>
      <w:r w:rsidR="0034345C">
        <w:rPr>
          <w:rFonts w:eastAsia="Arial" w:cs="Arial"/>
        </w:rPr>
        <w:t>.</w:t>
      </w:r>
      <w:r w:rsidRPr="5CA76357">
        <w:rPr>
          <w:rFonts w:eastAsia="Arial" w:cs="Arial"/>
        </w:rPr>
        <w:t>g</w:t>
      </w:r>
      <w:r w:rsidR="0034345C">
        <w:rPr>
          <w:rFonts w:eastAsia="Arial" w:cs="Arial"/>
        </w:rPr>
        <w:t>.</w:t>
      </w:r>
      <w:r w:rsidRPr="5CA76357">
        <w:rPr>
          <w:rFonts w:eastAsia="Arial" w:cs="Arial"/>
        </w:rPr>
        <w:t xml:space="preserve"> through immune stimulation) effects. </w:t>
      </w:r>
      <w:proofErr w:type="spellStart"/>
      <w:r w:rsidRPr="5CA76357">
        <w:rPr>
          <w:rFonts w:eastAsia="Arial" w:cs="Arial"/>
        </w:rPr>
        <w:t>bLf</w:t>
      </w:r>
      <w:proofErr w:type="spellEnd"/>
      <w:r w:rsidRPr="5CA76357">
        <w:rPr>
          <w:rFonts w:eastAsia="Arial" w:cs="Arial"/>
        </w:rPr>
        <w:t xml:space="preserve"> has been shown to reduce the severity and duration of infection in relevant animal models of infection. FSANZ identified no human studies that could provide strong evidence in support of the proposed beneficial effect, but results of the few studies considered are consistent with </w:t>
      </w:r>
      <w:r w:rsidR="001E2E9B">
        <w:rPr>
          <w:rFonts w:eastAsia="Arial" w:cs="Arial"/>
        </w:rPr>
        <w:t>a reduction in risk of infection</w:t>
      </w:r>
      <w:r w:rsidRPr="5CA76357">
        <w:rPr>
          <w:rFonts w:eastAsia="Arial" w:cs="Arial"/>
        </w:rPr>
        <w:t>.</w:t>
      </w:r>
    </w:p>
    <w:p w14:paraId="393E618E" w14:textId="141BD330" w:rsidR="007D14EC" w:rsidRDefault="007D14EC" w:rsidP="007D14EC">
      <w:pPr>
        <w:pStyle w:val="Heading1"/>
      </w:pPr>
      <w:bookmarkStart w:id="129" w:name="_Toc111626733"/>
      <w:bookmarkStart w:id="130" w:name="_Toc112915036"/>
      <w:bookmarkStart w:id="131" w:name="_Toc113523083"/>
      <w:r>
        <w:t>6</w:t>
      </w:r>
      <w:r>
        <w:tab/>
        <w:t>Conclusions from the risk and technical assessment</w:t>
      </w:r>
      <w:bookmarkEnd w:id="129"/>
      <w:bookmarkEnd w:id="130"/>
      <w:bookmarkEnd w:id="131"/>
    </w:p>
    <w:p w14:paraId="09F54BD3" w14:textId="73E999D8" w:rsidR="00E315F3" w:rsidRPr="00E315F3" w:rsidRDefault="006405DB" w:rsidP="0FA3F79A">
      <w:r>
        <w:rPr>
          <w:szCs w:val="22"/>
        </w:rPr>
        <w:t xml:space="preserve">FSANZ has undertaken an assessment of </w:t>
      </w:r>
      <w:r>
        <w:t xml:space="preserve">the food technology aspects, safety, nutritional impact and beneficial health effects of the addition of </w:t>
      </w:r>
      <w:proofErr w:type="spellStart"/>
      <w:r>
        <w:t>bLf</w:t>
      </w:r>
      <w:proofErr w:type="spellEnd"/>
      <w:r>
        <w:t xml:space="preserve"> to IFP. </w:t>
      </w:r>
    </w:p>
    <w:p w14:paraId="5E29100C" w14:textId="77777777" w:rsidR="0051675D" w:rsidRDefault="0051675D">
      <w:pPr>
        <w:widowControl/>
        <w:rPr>
          <w:rFonts w:cs="Arial"/>
          <w:szCs w:val="22"/>
          <w:lang w:val="en-AU" w:bidi="ar-SA"/>
        </w:rPr>
      </w:pPr>
    </w:p>
    <w:p w14:paraId="3F8C0A36" w14:textId="6E7048F0" w:rsidR="00E315F3" w:rsidRDefault="001C0482" w:rsidP="0051675D">
      <w:pPr>
        <w:rPr>
          <w:lang w:bidi="ar-SA"/>
        </w:rPr>
      </w:pPr>
      <w:proofErr w:type="spellStart"/>
      <w:r>
        <w:rPr>
          <w:rFonts w:cs="Arial"/>
          <w:szCs w:val="22"/>
          <w:lang w:val="en-AU" w:bidi="ar-SA"/>
        </w:rPr>
        <w:t>bLf</w:t>
      </w:r>
      <w:proofErr w:type="spellEnd"/>
      <w:r>
        <w:rPr>
          <w:rFonts w:cs="Arial"/>
          <w:szCs w:val="22"/>
          <w:lang w:val="en-AU" w:bidi="ar-SA"/>
        </w:rPr>
        <w:t xml:space="preserve"> is</w:t>
      </w:r>
      <w:r w:rsidR="00084013">
        <w:rPr>
          <w:rFonts w:cs="Arial"/>
          <w:szCs w:val="22"/>
          <w:lang w:val="en-AU" w:bidi="ar-SA"/>
        </w:rPr>
        <w:t xml:space="preserve"> a protein</w:t>
      </w:r>
      <w:r>
        <w:rPr>
          <w:rFonts w:cs="Arial"/>
          <w:szCs w:val="22"/>
          <w:lang w:val="en-AU" w:bidi="ar-SA"/>
        </w:rPr>
        <w:t xml:space="preserve"> naturally present at low levels in cow’s milk. It shares 69% amino acid sequence homology with </w:t>
      </w:r>
      <w:proofErr w:type="spellStart"/>
      <w:r>
        <w:rPr>
          <w:rFonts w:cs="Arial"/>
          <w:szCs w:val="22"/>
          <w:lang w:val="en-AU" w:bidi="ar-SA"/>
        </w:rPr>
        <w:t>hLf</w:t>
      </w:r>
      <w:proofErr w:type="spellEnd"/>
      <w:r>
        <w:rPr>
          <w:rFonts w:cs="Arial"/>
          <w:szCs w:val="22"/>
          <w:lang w:val="en-AU" w:bidi="ar-SA"/>
        </w:rPr>
        <w:t xml:space="preserve">, found in human milk. </w:t>
      </w:r>
      <w:r w:rsidR="0051675D">
        <w:rPr>
          <w:rFonts w:cs="Arial"/>
          <w:szCs w:val="22"/>
          <w:lang w:val="en-AU" w:bidi="ar-SA"/>
        </w:rPr>
        <w:t xml:space="preserve">Information reviewed in the food technology assessment </w:t>
      </w:r>
      <w:r w:rsidR="0051675D">
        <w:rPr>
          <w:lang w:eastAsia="en-AU" w:bidi="ar-SA"/>
        </w:rPr>
        <w:t xml:space="preserve">demonstrates that </w:t>
      </w:r>
      <w:proofErr w:type="spellStart"/>
      <w:r w:rsidR="0051675D">
        <w:rPr>
          <w:lang w:eastAsia="en-AU" w:bidi="ar-SA"/>
        </w:rPr>
        <w:t>bLf</w:t>
      </w:r>
      <w:proofErr w:type="spellEnd"/>
      <w:r w:rsidR="0051675D">
        <w:rPr>
          <w:lang w:bidi="ar-SA"/>
        </w:rPr>
        <w:t xml:space="preserve"> is sufficiently characterised, and confirms its stability in IFP. Specifications have been proposed for inclusion in Schedule 3 of the Code</w:t>
      </w:r>
      <w:r w:rsidR="00E315F3">
        <w:rPr>
          <w:lang w:bidi="ar-SA"/>
        </w:rPr>
        <w:t>.</w:t>
      </w:r>
    </w:p>
    <w:p w14:paraId="3C3D7853" w14:textId="7E33C254" w:rsidR="00CF25A4" w:rsidRDefault="00CF25A4" w:rsidP="0051675D">
      <w:pPr>
        <w:rPr>
          <w:lang w:bidi="ar-SA"/>
        </w:rPr>
      </w:pPr>
    </w:p>
    <w:p w14:paraId="22B2FB24" w14:textId="572FE18F" w:rsidR="00CF25A4" w:rsidRDefault="00CF25A4" w:rsidP="0051675D">
      <w:pPr>
        <w:rPr>
          <w:lang w:bidi="ar-SA"/>
        </w:rPr>
      </w:pPr>
      <w:r>
        <w:rPr>
          <w:lang w:bidi="ar-SA"/>
        </w:rPr>
        <w:t xml:space="preserve">The safety assessment concluded there are no toxicological safety concerns from the addition of </w:t>
      </w:r>
      <w:proofErr w:type="spellStart"/>
      <w:r>
        <w:rPr>
          <w:lang w:bidi="ar-SA"/>
        </w:rPr>
        <w:t>bLf</w:t>
      </w:r>
      <w:proofErr w:type="spellEnd"/>
      <w:r>
        <w:rPr>
          <w:lang w:bidi="ar-SA"/>
        </w:rPr>
        <w:t xml:space="preserve"> to IFP at the proposed concentrations. </w:t>
      </w:r>
    </w:p>
    <w:p w14:paraId="04F4FAF1" w14:textId="47648FF6" w:rsidR="00E315F3" w:rsidRDefault="00E315F3" w:rsidP="0051675D">
      <w:pPr>
        <w:rPr>
          <w:lang w:bidi="ar-SA"/>
        </w:rPr>
      </w:pPr>
    </w:p>
    <w:p w14:paraId="6B0700D2" w14:textId="02D7F110" w:rsidR="00E315F3" w:rsidRDefault="00E315F3" w:rsidP="00E315F3">
      <w:proofErr w:type="spellStart"/>
      <w:r>
        <w:t>bLf</w:t>
      </w:r>
      <w:proofErr w:type="spellEnd"/>
      <w:r>
        <w:t xml:space="preserve"> is subject to partial hydrolysis in the stomach and small intestine, </w:t>
      </w:r>
      <w:r w:rsidR="004A5C94">
        <w:t>but</w:t>
      </w:r>
      <w:r>
        <w:t xml:space="preserve"> a proportion resists digestion and is excreted in the faeces. Some fragments produced by partial hydrolysis also resist further digestion and are excreted in the faeces. In addition, a small proportion of intact </w:t>
      </w:r>
      <w:proofErr w:type="spellStart"/>
      <w:r>
        <w:t>bLf</w:t>
      </w:r>
      <w:proofErr w:type="spellEnd"/>
      <w:r>
        <w:t xml:space="preserve"> and its fragments is absorbed into the systemic circulation and excreted via the urine. </w:t>
      </w:r>
    </w:p>
    <w:p w14:paraId="06B774C0" w14:textId="77777777" w:rsidR="00E315F3" w:rsidRDefault="00E315F3" w:rsidP="00E315F3"/>
    <w:p w14:paraId="17FECFB4" w14:textId="7CD3F928" w:rsidR="00E315F3" w:rsidRDefault="00E315F3" w:rsidP="00E315F3">
      <w:proofErr w:type="spellStart"/>
      <w:r>
        <w:t>bLf</w:t>
      </w:r>
      <w:proofErr w:type="spellEnd"/>
      <w:r>
        <w:t xml:space="preserve"> is of low acute toxicity, with no adverse effects observed following oral administration to rats up to 2000 mg/kg </w:t>
      </w:r>
      <w:proofErr w:type="spellStart"/>
      <w:r>
        <w:t>bw</w:t>
      </w:r>
      <w:proofErr w:type="spellEnd"/>
      <w:r>
        <w:t xml:space="preserve">. </w:t>
      </w:r>
      <w:r w:rsidR="00084013">
        <w:t xml:space="preserve">It was not mutagenic </w:t>
      </w:r>
      <w:r w:rsidR="00084013" w:rsidRPr="004A5C94">
        <w:rPr>
          <w:i/>
        </w:rPr>
        <w:t>in vitro</w:t>
      </w:r>
      <w:r w:rsidR="00084013">
        <w:t xml:space="preserve">. </w:t>
      </w:r>
      <w:r>
        <w:t xml:space="preserve">No adverse effects were observed in a 13-week oral gavage toxicity study in rats at doses up to 2000 mg/kg </w:t>
      </w:r>
      <w:proofErr w:type="spellStart"/>
      <w:r>
        <w:t>bw</w:t>
      </w:r>
      <w:proofErr w:type="spellEnd"/>
      <w:r>
        <w:t xml:space="preserve">/day, the highest dose tested. </w:t>
      </w:r>
    </w:p>
    <w:p w14:paraId="2572E7BC" w14:textId="77777777" w:rsidR="00E315F3" w:rsidRDefault="00E315F3" w:rsidP="00E315F3"/>
    <w:p w14:paraId="4430EBBE" w14:textId="43A3DD3C" w:rsidR="00E315F3" w:rsidRDefault="00E315F3" w:rsidP="00E315F3">
      <w:r>
        <w:t xml:space="preserve">No adverse effects of </w:t>
      </w:r>
      <w:proofErr w:type="spellStart"/>
      <w:r>
        <w:t>bLf</w:t>
      </w:r>
      <w:proofErr w:type="spellEnd"/>
      <w:r>
        <w:t xml:space="preserve"> have been reported in multiple intervention studies in infants, including the highly vulnerable group of preterm and very low birth weight infants. </w:t>
      </w:r>
      <w:proofErr w:type="spellStart"/>
      <w:r w:rsidR="00FD6B30">
        <w:t>bLf</w:t>
      </w:r>
      <w:proofErr w:type="spellEnd"/>
      <w:r w:rsidR="00FD6B30">
        <w:t xml:space="preserve"> concentrations up to 1000 mg/L formula were tested in the studies in term infants, while the doses tested in preterm and very low birth weight infants</w:t>
      </w:r>
      <w:r w:rsidR="00435D4C">
        <w:t xml:space="preserve"> ranged from 100 – 300 mg/kg </w:t>
      </w:r>
      <w:proofErr w:type="spellStart"/>
      <w:r w:rsidR="00435D4C">
        <w:t>bw</w:t>
      </w:r>
      <w:proofErr w:type="spellEnd"/>
      <w:r w:rsidR="00435D4C">
        <w:t>/day. These doses</w:t>
      </w:r>
      <w:r w:rsidR="00FD6B30">
        <w:t xml:space="preserve"> were estimated as being equivalent to </w:t>
      </w:r>
      <w:proofErr w:type="spellStart"/>
      <w:r w:rsidR="00FD6B30">
        <w:t>bLf</w:t>
      </w:r>
      <w:proofErr w:type="spellEnd"/>
      <w:r w:rsidR="00FD6B30">
        <w:t xml:space="preserve"> concentrations ranging from 370 – </w:t>
      </w:r>
      <w:r w:rsidR="0009256D">
        <w:t>3704</w:t>
      </w:r>
      <w:r w:rsidR="00FD6B30">
        <w:t xml:space="preserve"> mg/L.</w:t>
      </w:r>
    </w:p>
    <w:p w14:paraId="23D0A6B3" w14:textId="77777777" w:rsidR="00E315F3" w:rsidRDefault="00E315F3" w:rsidP="00E315F3"/>
    <w:p w14:paraId="1697F03B" w14:textId="70B83445" w:rsidR="00E315F3" w:rsidRDefault="442F8640" w:rsidP="00E315F3">
      <w:r>
        <w:t xml:space="preserve">The first </w:t>
      </w:r>
      <w:proofErr w:type="spellStart"/>
      <w:r>
        <w:t>bLf</w:t>
      </w:r>
      <w:proofErr w:type="spellEnd"/>
      <w:r>
        <w:t xml:space="preserve">-fortified IFP were released for sale </w:t>
      </w:r>
      <w:r w:rsidR="6B053714">
        <w:t>overseas</w:t>
      </w:r>
      <w:r>
        <w:t xml:space="preserve"> in 1986 and FSANZ is not aware of any adverse events related to consumption of these products in markets</w:t>
      </w:r>
      <w:r w:rsidR="23B8F0AA">
        <w:t xml:space="preserve"> where they are available. The A</w:t>
      </w:r>
      <w:r>
        <w:t>pplicant has also indicated that its post-marketing surveillance</w:t>
      </w:r>
      <w:r w:rsidR="6944AFD7">
        <w:t xml:space="preserve"> overseas</w:t>
      </w:r>
      <w:r>
        <w:t xml:space="preserve">, and that of international formula brand owners it supplies, has not identified any complaints or adverse events related to the addition of </w:t>
      </w:r>
      <w:proofErr w:type="spellStart"/>
      <w:r>
        <w:t>bLf</w:t>
      </w:r>
      <w:proofErr w:type="spellEnd"/>
      <w:r>
        <w:t xml:space="preserve">. </w:t>
      </w:r>
    </w:p>
    <w:p w14:paraId="62C690AD" w14:textId="6331C40A" w:rsidR="004A5C94" w:rsidRDefault="004A5C94" w:rsidP="00E315F3"/>
    <w:p w14:paraId="679924A6" w14:textId="73275D8C" w:rsidR="001C0482" w:rsidRDefault="5C8CB000" w:rsidP="29A90341">
      <w:r>
        <w:t>Based</w:t>
      </w:r>
      <w:r w:rsidR="6F8B5C48">
        <w:t xml:space="preserve"> on the maximum permitted </w:t>
      </w:r>
      <w:r w:rsidR="0039F337">
        <w:t>amount</w:t>
      </w:r>
      <w:r w:rsidR="6F8B5C48">
        <w:t xml:space="preserve"> proposed by the Applicant, the estimated mean and P90 intakes of </w:t>
      </w:r>
      <w:proofErr w:type="spellStart"/>
      <w:r w:rsidR="6F8B5C48">
        <w:t>bLf</w:t>
      </w:r>
      <w:proofErr w:type="spellEnd"/>
      <w:r w:rsidR="6F8B5C48">
        <w:t xml:space="preserve"> from infant formula and follow-on formula range between </w:t>
      </w:r>
      <w:r w:rsidR="00565326">
        <w:t>0.59</w:t>
      </w:r>
      <w:r w:rsidR="6F8B5C48">
        <w:t xml:space="preserve"> and </w:t>
      </w:r>
      <w:r w:rsidR="00565326">
        <w:t>1.8</w:t>
      </w:r>
      <w:r w:rsidR="6F8B5C48">
        <w:t> g/day (</w:t>
      </w:r>
      <w:r w:rsidR="00356508">
        <w:t xml:space="preserve">rounded DEA estimates; </w:t>
      </w:r>
      <w:r w:rsidR="6F8B5C48">
        <w:t xml:space="preserve">equal to </w:t>
      </w:r>
      <w:r w:rsidR="00565326">
        <w:t xml:space="preserve">70 </w:t>
      </w:r>
      <w:r w:rsidR="6F8B5C48">
        <w:t xml:space="preserve">– </w:t>
      </w:r>
      <w:r w:rsidR="00565326">
        <w:t>270</w:t>
      </w:r>
      <w:r w:rsidR="6F8B5C48">
        <w:t xml:space="preserve"> mg/kg </w:t>
      </w:r>
      <w:proofErr w:type="spellStart"/>
      <w:r w:rsidR="6F8B5C48">
        <w:t>bw</w:t>
      </w:r>
      <w:proofErr w:type="spellEnd"/>
      <w:r w:rsidR="6F8B5C48">
        <w:t>/day</w:t>
      </w:r>
      <w:r>
        <w:t>).</w:t>
      </w:r>
      <w:r w:rsidR="6F8B5C48">
        <w:t xml:space="preserve"> These intakes are less than the estimated mean and P90 intakes of </w:t>
      </w:r>
      <w:proofErr w:type="spellStart"/>
      <w:r w:rsidR="6F8B5C48">
        <w:t>hLf</w:t>
      </w:r>
      <w:proofErr w:type="spellEnd"/>
      <w:r w:rsidR="6F8B5C48">
        <w:t xml:space="preserve"> from human milk of </w:t>
      </w:r>
      <w:r w:rsidR="00356508">
        <w:t>0.7</w:t>
      </w:r>
      <w:r w:rsidR="6F8B5C48">
        <w:t xml:space="preserve"> to </w:t>
      </w:r>
      <w:r w:rsidR="00356508">
        <w:t>5.0</w:t>
      </w:r>
      <w:r w:rsidR="6F8B5C48">
        <w:t xml:space="preserve"> g/day and </w:t>
      </w:r>
      <w:r w:rsidR="00A8590F" w:rsidRPr="7B6CE6C8">
        <w:rPr>
          <w:rFonts w:cs="Arial"/>
        </w:rPr>
        <w:t xml:space="preserve">approximately </w:t>
      </w:r>
      <w:r w:rsidR="6F8B5C48">
        <w:t>10 – 30</w:t>
      </w:r>
      <w:r w:rsidR="6F8B5C48" w:rsidRPr="7B6CE6C8">
        <w:rPr>
          <w:rStyle w:val="CommentReference"/>
          <w:sz w:val="22"/>
          <w:szCs w:val="22"/>
        </w:rPr>
        <w:t>-f</w:t>
      </w:r>
      <w:r w:rsidR="6F8B5C48">
        <w:t xml:space="preserve">old lower than the no observed adverse effect level </w:t>
      </w:r>
      <w:r w:rsidR="00A8590F">
        <w:t xml:space="preserve">of 2000 mg/kg </w:t>
      </w:r>
      <w:proofErr w:type="spellStart"/>
      <w:r w:rsidR="00A8590F">
        <w:t>bw</w:t>
      </w:r>
      <w:proofErr w:type="spellEnd"/>
      <w:r w:rsidR="00A8590F">
        <w:t xml:space="preserve">/day </w:t>
      </w:r>
      <w:r w:rsidR="6F8B5C48">
        <w:t xml:space="preserve">from the 13-week toxicity study of </w:t>
      </w:r>
      <w:proofErr w:type="spellStart"/>
      <w:r w:rsidR="6F8B5C48">
        <w:t>bLf</w:t>
      </w:r>
      <w:proofErr w:type="spellEnd"/>
      <w:r w:rsidR="6F8B5C48">
        <w:t xml:space="preserve"> in rats.</w:t>
      </w:r>
    </w:p>
    <w:p w14:paraId="5DE7BAAF" w14:textId="77777777" w:rsidR="00E315F3" w:rsidRDefault="00E315F3" w:rsidP="00E315F3"/>
    <w:p w14:paraId="77F3BDD6" w14:textId="3C19E37D" w:rsidR="00E315F3" w:rsidRDefault="00944CFB" w:rsidP="0051675D">
      <w:pPr>
        <w:rPr>
          <w:lang w:bidi="ar-SA"/>
        </w:rPr>
      </w:pPr>
      <w:proofErr w:type="spellStart"/>
      <w:r>
        <w:t>bLf</w:t>
      </w:r>
      <w:proofErr w:type="spellEnd"/>
      <w:r>
        <w:t xml:space="preserve"> is derived from</w:t>
      </w:r>
      <w:r w:rsidR="00E315F3">
        <w:t xml:space="preserve"> cow’s milk </w:t>
      </w:r>
      <w:r>
        <w:t>which is a major</w:t>
      </w:r>
      <w:r w:rsidR="00E315F3">
        <w:t xml:space="preserve"> food </w:t>
      </w:r>
      <w:r>
        <w:t>allergen</w:t>
      </w:r>
      <w:r w:rsidR="00FA24F3">
        <w:t>.</w:t>
      </w:r>
      <w:r w:rsidR="00E315F3">
        <w:t xml:space="preserve"> Some individuals with cow’s milk allergy have </w:t>
      </w:r>
      <w:proofErr w:type="spellStart"/>
      <w:r w:rsidR="00E315F3">
        <w:t>IgE</w:t>
      </w:r>
      <w:proofErr w:type="spellEnd"/>
      <w:r w:rsidR="00E315F3">
        <w:t xml:space="preserve"> antibodies to </w:t>
      </w:r>
      <w:proofErr w:type="spellStart"/>
      <w:r w:rsidR="00E315F3">
        <w:t>bLf</w:t>
      </w:r>
      <w:proofErr w:type="spellEnd"/>
      <w:r w:rsidR="00FA24F3">
        <w:t xml:space="preserve"> indicating sensitisation</w:t>
      </w:r>
      <w:r w:rsidR="00E315F3">
        <w:t xml:space="preserve">, but the clinical significance of this has not been confirmed and </w:t>
      </w:r>
      <w:proofErr w:type="spellStart"/>
      <w:r w:rsidR="00E315F3">
        <w:t>bLf</w:t>
      </w:r>
      <w:proofErr w:type="spellEnd"/>
      <w:r w:rsidR="00E315F3">
        <w:t xml:space="preserve"> is not currently listed as a cow’s milk allergen by the WHO/IUIS. </w:t>
      </w:r>
      <w:r w:rsidR="0069044E">
        <w:t xml:space="preserve">The limited available evidence </w:t>
      </w:r>
      <w:r w:rsidR="00833A7B">
        <w:t xml:space="preserve">however </w:t>
      </w:r>
      <w:r w:rsidR="0069044E">
        <w:t xml:space="preserve">is insufficient to conclude that </w:t>
      </w:r>
      <w:proofErr w:type="spellStart"/>
      <w:r w:rsidR="0069044E">
        <w:t>bLf</w:t>
      </w:r>
      <w:proofErr w:type="spellEnd"/>
      <w:r w:rsidR="0069044E">
        <w:t xml:space="preserve"> does not pose a food allergy risk to consumers with cow’s milk allergy.</w:t>
      </w:r>
    </w:p>
    <w:p w14:paraId="2638A039" w14:textId="7160A742" w:rsidR="00CF25A4" w:rsidRDefault="00CF25A4" w:rsidP="0051675D">
      <w:pPr>
        <w:rPr>
          <w:lang w:bidi="ar-SA"/>
        </w:rPr>
      </w:pPr>
    </w:p>
    <w:p w14:paraId="0EDC9D83" w14:textId="45524B24" w:rsidR="00CF25A4" w:rsidRDefault="00CF25A4" w:rsidP="00CF25A4">
      <w:pPr>
        <w:rPr>
          <w:rFonts w:eastAsia="Arial" w:cs="Arial"/>
        </w:rPr>
      </w:pPr>
      <w:r w:rsidRPr="6A06BEFA">
        <w:rPr>
          <w:rFonts w:eastAsia="Arial" w:cs="Arial"/>
        </w:rPr>
        <w:t xml:space="preserve">No additional microbiological safety risks arise from addition of </w:t>
      </w:r>
      <w:proofErr w:type="spellStart"/>
      <w:r w:rsidRPr="6A06BEFA">
        <w:rPr>
          <w:rFonts w:eastAsia="Arial" w:cs="Arial"/>
        </w:rPr>
        <w:t>bLf</w:t>
      </w:r>
      <w:proofErr w:type="spellEnd"/>
      <w:r w:rsidRPr="6A06BEFA">
        <w:rPr>
          <w:rFonts w:eastAsia="Arial" w:cs="Arial"/>
        </w:rPr>
        <w:t xml:space="preserve"> to powdered infant formula products and its preparation and consumption beyond those encountered with </w:t>
      </w:r>
      <w:r>
        <w:rPr>
          <w:rFonts w:eastAsia="Arial" w:cs="Arial"/>
        </w:rPr>
        <w:t>IFP</w:t>
      </w:r>
      <w:r w:rsidRPr="6A06BEFA">
        <w:rPr>
          <w:rFonts w:eastAsia="Arial" w:cs="Arial"/>
        </w:rPr>
        <w:t xml:space="preserve"> that is not supplemented with </w:t>
      </w:r>
      <w:proofErr w:type="spellStart"/>
      <w:r w:rsidRPr="6A06BEFA">
        <w:rPr>
          <w:rFonts w:eastAsia="Arial" w:cs="Arial"/>
        </w:rPr>
        <w:t>bLf</w:t>
      </w:r>
      <w:proofErr w:type="spellEnd"/>
      <w:r w:rsidRPr="6A06BEFA">
        <w:rPr>
          <w:rFonts w:eastAsia="Arial" w:cs="Arial"/>
        </w:rPr>
        <w:t>.</w:t>
      </w:r>
    </w:p>
    <w:p w14:paraId="06433E39" w14:textId="77777777" w:rsidR="007003DB" w:rsidRDefault="007003DB" w:rsidP="00CF25A4">
      <w:pPr>
        <w:rPr>
          <w:rFonts w:eastAsia="Arial" w:cs="Arial"/>
        </w:rPr>
      </w:pPr>
    </w:p>
    <w:p w14:paraId="151BB512" w14:textId="58C85C39" w:rsidR="007003DB" w:rsidRDefault="007003DB" w:rsidP="00CF25A4">
      <w:pPr>
        <w:rPr>
          <w:rFonts w:eastAsia="Arial" w:cs="Arial"/>
        </w:rPr>
      </w:pPr>
      <w:r w:rsidRPr="1578867F">
        <w:rPr>
          <w:rFonts w:eastAsia="Arial" w:cs="Arial"/>
        </w:rPr>
        <w:t xml:space="preserve">Several double-blind RCTs have investigated the potential for </w:t>
      </w:r>
      <w:proofErr w:type="spellStart"/>
      <w:r w:rsidRPr="1578867F">
        <w:rPr>
          <w:rFonts w:eastAsia="Arial" w:cs="Arial"/>
        </w:rPr>
        <w:t>bLf</w:t>
      </w:r>
      <w:proofErr w:type="spellEnd"/>
      <w:r w:rsidRPr="1578867F">
        <w:rPr>
          <w:rFonts w:eastAsia="Arial" w:cs="Arial"/>
        </w:rPr>
        <w:t xml:space="preserve"> to affect infant growth and development. Despite limitations in the available studies, observed differences in weight gain </w:t>
      </w:r>
      <w:r>
        <w:rPr>
          <w:rFonts w:eastAsia="Arial" w:cs="Arial"/>
        </w:rPr>
        <w:t xml:space="preserve">were </w:t>
      </w:r>
      <w:r w:rsidRPr="1578867F">
        <w:rPr>
          <w:rFonts w:eastAsia="Arial" w:cs="Arial"/>
        </w:rPr>
        <w:t xml:space="preserve">less than the clinically relevant threshold of 3 g/day. It is concluded that consumption of infant formula with added </w:t>
      </w:r>
      <w:proofErr w:type="spellStart"/>
      <w:r>
        <w:rPr>
          <w:rFonts w:eastAsia="Arial" w:cs="Arial"/>
        </w:rPr>
        <w:t>bLf</w:t>
      </w:r>
      <w:proofErr w:type="spellEnd"/>
      <w:r w:rsidRPr="1578867F">
        <w:rPr>
          <w:rFonts w:eastAsia="Arial" w:cs="Arial"/>
        </w:rPr>
        <w:t xml:space="preserve">, at up to 1 g/L (equivalent to 40 mg/100 kJ), is unlikely to adversely affect infant growth and development. Infant iron status, investigated in one of these RCTs, was unaffected by </w:t>
      </w:r>
      <w:proofErr w:type="spellStart"/>
      <w:r w:rsidRPr="1578867F">
        <w:rPr>
          <w:rFonts w:eastAsia="Arial" w:cs="Arial"/>
        </w:rPr>
        <w:t>bLf</w:t>
      </w:r>
      <w:proofErr w:type="spellEnd"/>
      <w:r w:rsidRPr="1578867F">
        <w:rPr>
          <w:rFonts w:eastAsia="Arial" w:cs="Arial"/>
        </w:rPr>
        <w:t xml:space="preserve"> addition to infant formula.</w:t>
      </w:r>
    </w:p>
    <w:p w14:paraId="23FD728F" w14:textId="77777777" w:rsidR="00CF25A4" w:rsidRDefault="00CF25A4" w:rsidP="0051675D">
      <w:pPr>
        <w:rPr>
          <w:lang w:bidi="ar-SA"/>
        </w:rPr>
      </w:pPr>
    </w:p>
    <w:p w14:paraId="14ABB8D7" w14:textId="47A859C6" w:rsidR="00550D44" w:rsidRDefault="00E315F3" w:rsidP="1C95CCE8">
      <w:pPr>
        <w:rPr>
          <w:rFonts w:eastAsia="Arial" w:cs="Arial"/>
        </w:rPr>
      </w:pPr>
      <w:r w:rsidRPr="3A6E78BC">
        <w:rPr>
          <w:lang w:val="en-AU" w:eastAsia="en-GB" w:bidi="ar-SA"/>
        </w:rPr>
        <w:t xml:space="preserve">In terms of beneficial effects, the weight of evidence suggests </w:t>
      </w:r>
      <w:r w:rsidR="00BC214A" w:rsidRPr="3A6E78BC">
        <w:rPr>
          <w:rFonts w:eastAsia="Arial" w:cs="Arial"/>
        </w:rPr>
        <w:t xml:space="preserve">a plausible mechanism by which </w:t>
      </w:r>
      <w:proofErr w:type="spellStart"/>
      <w:r w:rsidR="00BC214A" w:rsidRPr="3A6E78BC">
        <w:rPr>
          <w:rFonts w:eastAsia="Arial" w:cs="Arial"/>
        </w:rPr>
        <w:t>bLf</w:t>
      </w:r>
      <w:proofErr w:type="spellEnd"/>
      <w:r w:rsidR="00BC214A" w:rsidRPr="3A6E78BC">
        <w:rPr>
          <w:rFonts w:eastAsia="Arial" w:cs="Arial"/>
        </w:rPr>
        <w:t xml:space="preserve"> can reduce the risk of bacterial and viral infection. </w:t>
      </w:r>
      <w:proofErr w:type="spellStart"/>
      <w:r w:rsidR="00BC214A" w:rsidRPr="3A6E78BC">
        <w:rPr>
          <w:rFonts w:eastAsia="Arial" w:cs="Arial"/>
        </w:rPr>
        <w:t>bLf</w:t>
      </w:r>
      <w:proofErr w:type="spellEnd"/>
      <w:r w:rsidR="00BC214A" w:rsidRPr="3A6E78BC">
        <w:rPr>
          <w:rFonts w:eastAsia="Arial" w:cs="Arial"/>
        </w:rPr>
        <w:t xml:space="preserve"> has been shown to reduce the severity and duration of infection in relevant animal infection models</w:t>
      </w:r>
      <w:r w:rsidR="00785C7E">
        <w:rPr>
          <w:rFonts w:eastAsia="Arial" w:cs="Arial"/>
        </w:rPr>
        <w:t xml:space="preserve">. </w:t>
      </w:r>
      <w:r w:rsidR="00785C7E" w:rsidRPr="004A1DAD">
        <w:rPr>
          <w:rFonts w:eastAsia="Arial" w:cs="Arial"/>
          <w:szCs w:val="22"/>
        </w:rPr>
        <w:t>The few relevant</w:t>
      </w:r>
      <w:r w:rsidR="00BC214A" w:rsidRPr="004A1DAD">
        <w:rPr>
          <w:rFonts w:eastAsia="Arial" w:cs="Arial"/>
          <w:szCs w:val="22"/>
        </w:rPr>
        <w:t xml:space="preserve"> human studies </w:t>
      </w:r>
      <w:r w:rsidR="00785C7E" w:rsidRPr="004A1DAD">
        <w:rPr>
          <w:rFonts w:eastAsia="Arial" w:cs="Arial"/>
          <w:szCs w:val="22"/>
        </w:rPr>
        <w:t>provided weak but consistent</w:t>
      </w:r>
      <w:r w:rsidR="00BC214A" w:rsidRPr="004A1DAD">
        <w:rPr>
          <w:rFonts w:eastAsia="Arial" w:cs="Arial"/>
          <w:szCs w:val="22"/>
        </w:rPr>
        <w:t xml:space="preserve"> support </w:t>
      </w:r>
      <w:r w:rsidR="00785C7E" w:rsidRPr="004A1DAD">
        <w:rPr>
          <w:rFonts w:eastAsia="Arial" w:cs="Arial"/>
          <w:szCs w:val="22"/>
        </w:rPr>
        <w:t>for</w:t>
      </w:r>
      <w:r w:rsidR="00BC214A" w:rsidRPr="004A1DAD">
        <w:rPr>
          <w:rFonts w:eastAsia="Arial" w:cs="Arial"/>
          <w:szCs w:val="22"/>
        </w:rPr>
        <w:t xml:space="preserve"> the proposed beneficial effect</w:t>
      </w:r>
      <w:r w:rsidR="00BC214A" w:rsidRPr="3A6E78BC">
        <w:rPr>
          <w:rFonts w:eastAsia="Arial" w:cs="Arial"/>
        </w:rPr>
        <w:t>.</w:t>
      </w:r>
    </w:p>
    <w:p w14:paraId="3EFAD663" w14:textId="223A0E8E" w:rsidR="00266332" w:rsidRDefault="00266332" w:rsidP="1C95CCE8">
      <w:pPr>
        <w:rPr>
          <w:rFonts w:eastAsia="Arial" w:cs="Arial"/>
        </w:rPr>
      </w:pPr>
    </w:p>
    <w:p w14:paraId="34DF60F5" w14:textId="3CB9B38F" w:rsidR="00550D44" w:rsidRDefault="00E315F3" w:rsidP="0051675D">
      <w:pPr>
        <w:rPr>
          <w:sz w:val="36"/>
          <w:szCs w:val="36"/>
          <w:lang w:bidi="ar-SA"/>
        </w:rPr>
      </w:pPr>
      <w:r w:rsidRPr="1C95CCE8">
        <w:rPr>
          <w:b/>
          <w:bCs/>
        </w:rPr>
        <w:br w:type="page"/>
      </w:r>
    </w:p>
    <w:p w14:paraId="2118683A" w14:textId="4B002615" w:rsidR="00664637" w:rsidRDefault="007D14EC" w:rsidP="00664637">
      <w:pPr>
        <w:pStyle w:val="Heading1"/>
      </w:pPr>
      <w:bookmarkStart w:id="132" w:name="_Toc111626734"/>
      <w:bookmarkStart w:id="133" w:name="_Toc112915037"/>
      <w:bookmarkStart w:id="134" w:name="_Toc113523084"/>
      <w:r w:rsidRPr="007D14EC">
        <w:t>7</w:t>
      </w:r>
      <w:r w:rsidR="00664637" w:rsidRPr="007D14EC">
        <w:tab/>
        <w:t>References</w:t>
      </w:r>
      <w:bookmarkEnd w:id="132"/>
      <w:bookmarkEnd w:id="133"/>
      <w:bookmarkEnd w:id="134"/>
    </w:p>
    <w:p w14:paraId="6D08E33A" w14:textId="09325652" w:rsidR="00FE5E18" w:rsidRPr="00FE5E18" w:rsidRDefault="00FE5E18" w:rsidP="00FE5E18">
      <w:pPr>
        <w:rPr>
          <w:rFonts w:eastAsia="Arial" w:cs="Arial"/>
        </w:rPr>
      </w:pPr>
      <w:r w:rsidRPr="00FE5E18">
        <w:rPr>
          <w:rFonts w:eastAsia="Arial" w:cs="Arial"/>
        </w:rPr>
        <w:t xml:space="preserve">AAP (1988) Task Force on Clinical Testing of Infant Formulas, Committee on Nutrition, American Academy of </w:t>
      </w:r>
      <w:proofErr w:type="spellStart"/>
      <w:r w:rsidRPr="00FE5E18">
        <w:rPr>
          <w:rFonts w:eastAsia="Arial" w:cs="Arial"/>
        </w:rPr>
        <w:t>Pediatrics</w:t>
      </w:r>
      <w:proofErr w:type="spellEnd"/>
      <w:r w:rsidRPr="00FE5E18">
        <w:rPr>
          <w:rFonts w:eastAsia="Arial" w:cs="Arial"/>
        </w:rPr>
        <w:t xml:space="preserve">: Clinical testing of infant formulas with respect to nutritional suitability for term infants. US Food and Drug Administration, </w:t>
      </w:r>
      <w:proofErr w:type="spellStart"/>
      <w:r w:rsidRPr="00FE5E18">
        <w:rPr>
          <w:rFonts w:eastAsia="Arial" w:cs="Arial"/>
        </w:rPr>
        <w:t>Center</w:t>
      </w:r>
      <w:proofErr w:type="spellEnd"/>
      <w:r w:rsidRPr="00FE5E18">
        <w:rPr>
          <w:rFonts w:eastAsia="Arial" w:cs="Arial"/>
        </w:rPr>
        <w:t xml:space="preserve"> for Food Safety and Applied Nutrition.</w:t>
      </w:r>
    </w:p>
    <w:p w14:paraId="4A6732C9" w14:textId="77777777" w:rsidR="00FE5E18" w:rsidRDefault="00FE5E18" w:rsidP="00823B8B">
      <w:pPr>
        <w:rPr>
          <w:rFonts w:eastAsia="Arial" w:cs="Arial"/>
        </w:rPr>
      </w:pPr>
    </w:p>
    <w:p w14:paraId="76F10BB3" w14:textId="24CC2281" w:rsidR="00823B8B" w:rsidRPr="00823B8B" w:rsidRDefault="00CA128F" w:rsidP="00823B8B">
      <w:pPr>
        <w:rPr>
          <w:rFonts w:eastAsia="Arial" w:cs="Arial"/>
        </w:rPr>
      </w:pPr>
      <w:r w:rsidRPr="00CA128F">
        <w:rPr>
          <w:rFonts w:eastAsia="Arial" w:cs="Arial"/>
        </w:rPr>
        <w:t xml:space="preserve">Aguila A, Herrera AG, Morrison D, Cosgrove B, </w:t>
      </w:r>
      <w:proofErr w:type="spellStart"/>
      <w:r w:rsidRPr="00CA128F">
        <w:rPr>
          <w:rFonts w:eastAsia="Arial" w:cs="Arial"/>
        </w:rPr>
        <w:t>Perojo</w:t>
      </w:r>
      <w:proofErr w:type="spellEnd"/>
      <w:r w:rsidRPr="00CA128F">
        <w:rPr>
          <w:rFonts w:eastAsia="Arial" w:cs="Arial"/>
        </w:rPr>
        <w:t xml:space="preserve"> A, Montesinos I, Pérez J, Sierra G, Gemmell CG, Brock JH</w:t>
      </w:r>
      <w:r w:rsidR="00823B8B" w:rsidRPr="00823B8B">
        <w:rPr>
          <w:rFonts w:eastAsia="Arial" w:cs="Arial"/>
        </w:rPr>
        <w:t xml:space="preserve"> (2001). Bacteriostatic activity of human lactoferrin against </w:t>
      </w:r>
      <w:r w:rsidR="00823B8B" w:rsidRPr="00897661">
        <w:rPr>
          <w:rFonts w:eastAsia="Arial" w:cs="Arial"/>
          <w:i/>
        </w:rPr>
        <w:t>Staphylococcus aureus</w:t>
      </w:r>
      <w:r w:rsidR="00823B8B" w:rsidRPr="00823B8B">
        <w:rPr>
          <w:rFonts w:eastAsia="Arial" w:cs="Arial"/>
        </w:rPr>
        <w:t xml:space="preserve"> is a function of its iron-binding properties and is not influenced by antibiotic resistance. FEMS Immunology and Medical Mic</w:t>
      </w:r>
      <w:r w:rsidR="00823B8B">
        <w:rPr>
          <w:rFonts w:eastAsia="Arial" w:cs="Arial"/>
        </w:rPr>
        <w:t>robiology, 31</w:t>
      </w:r>
      <w:r>
        <w:rPr>
          <w:rFonts w:eastAsia="Arial" w:cs="Arial"/>
        </w:rPr>
        <w:t>:</w:t>
      </w:r>
      <w:r w:rsidR="00823B8B">
        <w:rPr>
          <w:rFonts w:eastAsia="Arial" w:cs="Arial"/>
        </w:rPr>
        <w:t>145-152.</w:t>
      </w:r>
    </w:p>
    <w:p w14:paraId="2FDDB9DD" w14:textId="77777777" w:rsidR="006B78D3" w:rsidRPr="006B78D3" w:rsidRDefault="006B78D3" w:rsidP="006B78D3">
      <w:pPr>
        <w:rPr>
          <w:rFonts w:eastAsia="Arial" w:cs="Arial"/>
        </w:rPr>
      </w:pPr>
    </w:p>
    <w:p w14:paraId="3496B02D" w14:textId="77777777" w:rsidR="003771CF" w:rsidRPr="00823B8B" w:rsidRDefault="003771CF" w:rsidP="003771CF">
      <w:pPr>
        <w:rPr>
          <w:rFonts w:eastAsia="Arial" w:cs="Arial"/>
        </w:rPr>
      </w:pPr>
      <w:r w:rsidRPr="00C91C85">
        <w:rPr>
          <w:rFonts w:eastAsia="Arial" w:cs="Arial"/>
        </w:rPr>
        <w:t xml:space="preserve">Akin IM, </w:t>
      </w:r>
      <w:proofErr w:type="spellStart"/>
      <w:r w:rsidRPr="00C91C85">
        <w:rPr>
          <w:rFonts w:eastAsia="Arial" w:cs="Arial"/>
        </w:rPr>
        <w:t>Atasay</w:t>
      </w:r>
      <w:proofErr w:type="spellEnd"/>
      <w:r w:rsidRPr="00C91C85">
        <w:rPr>
          <w:rFonts w:eastAsia="Arial" w:cs="Arial"/>
        </w:rPr>
        <w:t xml:space="preserve"> B, </w:t>
      </w:r>
      <w:proofErr w:type="spellStart"/>
      <w:r w:rsidRPr="00C91C85">
        <w:rPr>
          <w:rFonts w:eastAsia="Arial" w:cs="Arial"/>
        </w:rPr>
        <w:t>Dogu</w:t>
      </w:r>
      <w:proofErr w:type="spellEnd"/>
      <w:r w:rsidRPr="00C91C85">
        <w:rPr>
          <w:rFonts w:eastAsia="Arial" w:cs="Arial"/>
        </w:rPr>
        <w:t xml:space="preserve"> F, </w:t>
      </w:r>
      <w:proofErr w:type="spellStart"/>
      <w:r w:rsidRPr="00C91C85">
        <w:rPr>
          <w:rFonts w:eastAsia="Arial" w:cs="Arial"/>
        </w:rPr>
        <w:t>Okulu</w:t>
      </w:r>
      <w:proofErr w:type="spellEnd"/>
      <w:r w:rsidRPr="00C91C85">
        <w:rPr>
          <w:rFonts w:eastAsia="Arial" w:cs="Arial"/>
        </w:rPr>
        <w:t xml:space="preserve"> E, Arsan S, </w:t>
      </w:r>
      <w:proofErr w:type="spellStart"/>
      <w:r w:rsidRPr="00C91C85">
        <w:rPr>
          <w:rFonts w:eastAsia="Arial" w:cs="Arial"/>
        </w:rPr>
        <w:t>Karatas</w:t>
      </w:r>
      <w:proofErr w:type="spellEnd"/>
      <w:r w:rsidRPr="00C91C85">
        <w:rPr>
          <w:rFonts w:eastAsia="Arial" w:cs="Arial"/>
        </w:rPr>
        <w:t xml:space="preserve"> HD, </w:t>
      </w:r>
      <w:proofErr w:type="spellStart"/>
      <w:r w:rsidRPr="00C91C85">
        <w:rPr>
          <w:rFonts w:eastAsia="Arial" w:cs="Arial"/>
        </w:rPr>
        <w:t>Ikinciogu</w:t>
      </w:r>
      <w:r>
        <w:rPr>
          <w:rFonts w:eastAsia="Arial" w:cs="Arial"/>
        </w:rPr>
        <w:t>llari</w:t>
      </w:r>
      <w:proofErr w:type="spellEnd"/>
      <w:r>
        <w:rPr>
          <w:rFonts w:eastAsia="Arial" w:cs="Arial"/>
        </w:rPr>
        <w:t xml:space="preserve"> A, </w:t>
      </w:r>
      <w:proofErr w:type="spellStart"/>
      <w:r>
        <w:rPr>
          <w:rFonts w:eastAsia="Arial" w:cs="Arial"/>
        </w:rPr>
        <w:t>Turmen</w:t>
      </w:r>
      <w:proofErr w:type="spellEnd"/>
      <w:r>
        <w:rPr>
          <w:rFonts w:eastAsia="Arial" w:cs="Arial"/>
        </w:rPr>
        <w:t xml:space="preserve"> T (2014) </w:t>
      </w:r>
      <w:r w:rsidRPr="00C91C85">
        <w:rPr>
          <w:rFonts w:eastAsia="Arial" w:cs="Arial"/>
        </w:rPr>
        <w:t>Oral lactoferrin to prevent nosocomial sepsis and necrotizing enterocolitis of premature neonates and effect on T-regulatory cells</w:t>
      </w:r>
      <w:r>
        <w:rPr>
          <w:rFonts w:eastAsia="Arial" w:cs="Arial"/>
        </w:rPr>
        <w:t xml:space="preserve">. Am J </w:t>
      </w:r>
      <w:proofErr w:type="spellStart"/>
      <w:r>
        <w:rPr>
          <w:rFonts w:eastAsia="Arial" w:cs="Arial"/>
        </w:rPr>
        <w:t>Perinatol</w:t>
      </w:r>
      <w:proofErr w:type="spellEnd"/>
      <w:r>
        <w:rPr>
          <w:rFonts w:eastAsia="Arial" w:cs="Arial"/>
        </w:rPr>
        <w:t xml:space="preserve"> </w:t>
      </w:r>
      <w:r w:rsidRPr="00C91C85">
        <w:rPr>
          <w:rFonts w:eastAsia="Arial" w:cs="Arial"/>
        </w:rPr>
        <w:t>31(12):1111-20.</w:t>
      </w:r>
      <w:r>
        <w:rPr>
          <w:rFonts w:eastAsia="Arial" w:cs="Arial"/>
        </w:rPr>
        <w:t xml:space="preserve"> </w:t>
      </w:r>
    </w:p>
    <w:p w14:paraId="6DAC9DC6" w14:textId="77777777" w:rsidR="003771CF" w:rsidRDefault="003771CF" w:rsidP="006B78D3">
      <w:pPr>
        <w:rPr>
          <w:rFonts w:eastAsia="Arial" w:cs="Arial"/>
        </w:rPr>
      </w:pPr>
    </w:p>
    <w:p w14:paraId="67D5C330" w14:textId="3344B3A5" w:rsidR="006B78D3" w:rsidRDefault="006B78D3" w:rsidP="006B78D3">
      <w:pPr>
        <w:rPr>
          <w:rFonts w:eastAsia="Arial" w:cs="Arial"/>
        </w:rPr>
      </w:pPr>
      <w:r w:rsidRPr="006B78D3">
        <w:rPr>
          <w:rFonts w:eastAsia="Arial" w:cs="Arial"/>
        </w:rPr>
        <w:t xml:space="preserve">Angulo-Zamudio UA, Vidal JE, </w:t>
      </w:r>
      <w:proofErr w:type="spellStart"/>
      <w:r w:rsidRPr="006B78D3">
        <w:rPr>
          <w:rFonts w:eastAsia="Arial" w:cs="Arial"/>
        </w:rPr>
        <w:t>Nazmi</w:t>
      </w:r>
      <w:proofErr w:type="spellEnd"/>
      <w:r w:rsidRPr="006B78D3">
        <w:rPr>
          <w:rFonts w:eastAsia="Arial" w:cs="Arial"/>
        </w:rPr>
        <w:t xml:space="preserve"> K, </w:t>
      </w:r>
      <w:proofErr w:type="spellStart"/>
      <w:r w:rsidRPr="006B78D3">
        <w:rPr>
          <w:rFonts w:eastAsia="Arial" w:cs="Arial"/>
        </w:rPr>
        <w:t>Bolscher</w:t>
      </w:r>
      <w:proofErr w:type="spellEnd"/>
      <w:r w:rsidRPr="006B78D3">
        <w:rPr>
          <w:rFonts w:eastAsia="Arial" w:cs="Arial"/>
        </w:rPr>
        <w:t xml:space="preserve"> JGM, Leon-</w:t>
      </w:r>
      <w:proofErr w:type="spellStart"/>
      <w:r w:rsidRPr="006B78D3">
        <w:rPr>
          <w:rFonts w:eastAsia="Arial" w:cs="Arial"/>
        </w:rPr>
        <w:t>Sicairos</w:t>
      </w:r>
      <w:proofErr w:type="spellEnd"/>
      <w:r w:rsidRPr="006B78D3">
        <w:rPr>
          <w:rFonts w:eastAsia="Arial" w:cs="Arial"/>
        </w:rPr>
        <w:t xml:space="preserve"> C, Antezana BS, </w:t>
      </w:r>
      <w:proofErr w:type="spellStart"/>
      <w:r w:rsidRPr="006B78D3">
        <w:rPr>
          <w:rFonts w:eastAsia="Arial" w:cs="Arial"/>
        </w:rPr>
        <w:t>Can</w:t>
      </w:r>
      <w:r w:rsidR="005D2E04">
        <w:rPr>
          <w:rFonts w:eastAsia="Arial" w:cs="Arial"/>
        </w:rPr>
        <w:t>izalez</w:t>
      </w:r>
      <w:proofErr w:type="spellEnd"/>
      <w:r w:rsidR="005D2E04">
        <w:rPr>
          <w:rFonts w:eastAsia="Arial" w:cs="Arial"/>
        </w:rPr>
        <w:t>-Roman A, León-</w:t>
      </w:r>
      <w:proofErr w:type="spellStart"/>
      <w:r w:rsidR="005D2E04">
        <w:rPr>
          <w:rFonts w:eastAsia="Arial" w:cs="Arial"/>
        </w:rPr>
        <w:t>Sicairos</w:t>
      </w:r>
      <w:proofErr w:type="spellEnd"/>
      <w:r w:rsidR="005D2E04">
        <w:rPr>
          <w:rFonts w:eastAsia="Arial" w:cs="Arial"/>
        </w:rPr>
        <w:t xml:space="preserve"> N (2019) Lactoferrin d</w:t>
      </w:r>
      <w:r w:rsidRPr="006B78D3">
        <w:rPr>
          <w:rFonts w:eastAsia="Arial" w:cs="Arial"/>
        </w:rPr>
        <w:t>isaggrega</w:t>
      </w:r>
      <w:r w:rsidR="005D2E04">
        <w:rPr>
          <w:rFonts w:eastAsia="Arial" w:cs="Arial"/>
        </w:rPr>
        <w:t>tes pneumococcal biofilms and inhibits acquisition of resistance through its DNase a</w:t>
      </w:r>
      <w:r w:rsidRPr="006B78D3">
        <w:rPr>
          <w:rFonts w:eastAsia="Arial" w:cs="Arial"/>
        </w:rPr>
        <w:t>ctivity. Front</w:t>
      </w:r>
      <w:r w:rsidR="005D2E04">
        <w:rPr>
          <w:rFonts w:eastAsia="Arial" w:cs="Arial"/>
        </w:rPr>
        <w:t xml:space="preserve"> </w:t>
      </w:r>
      <w:proofErr w:type="spellStart"/>
      <w:r w:rsidR="005D2E04">
        <w:rPr>
          <w:rFonts w:eastAsia="Arial" w:cs="Arial"/>
        </w:rPr>
        <w:t>Microbiol</w:t>
      </w:r>
      <w:proofErr w:type="spellEnd"/>
      <w:r w:rsidR="00900A98">
        <w:rPr>
          <w:rFonts w:eastAsia="Arial" w:cs="Arial"/>
        </w:rPr>
        <w:t xml:space="preserve"> </w:t>
      </w:r>
      <w:r w:rsidRPr="006B78D3">
        <w:rPr>
          <w:rFonts w:eastAsia="Arial" w:cs="Arial"/>
        </w:rPr>
        <w:t xml:space="preserve">10:2386. </w:t>
      </w:r>
      <w:r w:rsidR="00900A98">
        <w:rPr>
          <w:rFonts w:eastAsia="Arial" w:cs="Arial"/>
        </w:rPr>
        <w:t>DOI:</w:t>
      </w:r>
      <w:r w:rsidRPr="006B78D3">
        <w:rPr>
          <w:rFonts w:eastAsia="Arial" w:cs="Arial"/>
        </w:rPr>
        <w:t>10.3389/fmicb.2019.02386.</w:t>
      </w:r>
    </w:p>
    <w:p w14:paraId="185AC472" w14:textId="77777777" w:rsidR="00823B8B" w:rsidRPr="00823B8B" w:rsidRDefault="00823B8B" w:rsidP="00823B8B">
      <w:pPr>
        <w:rPr>
          <w:rFonts w:eastAsia="Arial" w:cs="Arial"/>
        </w:rPr>
      </w:pPr>
    </w:p>
    <w:p w14:paraId="6C81F58E" w14:textId="77777777" w:rsidR="003771CF" w:rsidRDefault="003771CF" w:rsidP="003771CF">
      <w:pPr>
        <w:rPr>
          <w:rFonts w:eastAsia="Arial" w:cs="Arial"/>
        </w:rPr>
      </w:pPr>
      <w:proofErr w:type="spellStart"/>
      <w:r w:rsidRPr="007A5B35">
        <w:rPr>
          <w:rFonts w:eastAsia="Arial" w:cs="Arial"/>
        </w:rPr>
        <w:t>Appelmelk</w:t>
      </w:r>
      <w:proofErr w:type="spellEnd"/>
      <w:r w:rsidRPr="007A5B35">
        <w:rPr>
          <w:rFonts w:eastAsia="Arial" w:cs="Arial"/>
        </w:rPr>
        <w:t xml:space="preserve"> BJ, An YQ, </w:t>
      </w:r>
      <w:proofErr w:type="spellStart"/>
      <w:r w:rsidRPr="007A5B35">
        <w:rPr>
          <w:rFonts w:eastAsia="Arial" w:cs="Arial"/>
        </w:rPr>
        <w:t>Geerts</w:t>
      </w:r>
      <w:proofErr w:type="spellEnd"/>
      <w:r w:rsidRPr="007A5B35">
        <w:rPr>
          <w:rFonts w:eastAsia="Arial" w:cs="Arial"/>
        </w:rPr>
        <w:t xml:space="preserve"> M, Thijs BG, de Boer HA, </w:t>
      </w:r>
      <w:proofErr w:type="spellStart"/>
      <w:r w:rsidRPr="007A5B35">
        <w:rPr>
          <w:rFonts w:eastAsia="Arial" w:cs="Arial"/>
        </w:rPr>
        <w:t>MacLaren</w:t>
      </w:r>
      <w:proofErr w:type="spellEnd"/>
      <w:r w:rsidRPr="007A5B35">
        <w:rPr>
          <w:rFonts w:eastAsia="Arial" w:cs="Arial"/>
        </w:rPr>
        <w:t xml:space="preserve"> DM, de Graaff J, </w:t>
      </w:r>
      <w:proofErr w:type="spellStart"/>
      <w:r w:rsidRPr="007A5B35">
        <w:rPr>
          <w:rFonts w:eastAsia="Arial" w:cs="Arial"/>
        </w:rPr>
        <w:t>Nuijens</w:t>
      </w:r>
      <w:proofErr w:type="spellEnd"/>
      <w:r w:rsidRPr="007A5B35">
        <w:rPr>
          <w:rFonts w:eastAsia="Arial" w:cs="Arial"/>
        </w:rPr>
        <w:t xml:space="preserve"> JH</w:t>
      </w:r>
      <w:r>
        <w:rPr>
          <w:rFonts w:eastAsia="Arial" w:cs="Arial"/>
        </w:rPr>
        <w:t xml:space="preserve"> (1994)</w:t>
      </w:r>
      <w:r w:rsidRPr="007A5B35">
        <w:rPr>
          <w:rFonts w:eastAsia="Arial" w:cs="Arial"/>
        </w:rPr>
        <w:t xml:space="preserve"> Lactoferrin is a lipid A-binding protein. Infect </w:t>
      </w:r>
      <w:proofErr w:type="spellStart"/>
      <w:r w:rsidRPr="007A5B35">
        <w:rPr>
          <w:rFonts w:eastAsia="Arial" w:cs="Arial"/>
        </w:rPr>
        <w:t>Immun</w:t>
      </w:r>
      <w:proofErr w:type="spellEnd"/>
      <w:r>
        <w:rPr>
          <w:rFonts w:eastAsia="Arial" w:cs="Arial"/>
        </w:rPr>
        <w:t xml:space="preserve"> </w:t>
      </w:r>
      <w:r w:rsidRPr="007A5B35">
        <w:rPr>
          <w:rFonts w:eastAsia="Arial" w:cs="Arial"/>
        </w:rPr>
        <w:t>62(6):2628-32.</w:t>
      </w:r>
      <w:r>
        <w:rPr>
          <w:rFonts w:eastAsia="Arial" w:cs="Arial"/>
        </w:rPr>
        <w:br/>
        <w:t>DOI:</w:t>
      </w:r>
      <w:r w:rsidRPr="007A5B35">
        <w:rPr>
          <w:rFonts w:eastAsia="Arial" w:cs="Arial"/>
        </w:rPr>
        <w:t>10.1128/iai.62.6.2628-2632.1994.</w:t>
      </w:r>
    </w:p>
    <w:p w14:paraId="50B62A97" w14:textId="77777777" w:rsidR="003771CF" w:rsidRDefault="003771CF" w:rsidP="003771CF">
      <w:pPr>
        <w:rPr>
          <w:rFonts w:eastAsia="Arial" w:cs="Arial"/>
        </w:rPr>
      </w:pPr>
    </w:p>
    <w:p w14:paraId="6D2F0AF9" w14:textId="46A35C5E" w:rsidR="00823B8B" w:rsidRDefault="00CA128F" w:rsidP="00823B8B">
      <w:pPr>
        <w:rPr>
          <w:rFonts w:eastAsia="Arial" w:cs="Arial"/>
        </w:rPr>
      </w:pPr>
      <w:proofErr w:type="spellStart"/>
      <w:r w:rsidRPr="00CA128F">
        <w:rPr>
          <w:rFonts w:eastAsia="Arial" w:cs="Arial"/>
        </w:rPr>
        <w:t>Arciniega</w:t>
      </w:r>
      <w:proofErr w:type="spellEnd"/>
      <w:r w:rsidRPr="00CA128F">
        <w:rPr>
          <w:rFonts w:eastAsia="Arial" w:cs="Arial"/>
        </w:rPr>
        <w:t xml:space="preserve">-Martínez IM, Campos-Rodríguez R, Drago-Serrano ME, Sánchez-Torres LE, Cruz-Hernández TR, </w:t>
      </w:r>
      <w:proofErr w:type="spellStart"/>
      <w:r w:rsidRPr="00CA128F">
        <w:rPr>
          <w:rFonts w:eastAsia="Arial" w:cs="Arial"/>
        </w:rPr>
        <w:t>Reséndiz-Albor</w:t>
      </w:r>
      <w:proofErr w:type="spellEnd"/>
      <w:r w:rsidRPr="00CA128F">
        <w:rPr>
          <w:rFonts w:eastAsia="Arial" w:cs="Arial"/>
        </w:rPr>
        <w:t xml:space="preserve"> AA</w:t>
      </w:r>
      <w:r w:rsidR="00823B8B" w:rsidRPr="00823B8B">
        <w:rPr>
          <w:rFonts w:eastAsia="Arial" w:cs="Arial"/>
        </w:rPr>
        <w:t xml:space="preserve"> (2016). Modulatory effects of oral bovine lactoferrin on the IgA response at inductor and effector sites of distal small intestine from BALB/c mice. Arch Immunol </w:t>
      </w:r>
      <w:proofErr w:type="spellStart"/>
      <w:r w:rsidR="00823B8B">
        <w:rPr>
          <w:rFonts w:eastAsia="Arial" w:cs="Arial"/>
        </w:rPr>
        <w:t>Ther</w:t>
      </w:r>
      <w:proofErr w:type="spellEnd"/>
      <w:r w:rsidR="00823B8B">
        <w:rPr>
          <w:rFonts w:eastAsia="Arial" w:cs="Arial"/>
        </w:rPr>
        <w:t xml:space="preserve"> Exp (</w:t>
      </w:r>
      <w:proofErr w:type="spellStart"/>
      <w:r w:rsidR="00823B8B">
        <w:rPr>
          <w:rFonts w:eastAsia="Arial" w:cs="Arial"/>
        </w:rPr>
        <w:t>Warsz</w:t>
      </w:r>
      <w:proofErr w:type="spellEnd"/>
      <w:r w:rsidR="00823B8B">
        <w:rPr>
          <w:rFonts w:eastAsia="Arial" w:cs="Arial"/>
        </w:rPr>
        <w:t>) 64(1)</w:t>
      </w:r>
      <w:r>
        <w:rPr>
          <w:rFonts w:eastAsia="Arial" w:cs="Arial"/>
        </w:rPr>
        <w:t>:</w:t>
      </w:r>
      <w:r w:rsidR="00823B8B">
        <w:rPr>
          <w:rFonts w:eastAsia="Arial" w:cs="Arial"/>
        </w:rPr>
        <w:t>57-63.</w:t>
      </w:r>
    </w:p>
    <w:p w14:paraId="40C4F030" w14:textId="77777777" w:rsidR="00823B8B" w:rsidRDefault="00823B8B" w:rsidP="00823B8B">
      <w:pPr>
        <w:rPr>
          <w:rFonts w:eastAsia="Arial" w:cs="Arial"/>
        </w:rPr>
      </w:pPr>
    </w:p>
    <w:p w14:paraId="5E3F337C" w14:textId="53EEBCF9" w:rsidR="00823B8B" w:rsidRPr="00823B8B" w:rsidRDefault="00823B8B" w:rsidP="00823B8B">
      <w:pPr>
        <w:rPr>
          <w:rFonts w:eastAsia="Arial" w:cs="Arial"/>
        </w:rPr>
      </w:pPr>
      <w:r w:rsidRPr="00823B8B">
        <w:rPr>
          <w:rFonts w:eastAsia="Arial" w:cs="Arial"/>
        </w:rPr>
        <w:t xml:space="preserve">Arnold D, Di </w:t>
      </w:r>
      <w:proofErr w:type="spellStart"/>
      <w:r w:rsidRPr="00823B8B">
        <w:rPr>
          <w:rFonts w:eastAsia="Arial" w:cs="Arial"/>
        </w:rPr>
        <w:t>Biase</w:t>
      </w:r>
      <w:proofErr w:type="spellEnd"/>
      <w:r w:rsidRPr="00823B8B">
        <w:rPr>
          <w:rFonts w:eastAsia="Arial" w:cs="Arial"/>
        </w:rPr>
        <w:t xml:space="preserve"> AM, Marchetti M,</w:t>
      </w:r>
      <w:r w:rsidR="00CA128F">
        <w:rPr>
          <w:rFonts w:eastAsia="Arial" w:cs="Arial"/>
        </w:rPr>
        <w:t xml:space="preserve"> </w:t>
      </w:r>
      <w:proofErr w:type="spellStart"/>
      <w:r w:rsidR="00CA128F">
        <w:rPr>
          <w:rFonts w:eastAsia="Arial" w:cs="Arial"/>
        </w:rPr>
        <w:t>Pietrantoni</w:t>
      </w:r>
      <w:proofErr w:type="spellEnd"/>
      <w:r w:rsidR="00CA128F">
        <w:rPr>
          <w:rFonts w:eastAsia="Arial" w:cs="Arial"/>
        </w:rPr>
        <w:t xml:space="preserve"> A, </w:t>
      </w:r>
      <w:proofErr w:type="spellStart"/>
      <w:r w:rsidR="00CA128F">
        <w:rPr>
          <w:rFonts w:eastAsia="Arial" w:cs="Arial"/>
        </w:rPr>
        <w:t>Valenti</w:t>
      </w:r>
      <w:proofErr w:type="spellEnd"/>
      <w:r w:rsidR="00CA128F">
        <w:rPr>
          <w:rFonts w:eastAsia="Arial" w:cs="Arial"/>
        </w:rPr>
        <w:t xml:space="preserve"> P, </w:t>
      </w:r>
      <w:proofErr w:type="spellStart"/>
      <w:r w:rsidR="00CA128F">
        <w:rPr>
          <w:rFonts w:eastAsia="Arial" w:cs="Arial"/>
        </w:rPr>
        <w:t>Seganti</w:t>
      </w:r>
      <w:proofErr w:type="spellEnd"/>
      <w:r w:rsidR="00CA128F">
        <w:rPr>
          <w:rFonts w:eastAsia="Arial" w:cs="Arial"/>
        </w:rPr>
        <w:t xml:space="preserve"> L, </w:t>
      </w:r>
      <w:proofErr w:type="spellStart"/>
      <w:r w:rsidR="00CA128F">
        <w:rPr>
          <w:rFonts w:eastAsia="Arial" w:cs="Arial"/>
        </w:rPr>
        <w:t>Superti</w:t>
      </w:r>
      <w:proofErr w:type="spellEnd"/>
      <w:r w:rsidR="00CA128F">
        <w:rPr>
          <w:rFonts w:eastAsia="Arial" w:cs="Arial"/>
        </w:rPr>
        <w:t xml:space="preserve"> F</w:t>
      </w:r>
      <w:r w:rsidRPr="00823B8B">
        <w:rPr>
          <w:rFonts w:eastAsia="Arial" w:cs="Arial"/>
        </w:rPr>
        <w:t xml:space="preserve"> (2002) </w:t>
      </w:r>
      <w:proofErr w:type="spellStart"/>
      <w:r w:rsidRPr="00823B8B">
        <w:rPr>
          <w:rFonts w:eastAsia="Arial" w:cs="Arial"/>
        </w:rPr>
        <w:t>Antiadenovirus</w:t>
      </w:r>
      <w:proofErr w:type="spellEnd"/>
      <w:r w:rsidRPr="00823B8B">
        <w:rPr>
          <w:rFonts w:eastAsia="Arial" w:cs="Arial"/>
        </w:rPr>
        <w:t xml:space="preserve"> activity of milk proteins: lactoferrin prevents viral infection. Ant</w:t>
      </w:r>
      <w:r>
        <w:rPr>
          <w:rFonts w:eastAsia="Arial" w:cs="Arial"/>
        </w:rPr>
        <w:t>iviral Research, 53</w:t>
      </w:r>
      <w:r w:rsidR="00CA128F">
        <w:rPr>
          <w:rFonts w:eastAsia="Arial" w:cs="Arial"/>
        </w:rPr>
        <w:t>:</w:t>
      </w:r>
      <w:r>
        <w:rPr>
          <w:rFonts w:eastAsia="Arial" w:cs="Arial"/>
        </w:rPr>
        <w:t>153-158.</w:t>
      </w:r>
    </w:p>
    <w:p w14:paraId="39A6F1EA" w14:textId="77777777" w:rsidR="00823B8B" w:rsidRPr="00823B8B" w:rsidRDefault="00823B8B" w:rsidP="00823B8B">
      <w:pPr>
        <w:rPr>
          <w:rFonts w:eastAsia="Arial" w:cs="Arial"/>
        </w:rPr>
      </w:pPr>
    </w:p>
    <w:p w14:paraId="1E9CF068" w14:textId="29BDDFB5" w:rsidR="00823B8B" w:rsidRDefault="00823B8B" w:rsidP="00823B8B">
      <w:pPr>
        <w:rPr>
          <w:rFonts w:eastAsia="Arial" w:cs="Arial"/>
        </w:rPr>
      </w:pPr>
      <w:r w:rsidRPr="00823B8B">
        <w:rPr>
          <w:rFonts w:eastAsia="Arial" w:cs="Arial"/>
        </w:rPr>
        <w:t>Arnold RR, Brewer M, Gauthier JJ (1980). Bactericidal activity of human lactoferrin: sensitivity of a variety of microorganisms. Infection and Immunity 28(3</w:t>
      </w:r>
      <w:r w:rsidR="00CA128F" w:rsidRPr="00823B8B">
        <w:rPr>
          <w:rFonts w:eastAsia="Arial" w:cs="Arial"/>
        </w:rPr>
        <w:t>)</w:t>
      </w:r>
      <w:r w:rsidR="00CA128F">
        <w:rPr>
          <w:rFonts w:eastAsia="Arial" w:cs="Arial"/>
        </w:rPr>
        <w:t>:</w:t>
      </w:r>
      <w:r w:rsidRPr="00823B8B">
        <w:rPr>
          <w:rFonts w:eastAsia="Arial" w:cs="Arial"/>
        </w:rPr>
        <w:t>893-898.</w:t>
      </w:r>
    </w:p>
    <w:p w14:paraId="3022E047" w14:textId="6965CFC3" w:rsidR="0056000E" w:rsidRDefault="0056000E" w:rsidP="00823B8B">
      <w:pPr>
        <w:rPr>
          <w:rFonts w:eastAsia="Arial" w:cs="Arial"/>
        </w:rPr>
      </w:pPr>
    </w:p>
    <w:p w14:paraId="6CD5647C" w14:textId="6EEFC8E8" w:rsidR="00A8526B" w:rsidRDefault="00A8526B" w:rsidP="00823B8B">
      <w:pPr>
        <w:rPr>
          <w:rFonts w:eastAsia="Arial" w:cs="Arial"/>
        </w:rPr>
      </w:pPr>
      <w:proofErr w:type="spellStart"/>
      <w:r w:rsidRPr="005F0199">
        <w:rPr>
          <w:rFonts w:eastAsia="Arial" w:cs="Arial"/>
        </w:rPr>
        <w:t>Babina</w:t>
      </w:r>
      <w:proofErr w:type="spellEnd"/>
      <w:r w:rsidRPr="005F0199">
        <w:rPr>
          <w:rFonts w:eastAsia="Arial" w:cs="Arial"/>
        </w:rPr>
        <w:t xml:space="preserve"> SE, </w:t>
      </w:r>
      <w:proofErr w:type="spellStart"/>
      <w:r w:rsidRPr="005F0199">
        <w:rPr>
          <w:rFonts w:eastAsia="Arial" w:cs="Arial"/>
        </w:rPr>
        <w:t>Kanyshkova</w:t>
      </w:r>
      <w:proofErr w:type="spellEnd"/>
      <w:r w:rsidRPr="005F0199">
        <w:rPr>
          <w:rFonts w:eastAsia="Arial" w:cs="Arial"/>
        </w:rPr>
        <w:t xml:space="preserve"> TG, </w:t>
      </w:r>
      <w:proofErr w:type="spellStart"/>
      <w:r w:rsidRPr="005F0199">
        <w:rPr>
          <w:rFonts w:eastAsia="Arial" w:cs="Arial"/>
        </w:rPr>
        <w:t>Buneva</w:t>
      </w:r>
      <w:proofErr w:type="spellEnd"/>
      <w:r w:rsidRPr="005F0199">
        <w:rPr>
          <w:rFonts w:eastAsia="Arial" w:cs="Arial"/>
        </w:rPr>
        <w:t xml:space="preserve"> VN, </w:t>
      </w:r>
      <w:proofErr w:type="spellStart"/>
      <w:r w:rsidRPr="005F0199">
        <w:rPr>
          <w:rFonts w:eastAsia="Arial" w:cs="Arial"/>
        </w:rPr>
        <w:t>Nevinsky</w:t>
      </w:r>
      <w:proofErr w:type="spellEnd"/>
      <w:r w:rsidRPr="005F0199">
        <w:rPr>
          <w:rFonts w:eastAsia="Arial" w:cs="Arial"/>
        </w:rPr>
        <w:t xml:space="preserve"> GA</w:t>
      </w:r>
      <w:r>
        <w:rPr>
          <w:rFonts w:eastAsia="Arial" w:cs="Arial"/>
        </w:rPr>
        <w:t xml:space="preserve"> (2004)</w:t>
      </w:r>
      <w:r w:rsidRPr="005F0199">
        <w:rPr>
          <w:rFonts w:eastAsia="Arial" w:cs="Arial"/>
        </w:rPr>
        <w:t xml:space="preserve"> Lactoferrin is the major deoxyribonuclease of </w:t>
      </w:r>
      <w:r>
        <w:rPr>
          <w:rFonts w:eastAsia="Arial" w:cs="Arial"/>
        </w:rPr>
        <w:t>human milk. Biochemistry (</w:t>
      </w:r>
      <w:proofErr w:type="spellStart"/>
      <w:r>
        <w:rPr>
          <w:rFonts w:eastAsia="Arial" w:cs="Arial"/>
        </w:rPr>
        <w:t>Mosc</w:t>
      </w:r>
      <w:proofErr w:type="spellEnd"/>
      <w:r>
        <w:rPr>
          <w:rFonts w:eastAsia="Arial" w:cs="Arial"/>
        </w:rPr>
        <w:t>)</w:t>
      </w:r>
      <w:r w:rsidRPr="005F0199">
        <w:rPr>
          <w:rFonts w:eastAsia="Arial" w:cs="Arial"/>
        </w:rPr>
        <w:t xml:space="preserve"> </w:t>
      </w:r>
      <w:r>
        <w:rPr>
          <w:rFonts w:eastAsia="Arial" w:cs="Arial"/>
        </w:rPr>
        <w:t>69(9):1006-15.</w:t>
      </w:r>
      <w:r>
        <w:rPr>
          <w:rFonts w:eastAsia="Arial" w:cs="Arial"/>
        </w:rPr>
        <w:br/>
        <w:t>DOI:</w:t>
      </w:r>
      <w:r w:rsidRPr="005F0199">
        <w:rPr>
          <w:rFonts w:eastAsia="Arial" w:cs="Arial"/>
        </w:rPr>
        <w:t>10.1023/b:biry.0000043543.21217.b3.</w:t>
      </w:r>
    </w:p>
    <w:p w14:paraId="5E881C40" w14:textId="77777777" w:rsidR="00A8526B" w:rsidRDefault="00A8526B" w:rsidP="00823B8B">
      <w:pPr>
        <w:rPr>
          <w:rFonts w:eastAsia="Arial" w:cs="Arial"/>
        </w:rPr>
      </w:pPr>
    </w:p>
    <w:p w14:paraId="01E05BA3" w14:textId="15198E6E" w:rsidR="0056000E" w:rsidRDefault="0056000E" w:rsidP="00823B8B">
      <w:pPr>
        <w:rPr>
          <w:rFonts w:eastAsia="Arial" w:cs="Arial"/>
        </w:rPr>
      </w:pPr>
      <w:r w:rsidRPr="0056000E">
        <w:rPr>
          <w:rFonts w:eastAsia="Arial" w:cs="Arial"/>
        </w:rPr>
        <w:t xml:space="preserve">Barrington KJ, </w:t>
      </w:r>
      <w:proofErr w:type="spellStart"/>
      <w:r w:rsidRPr="0056000E">
        <w:rPr>
          <w:rFonts w:eastAsia="Arial" w:cs="Arial"/>
        </w:rPr>
        <w:t>Assaad</w:t>
      </w:r>
      <w:proofErr w:type="spellEnd"/>
      <w:r w:rsidRPr="0056000E">
        <w:rPr>
          <w:rFonts w:eastAsia="Arial" w:cs="Arial"/>
        </w:rPr>
        <w:t xml:space="preserve"> MA, Janvier A</w:t>
      </w:r>
      <w:r>
        <w:rPr>
          <w:rFonts w:eastAsia="Arial" w:cs="Arial"/>
        </w:rPr>
        <w:t xml:space="preserve"> (2016) </w:t>
      </w:r>
      <w:r w:rsidRPr="0056000E">
        <w:rPr>
          <w:rFonts w:eastAsia="Arial" w:cs="Arial"/>
        </w:rPr>
        <w:t>The Lacuna Trial: a double-blind randomized controlled pilot trial of lactoferrin supplementation in the very preterm infant</w:t>
      </w:r>
      <w:r>
        <w:rPr>
          <w:rFonts w:eastAsia="Arial" w:cs="Arial"/>
        </w:rPr>
        <w:t xml:space="preserve">. J </w:t>
      </w:r>
      <w:proofErr w:type="spellStart"/>
      <w:r>
        <w:rPr>
          <w:rFonts w:eastAsia="Arial" w:cs="Arial"/>
        </w:rPr>
        <w:t>Perinatol</w:t>
      </w:r>
      <w:proofErr w:type="spellEnd"/>
      <w:r>
        <w:rPr>
          <w:rFonts w:eastAsia="Arial" w:cs="Arial"/>
        </w:rPr>
        <w:t xml:space="preserve"> </w:t>
      </w:r>
      <w:r w:rsidRPr="0056000E">
        <w:rPr>
          <w:rFonts w:eastAsia="Arial" w:cs="Arial"/>
        </w:rPr>
        <w:t>36(8):666-9.</w:t>
      </w:r>
      <w:r>
        <w:rPr>
          <w:rFonts w:eastAsia="Arial" w:cs="Arial"/>
        </w:rPr>
        <w:t xml:space="preserve"> </w:t>
      </w:r>
    </w:p>
    <w:p w14:paraId="58FCF82F" w14:textId="77777777" w:rsidR="00823B8B" w:rsidRDefault="00823B8B" w:rsidP="00550D44">
      <w:pPr>
        <w:rPr>
          <w:rFonts w:eastAsia="Arial" w:cs="Arial"/>
        </w:rPr>
      </w:pPr>
    </w:p>
    <w:p w14:paraId="7E82B9EA" w14:textId="5E3A5AB3" w:rsidR="00823B8B" w:rsidRPr="00823B8B" w:rsidRDefault="00CA128F" w:rsidP="00823B8B">
      <w:pPr>
        <w:rPr>
          <w:rFonts w:eastAsia="Arial" w:cs="Arial"/>
        </w:rPr>
      </w:pPr>
      <w:proofErr w:type="spellStart"/>
      <w:r w:rsidRPr="00CA128F">
        <w:rPr>
          <w:rFonts w:eastAsia="Arial" w:cs="Arial"/>
        </w:rPr>
        <w:t>Berlutti</w:t>
      </w:r>
      <w:proofErr w:type="spellEnd"/>
      <w:r w:rsidRPr="00CA128F">
        <w:rPr>
          <w:rFonts w:eastAsia="Arial" w:cs="Arial"/>
        </w:rPr>
        <w:t xml:space="preserve"> F, </w:t>
      </w:r>
      <w:proofErr w:type="spellStart"/>
      <w:r w:rsidRPr="00CA128F">
        <w:rPr>
          <w:rFonts w:eastAsia="Arial" w:cs="Arial"/>
        </w:rPr>
        <w:t>Pantanella</w:t>
      </w:r>
      <w:proofErr w:type="spellEnd"/>
      <w:r w:rsidRPr="00CA128F">
        <w:rPr>
          <w:rFonts w:eastAsia="Arial" w:cs="Arial"/>
        </w:rPr>
        <w:t xml:space="preserve"> F, </w:t>
      </w:r>
      <w:proofErr w:type="spellStart"/>
      <w:r w:rsidRPr="00CA128F">
        <w:rPr>
          <w:rFonts w:eastAsia="Arial" w:cs="Arial"/>
        </w:rPr>
        <w:t>Natalizi</w:t>
      </w:r>
      <w:proofErr w:type="spellEnd"/>
      <w:r w:rsidRPr="00CA128F">
        <w:rPr>
          <w:rFonts w:eastAsia="Arial" w:cs="Arial"/>
        </w:rPr>
        <w:t xml:space="preserve"> T, </w:t>
      </w:r>
      <w:proofErr w:type="spellStart"/>
      <w:r w:rsidRPr="00CA128F">
        <w:rPr>
          <w:rFonts w:eastAsia="Arial" w:cs="Arial"/>
        </w:rPr>
        <w:t>Frioni</w:t>
      </w:r>
      <w:proofErr w:type="spellEnd"/>
      <w:r w:rsidRPr="00CA128F">
        <w:rPr>
          <w:rFonts w:eastAsia="Arial" w:cs="Arial"/>
        </w:rPr>
        <w:t xml:space="preserve"> A, P</w:t>
      </w:r>
      <w:r>
        <w:rPr>
          <w:rFonts w:eastAsia="Arial" w:cs="Arial"/>
        </w:rPr>
        <w:t xml:space="preserve">aesano R, </w:t>
      </w:r>
      <w:proofErr w:type="spellStart"/>
      <w:r>
        <w:rPr>
          <w:rFonts w:eastAsia="Arial" w:cs="Arial"/>
        </w:rPr>
        <w:t>Polimeni</w:t>
      </w:r>
      <w:proofErr w:type="spellEnd"/>
      <w:r>
        <w:rPr>
          <w:rFonts w:eastAsia="Arial" w:cs="Arial"/>
        </w:rPr>
        <w:t xml:space="preserve"> A, </w:t>
      </w:r>
      <w:proofErr w:type="spellStart"/>
      <w:r>
        <w:rPr>
          <w:rFonts w:eastAsia="Arial" w:cs="Arial"/>
        </w:rPr>
        <w:t>Valenti</w:t>
      </w:r>
      <w:proofErr w:type="spellEnd"/>
      <w:r>
        <w:rPr>
          <w:rFonts w:eastAsia="Arial" w:cs="Arial"/>
        </w:rPr>
        <w:t xml:space="preserve"> P</w:t>
      </w:r>
      <w:r w:rsidR="00823B8B" w:rsidRPr="00823B8B">
        <w:rPr>
          <w:rFonts w:eastAsia="Arial" w:cs="Arial"/>
        </w:rPr>
        <w:t xml:space="preserve"> (2011). Antiviral properties of lactoferrin - a natural immunity molecule. Molecules 16</w:t>
      </w:r>
      <w:r>
        <w:rPr>
          <w:rFonts w:eastAsia="Arial" w:cs="Arial"/>
        </w:rPr>
        <w:t>:</w:t>
      </w:r>
      <w:r w:rsidR="00823B8B" w:rsidRPr="00823B8B">
        <w:rPr>
          <w:rFonts w:eastAsia="Arial" w:cs="Arial"/>
        </w:rPr>
        <w:t xml:space="preserve">6992-7018. </w:t>
      </w:r>
    </w:p>
    <w:p w14:paraId="78233AD1" w14:textId="77777777" w:rsidR="00823B8B" w:rsidRPr="00823B8B" w:rsidRDefault="00823B8B" w:rsidP="00823B8B">
      <w:pPr>
        <w:rPr>
          <w:rFonts w:eastAsia="Arial" w:cs="Arial"/>
        </w:rPr>
      </w:pPr>
    </w:p>
    <w:p w14:paraId="7A946B05" w14:textId="3C3388AE" w:rsidR="00823B8B" w:rsidRPr="00823B8B" w:rsidRDefault="00823B8B" w:rsidP="00823B8B">
      <w:pPr>
        <w:rPr>
          <w:rFonts w:eastAsia="Arial" w:cs="Arial"/>
        </w:rPr>
      </w:pPr>
      <w:proofErr w:type="spellStart"/>
      <w:r w:rsidRPr="00823B8B">
        <w:rPr>
          <w:rFonts w:eastAsia="Arial" w:cs="Arial"/>
        </w:rPr>
        <w:t>Bhimani</w:t>
      </w:r>
      <w:proofErr w:type="spellEnd"/>
      <w:r w:rsidRPr="00823B8B">
        <w:rPr>
          <w:rFonts w:eastAsia="Arial" w:cs="Arial"/>
        </w:rPr>
        <w:t xml:space="preserve"> RS, </w:t>
      </w:r>
      <w:proofErr w:type="spellStart"/>
      <w:r w:rsidRPr="00823B8B">
        <w:rPr>
          <w:rFonts w:eastAsia="Arial" w:cs="Arial"/>
        </w:rPr>
        <w:t>Vendrov</w:t>
      </w:r>
      <w:proofErr w:type="spellEnd"/>
      <w:r w:rsidRPr="00823B8B">
        <w:rPr>
          <w:rFonts w:eastAsia="Arial" w:cs="Arial"/>
        </w:rPr>
        <w:t xml:space="preserve"> Y, </w:t>
      </w:r>
      <w:proofErr w:type="spellStart"/>
      <w:r w:rsidRPr="00823B8B">
        <w:rPr>
          <w:rFonts w:eastAsia="Arial" w:cs="Arial"/>
        </w:rPr>
        <w:t>Furmanski</w:t>
      </w:r>
      <w:proofErr w:type="spellEnd"/>
      <w:r w:rsidRPr="00823B8B">
        <w:rPr>
          <w:rFonts w:eastAsia="Arial" w:cs="Arial"/>
        </w:rPr>
        <w:t xml:space="preserve"> P (1999). Influence of lactoferrin feeding and injection against systemic staphylococcal infections in mice. J </w:t>
      </w:r>
      <w:proofErr w:type="spellStart"/>
      <w:r w:rsidRPr="00823B8B">
        <w:rPr>
          <w:rFonts w:eastAsia="Arial" w:cs="Arial"/>
        </w:rPr>
        <w:t>Appl</w:t>
      </w:r>
      <w:proofErr w:type="spellEnd"/>
      <w:r w:rsidRPr="00823B8B">
        <w:rPr>
          <w:rFonts w:eastAsia="Arial" w:cs="Arial"/>
        </w:rPr>
        <w:t xml:space="preserve"> </w:t>
      </w:r>
      <w:proofErr w:type="spellStart"/>
      <w:r w:rsidRPr="00823B8B">
        <w:rPr>
          <w:rFonts w:eastAsia="Arial" w:cs="Arial"/>
        </w:rPr>
        <w:t>Microbiol</w:t>
      </w:r>
      <w:proofErr w:type="spellEnd"/>
      <w:r w:rsidRPr="00823B8B">
        <w:rPr>
          <w:rFonts w:eastAsia="Arial" w:cs="Arial"/>
        </w:rPr>
        <w:t xml:space="preserve"> 86</w:t>
      </w:r>
      <w:r w:rsidR="00DF2EFE">
        <w:rPr>
          <w:rFonts w:eastAsia="Arial" w:cs="Arial"/>
        </w:rPr>
        <w:t>:</w:t>
      </w:r>
      <w:r w:rsidRPr="00823B8B">
        <w:rPr>
          <w:rFonts w:eastAsia="Arial" w:cs="Arial"/>
        </w:rPr>
        <w:t xml:space="preserve">135-144. </w:t>
      </w:r>
    </w:p>
    <w:p w14:paraId="2ADA8BD7" w14:textId="77777777" w:rsidR="00823B8B" w:rsidRPr="00823B8B" w:rsidRDefault="00823B8B" w:rsidP="00823B8B">
      <w:pPr>
        <w:rPr>
          <w:rFonts w:eastAsia="Arial" w:cs="Arial"/>
        </w:rPr>
      </w:pPr>
    </w:p>
    <w:p w14:paraId="7D7441B4" w14:textId="59B522FE" w:rsidR="00823B8B" w:rsidRPr="00823B8B" w:rsidRDefault="38221CDC" w:rsidP="00823B8B">
      <w:proofErr w:type="spellStart"/>
      <w:r w:rsidRPr="1BE6BE4F">
        <w:rPr>
          <w:rFonts w:eastAsia="Arial" w:cs="Arial"/>
          <w:color w:val="000000" w:themeColor="text1"/>
          <w:szCs w:val="22"/>
        </w:rPr>
        <w:t>Björmsjö</w:t>
      </w:r>
      <w:proofErr w:type="spellEnd"/>
      <w:r w:rsidRPr="1BE6BE4F">
        <w:rPr>
          <w:rFonts w:eastAsia="Arial" w:cs="Arial"/>
          <w:color w:val="000000" w:themeColor="text1"/>
          <w:szCs w:val="22"/>
        </w:rPr>
        <w:t xml:space="preserve"> M, </w:t>
      </w:r>
      <w:proofErr w:type="spellStart"/>
      <w:r w:rsidRPr="1BE6BE4F">
        <w:rPr>
          <w:rFonts w:eastAsia="Arial" w:cs="Arial"/>
          <w:color w:val="000000" w:themeColor="text1"/>
          <w:szCs w:val="22"/>
        </w:rPr>
        <w:t>Hernell</w:t>
      </w:r>
      <w:proofErr w:type="spellEnd"/>
      <w:r w:rsidRPr="1BE6BE4F">
        <w:rPr>
          <w:rFonts w:eastAsia="Arial" w:cs="Arial"/>
          <w:color w:val="000000" w:themeColor="text1"/>
          <w:szCs w:val="22"/>
        </w:rPr>
        <w:t xml:space="preserve"> O, </w:t>
      </w:r>
      <w:proofErr w:type="spellStart"/>
      <w:r w:rsidRPr="1BE6BE4F">
        <w:rPr>
          <w:rFonts w:eastAsia="Arial" w:cs="Arial"/>
          <w:color w:val="000000" w:themeColor="text1"/>
          <w:szCs w:val="22"/>
        </w:rPr>
        <w:t>Lönnerdal</w:t>
      </w:r>
      <w:proofErr w:type="spellEnd"/>
      <w:r w:rsidRPr="1BE6BE4F">
        <w:rPr>
          <w:rFonts w:eastAsia="Arial" w:cs="Arial"/>
          <w:color w:val="000000" w:themeColor="text1"/>
          <w:szCs w:val="22"/>
        </w:rPr>
        <w:t>, B, Berglund SK (2021) Reducing iron content in infant formula from 8 to 2 mg/L does not increase the risk of iron deficiency at 4 or 6 months of age: a randomized controlled trial. Nutrients</w:t>
      </w:r>
      <w:r w:rsidRPr="1BE6BE4F">
        <w:rPr>
          <w:rFonts w:eastAsia="Arial" w:cs="Arial"/>
          <w:i/>
          <w:iCs/>
          <w:color w:val="000000" w:themeColor="text1"/>
          <w:szCs w:val="22"/>
        </w:rPr>
        <w:t xml:space="preserve"> </w:t>
      </w:r>
      <w:r w:rsidRPr="1BE6BE4F">
        <w:rPr>
          <w:rFonts w:eastAsia="Arial" w:cs="Arial"/>
          <w:color w:val="000000" w:themeColor="text1"/>
          <w:szCs w:val="22"/>
        </w:rPr>
        <w:t xml:space="preserve">13(1):3. </w:t>
      </w:r>
      <w:proofErr w:type="spellStart"/>
      <w:r w:rsidRPr="1BE6BE4F">
        <w:rPr>
          <w:rFonts w:eastAsia="Arial" w:cs="Arial"/>
          <w:color w:val="212121"/>
          <w:sz w:val="24"/>
        </w:rPr>
        <w:t>doi</w:t>
      </w:r>
      <w:proofErr w:type="spellEnd"/>
      <w:r w:rsidRPr="1BE6BE4F">
        <w:rPr>
          <w:rFonts w:eastAsia="Arial" w:cs="Arial"/>
          <w:color w:val="212121"/>
          <w:sz w:val="24"/>
        </w:rPr>
        <w:t>: 10.3390/nu13010003</w:t>
      </w:r>
      <w:r w:rsidRPr="1BE6BE4F">
        <w:rPr>
          <w:rFonts w:eastAsia="Arial" w:cs="Arial"/>
          <w:szCs w:val="22"/>
        </w:rPr>
        <w:t xml:space="preserve"> </w:t>
      </w:r>
    </w:p>
    <w:p w14:paraId="123F248C" w14:textId="4B6A3B5E" w:rsidR="00823B8B" w:rsidRPr="00823B8B" w:rsidRDefault="00823B8B" w:rsidP="38221CDC">
      <w:pPr>
        <w:rPr>
          <w:szCs w:val="22"/>
        </w:rPr>
      </w:pPr>
    </w:p>
    <w:p w14:paraId="1D3375AC" w14:textId="7733AE86" w:rsidR="00823B8B" w:rsidRDefault="00823B8B" w:rsidP="00823B8B">
      <w:pPr>
        <w:rPr>
          <w:rFonts w:eastAsia="Arial" w:cs="Arial"/>
        </w:rPr>
      </w:pPr>
      <w:proofErr w:type="spellStart"/>
      <w:r w:rsidRPr="00823B8B">
        <w:rPr>
          <w:rFonts w:eastAsia="Arial" w:cs="Arial"/>
        </w:rPr>
        <w:t>Björmsjö</w:t>
      </w:r>
      <w:proofErr w:type="spellEnd"/>
      <w:r w:rsidRPr="00823B8B">
        <w:rPr>
          <w:rFonts w:eastAsia="Arial" w:cs="Arial"/>
        </w:rPr>
        <w:t xml:space="preserve"> M, </w:t>
      </w:r>
      <w:proofErr w:type="spellStart"/>
      <w:r w:rsidRPr="00823B8B">
        <w:rPr>
          <w:rFonts w:eastAsia="Arial" w:cs="Arial"/>
        </w:rPr>
        <w:t>Hernell</w:t>
      </w:r>
      <w:proofErr w:type="spellEnd"/>
      <w:r w:rsidRPr="00823B8B">
        <w:rPr>
          <w:rFonts w:eastAsia="Arial" w:cs="Arial"/>
        </w:rPr>
        <w:t xml:space="preserve"> O, </w:t>
      </w:r>
      <w:proofErr w:type="spellStart"/>
      <w:r w:rsidRPr="00823B8B">
        <w:rPr>
          <w:rFonts w:eastAsia="Arial" w:cs="Arial"/>
        </w:rPr>
        <w:t>Lönnerdal</w:t>
      </w:r>
      <w:proofErr w:type="spellEnd"/>
      <w:r w:rsidRPr="00823B8B">
        <w:rPr>
          <w:rFonts w:eastAsia="Arial" w:cs="Arial"/>
        </w:rPr>
        <w:t xml:space="preserve"> B, &amp; Berglund SK (2022) Immunological effects of adding bovine </w:t>
      </w:r>
      <w:r w:rsidR="6928FE9E" w:rsidRPr="1BE6BE4F">
        <w:rPr>
          <w:rFonts w:eastAsia="Arial" w:cs="Arial"/>
        </w:rPr>
        <w:t>lactoferrin</w:t>
      </w:r>
      <w:r w:rsidRPr="00823B8B">
        <w:rPr>
          <w:rFonts w:eastAsia="Arial" w:cs="Arial"/>
        </w:rPr>
        <w:t xml:space="preserve"> and reducing iron in infant formula: a randomized controlled trial. J Ped Gastroenterol </w:t>
      </w:r>
      <w:proofErr w:type="spellStart"/>
      <w:r w:rsidRPr="00823B8B">
        <w:rPr>
          <w:rFonts w:eastAsia="Arial" w:cs="Arial"/>
        </w:rPr>
        <w:t>Nutr</w:t>
      </w:r>
      <w:proofErr w:type="spellEnd"/>
      <w:r w:rsidRPr="00823B8B">
        <w:rPr>
          <w:rFonts w:eastAsia="Arial" w:cs="Arial"/>
        </w:rPr>
        <w:t xml:space="preserve"> </w:t>
      </w:r>
      <w:r w:rsidR="6928FE9E" w:rsidRPr="1BE6BE4F">
        <w:rPr>
          <w:rFonts w:eastAsia="Arial" w:cs="Arial"/>
        </w:rPr>
        <w:t xml:space="preserve">74(3):365-e72 </w:t>
      </w:r>
      <w:r w:rsidRPr="00823B8B">
        <w:rPr>
          <w:rFonts w:eastAsia="Arial" w:cs="Arial"/>
        </w:rPr>
        <w:t xml:space="preserve">doi:10.1097/MPG.0000000000003367 </w:t>
      </w:r>
    </w:p>
    <w:p w14:paraId="61BC16FF" w14:textId="01A81EBC" w:rsidR="006E130E" w:rsidRDefault="006E130E" w:rsidP="00823B8B">
      <w:pPr>
        <w:rPr>
          <w:rFonts w:eastAsia="Arial" w:cs="Arial"/>
        </w:rPr>
      </w:pPr>
    </w:p>
    <w:p w14:paraId="29AFD1C3" w14:textId="046CFCD7" w:rsidR="006E130E" w:rsidRDefault="006E130E" w:rsidP="00823B8B">
      <w:pPr>
        <w:rPr>
          <w:rFonts w:eastAsia="Arial" w:cs="Arial"/>
        </w:rPr>
      </w:pPr>
      <w:r>
        <w:rPr>
          <w:rFonts w:eastAsia="Arial" w:cs="Arial"/>
        </w:rPr>
        <w:t xml:space="preserve">Britton JR, </w:t>
      </w:r>
      <w:proofErr w:type="spellStart"/>
      <w:r>
        <w:rPr>
          <w:rFonts w:eastAsia="Arial" w:cs="Arial"/>
        </w:rPr>
        <w:t>Koldovský</w:t>
      </w:r>
      <w:proofErr w:type="spellEnd"/>
      <w:r>
        <w:rPr>
          <w:rFonts w:eastAsia="Arial" w:cs="Arial"/>
        </w:rPr>
        <w:t xml:space="preserve"> O (1989) </w:t>
      </w:r>
      <w:r w:rsidRPr="006E130E">
        <w:rPr>
          <w:rFonts w:eastAsia="Arial" w:cs="Arial"/>
        </w:rPr>
        <w:t>Gastric luminal digestion of lactoferrin and transferrin by preterm infants</w:t>
      </w:r>
      <w:r>
        <w:rPr>
          <w:rFonts w:eastAsia="Arial" w:cs="Arial"/>
        </w:rPr>
        <w:t xml:space="preserve">. Early Hum Dev </w:t>
      </w:r>
      <w:r w:rsidRPr="006E130E">
        <w:rPr>
          <w:rFonts w:eastAsia="Arial" w:cs="Arial"/>
        </w:rPr>
        <w:t>19(2):127-35</w:t>
      </w:r>
      <w:r>
        <w:rPr>
          <w:rFonts w:eastAsia="Arial" w:cs="Arial"/>
        </w:rPr>
        <w:t xml:space="preserve">. </w:t>
      </w:r>
    </w:p>
    <w:p w14:paraId="62356B70" w14:textId="77777777" w:rsidR="000E4950" w:rsidRDefault="000E4950" w:rsidP="00823B8B">
      <w:pPr>
        <w:rPr>
          <w:rFonts w:eastAsia="Arial" w:cs="Arial"/>
        </w:rPr>
      </w:pPr>
    </w:p>
    <w:p w14:paraId="3DA1AA6B" w14:textId="11D55748" w:rsidR="000E4950" w:rsidRPr="00823B8B" w:rsidRDefault="000E4950" w:rsidP="00823B8B">
      <w:pPr>
        <w:rPr>
          <w:rFonts w:eastAsia="Arial" w:cs="Arial"/>
        </w:rPr>
      </w:pPr>
      <w:r w:rsidRPr="000E4950">
        <w:rPr>
          <w:rFonts w:eastAsia="Arial" w:cs="Arial"/>
        </w:rPr>
        <w:t xml:space="preserve">Brock JH, </w:t>
      </w:r>
      <w:proofErr w:type="spellStart"/>
      <w:r w:rsidRPr="000E4950">
        <w:rPr>
          <w:rFonts w:eastAsia="Arial" w:cs="Arial"/>
        </w:rPr>
        <w:t>A</w:t>
      </w:r>
      <w:r>
        <w:rPr>
          <w:rFonts w:eastAsia="Arial" w:cs="Arial"/>
        </w:rPr>
        <w:t>rzabe</w:t>
      </w:r>
      <w:proofErr w:type="spellEnd"/>
      <w:r>
        <w:rPr>
          <w:rFonts w:eastAsia="Arial" w:cs="Arial"/>
        </w:rPr>
        <w:t xml:space="preserve"> F, </w:t>
      </w:r>
      <w:proofErr w:type="spellStart"/>
      <w:r>
        <w:rPr>
          <w:rFonts w:eastAsia="Arial" w:cs="Arial"/>
        </w:rPr>
        <w:t>Lampreave</w:t>
      </w:r>
      <w:proofErr w:type="spellEnd"/>
      <w:r>
        <w:rPr>
          <w:rFonts w:eastAsia="Arial" w:cs="Arial"/>
        </w:rPr>
        <w:t xml:space="preserve"> F, </w:t>
      </w:r>
      <w:proofErr w:type="spellStart"/>
      <w:r>
        <w:rPr>
          <w:rFonts w:eastAsia="Arial" w:cs="Arial"/>
        </w:rPr>
        <w:t>Piñeiro</w:t>
      </w:r>
      <w:proofErr w:type="spellEnd"/>
      <w:r>
        <w:rPr>
          <w:rFonts w:eastAsia="Arial" w:cs="Arial"/>
        </w:rPr>
        <w:t xml:space="preserve"> A (1976) </w:t>
      </w:r>
      <w:r w:rsidRPr="000E4950">
        <w:rPr>
          <w:rFonts w:eastAsia="Arial" w:cs="Arial"/>
        </w:rPr>
        <w:t>The effect of trypsin on bovine transferrin and lactoferrin</w:t>
      </w:r>
      <w:r>
        <w:rPr>
          <w:rFonts w:eastAsia="Arial" w:cs="Arial"/>
        </w:rPr>
        <w:t xml:space="preserve">. </w:t>
      </w:r>
      <w:proofErr w:type="spellStart"/>
      <w:r>
        <w:rPr>
          <w:rFonts w:eastAsia="Arial" w:cs="Arial"/>
        </w:rPr>
        <w:t>Biochim</w:t>
      </w:r>
      <w:proofErr w:type="spellEnd"/>
      <w:r>
        <w:rPr>
          <w:rFonts w:eastAsia="Arial" w:cs="Arial"/>
        </w:rPr>
        <w:t xml:space="preserve"> </w:t>
      </w:r>
      <w:proofErr w:type="spellStart"/>
      <w:r>
        <w:rPr>
          <w:rFonts w:eastAsia="Arial" w:cs="Arial"/>
        </w:rPr>
        <w:t>Biophys</w:t>
      </w:r>
      <w:proofErr w:type="spellEnd"/>
      <w:r>
        <w:rPr>
          <w:rFonts w:eastAsia="Arial" w:cs="Arial"/>
        </w:rPr>
        <w:t xml:space="preserve"> Acta </w:t>
      </w:r>
      <w:r w:rsidRPr="000E4950">
        <w:rPr>
          <w:rFonts w:eastAsia="Arial" w:cs="Arial"/>
        </w:rPr>
        <w:t>446(1):214-25.</w:t>
      </w:r>
    </w:p>
    <w:p w14:paraId="5A3614A9" w14:textId="77777777" w:rsidR="00823B8B" w:rsidRPr="00823B8B" w:rsidRDefault="00823B8B" w:rsidP="00823B8B">
      <w:pPr>
        <w:rPr>
          <w:rFonts w:eastAsia="Arial" w:cs="Arial"/>
        </w:rPr>
      </w:pPr>
    </w:p>
    <w:p w14:paraId="2A24511E" w14:textId="3B7A0F49" w:rsidR="00823B8B" w:rsidRDefault="00823B8B" w:rsidP="00823B8B">
      <w:pPr>
        <w:rPr>
          <w:rFonts w:eastAsia="Arial" w:cs="Arial"/>
        </w:rPr>
      </w:pPr>
      <w:r w:rsidRPr="00823B8B">
        <w:rPr>
          <w:rFonts w:eastAsia="Arial" w:cs="Arial"/>
        </w:rPr>
        <w:t>Bullen J</w:t>
      </w:r>
      <w:r w:rsidR="000E4950">
        <w:rPr>
          <w:rFonts w:eastAsia="Arial" w:cs="Arial"/>
        </w:rPr>
        <w:t>J, Rogers HJ</w:t>
      </w:r>
      <w:r w:rsidR="001C1FC0">
        <w:rPr>
          <w:rFonts w:eastAsia="Arial" w:cs="Arial"/>
        </w:rPr>
        <w:t>,</w:t>
      </w:r>
      <w:r w:rsidR="000E4950">
        <w:rPr>
          <w:rFonts w:eastAsia="Arial" w:cs="Arial"/>
        </w:rPr>
        <w:t xml:space="preserve"> Leigh L</w:t>
      </w:r>
      <w:r w:rsidRPr="00823B8B">
        <w:rPr>
          <w:rFonts w:eastAsia="Arial" w:cs="Arial"/>
        </w:rPr>
        <w:t xml:space="preserve"> (1972) Iron-binding proteins in milk and resistance to </w:t>
      </w:r>
      <w:r w:rsidRPr="00A64664">
        <w:rPr>
          <w:rFonts w:eastAsia="Arial" w:cs="Arial"/>
          <w:i/>
        </w:rPr>
        <w:t>Escherichia coli</w:t>
      </w:r>
      <w:r w:rsidRPr="00823B8B">
        <w:rPr>
          <w:rFonts w:eastAsia="Arial" w:cs="Arial"/>
        </w:rPr>
        <w:t xml:space="preserve"> infection in infants. British Medical Journal, 1972(1), 69-75.</w:t>
      </w:r>
    </w:p>
    <w:p w14:paraId="47757651" w14:textId="77777777" w:rsidR="00550D44" w:rsidRDefault="00550D44" w:rsidP="00550D44">
      <w:pPr>
        <w:rPr>
          <w:rFonts w:eastAsia="Arial" w:cs="Arial"/>
        </w:rPr>
      </w:pPr>
    </w:p>
    <w:p w14:paraId="37D8B328" w14:textId="77777777" w:rsidR="00384CD0" w:rsidRDefault="00384CD0" w:rsidP="00384CD0">
      <w:pPr>
        <w:widowControl/>
        <w:textAlignment w:val="baseline"/>
        <w:rPr>
          <w:rFonts w:cs="Arial"/>
          <w:szCs w:val="22"/>
          <w:lang w:val="en-AU" w:eastAsia="en-AU" w:bidi="ar-SA"/>
        </w:rPr>
      </w:pPr>
      <w:r w:rsidRPr="00550D44">
        <w:rPr>
          <w:rFonts w:cs="Arial"/>
          <w:szCs w:val="22"/>
          <w:lang w:val="en-AU" w:eastAsia="en-AU" w:bidi="ar-SA"/>
        </w:rPr>
        <w:t xml:space="preserve">Butte N, Cobb K, Dwyer J, Graney L, </w:t>
      </w:r>
      <w:proofErr w:type="spellStart"/>
      <w:r w:rsidRPr="00550D44">
        <w:rPr>
          <w:rFonts w:cs="Arial"/>
          <w:szCs w:val="22"/>
          <w:lang w:val="en-AU" w:eastAsia="en-AU" w:bidi="ar-SA"/>
        </w:rPr>
        <w:t>Heird</w:t>
      </w:r>
      <w:proofErr w:type="spellEnd"/>
      <w:r w:rsidRPr="00550D44">
        <w:rPr>
          <w:rFonts w:cs="Arial"/>
          <w:szCs w:val="22"/>
          <w:lang w:val="en-AU" w:eastAsia="en-AU" w:bidi="ar-SA"/>
        </w:rPr>
        <w:t xml:space="preserve"> W, Rickard K (2004) The Start Healthy Feeding Guidelines for Infants and Toddlers. J Am Diet Assoc 104:442–454. </w:t>
      </w:r>
      <w:proofErr w:type="spellStart"/>
      <w:r w:rsidRPr="00550D44">
        <w:rPr>
          <w:rFonts w:cs="Arial"/>
          <w:szCs w:val="22"/>
          <w:lang w:val="en-AU" w:eastAsia="en-AU" w:bidi="ar-SA"/>
        </w:rPr>
        <w:t>doi</w:t>
      </w:r>
      <w:proofErr w:type="spellEnd"/>
      <w:r w:rsidRPr="00550D44">
        <w:rPr>
          <w:rFonts w:cs="Arial"/>
          <w:szCs w:val="22"/>
          <w:lang w:val="en-AU" w:eastAsia="en-AU" w:bidi="ar-SA"/>
        </w:rPr>
        <w:t>: 10.1016/j.jada.2004.01.027 </w:t>
      </w:r>
    </w:p>
    <w:p w14:paraId="52FB19CD" w14:textId="0A96BACD" w:rsidR="006E130E" w:rsidRDefault="006E130E" w:rsidP="00384CD0">
      <w:pPr>
        <w:widowControl/>
        <w:textAlignment w:val="baseline"/>
        <w:rPr>
          <w:rFonts w:cs="Arial"/>
          <w:szCs w:val="22"/>
          <w:lang w:val="en-AU" w:eastAsia="en-AU" w:bidi="ar-SA"/>
        </w:rPr>
      </w:pPr>
    </w:p>
    <w:p w14:paraId="5388FA0D" w14:textId="7149BCFE" w:rsidR="006E130E" w:rsidRPr="00550D44" w:rsidRDefault="006E130E" w:rsidP="00384CD0">
      <w:pPr>
        <w:widowControl/>
        <w:textAlignment w:val="baseline"/>
        <w:rPr>
          <w:rFonts w:cs="Arial"/>
          <w:szCs w:val="22"/>
          <w:lang w:val="en-AU" w:eastAsia="en-AU" w:bidi="ar-SA"/>
        </w:rPr>
      </w:pPr>
      <w:r>
        <w:rPr>
          <w:rFonts w:cs="Arial"/>
          <w:szCs w:val="22"/>
          <w:lang w:val="en-AU" w:eastAsia="en-AU" w:bidi="ar-SA"/>
        </w:rPr>
        <w:t xml:space="preserve">Chatterton DEW, Rasmussen JT, Heegaard CW, </w:t>
      </w:r>
      <w:proofErr w:type="spellStart"/>
      <w:r>
        <w:rPr>
          <w:rFonts w:cs="Arial"/>
          <w:szCs w:val="22"/>
          <w:lang w:val="en-AU" w:eastAsia="en-AU" w:bidi="ar-SA"/>
        </w:rPr>
        <w:t>Sø</w:t>
      </w:r>
      <w:r w:rsidR="00190170">
        <w:rPr>
          <w:rFonts w:cs="Arial"/>
          <w:szCs w:val="22"/>
          <w:lang w:val="en-AU" w:eastAsia="en-AU" w:bidi="ar-SA"/>
        </w:rPr>
        <w:t>rensen</w:t>
      </w:r>
      <w:proofErr w:type="spellEnd"/>
      <w:r w:rsidR="00190170">
        <w:rPr>
          <w:rFonts w:cs="Arial"/>
          <w:szCs w:val="22"/>
          <w:lang w:val="en-AU" w:eastAsia="en-AU" w:bidi="ar-SA"/>
        </w:rPr>
        <w:t xml:space="preserve"> ES, Petersen TE (2004) In vitro digestion of novel milk protein ingredients for use in infant formulas: research on biological functions. </w:t>
      </w:r>
      <w:r w:rsidR="00190170" w:rsidRPr="00190170">
        <w:rPr>
          <w:rFonts w:cs="Arial"/>
          <w:szCs w:val="22"/>
          <w:lang w:val="en-AU" w:eastAsia="en-AU" w:bidi="ar-SA"/>
        </w:rPr>
        <w:t>Trends Food Sci Technol</w:t>
      </w:r>
      <w:r w:rsidR="00190170">
        <w:rPr>
          <w:rFonts w:cs="Arial"/>
          <w:szCs w:val="22"/>
          <w:lang w:val="en-AU" w:eastAsia="en-AU" w:bidi="ar-SA"/>
        </w:rPr>
        <w:t xml:space="preserve"> 15:373-383. </w:t>
      </w:r>
    </w:p>
    <w:p w14:paraId="0F5DC8E5" w14:textId="58077C96" w:rsidR="00384CD0" w:rsidRDefault="00384CD0" w:rsidP="00384CD0">
      <w:pPr>
        <w:widowControl/>
        <w:textAlignment w:val="baseline"/>
        <w:rPr>
          <w:rFonts w:cs="Arial"/>
          <w:szCs w:val="22"/>
          <w:lang w:val="en-AU" w:eastAsia="en-AU" w:bidi="ar-SA"/>
        </w:rPr>
      </w:pPr>
    </w:p>
    <w:p w14:paraId="5C8952DA" w14:textId="77777777" w:rsidR="00BE132B" w:rsidRPr="00550D44" w:rsidRDefault="00BE132B" w:rsidP="00BE132B">
      <w:pPr>
        <w:rPr>
          <w:rFonts w:eastAsia="Arial" w:cs="Arial"/>
          <w:szCs w:val="22"/>
        </w:rPr>
      </w:pPr>
      <w:r w:rsidRPr="00550D44">
        <w:rPr>
          <w:rFonts w:eastAsia="Arial" w:cs="Arial"/>
          <w:szCs w:val="22"/>
        </w:rPr>
        <w:t xml:space="preserve">Chen HL, Wang LC, Chang CH, Yen CC, Cheng WT, Wu SC, Hung CM, </w:t>
      </w:r>
      <w:proofErr w:type="spellStart"/>
      <w:r w:rsidRPr="00550D44">
        <w:rPr>
          <w:rFonts w:eastAsia="Arial" w:cs="Arial"/>
          <w:szCs w:val="22"/>
        </w:rPr>
        <w:t>Kuo</w:t>
      </w:r>
      <w:proofErr w:type="spellEnd"/>
      <w:r w:rsidRPr="00550D44">
        <w:rPr>
          <w:rFonts w:eastAsia="Arial" w:cs="Arial"/>
          <w:szCs w:val="22"/>
        </w:rPr>
        <w:t xml:space="preserve"> MF, Chen CM. (2008) Recombinant porcine lactoferrin expressed in the milk of transgenic mice protects neonatal mice from a lethal challenge with enterovirus type 71. Vaccine 26(7):891-898.</w:t>
      </w:r>
      <w:r w:rsidRPr="00550D44">
        <w:rPr>
          <w:rFonts w:eastAsia="Arial" w:cs="Arial"/>
          <w:szCs w:val="22"/>
        </w:rPr>
        <w:br/>
        <w:t>DOI:10.1016/j.vaccine.2007.12.013.</w:t>
      </w:r>
    </w:p>
    <w:p w14:paraId="43132591" w14:textId="77777777" w:rsidR="00EB3C5A" w:rsidRDefault="00EB3C5A" w:rsidP="00384CD0">
      <w:pPr>
        <w:widowControl/>
        <w:textAlignment w:val="baseline"/>
        <w:rPr>
          <w:rFonts w:cs="Arial"/>
          <w:szCs w:val="22"/>
          <w:lang w:val="en-AU" w:eastAsia="en-AU" w:bidi="ar-SA"/>
        </w:rPr>
      </w:pPr>
    </w:p>
    <w:p w14:paraId="1F769FF0" w14:textId="3662AE40" w:rsidR="00EB3C5A" w:rsidRPr="00EB3C5A" w:rsidRDefault="00DF2EFE" w:rsidP="00EB3C5A">
      <w:pPr>
        <w:widowControl/>
        <w:textAlignment w:val="baseline"/>
        <w:rPr>
          <w:rFonts w:cs="Arial"/>
          <w:szCs w:val="22"/>
          <w:lang w:val="en-AU" w:eastAsia="en-AU" w:bidi="ar-SA"/>
        </w:rPr>
      </w:pPr>
      <w:r w:rsidRPr="00DF2EFE">
        <w:rPr>
          <w:rFonts w:cs="Arial"/>
          <w:szCs w:val="22"/>
          <w:lang w:val="en-AU" w:eastAsia="en-AU" w:bidi="ar-SA"/>
        </w:rPr>
        <w:t xml:space="preserve">Chen K, Chai L, Li H, Zhang Y, </w:t>
      </w:r>
      <w:proofErr w:type="spellStart"/>
      <w:r w:rsidRPr="00DF2EFE">
        <w:rPr>
          <w:rFonts w:cs="Arial"/>
          <w:szCs w:val="22"/>
          <w:lang w:val="en-AU" w:eastAsia="en-AU" w:bidi="ar-SA"/>
        </w:rPr>
        <w:t>Xie</w:t>
      </w:r>
      <w:proofErr w:type="spellEnd"/>
      <w:r w:rsidRPr="00DF2EFE">
        <w:rPr>
          <w:rFonts w:cs="Arial"/>
          <w:szCs w:val="22"/>
          <w:lang w:val="en-AU" w:eastAsia="en-AU" w:bidi="ar-SA"/>
        </w:rPr>
        <w:t xml:space="preserve"> HM, Shang J, Tian W, Yang P, Jiang AC</w:t>
      </w:r>
      <w:r w:rsidR="00EB3C5A" w:rsidRPr="00EB3C5A">
        <w:rPr>
          <w:rFonts w:cs="Arial"/>
          <w:szCs w:val="22"/>
          <w:lang w:val="en-AU" w:eastAsia="en-AU" w:bidi="ar-SA"/>
        </w:rPr>
        <w:t xml:space="preserve"> (2016) Effect of bovine lactoferrin from iron-fortified formulas on diarrhea and respiratory tract infections of weaned infants in a randomized controlled trial. Nutrition 32(2</w:t>
      </w:r>
      <w:r w:rsidRPr="00EB3C5A">
        <w:rPr>
          <w:rFonts w:cs="Arial"/>
          <w:szCs w:val="22"/>
          <w:lang w:val="en-AU" w:eastAsia="en-AU" w:bidi="ar-SA"/>
        </w:rPr>
        <w:t>)</w:t>
      </w:r>
      <w:r>
        <w:rPr>
          <w:rFonts w:cs="Arial"/>
          <w:szCs w:val="22"/>
          <w:lang w:val="en-AU" w:eastAsia="en-AU" w:bidi="ar-SA"/>
        </w:rPr>
        <w:t>:</w:t>
      </w:r>
      <w:r w:rsidR="00EB3C5A" w:rsidRPr="00EB3C5A">
        <w:rPr>
          <w:rFonts w:cs="Arial"/>
          <w:szCs w:val="22"/>
          <w:lang w:val="en-AU" w:eastAsia="en-AU" w:bidi="ar-SA"/>
        </w:rPr>
        <w:t xml:space="preserve">222-227. doi:10.1016/j.nut.2015.08.010 </w:t>
      </w:r>
    </w:p>
    <w:p w14:paraId="24E27828" w14:textId="77777777" w:rsidR="00EB3C5A" w:rsidRPr="00EB3C5A" w:rsidRDefault="00EB3C5A" w:rsidP="00EB3C5A">
      <w:pPr>
        <w:widowControl/>
        <w:textAlignment w:val="baseline"/>
        <w:rPr>
          <w:rFonts w:cs="Arial"/>
          <w:szCs w:val="22"/>
          <w:lang w:val="en-AU" w:eastAsia="en-AU" w:bidi="ar-SA"/>
        </w:rPr>
      </w:pPr>
    </w:p>
    <w:p w14:paraId="1F285254" w14:textId="3911DBD9" w:rsidR="00EB3C5A" w:rsidRPr="00EB3C5A" w:rsidRDefault="00EB3C5A" w:rsidP="00EB3C5A">
      <w:pPr>
        <w:widowControl/>
        <w:textAlignment w:val="baseline"/>
        <w:rPr>
          <w:rFonts w:cs="Arial"/>
          <w:szCs w:val="22"/>
          <w:lang w:val="en-AU" w:eastAsia="en-AU" w:bidi="ar-SA"/>
        </w:rPr>
      </w:pPr>
      <w:r w:rsidRPr="00EB3C5A">
        <w:rPr>
          <w:rFonts w:cs="Arial"/>
          <w:szCs w:val="22"/>
          <w:lang w:val="en-AU" w:eastAsia="en-AU" w:bidi="ar-SA"/>
        </w:rPr>
        <w:t>Chen K</w:t>
      </w:r>
      <w:r w:rsidR="00E919E2" w:rsidRPr="00E919E2">
        <w:rPr>
          <w:rFonts w:cs="Arial"/>
          <w:szCs w:val="22"/>
          <w:lang w:val="en-AU" w:eastAsia="en-AU" w:bidi="ar-SA"/>
        </w:rPr>
        <w:t>,</w:t>
      </w:r>
      <w:r w:rsidRPr="00EB3C5A">
        <w:rPr>
          <w:rFonts w:cs="Arial"/>
          <w:szCs w:val="22"/>
          <w:lang w:val="en-AU" w:eastAsia="en-AU" w:bidi="ar-SA"/>
        </w:rPr>
        <w:t xml:space="preserve"> Jin S</w:t>
      </w:r>
      <w:r w:rsidR="00E919E2" w:rsidRPr="00E919E2">
        <w:rPr>
          <w:rFonts w:cs="Arial"/>
          <w:szCs w:val="22"/>
          <w:lang w:val="en-AU" w:eastAsia="en-AU" w:bidi="ar-SA"/>
        </w:rPr>
        <w:t>,</w:t>
      </w:r>
      <w:r w:rsidRPr="00EB3C5A">
        <w:rPr>
          <w:rFonts w:cs="Arial"/>
          <w:szCs w:val="22"/>
          <w:lang w:val="en-AU" w:eastAsia="en-AU" w:bidi="ar-SA"/>
        </w:rPr>
        <w:t xml:space="preserve"> Chen H</w:t>
      </w:r>
      <w:r w:rsidR="00E919E2" w:rsidRPr="00E919E2">
        <w:rPr>
          <w:rFonts w:cs="Arial"/>
          <w:szCs w:val="22"/>
          <w:lang w:val="en-AU" w:eastAsia="en-AU" w:bidi="ar-SA"/>
        </w:rPr>
        <w:t>, Cao Y, Dong X, Li H, Zhou Z, Liu C</w:t>
      </w:r>
      <w:r w:rsidRPr="00EB3C5A">
        <w:rPr>
          <w:rFonts w:cs="Arial"/>
          <w:szCs w:val="22"/>
          <w:lang w:val="en-AU" w:eastAsia="en-AU" w:bidi="ar-SA"/>
        </w:rPr>
        <w:t xml:space="preserve"> (2021) Dose effect of bovine lactoferrin fortification on diarrhea and respiratory tract infections in weaned infants with </w:t>
      </w:r>
      <w:proofErr w:type="spellStart"/>
      <w:r w:rsidRPr="00EB3C5A">
        <w:rPr>
          <w:rFonts w:cs="Arial"/>
          <w:szCs w:val="22"/>
          <w:lang w:val="en-AU" w:eastAsia="en-AU" w:bidi="ar-SA"/>
        </w:rPr>
        <w:t>anemia</w:t>
      </w:r>
      <w:proofErr w:type="spellEnd"/>
      <w:r w:rsidRPr="00EB3C5A">
        <w:rPr>
          <w:rFonts w:cs="Arial"/>
          <w:szCs w:val="22"/>
          <w:lang w:val="en-AU" w:eastAsia="en-AU" w:bidi="ar-SA"/>
        </w:rPr>
        <w:t xml:space="preserve">: a randomized controlled trial. Nutrition, 90, 111288. </w:t>
      </w:r>
    </w:p>
    <w:p w14:paraId="1C751F6D" w14:textId="77777777" w:rsidR="00BF5A0D" w:rsidRPr="00550D44" w:rsidRDefault="00BF5A0D" w:rsidP="00BF5A0D">
      <w:pPr>
        <w:widowControl/>
        <w:textAlignment w:val="baseline"/>
        <w:rPr>
          <w:rFonts w:cs="Arial"/>
          <w:szCs w:val="22"/>
          <w:lang w:val="en-AU" w:eastAsia="en-AU" w:bidi="ar-SA"/>
        </w:rPr>
      </w:pPr>
    </w:p>
    <w:p w14:paraId="54434D7F" w14:textId="32E9A8C9" w:rsidR="00BF5A0D" w:rsidRPr="00550D44" w:rsidRDefault="00BF5A0D" w:rsidP="00BF5A0D">
      <w:pPr>
        <w:widowControl/>
        <w:textAlignment w:val="baseline"/>
        <w:rPr>
          <w:rFonts w:cs="Arial"/>
          <w:szCs w:val="22"/>
          <w:lang w:val="en-AU" w:eastAsia="en-AU" w:bidi="ar-SA"/>
        </w:rPr>
      </w:pPr>
      <w:r w:rsidRPr="00550D44">
        <w:rPr>
          <w:rFonts w:cs="Arial"/>
          <w:szCs w:val="22"/>
          <w:lang w:eastAsia="en-AU" w:bidi="ar-SA"/>
        </w:rPr>
        <w:t>Chen PW, Mao FC (2004) Detection of lactoferrin in bovine and goat milk by enzyme-linked immunosorbent assay. J Food Drug Anal12(2).</w:t>
      </w:r>
      <w:r w:rsidRPr="00550D44">
        <w:rPr>
          <w:rFonts w:cs="Arial"/>
          <w:szCs w:val="22"/>
          <w:lang w:val="en-AU" w:eastAsia="en-AU" w:bidi="ar-SA"/>
        </w:rPr>
        <w:t> </w:t>
      </w:r>
    </w:p>
    <w:p w14:paraId="3500E41E" w14:textId="77777777" w:rsidR="00BF5A0D" w:rsidRPr="00550D44" w:rsidRDefault="00BF5A0D" w:rsidP="00BF5A0D">
      <w:pPr>
        <w:widowControl/>
        <w:textAlignment w:val="baseline"/>
        <w:rPr>
          <w:rFonts w:cs="Arial"/>
          <w:szCs w:val="22"/>
          <w:lang w:val="en-AU" w:eastAsia="en-AU" w:bidi="ar-SA"/>
        </w:rPr>
      </w:pPr>
    </w:p>
    <w:p w14:paraId="7E3C2AB6" w14:textId="6E1255F1" w:rsidR="00BF5A0D" w:rsidRPr="00550D44" w:rsidRDefault="00DF2EFE" w:rsidP="00BF5A0D">
      <w:pPr>
        <w:widowControl/>
        <w:textAlignment w:val="baseline"/>
        <w:rPr>
          <w:rFonts w:cs="Arial"/>
          <w:szCs w:val="22"/>
          <w:lang w:val="en-AU" w:eastAsia="en-AU" w:bidi="ar-SA"/>
        </w:rPr>
      </w:pPr>
      <w:r w:rsidRPr="00DF2EFE">
        <w:rPr>
          <w:rFonts w:cs="Arial"/>
          <w:szCs w:val="22"/>
          <w:lang w:eastAsia="en-AU" w:bidi="ar-SA"/>
        </w:rPr>
        <w:t>Cheng JB, Wang JQ, Bu DP, Liu GL, Zhang CG, Wei HY, Zhou LY, Wang JZ</w:t>
      </w:r>
      <w:r w:rsidR="00BF5A0D" w:rsidRPr="00550D44">
        <w:rPr>
          <w:rFonts w:cs="Arial"/>
          <w:szCs w:val="22"/>
          <w:lang w:eastAsia="en-AU" w:bidi="ar-SA"/>
        </w:rPr>
        <w:t xml:space="preserve"> (2008) Factors affecting the lactoferrin concentration in bovine milk. </w:t>
      </w:r>
      <w:r>
        <w:rPr>
          <w:rFonts w:cs="Arial"/>
          <w:szCs w:val="22"/>
          <w:lang w:eastAsia="en-AU" w:bidi="ar-SA"/>
        </w:rPr>
        <w:t>J Dairy Sci</w:t>
      </w:r>
      <w:r w:rsidR="00BF5A0D" w:rsidRPr="00550D44">
        <w:rPr>
          <w:rFonts w:cs="Arial"/>
          <w:szCs w:val="22"/>
          <w:lang w:eastAsia="en-AU" w:bidi="ar-SA"/>
        </w:rPr>
        <w:t> 91(3</w:t>
      </w:r>
      <w:r w:rsidRPr="00550D44">
        <w:rPr>
          <w:rFonts w:cs="Arial"/>
          <w:szCs w:val="22"/>
          <w:lang w:eastAsia="en-AU" w:bidi="ar-SA"/>
        </w:rPr>
        <w:t>)</w:t>
      </w:r>
      <w:r>
        <w:rPr>
          <w:rFonts w:cs="Arial"/>
          <w:szCs w:val="22"/>
          <w:lang w:eastAsia="en-AU" w:bidi="ar-SA"/>
        </w:rPr>
        <w:t>:</w:t>
      </w:r>
      <w:r w:rsidR="00BF5A0D" w:rsidRPr="00550D44">
        <w:rPr>
          <w:rFonts w:cs="Arial"/>
          <w:szCs w:val="22"/>
          <w:lang w:eastAsia="en-AU" w:bidi="ar-SA"/>
        </w:rPr>
        <w:t>970-976.</w:t>
      </w:r>
      <w:r w:rsidR="00BF5A0D" w:rsidRPr="00550D44">
        <w:rPr>
          <w:rFonts w:cs="Arial"/>
          <w:szCs w:val="22"/>
          <w:lang w:val="en-AU" w:eastAsia="en-AU" w:bidi="ar-SA"/>
        </w:rPr>
        <w:t> </w:t>
      </w:r>
    </w:p>
    <w:p w14:paraId="0D304424" w14:textId="77777777" w:rsidR="00BE132B" w:rsidRPr="00EB3C5A" w:rsidRDefault="00BE132B" w:rsidP="00EB3C5A">
      <w:pPr>
        <w:widowControl/>
        <w:textAlignment w:val="baseline"/>
        <w:rPr>
          <w:rFonts w:cs="Arial"/>
          <w:szCs w:val="22"/>
          <w:lang w:val="en-AU" w:eastAsia="en-AU" w:bidi="ar-SA"/>
        </w:rPr>
      </w:pPr>
    </w:p>
    <w:p w14:paraId="5F3C3F60" w14:textId="51D9CD04" w:rsidR="00EB3C5A" w:rsidRDefault="38221CDC" w:rsidP="1BE6BE4F">
      <w:pPr>
        <w:widowControl/>
        <w:textAlignment w:val="baseline"/>
        <w:rPr>
          <w:rFonts w:eastAsia="Arial" w:cs="Arial"/>
          <w:color w:val="333333"/>
          <w:szCs w:val="22"/>
          <w:lang w:val="en-US"/>
        </w:rPr>
      </w:pPr>
      <w:proofErr w:type="spellStart"/>
      <w:r w:rsidRPr="1BE6BE4F">
        <w:rPr>
          <w:rFonts w:eastAsia="Arial" w:cs="Arial"/>
          <w:color w:val="333333"/>
          <w:szCs w:val="22"/>
        </w:rPr>
        <w:t>Chierici</w:t>
      </w:r>
      <w:proofErr w:type="spellEnd"/>
      <w:r w:rsidRPr="1BE6BE4F">
        <w:rPr>
          <w:rFonts w:eastAsia="Arial" w:cs="Arial"/>
          <w:color w:val="333333"/>
          <w:szCs w:val="22"/>
        </w:rPr>
        <w:t xml:space="preserve"> R, </w:t>
      </w:r>
      <w:proofErr w:type="spellStart"/>
      <w:r w:rsidRPr="1BE6BE4F">
        <w:rPr>
          <w:rFonts w:eastAsia="Arial" w:cs="Arial"/>
          <w:color w:val="333333"/>
          <w:szCs w:val="22"/>
        </w:rPr>
        <w:t>Sawatzki</w:t>
      </w:r>
      <w:proofErr w:type="spellEnd"/>
      <w:r w:rsidRPr="1BE6BE4F">
        <w:rPr>
          <w:rFonts w:eastAsia="Arial" w:cs="Arial"/>
          <w:color w:val="333333"/>
          <w:szCs w:val="22"/>
        </w:rPr>
        <w:t xml:space="preserve"> G, </w:t>
      </w:r>
      <w:proofErr w:type="spellStart"/>
      <w:r w:rsidRPr="1BE6BE4F">
        <w:rPr>
          <w:rFonts w:eastAsia="Arial" w:cs="Arial"/>
          <w:color w:val="333333"/>
          <w:szCs w:val="22"/>
        </w:rPr>
        <w:t>Tamisari</w:t>
      </w:r>
      <w:proofErr w:type="spellEnd"/>
      <w:r w:rsidRPr="1BE6BE4F">
        <w:rPr>
          <w:rFonts w:eastAsia="Arial" w:cs="Arial"/>
          <w:color w:val="333333"/>
          <w:szCs w:val="22"/>
        </w:rPr>
        <w:t xml:space="preserve"> L, Volpato S, </w:t>
      </w:r>
      <w:proofErr w:type="spellStart"/>
      <w:r w:rsidRPr="1BE6BE4F">
        <w:rPr>
          <w:rFonts w:eastAsia="Arial" w:cs="Arial"/>
          <w:color w:val="333333"/>
          <w:szCs w:val="22"/>
        </w:rPr>
        <w:t>Vigi</w:t>
      </w:r>
      <w:proofErr w:type="spellEnd"/>
      <w:r w:rsidRPr="1BE6BE4F">
        <w:rPr>
          <w:rFonts w:eastAsia="Arial" w:cs="Arial"/>
          <w:color w:val="333333"/>
          <w:szCs w:val="22"/>
        </w:rPr>
        <w:t xml:space="preserve"> V (1992) Supplementation of an adapted formula with bovine lactoferrin. 2. Effects on serum iron, ferritin and zinc levels. Acta </w:t>
      </w:r>
      <w:proofErr w:type="spellStart"/>
      <w:r w:rsidRPr="1BE6BE4F">
        <w:rPr>
          <w:rFonts w:eastAsia="Arial" w:cs="Arial"/>
          <w:color w:val="333333"/>
          <w:szCs w:val="22"/>
        </w:rPr>
        <w:t>Paediatr</w:t>
      </w:r>
      <w:proofErr w:type="spellEnd"/>
      <w:r w:rsidRPr="1BE6BE4F">
        <w:rPr>
          <w:rFonts w:eastAsia="Arial" w:cs="Arial"/>
          <w:color w:val="333333"/>
          <w:szCs w:val="22"/>
        </w:rPr>
        <w:t xml:space="preserve"> 81(6-7):475-479. </w:t>
      </w:r>
      <w:proofErr w:type="spellStart"/>
      <w:r w:rsidRPr="1BE6BE4F">
        <w:rPr>
          <w:rFonts w:eastAsia="Arial" w:cs="Arial"/>
          <w:color w:val="333333"/>
          <w:szCs w:val="22"/>
        </w:rPr>
        <w:t>doi</w:t>
      </w:r>
      <w:proofErr w:type="spellEnd"/>
      <w:r w:rsidRPr="1BE6BE4F">
        <w:rPr>
          <w:rFonts w:eastAsia="Arial" w:cs="Arial"/>
          <w:color w:val="333333"/>
          <w:szCs w:val="22"/>
        </w:rPr>
        <w:t>: 10.1111/j.1651-2227.1992.tb12277.x.</w:t>
      </w:r>
    </w:p>
    <w:p w14:paraId="79034ACE" w14:textId="7359E9CF" w:rsidR="00EB3C5A" w:rsidRDefault="00EB3C5A" w:rsidP="38221CDC">
      <w:pPr>
        <w:widowControl/>
        <w:textAlignment w:val="baseline"/>
        <w:rPr>
          <w:rFonts w:eastAsia="Arial" w:cs="Arial"/>
          <w:color w:val="333333"/>
          <w:szCs w:val="22"/>
          <w:lang w:val="en-AU"/>
        </w:rPr>
      </w:pPr>
    </w:p>
    <w:p w14:paraId="17A7D1FD" w14:textId="11171023" w:rsidR="00EB3C5A" w:rsidRDefault="00EB3C5A" w:rsidP="00EB3C5A">
      <w:pPr>
        <w:widowControl/>
        <w:textAlignment w:val="baseline"/>
        <w:rPr>
          <w:rFonts w:cs="Arial"/>
          <w:lang w:val="en-AU" w:eastAsia="en-AU" w:bidi="ar-SA"/>
        </w:rPr>
      </w:pPr>
      <w:r w:rsidRPr="38221CDC">
        <w:rPr>
          <w:rFonts w:cs="Arial"/>
          <w:lang w:val="en-AU" w:eastAsia="en-AU" w:bidi="ar-SA"/>
        </w:rPr>
        <w:t xml:space="preserve">Clarke NM, May JT (2000) Effect of antimicrobial factors in human milk on rhinoviruses and milk-borne cytomegalovirus in vitro. J Med </w:t>
      </w:r>
      <w:proofErr w:type="spellStart"/>
      <w:r w:rsidRPr="38221CDC">
        <w:rPr>
          <w:rFonts w:cs="Arial"/>
          <w:lang w:val="en-AU" w:eastAsia="en-AU" w:bidi="ar-SA"/>
        </w:rPr>
        <w:t>Microbiol</w:t>
      </w:r>
      <w:proofErr w:type="spellEnd"/>
      <w:r w:rsidRPr="38221CDC">
        <w:rPr>
          <w:rFonts w:cs="Arial"/>
          <w:lang w:val="en-AU" w:eastAsia="en-AU" w:bidi="ar-SA"/>
        </w:rPr>
        <w:t xml:space="preserve"> 49</w:t>
      </w:r>
      <w:r w:rsidR="00DF2EFE">
        <w:rPr>
          <w:rFonts w:cs="Arial"/>
          <w:lang w:val="en-AU" w:eastAsia="en-AU" w:bidi="ar-SA"/>
        </w:rPr>
        <w:t>:</w:t>
      </w:r>
      <w:r w:rsidRPr="38221CDC">
        <w:rPr>
          <w:rFonts w:cs="Arial"/>
          <w:lang w:val="en-AU" w:eastAsia="en-AU" w:bidi="ar-SA"/>
        </w:rPr>
        <w:t>719-723.</w:t>
      </w:r>
    </w:p>
    <w:p w14:paraId="04E26C08" w14:textId="77777777" w:rsidR="00EB3C5A" w:rsidRDefault="00EB3C5A" w:rsidP="00384CD0">
      <w:pPr>
        <w:widowControl/>
        <w:textAlignment w:val="baseline"/>
        <w:rPr>
          <w:rFonts w:cs="Arial"/>
          <w:szCs w:val="22"/>
          <w:lang w:val="en-AU" w:eastAsia="en-AU" w:bidi="ar-SA"/>
        </w:rPr>
      </w:pPr>
    </w:p>
    <w:p w14:paraId="21091C06" w14:textId="3019BC03" w:rsidR="00384CD0" w:rsidRDefault="00384CD0" w:rsidP="00384CD0">
      <w:pPr>
        <w:widowControl/>
        <w:textAlignment w:val="baseline"/>
        <w:rPr>
          <w:rFonts w:cs="Arial"/>
          <w:szCs w:val="22"/>
          <w:lang w:val="en-AU" w:eastAsia="en-AU" w:bidi="ar-SA"/>
        </w:rPr>
      </w:pPr>
      <w:proofErr w:type="spellStart"/>
      <w:r w:rsidRPr="00550D44">
        <w:rPr>
          <w:rFonts w:cs="Arial"/>
          <w:szCs w:val="22"/>
          <w:lang w:eastAsia="en-AU" w:bidi="ar-SA"/>
        </w:rPr>
        <w:t>Czosnykowska-Łukacka</w:t>
      </w:r>
      <w:proofErr w:type="spellEnd"/>
      <w:r w:rsidRPr="00550D44">
        <w:rPr>
          <w:rFonts w:cs="Arial"/>
          <w:szCs w:val="22"/>
          <w:lang w:eastAsia="en-AU" w:bidi="ar-SA"/>
        </w:rPr>
        <w:t xml:space="preserve"> M, </w:t>
      </w:r>
      <w:proofErr w:type="spellStart"/>
      <w:r w:rsidRPr="00550D44">
        <w:rPr>
          <w:rFonts w:cs="Arial"/>
          <w:szCs w:val="22"/>
          <w:lang w:eastAsia="en-AU" w:bidi="ar-SA"/>
        </w:rPr>
        <w:t>Orczyk-Pawiłowicz</w:t>
      </w:r>
      <w:proofErr w:type="spellEnd"/>
      <w:r w:rsidRPr="00550D44">
        <w:rPr>
          <w:rFonts w:cs="Arial"/>
          <w:szCs w:val="22"/>
          <w:lang w:eastAsia="en-AU" w:bidi="ar-SA"/>
        </w:rPr>
        <w:t xml:space="preserve"> M, </w:t>
      </w:r>
      <w:proofErr w:type="spellStart"/>
      <w:r w:rsidRPr="00550D44">
        <w:rPr>
          <w:rFonts w:cs="Arial"/>
          <w:szCs w:val="22"/>
          <w:lang w:eastAsia="en-AU" w:bidi="ar-SA"/>
        </w:rPr>
        <w:t>Broers</w:t>
      </w:r>
      <w:proofErr w:type="spellEnd"/>
      <w:r w:rsidRPr="00550D44">
        <w:rPr>
          <w:rFonts w:cs="Arial"/>
          <w:szCs w:val="22"/>
          <w:lang w:eastAsia="en-AU" w:bidi="ar-SA"/>
        </w:rPr>
        <w:t xml:space="preserve"> B, </w:t>
      </w:r>
      <w:proofErr w:type="spellStart"/>
      <w:r w:rsidRPr="00550D44">
        <w:rPr>
          <w:rFonts w:cs="Arial"/>
          <w:szCs w:val="22"/>
          <w:lang w:eastAsia="en-AU" w:bidi="ar-SA"/>
        </w:rPr>
        <w:t>Królak</w:t>
      </w:r>
      <w:proofErr w:type="spellEnd"/>
      <w:r w:rsidRPr="00550D44">
        <w:rPr>
          <w:rFonts w:cs="Arial"/>
          <w:szCs w:val="22"/>
          <w:lang w:eastAsia="en-AU" w:bidi="ar-SA"/>
        </w:rPr>
        <w:t>-Olejnik B (2019) Lactoferrin in human milk of prolonged lactation. Nutrients 11(10</w:t>
      </w:r>
      <w:r w:rsidR="00DF2EFE" w:rsidRPr="00550D44">
        <w:rPr>
          <w:rFonts w:cs="Arial"/>
          <w:szCs w:val="22"/>
          <w:lang w:eastAsia="en-AU" w:bidi="ar-SA"/>
        </w:rPr>
        <w:t>)</w:t>
      </w:r>
      <w:r w:rsidR="00DF2EFE">
        <w:rPr>
          <w:rFonts w:cs="Arial"/>
          <w:szCs w:val="22"/>
          <w:lang w:eastAsia="en-AU" w:bidi="ar-SA"/>
        </w:rPr>
        <w:t>:</w:t>
      </w:r>
      <w:r w:rsidRPr="00550D44">
        <w:rPr>
          <w:rFonts w:cs="Arial"/>
          <w:szCs w:val="22"/>
          <w:lang w:eastAsia="en-AU" w:bidi="ar-SA"/>
        </w:rPr>
        <w:t>2350.</w:t>
      </w:r>
      <w:r w:rsidRPr="00550D44">
        <w:rPr>
          <w:rFonts w:cs="Arial"/>
          <w:szCs w:val="22"/>
          <w:lang w:val="en-AU" w:eastAsia="en-AU" w:bidi="ar-SA"/>
        </w:rPr>
        <w:t> </w:t>
      </w:r>
    </w:p>
    <w:p w14:paraId="3DE9F3EF" w14:textId="17EC949B" w:rsidR="00C30133" w:rsidRDefault="00C30133" w:rsidP="00384CD0">
      <w:pPr>
        <w:widowControl/>
        <w:textAlignment w:val="baseline"/>
        <w:rPr>
          <w:rFonts w:cs="Arial"/>
          <w:szCs w:val="22"/>
          <w:lang w:val="en-AU" w:eastAsia="en-AU" w:bidi="ar-SA"/>
        </w:rPr>
      </w:pPr>
    </w:p>
    <w:p w14:paraId="6A0DB75D" w14:textId="45597418" w:rsidR="00C30133" w:rsidRDefault="00C30133" w:rsidP="00384CD0">
      <w:pPr>
        <w:widowControl/>
        <w:textAlignment w:val="baseline"/>
        <w:rPr>
          <w:rFonts w:cs="Arial"/>
          <w:szCs w:val="22"/>
          <w:lang w:val="en-AU" w:eastAsia="en-AU" w:bidi="ar-SA"/>
        </w:rPr>
      </w:pPr>
      <w:r w:rsidRPr="00C30133">
        <w:rPr>
          <w:rFonts w:cs="Arial"/>
          <w:szCs w:val="22"/>
          <w:lang w:val="en-AU" w:eastAsia="en-AU" w:bidi="ar-SA"/>
        </w:rPr>
        <w:t xml:space="preserve">Dallas DC, Guerrero A, </w:t>
      </w:r>
      <w:proofErr w:type="spellStart"/>
      <w:r w:rsidRPr="00C30133">
        <w:rPr>
          <w:rFonts w:cs="Arial"/>
          <w:szCs w:val="22"/>
          <w:lang w:val="en-AU" w:eastAsia="en-AU" w:bidi="ar-SA"/>
        </w:rPr>
        <w:t>Khaldi</w:t>
      </w:r>
      <w:proofErr w:type="spellEnd"/>
      <w:r w:rsidRPr="00C30133">
        <w:rPr>
          <w:rFonts w:cs="Arial"/>
          <w:szCs w:val="22"/>
          <w:lang w:val="en-AU" w:eastAsia="en-AU" w:bidi="ar-SA"/>
        </w:rPr>
        <w:t xml:space="preserve"> N, Borghese R, Bhandari A, Underwood MA, </w:t>
      </w:r>
      <w:proofErr w:type="spellStart"/>
      <w:r w:rsidRPr="00C30133">
        <w:rPr>
          <w:rFonts w:cs="Arial"/>
          <w:szCs w:val="22"/>
          <w:lang w:val="en-AU" w:eastAsia="en-AU" w:bidi="ar-SA"/>
        </w:rPr>
        <w:t>L</w:t>
      </w:r>
      <w:r>
        <w:rPr>
          <w:rFonts w:cs="Arial"/>
          <w:szCs w:val="22"/>
          <w:lang w:val="en-AU" w:eastAsia="en-AU" w:bidi="ar-SA"/>
        </w:rPr>
        <w:t>ebrilla</w:t>
      </w:r>
      <w:proofErr w:type="spellEnd"/>
      <w:r>
        <w:rPr>
          <w:rFonts w:cs="Arial"/>
          <w:szCs w:val="22"/>
          <w:lang w:val="en-AU" w:eastAsia="en-AU" w:bidi="ar-SA"/>
        </w:rPr>
        <w:t xml:space="preserve"> CB, German JB, Barile D (2014) </w:t>
      </w:r>
      <w:r w:rsidRPr="00C30133">
        <w:rPr>
          <w:rFonts w:cs="Arial"/>
          <w:szCs w:val="22"/>
          <w:lang w:val="en-AU" w:eastAsia="en-AU" w:bidi="ar-SA"/>
        </w:rPr>
        <w:t xml:space="preserve">A </w:t>
      </w:r>
      <w:proofErr w:type="spellStart"/>
      <w:r w:rsidRPr="00C30133">
        <w:rPr>
          <w:rFonts w:cs="Arial"/>
          <w:szCs w:val="22"/>
          <w:lang w:val="en-AU" w:eastAsia="en-AU" w:bidi="ar-SA"/>
        </w:rPr>
        <w:t>peptidomic</w:t>
      </w:r>
      <w:proofErr w:type="spellEnd"/>
      <w:r w:rsidRPr="00C30133">
        <w:rPr>
          <w:rFonts w:cs="Arial"/>
          <w:szCs w:val="22"/>
          <w:lang w:val="en-AU" w:eastAsia="en-AU" w:bidi="ar-SA"/>
        </w:rPr>
        <w:t xml:space="preserve"> analysis of human milk digestion in the infant stomach reveals protein-specific degradation patterns</w:t>
      </w:r>
      <w:r>
        <w:rPr>
          <w:rFonts w:cs="Arial"/>
          <w:szCs w:val="22"/>
          <w:lang w:val="en-AU" w:eastAsia="en-AU" w:bidi="ar-SA"/>
        </w:rPr>
        <w:t xml:space="preserve">. J </w:t>
      </w:r>
      <w:proofErr w:type="spellStart"/>
      <w:r>
        <w:rPr>
          <w:rFonts w:cs="Arial"/>
          <w:szCs w:val="22"/>
          <w:lang w:val="en-AU" w:eastAsia="en-AU" w:bidi="ar-SA"/>
        </w:rPr>
        <w:t>Nutr</w:t>
      </w:r>
      <w:proofErr w:type="spellEnd"/>
      <w:r>
        <w:rPr>
          <w:rFonts w:cs="Arial"/>
          <w:szCs w:val="22"/>
          <w:lang w:val="en-AU" w:eastAsia="en-AU" w:bidi="ar-SA"/>
        </w:rPr>
        <w:t xml:space="preserve"> </w:t>
      </w:r>
      <w:r w:rsidRPr="00C30133">
        <w:rPr>
          <w:rFonts w:cs="Arial"/>
          <w:szCs w:val="22"/>
          <w:lang w:val="en-AU" w:eastAsia="en-AU" w:bidi="ar-SA"/>
        </w:rPr>
        <w:t>144(6):815-20.</w:t>
      </w:r>
      <w:r>
        <w:rPr>
          <w:rFonts w:cs="Arial"/>
          <w:szCs w:val="22"/>
          <w:lang w:val="en-AU" w:eastAsia="en-AU" w:bidi="ar-SA"/>
        </w:rPr>
        <w:t xml:space="preserve"> </w:t>
      </w:r>
    </w:p>
    <w:p w14:paraId="13C787A6" w14:textId="1F8FA32E" w:rsidR="00A641F4" w:rsidRDefault="00A641F4" w:rsidP="00384CD0">
      <w:pPr>
        <w:widowControl/>
        <w:textAlignment w:val="baseline"/>
        <w:rPr>
          <w:rFonts w:cs="Arial"/>
          <w:szCs w:val="22"/>
          <w:lang w:val="en-AU" w:eastAsia="en-AU" w:bidi="ar-SA"/>
        </w:rPr>
      </w:pPr>
    </w:p>
    <w:p w14:paraId="6473F1A7" w14:textId="497E46A4" w:rsidR="00A641F4" w:rsidRPr="00550D44" w:rsidRDefault="00A641F4" w:rsidP="00384CD0">
      <w:pPr>
        <w:widowControl/>
        <w:textAlignment w:val="baseline"/>
        <w:rPr>
          <w:rFonts w:cs="Arial"/>
          <w:szCs w:val="22"/>
          <w:lang w:val="en-AU" w:eastAsia="en-AU" w:bidi="ar-SA"/>
        </w:rPr>
      </w:pPr>
      <w:r>
        <w:rPr>
          <w:rFonts w:cs="Arial"/>
          <w:szCs w:val="22"/>
          <w:lang w:val="en-AU" w:eastAsia="en-AU" w:bidi="ar-SA"/>
        </w:rPr>
        <w:t xml:space="preserve">Davidson LA, </w:t>
      </w:r>
      <w:proofErr w:type="spellStart"/>
      <w:r>
        <w:rPr>
          <w:rFonts w:cs="Arial"/>
          <w:szCs w:val="22"/>
          <w:lang w:val="en-AU" w:eastAsia="en-AU" w:bidi="ar-SA"/>
        </w:rPr>
        <w:t>Lönnerdal</w:t>
      </w:r>
      <w:proofErr w:type="spellEnd"/>
      <w:r>
        <w:rPr>
          <w:rFonts w:cs="Arial"/>
          <w:szCs w:val="22"/>
          <w:lang w:val="en-AU" w:eastAsia="en-AU" w:bidi="ar-SA"/>
        </w:rPr>
        <w:t xml:space="preserve"> B (1987) </w:t>
      </w:r>
      <w:r w:rsidRPr="00A641F4">
        <w:rPr>
          <w:rFonts w:cs="Arial"/>
          <w:szCs w:val="22"/>
          <w:lang w:val="en-AU" w:eastAsia="en-AU" w:bidi="ar-SA"/>
        </w:rPr>
        <w:t>Persistence of human milk proteins in the breast-fed infant</w:t>
      </w:r>
      <w:r>
        <w:rPr>
          <w:rFonts w:cs="Arial"/>
          <w:szCs w:val="22"/>
          <w:lang w:val="en-AU" w:eastAsia="en-AU" w:bidi="ar-SA"/>
        </w:rPr>
        <w:t xml:space="preserve">. Acta </w:t>
      </w:r>
      <w:proofErr w:type="spellStart"/>
      <w:r>
        <w:rPr>
          <w:rFonts w:cs="Arial"/>
          <w:szCs w:val="22"/>
          <w:lang w:val="en-AU" w:eastAsia="en-AU" w:bidi="ar-SA"/>
        </w:rPr>
        <w:t>Pediatr</w:t>
      </w:r>
      <w:proofErr w:type="spellEnd"/>
      <w:r>
        <w:rPr>
          <w:rFonts w:cs="Arial"/>
          <w:szCs w:val="22"/>
          <w:lang w:val="en-AU" w:eastAsia="en-AU" w:bidi="ar-SA"/>
        </w:rPr>
        <w:t xml:space="preserve"> </w:t>
      </w:r>
      <w:proofErr w:type="spellStart"/>
      <w:r>
        <w:rPr>
          <w:rFonts w:cs="Arial"/>
          <w:szCs w:val="22"/>
          <w:lang w:val="en-AU" w:eastAsia="en-AU" w:bidi="ar-SA"/>
        </w:rPr>
        <w:t>Scand</w:t>
      </w:r>
      <w:proofErr w:type="spellEnd"/>
      <w:r>
        <w:rPr>
          <w:rFonts w:cs="Arial"/>
          <w:szCs w:val="22"/>
          <w:lang w:val="en-AU" w:eastAsia="en-AU" w:bidi="ar-SA"/>
        </w:rPr>
        <w:t xml:space="preserve"> </w:t>
      </w:r>
      <w:r w:rsidRPr="00A641F4">
        <w:rPr>
          <w:rFonts w:cs="Arial"/>
          <w:szCs w:val="22"/>
          <w:lang w:val="en-AU" w:eastAsia="en-AU" w:bidi="ar-SA"/>
        </w:rPr>
        <w:t>76(5):733-40.</w:t>
      </w:r>
    </w:p>
    <w:p w14:paraId="19FEE443" w14:textId="472B9BF6" w:rsidR="00BF5A0D" w:rsidRDefault="00BF5A0D" w:rsidP="00384CD0">
      <w:pPr>
        <w:widowControl/>
        <w:textAlignment w:val="baseline"/>
        <w:rPr>
          <w:rFonts w:cs="Arial"/>
          <w:szCs w:val="22"/>
          <w:lang w:val="en-AU" w:eastAsia="en-AU" w:bidi="ar-SA"/>
        </w:rPr>
      </w:pPr>
    </w:p>
    <w:p w14:paraId="58B91149" w14:textId="60762A13" w:rsidR="00BF5A0D" w:rsidRPr="00BF5A0D" w:rsidRDefault="00BF5A0D" w:rsidP="00BF5A0D">
      <w:pPr>
        <w:widowControl/>
        <w:textAlignment w:val="baseline"/>
        <w:rPr>
          <w:rFonts w:cs="Arial"/>
          <w:szCs w:val="22"/>
          <w:lang w:val="en-AU" w:eastAsia="en-AU" w:bidi="ar-SA"/>
        </w:rPr>
      </w:pPr>
      <w:proofErr w:type="spellStart"/>
      <w:r w:rsidRPr="00BF5A0D">
        <w:rPr>
          <w:rFonts w:cs="Arial"/>
          <w:szCs w:val="22"/>
          <w:lang w:val="en-AU" w:eastAsia="en-AU" w:bidi="ar-SA"/>
        </w:rPr>
        <w:t>Debbabi</w:t>
      </w:r>
      <w:proofErr w:type="spellEnd"/>
      <w:r w:rsidRPr="00BF5A0D">
        <w:rPr>
          <w:rFonts w:cs="Arial"/>
          <w:szCs w:val="22"/>
          <w:lang w:val="en-AU" w:eastAsia="en-AU" w:bidi="ar-SA"/>
        </w:rPr>
        <w:t xml:space="preserve"> H, </w:t>
      </w:r>
      <w:proofErr w:type="spellStart"/>
      <w:r w:rsidRPr="00BF5A0D">
        <w:rPr>
          <w:rFonts w:cs="Arial"/>
          <w:szCs w:val="22"/>
          <w:lang w:val="en-AU" w:eastAsia="en-AU" w:bidi="ar-SA"/>
        </w:rPr>
        <w:t>Dubarry</w:t>
      </w:r>
      <w:proofErr w:type="spellEnd"/>
      <w:r w:rsidRPr="00BF5A0D">
        <w:rPr>
          <w:rFonts w:cs="Arial"/>
          <w:szCs w:val="22"/>
          <w:lang w:val="en-AU" w:eastAsia="en-AU" w:bidi="ar-SA"/>
        </w:rPr>
        <w:t xml:space="preserve"> M, Rautureau M, Tome D (1998) Bovine lactoferrin induces both mucosal and systemic immune response in mice. J Dairy Res 65(2</w:t>
      </w:r>
      <w:r w:rsidR="00DF2EFE" w:rsidRPr="00BF5A0D">
        <w:rPr>
          <w:rFonts w:cs="Arial"/>
          <w:szCs w:val="22"/>
          <w:lang w:val="en-AU" w:eastAsia="en-AU" w:bidi="ar-SA"/>
        </w:rPr>
        <w:t>)</w:t>
      </w:r>
      <w:r w:rsidR="00DF2EFE">
        <w:rPr>
          <w:rFonts w:cs="Arial"/>
          <w:szCs w:val="22"/>
          <w:lang w:val="en-AU" w:eastAsia="en-AU" w:bidi="ar-SA"/>
        </w:rPr>
        <w:t>:</w:t>
      </w:r>
      <w:r w:rsidRPr="00BF5A0D">
        <w:rPr>
          <w:rFonts w:cs="Arial"/>
          <w:szCs w:val="22"/>
          <w:lang w:val="en-AU" w:eastAsia="en-AU" w:bidi="ar-SA"/>
        </w:rPr>
        <w:t xml:space="preserve">283-293. </w:t>
      </w:r>
    </w:p>
    <w:p w14:paraId="4ED8FBA1" w14:textId="77777777" w:rsidR="00BF5A0D" w:rsidRPr="00BF5A0D" w:rsidRDefault="00BF5A0D" w:rsidP="00BF5A0D">
      <w:pPr>
        <w:widowControl/>
        <w:textAlignment w:val="baseline"/>
        <w:rPr>
          <w:rFonts w:cs="Arial"/>
          <w:szCs w:val="22"/>
          <w:lang w:val="en-AU" w:eastAsia="en-AU" w:bidi="ar-SA"/>
        </w:rPr>
      </w:pPr>
    </w:p>
    <w:p w14:paraId="753A2EB8" w14:textId="3A52B9BC" w:rsidR="00BF5A0D" w:rsidRPr="00BF5A0D" w:rsidRDefault="00BF5A0D" w:rsidP="00BF5A0D">
      <w:pPr>
        <w:widowControl/>
        <w:textAlignment w:val="baseline"/>
        <w:rPr>
          <w:rFonts w:cs="Arial"/>
          <w:szCs w:val="22"/>
          <w:lang w:val="en-AU" w:eastAsia="en-AU" w:bidi="ar-SA"/>
        </w:rPr>
      </w:pPr>
      <w:proofErr w:type="spellStart"/>
      <w:r w:rsidRPr="00BF5A0D">
        <w:rPr>
          <w:rFonts w:cs="Arial"/>
          <w:szCs w:val="22"/>
          <w:lang w:val="en-AU" w:eastAsia="en-AU" w:bidi="ar-SA"/>
        </w:rPr>
        <w:t>Demmelmair</w:t>
      </w:r>
      <w:proofErr w:type="spellEnd"/>
      <w:r w:rsidRPr="00BF5A0D">
        <w:rPr>
          <w:rFonts w:cs="Arial"/>
          <w:szCs w:val="22"/>
          <w:lang w:val="en-AU" w:eastAsia="en-AU" w:bidi="ar-SA"/>
        </w:rPr>
        <w:t xml:space="preserve"> H, </w:t>
      </w:r>
      <w:proofErr w:type="spellStart"/>
      <w:r w:rsidRPr="00BF5A0D">
        <w:rPr>
          <w:rFonts w:cs="Arial"/>
          <w:szCs w:val="22"/>
          <w:lang w:val="en-AU" w:eastAsia="en-AU" w:bidi="ar-SA"/>
        </w:rPr>
        <w:t>Prell</w:t>
      </w:r>
      <w:proofErr w:type="spellEnd"/>
      <w:r w:rsidRPr="00BF5A0D">
        <w:rPr>
          <w:rFonts w:cs="Arial"/>
          <w:szCs w:val="22"/>
          <w:lang w:val="en-AU" w:eastAsia="en-AU" w:bidi="ar-SA"/>
        </w:rPr>
        <w:t xml:space="preserve"> C, </w:t>
      </w:r>
      <w:proofErr w:type="spellStart"/>
      <w:r w:rsidRPr="00BF5A0D">
        <w:rPr>
          <w:rFonts w:cs="Arial"/>
          <w:szCs w:val="22"/>
          <w:lang w:val="en-AU" w:eastAsia="en-AU" w:bidi="ar-SA"/>
        </w:rPr>
        <w:t>Timby</w:t>
      </w:r>
      <w:proofErr w:type="spellEnd"/>
      <w:r w:rsidRPr="00BF5A0D">
        <w:rPr>
          <w:rFonts w:cs="Arial"/>
          <w:szCs w:val="22"/>
          <w:lang w:val="en-AU" w:eastAsia="en-AU" w:bidi="ar-SA"/>
        </w:rPr>
        <w:t xml:space="preserve"> N, </w:t>
      </w:r>
      <w:proofErr w:type="spellStart"/>
      <w:r w:rsidRPr="00BF5A0D">
        <w:rPr>
          <w:rFonts w:cs="Arial"/>
          <w:szCs w:val="22"/>
          <w:lang w:val="en-AU" w:eastAsia="en-AU" w:bidi="ar-SA"/>
        </w:rPr>
        <w:t>Lonnerdal</w:t>
      </w:r>
      <w:proofErr w:type="spellEnd"/>
      <w:r w:rsidRPr="00BF5A0D">
        <w:rPr>
          <w:rFonts w:cs="Arial"/>
          <w:szCs w:val="22"/>
          <w:lang w:val="en-AU" w:eastAsia="en-AU" w:bidi="ar-SA"/>
        </w:rPr>
        <w:t xml:space="preserve"> B (2017) Benefits of Lactoferrin, </w:t>
      </w:r>
      <w:proofErr w:type="spellStart"/>
      <w:r w:rsidRPr="00BF5A0D">
        <w:rPr>
          <w:rFonts w:cs="Arial"/>
          <w:szCs w:val="22"/>
          <w:lang w:val="en-AU" w:eastAsia="en-AU" w:bidi="ar-SA"/>
        </w:rPr>
        <w:t>Osteopontin</w:t>
      </w:r>
      <w:proofErr w:type="spellEnd"/>
      <w:r w:rsidRPr="00BF5A0D">
        <w:rPr>
          <w:rFonts w:cs="Arial"/>
          <w:szCs w:val="22"/>
          <w:lang w:val="en-AU" w:eastAsia="en-AU" w:bidi="ar-SA"/>
        </w:rPr>
        <w:t xml:space="preserve"> and Milk Fat Globule Membranes for Infants. Nutrients 9(8). doi:10.3390/nu9080817 </w:t>
      </w:r>
    </w:p>
    <w:p w14:paraId="541F43E0" w14:textId="77777777" w:rsidR="00BF5A0D" w:rsidRPr="00BF5A0D" w:rsidRDefault="00BF5A0D" w:rsidP="00BF5A0D">
      <w:pPr>
        <w:widowControl/>
        <w:textAlignment w:val="baseline"/>
        <w:rPr>
          <w:rFonts w:cs="Arial"/>
          <w:szCs w:val="22"/>
          <w:lang w:val="en-AU" w:eastAsia="en-AU" w:bidi="ar-SA"/>
        </w:rPr>
      </w:pPr>
    </w:p>
    <w:p w14:paraId="4E7BCC1B" w14:textId="7AD90C15" w:rsidR="00BF5A0D" w:rsidRPr="00BF5A0D" w:rsidRDefault="00BF5A0D" w:rsidP="00BF5A0D">
      <w:pPr>
        <w:widowControl/>
        <w:textAlignment w:val="baseline"/>
        <w:rPr>
          <w:rFonts w:cs="Arial"/>
          <w:szCs w:val="22"/>
          <w:lang w:val="en-AU" w:eastAsia="en-AU" w:bidi="ar-SA"/>
        </w:rPr>
      </w:pPr>
      <w:proofErr w:type="spellStart"/>
      <w:r w:rsidRPr="00BF5A0D">
        <w:rPr>
          <w:rFonts w:cs="Arial"/>
          <w:szCs w:val="22"/>
          <w:lang w:val="en-AU" w:eastAsia="en-AU" w:bidi="ar-SA"/>
        </w:rPr>
        <w:t>Denani</w:t>
      </w:r>
      <w:proofErr w:type="spellEnd"/>
      <w:r w:rsidRPr="00BF5A0D">
        <w:rPr>
          <w:rFonts w:cs="Arial"/>
          <w:szCs w:val="22"/>
          <w:lang w:val="en-AU" w:eastAsia="en-AU" w:bidi="ar-SA"/>
        </w:rPr>
        <w:t xml:space="preserve"> CBARH, de </w:t>
      </w:r>
      <w:proofErr w:type="spellStart"/>
      <w:r w:rsidRPr="00BF5A0D">
        <w:rPr>
          <w:rFonts w:cs="Arial"/>
          <w:szCs w:val="22"/>
          <w:lang w:val="en-AU" w:eastAsia="en-AU" w:bidi="ar-SA"/>
        </w:rPr>
        <w:t>Carbalho</w:t>
      </w:r>
      <w:proofErr w:type="spellEnd"/>
      <w:r w:rsidRPr="00BF5A0D">
        <w:rPr>
          <w:rFonts w:cs="Arial"/>
          <w:szCs w:val="22"/>
          <w:lang w:val="en-AU" w:eastAsia="en-AU" w:bidi="ar-SA"/>
        </w:rPr>
        <w:t xml:space="preserve"> CAM, de Oliveira Gomes AM, Goncalves RB (2021) Lactoferrin affects rhinovirus B-14 entry into H1-HeLa cells. Arch </w:t>
      </w:r>
      <w:proofErr w:type="spellStart"/>
      <w:r w:rsidRPr="00BF5A0D">
        <w:rPr>
          <w:rFonts w:cs="Arial"/>
          <w:szCs w:val="22"/>
          <w:lang w:val="en-AU" w:eastAsia="en-AU" w:bidi="ar-SA"/>
        </w:rPr>
        <w:t>Virol</w:t>
      </w:r>
      <w:proofErr w:type="spellEnd"/>
      <w:r w:rsidRPr="00BF5A0D">
        <w:rPr>
          <w:rFonts w:cs="Arial"/>
          <w:szCs w:val="22"/>
          <w:lang w:val="en-AU" w:eastAsia="en-AU" w:bidi="ar-SA"/>
        </w:rPr>
        <w:t xml:space="preserve"> 166</w:t>
      </w:r>
      <w:r w:rsidR="00500383">
        <w:rPr>
          <w:rFonts w:cs="Arial"/>
          <w:szCs w:val="22"/>
          <w:lang w:val="en-AU" w:eastAsia="en-AU" w:bidi="ar-SA"/>
        </w:rPr>
        <w:t>:</w:t>
      </w:r>
      <w:r w:rsidRPr="00BF5A0D">
        <w:rPr>
          <w:rFonts w:cs="Arial"/>
          <w:szCs w:val="22"/>
          <w:lang w:val="en-AU" w:eastAsia="en-AU" w:bidi="ar-SA"/>
        </w:rPr>
        <w:t xml:space="preserve">1203-1211. </w:t>
      </w:r>
    </w:p>
    <w:p w14:paraId="7E51F894" w14:textId="77777777" w:rsidR="00BF5A0D" w:rsidRPr="00BF5A0D" w:rsidRDefault="00BF5A0D" w:rsidP="00BF5A0D">
      <w:pPr>
        <w:widowControl/>
        <w:textAlignment w:val="baseline"/>
        <w:rPr>
          <w:rFonts w:cs="Arial"/>
          <w:szCs w:val="22"/>
          <w:lang w:val="en-AU" w:eastAsia="en-AU" w:bidi="ar-SA"/>
        </w:rPr>
      </w:pPr>
    </w:p>
    <w:p w14:paraId="5738D28A" w14:textId="230C4850" w:rsidR="00BF5A0D" w:rsidRDefault="25063523" w:rsidP="25063523">
      <w:pPr>
        <w:widowControl/>
        <w:textAlignment w:val="baseline"/>
        <w:rPr>
          <w:rFonts w:cs="Arial"/>
          <w:lang w:val="en-AU" w:eastAsia="en-AU" w:bidi="ar-SA"/>
        </w:rPr>
      </w:pPr>
      <w:r w:rsidRPr="25063523">
        <w:rPr>
          <w:rFonts w:cs="Arial"/>
          <w:lang w:val="en-AU" w:eastAsia="en-AU" w:bidi="ar-SA"/>
        </w:rPr>
        <w:t xml:space="preserve">Dewey KG (1998) Growth characteristics of breast-fed compared to formula-fed infants. Biol Neonate 74:94–105. </w:t>
      </w:r>
      <w:proofErr w:type="spellStart"/>
      <w:r w:rsidRPr="25063523">
        <w:rPr>
          <w:rFonts w:cs="Arial"/>
          <w:lang w:val="en-AU" w:eastAsia="en-AU" w:bidi="ar-SA"/>
        </w:rPr>
        <w:t>doi</w:t>
      </w:r>
      <w:proofErr w:type="spellEnd"/>
      <w:r w:rsidRPr="25063523">
        <w:rPr>
          <w:rFonts w:cs="Arial"/>
          <w:lang w:val="en-AU" w:eastAsia="en-AU" w:bidi="ar-SA"/>
        </w:rPr>
        <w:t xml:space="preserve">: 10.1159/000014016 </w:t>
      </w:r>
    </w:p>
    <w:p w14:paraId="1F73CC1B" w14:textId="4D37CDB3" w:rsidR="00BF5A0D" w:rsidRDefault="00BF5A0D" w:rsidP="25063523">
      <w:pPr>
        <w:widowControl/>
        <w:textAlignment w:val="baseline"/>
        <w:rPr>
          <w:rFonts w:cs="Arial"/>
          <w:lang w:val="en-AU" w:eastAsia="en-AU" w:bidi="ar-SA"/>
        </w:rPr>
      </w:pPr>
    </w:p>
    <w:p w14:paraId="29BA3EA0" w14:textId="6676E903" w:rsidR="00BF5A0D" w:rsidRDefault="00BF5A0D" w:rsidP="00BF5A0D">
      <w:pPr>
        <w:widowControl/>
        <w:textAlignment w:val="baseline"/>
        <w:rPr>
          <w:rFonts w:cs="Arial"/>
          <w:szCs w:val="22"/>
          <w:lang w:val="en-AU" w:eastAsia="en-AU" w:bidi="ar-SA"/>
        </w:rPr>
      </w:pPr>
      <w:r w:rsidRPr="00BF5A0D">
        <w:rPr>
          <w:rFonts w:cs="Arial"/>
          <w:szCs w:val="22"/>
          <w:lang w:val="en-AU" w:eastAsia="en-AU" w:bidi="ar-SA"/>
        </w:rPr>
        <w:t xml:space="preserve">Drago-Serrano ME, Rivera-Aguilar V, </w:t>
      </w:r>
      <w:proofErr w:type="spellStart"/>
      <w:r w:rsidRPr="00BF5A0D">
        <w:rPr>
          <w:rFonts w:cs="Arial"/>
          <w:szCs w:val="22"/>
          <w:lang w:val="en-AU" w:eastAsia="en-AU" w:bidi="ar-SA"/>
        </w:rPr>
        <w:t>Resendiz-Albor</w:t>
      </w:r>
      <w:proofErr w:type="spellEnd"/>
      <w:r w:rsidRPr="00BF5A0D">
        <w:rPr>
          <w:rFonts w:cs="Arial"/>
          <w:szCs w:val="22"/>
          <w:lang w:val="en-AU" w:eastAsia="en-AU" w:bidi="ar-SA"/>
        </w:rPr>
        <w:t xml:space="preserve"> AA, Campos-Rodriguez R (2010) Lactoferrin increases both resistance to </w:t>
      </w:r>
      <w:r w:rsidRPr="00897661">
        <w:rPr>
          <w:rFonts w:cs="Arial"/>
          <w:i/>
          <w:szCs w:val="22"/>
          <w:lang w:val="en-AU" w:eastAsia="en-AU" w:bidi="ar-SA"/>
        </w:rPr>
        <w:t>Salmonella</w:t>
      </w:r>
      <w:r w:rsidRPr="00BF5A0D">
        <w:rPr>
          <w:rFonts w:cs="Arial"/>
          <w:szCs w:val="22"/>
          <w:lang w:val="en-AU" w:eastAsia="en-AU" w:bidi="ar-SA"/>
        </w:rPr>
        <w:t xml:space="preserve"> </w:t>
      </w:r>
      <w:r w:rsidR="00897661">
        <w:rPr>
          <w:rFonts w:cs="Arial"/>
          <w:szCs w:val="22"/>
          <w:lang w:val="en-AU" w:eastAsia="en-AU" w:bidi="ar-SA"/>
        </w:rPr>
        <w:t>T</w:t>
      </w:r>
      <w:r w:rsidRPr="00BF5A0D">
        <w:rPr>
          <w:rFonts w:cs="Arial"/>
          <w:szCs w:val="22"/>
          <w:lang w:val="en-AU" w:eastAsia="en-AU" w:bidi="ar-SA"/>
        </w:rPr>
        <w:t>yphimurium infection and the production of antibodies in mice. Immunol Lett 134</w:t>
      </w:r>
      <w:r w:rsidR="00500383">
        <w:rPr>
          <w:rFonts w:cs="Arial"/>
          <w:szCs w:val="22"/>
          <w:lang w:val="en-AU" w:eastAsia="en-AU" w:bidi="ar-SA"/>
        </w:rPr>
        <w:t>:</w:t>
      </w:r>
      <w:r w:rsidRPr="00BF5A0D">
        <w:rPr>
          <w:rFonts w:cs="Arial"/>
          <w:szCs w:val="22"/>
          <w:lang w:val="en-AU" w:eastAsia="en-AU" w:bidi="ar-SA"/>
        </w:rPr>
        <w:t xml:space="preserve">35-46. </w:t>
      </w:r>
    </w:p>
    <w:p w14:paraId="64949A3F" w14:textId="5DF96821" w:rsidR="00CD08C0" w:rsidRDefault="00CD08C0" w:rsidP="00BF5A0D">
      <w:pPr>
        <w:widowControl/>
        <w:textAlignment w:val="baseline"/>
        <w:rPr>
          <w:rFonts w:cs="Arial"/>
          <w:szCs w:val="22"/>
          <w:lang w:val="en-AU" w:eastAsia="en-AU" w:bidi="ar-SA"/>
        </w:rPr>
      </w:pPr>
    </w:p>
    <w:p w14:paraId="441CB53F" w14:textId="014BE256" w:rsidR="00CD08C0" w:rsidRPr="00BF5A0D" w:rsidRDefault="00CD08C0" w:rsidP="00BF5A0D">
      <w:pPr>
        <w:widowControl/>
        <w:textAlignment w:val="baseline"/>
        <w:rPr>
          <w:rFonts w:cs="Arial"/>
          <w:szCs w:val="22"/>
          <w:lang w:val="en-AU" w:eastAsia="en-AU" w:bidi="ar-SA"/>
        </w:rPr>
      </w:pPr>
      <w:r w:rsidRPr="00CD08C0">
        <w:rPr>
          <w:rFonts w:cs="Arial"/>
          <w:szCs w:val="22"/>
          <w:lang w:val="en-AU" w:eastAsia="en-AU" w:bidi="ar-SA"/>
        </w:rPr>
        <w:t xml:space="preserve">Drescher K, </w:t>
      </w:r>
      <w:proofErr w:type="spellStart"/>
      <w:r w:rsidRPr="00CD08C0">
        <w:rPr>
          <w:rFonts w:cs="Arial"/>
          <w:szCs w:val="22"/>
          <w:lang w:val="en-AU" w:eastAsia="en-AU" w:bidi="ar-SA"/>
        </w:rPr>
        <w:t>Roos</w:t>
      </w:r>
      <w:proofErr w:type="spellEnd"/>
      <w:r w:rsidRPr="00CD08C0">
        <w:rPr>
          <w:rFonts w:cs="Arial"/>
          <w:szCs w:val="22"/>
          <w:lang w:val="en-AU" w:eastAsia="en-AU" w:bidi="ar-SA"/>
        </w:rPr>
        <w:t xml:space="preserve"> N, </w:t>
      </w:r>
      <w:proofErr w:type="spellStart"/>
      <w:r w:rsidRPr="00CD08C0">
        <w:rPr>
          <w:rFonts w:cs="Arial"/>
          <w:szCs w:val="22"/>
          <w:lang w:val="en-AU" w:eastAsia="en-AU" w:bidi="ar-SA"/>
        </w:rPr>
        <w:t>Pfeuffer</w:t>
      </w:r>
      <w:proofErr w:type="spellEnd"/>
      <w:r w:rsidRPr="00CD08C0">
        <w:rPr>
          <w:rFonts w:cs="Arial"/>
          <w:szCs w:val="22"/>
          <w:lang w:val="en-AU" w:eastAsia="en-AU" w:bidi="ar-SA"/>
        </w:rPr>
        <w:t xml:space="preserve"> M, </w:t>
      </w:r>
      <w:proofErr w:type="spellStart"/>
      <w:r w:rsidRPr="00CD08C0">
        <w:rPr>
          <w:rFonts w:cs="Arial"/>
          <w:szCs w:val="22"/>
          <w:lang w:val="en-AU" w:eastAsia="en-AU" w:bidi="ar-SA"/>
        </w:rPr>
        <w:t>Seyfert</w:t>
      </w:r>
      <w:proofErr w:type="spellEnd"/>
      <w:r w:rsidRPr="00CD08C0">
        <w:rPr>
          <w:rFonts w:cs="Arial"/>
          <w:szCs w:val="22"/>
          <w:lang w:val="en-AU" w:eastAsia="en-AU" w:bidi="ar-SA"/>
        </w:rPr>
        <w:t xml:space="preserve"> HM</w:t>
      </w:r>
      <w:r>
        <w:rPr>
          <w:rFonts w:cs="Arial"/>
          <w:szCs w:val="22"/>
          <w:lang w:val="en-AU" w:eastAsia="en-AU" w:bidi="ar-SA"/>
        </w:rPr>
        <w:t xml:space="preserve">, </w:t>
      </w:r>
      <w:proofErr w:type="spellStart"/>
      <w:r>
        <w:rPr>
          <w:rFonts w:cs="Arial"/>
          <w:szCs w:val="22"/>
          <w:lang w:val="en-AU" w:eastAsia="en-AU" w:bidi="ar-SA"/>
        </w:rPr>
        <w:t>Schrezenmeir</w:t>
      </w:r>
      <w:proofErr w:type="spellEnd"/>
      <w:r>
        <w:rPr>
          <w:rFonts w:cs="Arial"/>
          <w:szCs w:val="22"/>
          <w:lang w:val="en-AU" w:eastAsia="en-AU" w:bidi="ar-SA"/>
        </w:rPr>
        <w:t xml:space="preserve"> J, Hagemeister H (1999) </w:t>
      </w:r>
      <w:r w:rsidRPr="00CD08C0">
        <w:rPr>
          <w:rFonts w:cs="Arial"/>
          <w:szCs w:val="22"/>
          <w:lang w:val="en-AU" w:eastAsia="en-AU" w:bidi="ar-SA"/>
        </w:rPr>
        <w:t>Recovery of 15N-lactoferrin is higher than that of 15N-casein in the small intestine of suckling, but not adult miniature pigs</w:t>
      </w:r>
      <w:r>
        <w:rPr>
          <w:rFonts w:cs="Arial"/>
          <w:szCs w:val="22"/>
          <w:lang w:val="en-AU" w:eastAsia="en-AU" w:bidi="ar-SA"/>
        </w:rPr>
        <w:t xml:space="preserve">. J </w:t>
      </w:r>
      <w:proofErr w:type="spellStart"/>
      <w:r>
        <w:rPr>
          <w:rFonts w:cs="Arial"/>
          <w:szCs w:val="22"/>
          <w:lang w:val="en-AU" w:eastAsia="en-AU" w:bidi="ar-SA"/>
        </w:rPr>
        <w:t>Nutr</w:t>
      </w:r>
      <w:proofErr w:type="spellEnd"/>
      <w:r>
        <w:rPr>
          <w:rFonts w:cs="Arial"/>
          <w:szCs w:val="22"/>
          <w:lang w:val="en-AU" w:eastAsia="en-AU" w:bidi="ar-SA"/>
        </w:rPr>
        <w:t xml:space="preserve"> </w:t>
      </w:r>
      <w:r w:rsidRPr="00CD08C0">
        <w:rPr>
          <w:rFonts w:cs="Arial"/>
          <w:szCs w:val="22"/>
          <w:lang w:val="en-AU" w:eastAsia="en-AU" w:bidi="ar-SA"/>
        </w:rPr>
        <w:t>129(5):1026-30.</w:t>
      </w:r>
      <w:r>
        <w:rPr>
          <w:rFonts w:cs="Arial"/>
          <w:szCs w:val="22"/>
          <w:lang w:val="en-AU" w:eastAsia="en-AU" w:bidi="ar-SA"/>
        </w:rPr>
        <w:t xml:space="preserve"> </w:t>
      </w:r>
    </w:p>
    <w:p w14:paraId="77D84B71" w14:textId="7F869A34" w:rsidR="003C4883" w:rsidRDefault="003C4883" w:rsidP="00BF5A0D">
      <w:pPr>
        <w:widowControl/>
        <w:textAlignment w:val="baseline"/>
        <w:rPr>
          <w:rFonts w:cs="Arial"/>
          <w:szCs w:val="22"/>
          <w:lang w:val="en-AU" w:eastAsia="en-AU" w:bidi="ar-SA"/>
        </w:rPr>
      </w:pPr>
    </w:p>
    <w:p w14:paraId="69D6A710" w14:textId="7C728710" w:rsidR="003C4883" w:rsidRPr="00BF5A0D" w:rsidRDefault="003C4883" w:rsidP="003C4883">
      <w:pPr>
        <w:widowControl/>
        <w:textAlignment w:val="baseline"/>
        <w:rPr>
          <w:rFonts w:cs="Arial"/>
          <w:szCs w:val="22"/>
          <w:lang w:val="en-AU" w:eastAsia="en-AU" w:bidi="ar-SA"/>
        </w:rPr>
      </w:pPr>
      <w:r>
        <w:rPr>
          <w:rFonts w:cs="Arial"/>
          <w:szCs w:val="22"/>
          <w:lang w:val="en-AU" w:eastAsia="en-AU" w:bidi="ar-SA"/>
        </w:rPr>
        <w:t xml:space="preserve">EFSA (2012) </w:t>
      </w:r>
      <w:r w:rsidRPr="003C4883">
        <w:rPr>
          <w:rFonts w:cs="Arial"/>
          <w:szCs w:val="22"/>
          <w:lang w:val="en-AU" w:eastAsia="en-AU" w:bidi="ar-SA"/>
        </w:rPr>
        <w:t>EFSA Panel on Dietetic Products, Nutrition and Allergies (NDA);</w:t>
      </w:r>
      <w:r>
        <w:rPr>
          <w:rFonts w:cs="Arial"/>
          <w:szCs w:val="22"/>
          <w:lang w:val="en-AU" w:eastAsia="en-AU" w:bidi="ar-SA"/>
        </w:rPr>
        <w:t xml:space="preserve"> </w:t>
      </w:r>
      <w:r w:rsidRPr="003C4883">
        <w:rPr>
          <w:rFonts w:cs="Arial"/>
          <w:szCs w:val="22"/>
          <w:lang w:val="en-AU" w:eastAsia="en-AU" w:bidi="ar-SA"/>
        </w:rPr>
        <w:t>Scientific Opinion on bovine</w:t>
      </w:r>
      <w:r>
        <w:rPr>
          <w:rFonts w:cs="Arial"/>
          <w:szCs w:val="22"/>
          <w:lang w:val="en-AU" w:eastAsia="en-AU" w:bidi="ar-SA"/>
        </w:rPr>
        <w:t xml:space="preserve"> </w:t>
      </w:r>
      <w:r w:rsidRPr="003C4883">
        <w:rPr>
          <w:rFonts w:cs="Arial"/>
          <w:szCs w:val="22"/>
          <w:lang w:val="en-AU" w:eastAsia="en-AU" w:bidi="ar-SA"/>
        </w:rPr>
        <w:t>lactoferrin.</w:t>
      </w:r>
      <w:r>
        <w:rPr>
          <w:rFonts w:cs="Arial"/>
          <w:szCs w:val="22"/>
          <w:lang w:val="en-AU" w:eastAsia="en-AU" w:bidi="ar-SA"/>
        </w:rPr>
        <w:t xml:space="preserve"> EFSA Journal 10(5):2701. [26 pp].</w:t>
      </w:r>
    </w:p>
    <w:p w14:paraId="69015983" w14:textId="77777777" w:rsidR="00BF5A0D" w:rsidRPr="00BF5A0D" w:rsidRDefault="00BF5A0D" w:rsidP="00BF5A0D">
      <w:pPr>
        <w:widowControl/>
        <w:textAlignment w:val="baseline"/>
        <w:rPr>
          <w:rFonts w:cs="Arial"/>
          <w:szCs w:val="22"/>
          <w:lang w:val="en-AU" w:eastAsia="en-AU" w:bidi="ar-SA"/>
        </w:rPr>
      </w:pPr>
    </w:p>
    <w:p w14:paraId="2A7BA332" w14:textId="1C7CB4DA" w:rsidR="007C00C5" w:rsidRDefault="007C00C5" w:rsidP="00BF5A0D">
      <w:pPr>
        <w:widowControl/>
        <w:textAlignment w:val="baseline"/>
        <w:rPr>
          <w:rFonts w:cs="Arial"/>
          <w:szCs w:val="22"/>
          <w:lang w:val="en-AU" w:eastAsia="en-AU" w:bidi="ar-SA"/>
        </w:rPr>
      </w:pPr>
      <w:r w:rsidRPr="00063ED5">
        <w:rPr>
          <w:rFonts w:cs="Arial"/>
          <w:szCs w:val="22"/>
          <w:lang w:val="en-AU" w:eastAsia="en-AU" w:bidi="ar-SA"/>
        </w:rPr>
        <w:t>El-</w:t>
      </w:r>
      <w:proofErr w:type="spellStart"/>
      <w:r w:rsidRPr="00063ED5">
        <w:rPr>
          <w:rFonts w:cs="Arial"/>
          <w:szCs w:val="22"/>
          <w:lang w:val="en-AU" w:eastAsia="en-AU" w:bidi="ar-SA"/>
        </w:rPr>
        <w:t>Hawiet</w:t>
      </w:r>
      <w:proofErr w:type="spellEnd"/>
      <w:r w:rsidRPr="00063ED5">
        <w:rPr>
          <w:rFonts w:cs="Arial"/>
          <w:szCs w:val="22"/>
          <w:lang w:val="en-AU" w:eastAsia="en-AU" w:bidi="ar-SA"/>
        </w:rPr>
        <w:t xml:space="preserve"> A (2017) A simple, sensitive, and label-free platform for the quantification of lactoferrin in camel and goat milk based on thin-layer</w:t>
      </w:r>
      <w:r w:rsidR="005836F9">
        <w:rPr>
          <w:rFonts w:cs="Arial"/>
          <w:szCs w:val="22"/>
          <w:lang w:val="en-AU" w:eastAsia="en-AU" w:bidi="ar-SA"/>
        </w:rPr>
        <w:t xml:space="preserve"> chromatography, </w:t>
      </w:r>
      <w:proofErr w:type="spellStart"/>
      <w:r w:rsidR="005836F9">
        <w:rPr>
          <w:rFonts w:cs="Arial"/>
          <w:szCs w:val="22"/>
          <w:lang w:val="en-AU" w:eastAsia="en-AU" w:bidi="ar-SA"/>
        </w:rPr>
        <w:t>Chromatographia</w:t>
      </w:r>
      <w:proofErr w:type="spellEnd"/>
      <w:r w:rsidR="00756E86">
        <w:rPr>
          <w:rFonts w:cs="Arial"/>
          <w:szCs w:val="22"/>
          <w:lang w:val="en-AU" w:eastAsia="en-AU" w:bidi="ar-SA"/>
        </w:rPr>
        <w:t>, 80(12), 1797-1804</w:t>
      </w:r>
      <w:r w:rsidR="005836F9" w:rsidRPr="00BB2FE1">
        <w:rPr>
          <w:rFonts w:cs="Arial"/>
          <w:szCs w:val="22"/>
          <w:lang w:val="en-AU" w:eastAsia="en-AU" w:bidi="ar-SA"/>
        </w:rPr>
        <w:t>.</w:t>
      </w:r>
      <w:r w:rsidRPr="00063ED5">
        <w:rPr>
          <w:rFonts w:cs="Arial"/>
          <w:szCs w:val="22"/>
          <w:lang w:val="en-AU" w:eastAsia="en-AU" w:bidi="ar-SA"/>
        </w:rPr>
        <w:t> </w:t>
      </w:r>
    </w:p>
    <w:p w14:paraId="02C3FF0B" w14:textId="77777777" w:rsidR="007C00C5" w:rsidRPr="00BF5A0D" w:rsidRDefault="007C00C5" w:rsidP="00BF5A0D">
      <w:pPr>
        <w:widowControl/>
        <w:textAlignment w:val="baseline"/>
        <w:rPr>
          <w:rFonts w:cs="Arial"/>
          <w:szCs w:val="22"/>
          <w:lang w:val="en-AU" w:eastAsia="en-AU" w:bidi="ar-SA"/>
        </w:rPr>
      </w:pPr>
    </w:p>
    <w:p w14:paraId="73D3EB2D" w14:textId="7021E52A" w:rsidR="00BF5A0D" w:rsidRDefault="00500383" w:rsidP="00BF5A0D">
      <w:pPr>
        <w:widowControl/>
        <w:textAlignment w:val="baseline"/>
        <w:rPr>
          <w:rFonts w:cs="Arial"/>
          <w:szCs w:val="22"/>
          <w:lang w:val="en-AU" w:eastAsia="en-AU" w:bidi="ar-SA"/>
        </w:rPr>
      </w:pPr>
      <w:proofErr w:type="spellStart"/>
      <w:r w:rsidRPr="00500383">
        <w:rPr>
          <w:rFonts w:cs="Arial"/>
          <w:szCs w:val="22"/>
          <w:lang w:val="en-AU" w:eastAsia="en-AU" w:bidi="ar-SA"/>
        </w:rPr>
        <w:t>Elass-Rochard</w:t>
      </w:r>
      <w:proofErr w:type="spellEnd"/>
      <w:r w:rsidRPr="00500383">
        <w:rPr>
          <w:rFonts w:cs="Arial"/>
          <w:szCs w:val="22"/>
          <w:lang w:val="en-AU" w:eastAsia="en-AU" w:bidi="ar-SA"/>
        </w:rPr>
        <w:t xml:space="preserve"> E, </w:t>
      </w:r>
      <w:proofErr w:type="spellStart"/>
      <w:r w:rsidRPr="00500383">
        <w:rPr>
          <w:rFonts w:cs="Arial"/>
          <w:szCs w:val="22"/>
          <w:lang w:val="en-AU" w:eastAsia="en-AU" w:bidi="ar-SA"/>
        </w:rPr>
        <w:t>Roseanu</w:t>
      </w:r>
      <w:proofErr w:type="spellEnd"/>
      <w:r w:rsidRPr="00500383">
        <w:rPr>
          <w:rFonts w:cs="Arial"/>
          <w:szCs w:val="22"/>
          <w:lang w:val="en-AU" w:eastAsia="en-AU" w:bidi="ar-SA"/>
        </w:rPr>
        <w:t xml:space="preserve"> A, Legrand D, </w:t>
      </w:r>
      <w:proofErr w:type="spellStart"/>
      <w:r w:rsidRPr="00500383">
        <w:rPr>
          <w:rFonts w:cs="Arial"/>
          <w:szCs w:val="22"/>
          <w:lang w:val="en-AU" w:eastAsia="en-AU" w:bidi="ar-SA"/>
        </w:rPr>
        <w:t>Trif</w:t>
      </w:r>
      <w:proofErr w:type="spellEnd"/>
      <w:r w:rsidRPr="00500383">
        <w:rPr>
          <w:rFonts w:cs="Arial"/>
          <w:szCs w:val="22"/>
          <w:lang w:val="en-AU" w:eastAsia="en-AU" w:bidi="ar-SA"/>
        </w:rPr>
        <w:t xml:space="preserve"> M, Salmon </w:t>
      </w:r>
      <w:r>
        <w:rPr>
          <w:rFonts w:cs="Arial"/>
          <w:szCs w:val="22"/>
          <w:lang w:val="en-AU" w:eastAsia="en-AU" w:bidi="ar-SA"/>
        </w:rPr>
        <w:t xml:space="preserve">V, </w:t>
      </w:r>
      <w:proofErr w:type="spellStart"/>
      <w:r>
        <w:rPr>
          <w:rFonts w:cs="Arial"/>
          <w:szCs w:val="22"/>
          <w:lang w:val="en-AU" w:eastAsia="en-AU" w:bidi="ar-SA"/>
        </w:rPr>
        <w:t>Motas</w:t>
      </w:r>
      <w:proofErr w:type="spellEnd"/>
      <w:r>
        <w:rPr>
          <w:rFonts w:cs="Arial"/>
          <w:szCs w:val="22"/>
          <w:lang w:val="en-AU" w:eastAsia="en-AU" w:bidi="ar-SA"/>
        </w:rPr>
        <w:t xml:space="preserve"> C, Montreuil J, Spik G</w:t>
      </w:r>
      <w:r w:rsidR="00BF5A0D" w:rsidRPr="00BF5A0D">
        <w:rPr>
          <w:rFonts w:cs="Arial"/>
          <w:szCs w:val="22"/>
          <w:lang w:val="en-AU" w:eastAsia="en-AU" w:bidi="ar-SA"/>
        </w:rPr>
        <w:t xml:space="preserve"> (1995) Lactoferrin-lipopolysaccharide interaction: involvement of the 28-34 loop region of human lactoferrin in the high-affinity binding to </w:t>
      </w:r>
      <w:r w:rsidR="00BF5A0D" w:rsidRPr="00A64664">
        <w:rPr>
          <w:rFonts w:cs="Arial"/>
          <w:i/>
          <w:szCs w:val="22"/>
          <w:lang w:val="en-AU" w:eastAsia="en-AU" w:bidi="ar-SA"/>
        </w:rPr>
        <w:t>Escherichia coli</w:t>
      </w:r>
      <w:r w:rsidR="00BF5A0D" w:rsidRPr="00BF5A0D">
        <w:rPr>
          <w:rFonts w:cs="Arial"/>
          <w:szCs w:val="22"/>
          <w:lang w:val="en-AU" w:eastAsia="en-AU" w:bidi="ar-SA"/>
        </w:rPr>
        <w:t xml:space="preserve"> 055B5 lipopolysaccharide. </w:t>
      </w:r>
      <w:proofErr w:type="spellStart"/>
      <w:r w:rsidR="00BF5A0D" w:rsidRPr="00BF5A0D">
        <w:rPr>
          <w:rFonts w:cs="Arial"/>
          <w:szCs w:val="22"/>
          <w:lang w:val="en-AU" w:eastAsia="en-AU" w:bidi="ar-SA"/>
        </w:rPr>
        <w:t>Biochem</w:t>
      </w:r>
      <w:proofErr w:type="spellEnd"/>
      <w:r w:rsidR="00BF5A0D" w:rsidRPr="00BF5A0D">
        <w:rPr>
          <w:rFonts w:cs="Arial"/>
          <w:szCs w:val="22"/>
          <w:lang w:val="en-AU" w:eastAsia="en-AU" w:bidi="ar-SA"/>
        </w:rPr>
        <w:t xml:space="preserve"> J, 312(3</w:t>
      </w:r>
      <w:r w:rsidRPr="00BF5A0D">
        <w:rPr>
          <w:rFonts w:cs="Arial"/>
          <w:szCs w:val="22"/>
          <w:lang w:val="en-AU" w:eastAsia="en-AU" w:bidi="ar-SA"/>
        </w:rPr>
        <w:t>)</w:t>
      </w:r>
      <w:r>
        <w:rPr>
          <w:rFonts w:cs="Arial"/>
          <w:szCs w:val="22"/>
          <w:lang w:val="en-AU" w:eastAsia="en-AU" w:bidi="ar-SA"/>
        </w:rPr>
        <w:t>:</w:t>
      </w:r>
      <w:r w:rsidR="00BF5A0D" w:rsidRPr="00BF5A0D">
        <w:rPr>
          <w:rFonts w:cs="Arial"/>
          <w:szCs w:val="22"/>
          <w:lang w:val="en-AU" w:eastAsia="en-AU" w:bidi="ar-SA"/>
        </w:rPr>
        <w:t xml:space="preserve">839-845. </w:t>
      </w:r>
    </w:p>
    <w:p w14:paraId="6F39CB1F" w14:textId="6CADFCC8" w:rsidR="0056000E" w:rsidRDefault="0056000E" w:rsidP="00BF5A0D">
      <w:pPr>
        <w:widowControl/>
        <w:textAlignment w:val="baseline"/>
        <w:rPr>
          <w:rFonts w:cs="Arial"/>
          <w:szCs w:val="22"/>
          <w:lang w:val="en-AU" w:eastAsia="en-AU" w:bidi="ar-SA"/>
        </w:rPr>
      </w:pPr>
    </w:p>
    <w:p w14:paraId="69C77040" w14:textId="3E1FBC24" w:rsidR="0056000E" w:rsidRPr="00BF5A0D" w:rsidRDefault="0056000E" w:rsidP="00BF5A0D">
      <w:pPr>
        <w:widowControl/>
        <w:textAlignment w:val="baseline"/>
        <w:rPr>
          <w:rFonts w:cs="Arial"/>
          <w:szCs w:val="22"/>
          <w:lang w:val="en-AU" w:eastAsia="en-AU" w:bidi="ar-SA"/>
        </w:rPr>
      </w:pPr>
      <w:r w:rsidRPr="0056000E">
        <w:rPr>
          <w:rFonts w:cs="Arial"/>
          <w:szCs w:val="22"/>
          <w:lang w:val="en-AU" w:eastAsia="en-AU" w:bidi="ar-SA"/>
        </w:rPr>
        <w:t>ELFIN trial investigators group</w:t>
      </w:r>
      <w:r>
        <w:rPr>
          <w:rFonts w:cs="Arial"/>
          <w:szCs w:val="22"/>
          <w:lang w:val="en-AU" w:eastAsia="en-AU" w:bidi="ar-SA"/>
        </w:rPr>
        <w:t xml:space="preserve"> (2019) </w:t>
      </w:r>
      <w:r w:rsidRPr="0056000E">
        <w:rPr>
          <w:rFonts w:cs="Arial"/>
          <w:szCs w:val="22"/>
          <w:lang w:val="en-AU" w:eastAsia="en-AU" w:bidi="ar-SA"/>
        </w:rPr>
        <w:t>Enteral lactoferrin supplementation for very preterm infants: a randomised placebo-controlled trial</w:t>
      </w:r>
      <w:r>
        <w:rPr>
          <w:rFonts w:cs="Arial"/>
          <w:szCs w:val="22"/>
          <w:lang w:val="en-AU" w:eastAsia="en-AU" w:bidi="ar-SA"/>
        </w:rPr>
        <w:t xml:space="preserve">. Lancet </w:t>
      </w:r>
      <w:r w:rsidRPr="0056000E">
        <w:rPr>
          <w:rFonts w:cs="Arial"/>
          <w:szCs w:val="22"/>
          <w:lang w:val="en-AU" w:eastAsia="en-AU" w:bidi="ar-SA"/>
        </w:rPr>
        <w:t>393(10170):423-433</w:t>
      </w:r>
      <w:r>
        <w:rPr>
          <w:rFonts w:cs="Arial"/>
          <w:szCs w:val="22"/>
          <w:lang w:val="en-AU" w:eastAsia="en-AU" w:bidi="ar-SA"/>
        </w:rPr>
        <w:t>.</w:t>
      </w:r>
    </w:p>
    <w:p w14:paraId="23F20F77" w14:textId="77777777" w:rsidR="00BF5A0D" w:rsidRPr="00BF5A0D" w:rsidRDefault="00BF5A0D" w:rsidP="00BF5A0D">
      <w:pPr>
        <w:widowControl/>
        <w:textAlignment w:val="baseline"/>
        <w:rPr>
          <w:rFonts w:cs="Arial"/>
          <w:szCs w:val="22"/>
          <w:lang w:val="en-AU" w:eastAsia="en-AU" w:bidi="ar-SA"/>
        </w:rPr>
      </w:pPr>
    </w:p>
    <w:p w14:paraId="18481449" w14:textId="0306EB54" w:rsidR="00BF5A0D" w:rsidRPr="00BF5A0D" w:rsidRDefault="00BF5A0D" w:rsidP="00BF5A0D">
      <w:pPr>
        <w:widowControl/>
        <w:textAlignment w:val="baseline"/>
        <w:rPr>
          <w:rFonts w:cs="Arial"/>
          <w:szCs w:val="22"/>
          <w:lang w:val="en-AU" w:eastAsia="en-AU" w:bidi="ar-SA"/>
        </w:rPr>
      </w:pPr>
      <w:r w:rsidRPr="00BF5A0D">
        <w:rPr>
          <w:rFonts w:cs="Arial"/>
          <w:szCs w:val="22"/>
          <w:lang w:val="en-AU" w:eastAsia="en-AU" w:bidi="ar-SA"/>
        </w:rPr>
        <w:t xml:space="preserve">Ellison RT, </w:t>
      </w:r>
      <w:proofErr w:type="spellStart"/>
      <w:r w:rsidRPr="00BF5A0D">
        <w:rPr>
          <w:rFonts w:cs="Arial"/>
          <w:szCs w:val="22"/>
          <w:lang w:val="en-AU" w:eastAsia="en-AU" w:bidi="ar-SA"/>
        </w:rPr>
        <w:t>Giehl</w:t>
      </w:r>
      <w:proofErr w:type="spellEnd"/>
      <w:r w:rsidRPr="00BF5A0D">
        <w:rPr>
          <w:rFonts w:cs="Arial"/>
          <w:szCs w:val="22"/>
          <w:lang w:val="en-AU" w:eastAsia="en-AU" w:bidi="ar-SA"/>
        </w:rPr>
        <w:t xml:space="preserve"> TJ, LaForce FM (1988) Damage of the outer membrane of enteric gram-negative bacteria by lactoferrin and transferrin. Infection and Immunity 56(11</w:t>
      </w:r>
      <w:r w:rsidR="00500383" w:rsidRPr="00BF5A0D">
        <w:rPr>
          <w:rFonts w:cs="Arial"/>
          <w:szCs w:val="22"/>
          <w:lang w:val="en-AU" w:eastAsia="en-AU" w:bidi="ar-SA"/>
        </w:rPr>
        <w:t>)</w:t>
      </w:r>
      <w:r w:rsidR="00500383">
        <w:rPr>
          <w:rFonts w:cs="Arial"/>
          <w:szCs w:val="22"/>
          <w:lang w:val="en-AU" w:eastAsia="en-AU" w:bidi="ar-SA"/>
        </w:rPr>
        <w:t>:</w:t>
      </w:r>
      <w:r w:rsidRPr="00BF5A0D">
        <w:rPr>
          <w:rFonts w:cs="Arial"/>
          <w:szCs w:val="22"/>
          <w:lang w:val="en-AU" w:eastAsia="en-AU" w:bidi="ar-SA"/>
        </w:rPr>
        <w:t xml:space="preserve">2774-2781. </w:t>
      </w:r>
    </w:p>
    <w:p w14:paraId="203EF602" w14:textId="77777777" w:rsidR="00BF5A0D" w:rsidRPr="00BF5A0D" w:rsidRDefault="00BF5A0D" w:rsidP="00BF5A0D">
      <w:pPr>
        <w:widowControl/>
        <w:textAlignment w:val="baseline"/>
        <w:rPr>
          <w:rFonts w:cs="Arial"/>
          <w:szCs w:val="22"/>
          <w:lang w:val="en-AU" w:eastAsia="en-AU" w:bidi="ar-SA"/>
        </w:rPr>
      </w:pPr>
    </w:p>
    <w:p w14:paraId="5B5D65D4" w14:textId="0CBB7585" w:rsidR="00BF5A0D" w:rsidRDefault="00BF5A0D" w:rsidP="00BF5A0D">
      <w:pPr>
        <w:widowControl/>
        <w:textAlignment w:val="baseline"/>
        <w:rPr>
          <w:rFonts w:cs="Arial"/>
          <w:szCs w:val="22"/>
          <w:lang w:val="en-AU" w:eastAsia="en-AU" w:bidi="ar-SA"/>
        </w:rPr>
      </w:pPr>
      <w:r w:rsidRPr="00BF5A0D">
        <w:rPr>
          <w:rFonts w:cs="Arial"/>
          <w:szCs w:val="22"/>
          <w:lang w:val="en-AU" w:eastAsia="en-AU" w:bidi="ar-SA"/>
        </w:rPr>
        <w:t xml:space="preserve">Ellison RT, LaForce FM, </w:t>
      </w:r>
      <w:proofErr w:type="spellStart"/>
      <w:r w:rsidRPr="00BF5A0D">
        <w:rPr>
          <w:rFonts w:cs="Arial"/>
          <w:szCs w:val="22"/>
          <w:lang w:val="en-AU" w:eastAsia="en-AU" w:bidi="ar-SA"/>
        </w:rPr>
        <w:t>Giehl,T</w:t>
      </w:r>
      <w:proofErr w:type="spellEnd"/>
      <w:r w:rsidRPr="00BF5A0D">
        <w:rPr>
          <w:rFonts w:cs="Arial"/>
          <w:szCs w:val="22"/>
          <w:lang w:val="en-AU" w:eastAsia="en-AU" w:bidi="ar-SA"/>
        </w:rPr>
        <w:t xml:space="preserve">, </w:t>
      </w:r>
      <w:proofErr w:type="spellStart"/>
      <w:r w:rsidRPr="00BF5A0D">
        <w:rPr>
          <w:rFonts w:cs="Arial"/>
          <w:szCs w:val="22"/>
          <w:lang w:val="en-AU" w:eastAsia="en-AU" w:bidi="ar-SA"/>
        </w:rPr>
        <w:t>Boose</w:t>
      </w:r>
      <w:proofErr w:type="spellEnd"/>
      <w:r w:rsidRPr="00BF5A0D">
        <w:rPr>
          <w:rFonts w:cs="Arial"/>
          <w:szCs w:val="22"/>
          <w:lang w:val="en-AU" w:eastAsia="en-AU" w:bidi="ar-SA"/>
        </w:rPr>
        <w:t xml:space="preserve"> DS, Dunn BE (1990) Lactoferrin and transferrin damage of Gram-negative outer membrane is modulated by Ca2+ and Mg2+. J Gen </w:t>
      </w:r>
      <w:proofErr w:type="spellStart"/>
      <w:r w:rsidRPr="00BF5A0D">
        <w:rPr>
          <w:rFonts w:cs="Arial"/>
          <w:szCs w:val="22"/>
          <w:lang w:val="en-AU" w:eastAsia="en-AU" w:bidi="ar-SA"/>
        </w:rPr>
        <w:t>Microbiol</w:t>
      </w:r>
      <w:proofErr w:type="spellEnd"/>
      <w:r w:rsidRPr="00BF5A0D">
        <w:rPr>
          <w:rFonts w:cs="Arial"/>
          <w:szCs w:val="22"/>
          <w:lang w:val="en-AU" w:eastAsia="en-AU" w:bidi="ar-SA"/>
        </w:rPr>
        <w:t xml:space="preserve"> 136</w:t>
      </w:r>
      <w:r w:rsidR="00500383">
        <w:rPr>
          <w:rFonts w:cs="Arial"/>
          <w:szCs w:val="22"/>
          <w:lang w:val="en-AU" w:eastAsia="en-AU" w:bidi="ar-SA"/>
        </w:rPr>
        <w:t>:</w:t>
      </w:r>
      <w:r w:rsidRPr="00BF5A0D">
        <w:rPr>
          <w:rFonts w:cs="Arial"/>
          <w:szCs w:val="22"/>
          <w:lang w:val="en-AU" w:eastAsia="en-AU" w:bidi="ar-SA"/>
        </w:rPr>
        <w:t>1437-1446.</w:t>
      </w:r>
    </w:p>
    <w:p w14:paraId="3C117408" w14:textId="77777777" w:rsidR="005C266B" w:rsidRDefault="005C266B" w:rsidP="00BF5A0D">
      <w:pPr>
        <w:widowControl/>
        <w:textAlignment w:val="baseline"/>
        <w:rPr>
          <w:rFonts w:cs="Arial"/>
          <w:szCs w:val="22"/>
          <w:lang w:val="en-AU" w:eastAsia="en-AU" w:bidi="ar-SA"/>
        </w:rPr>
      </w:pPr>
    </w:p>
    <w:p w14:paraId="282F2BC8" w14:textId="6AAACB28" w:rsidR="005C266B" w:rsidRDefault="005C266B" w:rsidP="00BF5A0D">
      <w:pPr>
        <w:widowControl/>
        <w:textAlignment w:val="baseline"/>
        <w:rPr>
          <w:rFonts w:cs="Arial"/>
          <w:szCs w:val="22"/>
          <w:lang w:val="en-AU" w:eastAsia="en-AU" w:bidi="ar-SA"/>
        </w:rPr>
      </w:pPr>
      <w:r w:rsidRPr="005C266B">
        <w:rPr>
          <w:rFonts w:cs="Arial"/>
          <w:szCs w:val="22"/>
          <w:lang w:val="en-AU" w:eastAsia="en-AU" w:bidi="ar-SA"/>
        </w:rPr>
        <w:t xml:space="preserve">Fiocchi A, </w:t>
      </w:r>
      <w:proofErr w:type="spellStart"/>
      <w:r w:rsidRPr="005C266B">
        <w:rPr>
          <w:rFonts w:cs="Arial"/>
          <w:szCs w:val="22"/>
          <w:lang w:val="en-AU" w:eastAsia="en-AU" w:bidi="ar-SA"/>
        </w:rPr>
        <w:t>Brozek</w:t>
      </w:r>
      <w:proofErr w:type="spellEnd"/>
      <w:r w:rsidRPr="005C266B">
        <w:rPr>
          <w:rFonts w:cs="Arial"/>
          <w:szCs w:val="22"/>
          <w:lang w:val="en-AU" w:eastAsia="en-AU" w:bidi="ar-SA"/>
        </w:rPr>
        <w:t xml:space="preserve"> J, </w:t>
      </w:r>
      <w:proofErr w:type="spellStart"/>
      <w:r w:rsidRPr="005C266B">
        <w:rPr>
          <w:rFonts w:cs="Arial"/>
          <w:szCs w:val="22"/>
          <w:lang w:val="en-AU" w:eastAsia="en-AU" w:bidi="ar-SA"/>
        </w:rPr>
        <w:t>Schünemann</w:t>
      </w:r>
      <w:proofErr w:type="spellEnd"/>
      <w:r w:rsidRPr="005C266B">
        <w:rPr>
          <w:rFonts w:cs="Arial"/>
          <w:szCs w:val="22"/>
          <w:lang w:val="en-AU" w:eastAsia="en-AU" w:bidi="ar-SA"/>
        </w:rPr>
        <w:t xml:space="preserve"> H, </w:t>
      </w:r>
      <w:proofErr w:type="spellStart"/>
      <w:r w:rsidRPr="005C266B">
        <w:rPr>
          <w:rFonts w:cs="Arial"/>
          <w:szCs w:val="22"/>
          <w:lang w:val="en-AU" w:eastAsia="en-AU" w:bidi="ar-SA"/>
        </w:rPr>
        <w:t>Bahna</w:t>
      </w:r>
      <w:proofErr w:type="spellEnd"/>
      <w:r w:rsidRPr="005C266B">
        <w:rPr>
          <w:rFonts w:cs="Arial"/>
          <w:szCs w:val="22"/>
          <w:lang w:val="en-AU" w:eastAsia="en-AU" w:bidi="ar-SA"/>
        </w:rPr>
        <w:t xml:space="preserve"> SL, von Berg A, Beyer K, </w:t>
      </w:r>
      <w:proofErr w:type="spellStart"/>
      <w:r w:rsidRPr="005C266B">
        <w:rPr>
          <w:rFonts w:cs="Arial"/>
          <w:szCs w:val="22"/>
          <w:lang w:val="en-AU" w:eastAsia="en-AU" w:bidi="ar-SA"/>
        </w:rPr>
        <w:t>Bozzola</w:t>
      </w:r>
      <w:proofErr w:type="spellEnd"/>
      <w:r w:rsidRPr="005C266B">
        <w:rPr>
          <w:rFonts w:cs="Arial"/>
          <w:szCs w:val="22"/>
          <w:lang w:val="en-AU" w:eastAsia="en-AU" w:bidi="ar-SA"/>
        </w:rPr>
        <w:t xml:space="preserve"> M, </w:t>
      </w:r>
      <w:proofErr w:type="spellStart"/>
      <w:r w:rsidRPr="005C266B">
        <w:rPr>
          <w:rFonts w:cs="Arial"/>
          <w:szCs w:val="22"/>
          <w:lang w:val="en-AU" w:eastAsia="en-AU" w:bidi="ar-SA"/>
        </w:rPr>
        <w:t>Bradsher</w:t>
      </w:r>
      <w:proofErr w:type="spellEnd"/>
      <w:r w:rsidRPr="005C266B">
        <w:rPr>
          <w:rFonts w:cs="Arial"/>
          <w:szCs w:val="22"/>
          <w:lang w:val="en-AU" w:eastAsia="en-AU" w:bidi="ar-SA"/>
        </w:rPr>
        <w:t xml:space="preserve"> J, </w:t>
      </w:r>
      <w:proofErr w:type="spellStart"/>
      <w:r w:rsidRPr="005C266B">
        <w:rPr>
          <w:rFonts w:cs="Arial"/>
          <w:szCs w:val="22"/>
          <w:lang w:val="en-AU" w:eastAsia="en-AU" w:bidi="ar-SA"/>
        </w:rPr>
        <w:t>Compalati</w:t>
      </w:r>
      <w:proofErr w:type="spellEnd"/>
      <w:r w:rsidRPr="005C266B">
        <w:rPr>
          <w:rFonts w:cs="Arial"/>
          <w:szCs w:val="22"/>
          <w:lang w:val="en-AU" w:eastAsia="en-AU" w:bidi="ar-SA"/>
        </w:rPr>
        <w:t xml:space="preserve"> E, </w:t>
      </w:r>
      <w:proofErr w:type="spellStart"/>
      <w:r w:rsidRPr="005C266B">
        <w:rPr>
          <w:rFonts w:cs="Arial"/>
          <w:szCs w:val="22"/>
          <w:lang w:val="en-AU" w:eastAsia="en-AU" w:bidi="ar-SA"/>
        </w:rPr>
        <w:t>Ebisawa</w:t>
      </w:r>
      <w:proofErr w:type="spellEnd"/>
      <w:r w:rsidRPr="005C266B">
        <w:rPr>
          <w:rFonts w:cs="Arial"/>
          <w:szCs w:val="22"/>
          <w:lang w:val="en-AU" w:eastAsia="en-AU" w:bidi="ar-SA"/>
        </w:rPr>
        <w:t xml:space="preserve"> M, Guzman MA, Li H, Heine RG, Keith P, Lack G, </w:t>
      </w:r>
      <w:proofErr w:type="spellStart"/>
      <w:r w:rsidRPr="005C266B">
        <w:rPr>
          <w:rFonts w:cs="Arial"/>
          <w:szCs w:val="22"/>
          <w:lang w:val="en-AU" w:eastAsia="en-AU" w:bidi="ar-SA"/>
        </w:rPr>
        <w:t>Landi</w:t>
      </w:r>
      <w:proofErr w:type="spellEnd"/>
      <w:r w:rsidRPr="005C266B">
        <w:rPr>
          <w:rFonts w:cs="Arial"/>
          <w:szCs w:val="22"/>
          <w:lang w:val="en-AU" w:eastAsia="en-AU" w:bidi="ar-SA"/>
        </w:rPr>
        <w:t xml:space="preserve"> M, </w:t>
      </w:r>
      <w:proofErr w:type="spellStart"/>
      <w:r w:rsidRPr="005C266B">
        <w:rPr>
          <w:rFonts w:cs="Arial"/>
          <w:szCs w:val="22"/>
          <w:lang w:val="en-AU" w:eastAsia="en-AU" w:bidi="ar-SA"/>
        </w:rPr>
        <w:t>Martelli</w:t>
      </w:r>
      <w:proofErr w:type="spellEnd"/>
      <w:r w:rsidRPr="005C266B">
        <w:rPr>
          <w:rFonts w:cs="Arial"/>
          <w:szCs w:val="22"/>
          <w:lang w:val="en-AU" w:eastAsia="en-AU" w:bidi="ar-SA"/>
        </w:rPr>
        <w:t xml:space="preserve"> A, </w:t>
      </w:r>
      <w:proofErr w:type="spellStart"/>
      <w:r w:rsidRPr="005C266B">
        <w:rPr>
          <w:rFonts w:cs="Arial"/>
          <w:szCs w:val="22"/>
          <w:lang w:val="en-AU" w:eastAsia="en-AU" w:bidi="ar-SA"/>
        </w:rPr>
        <w:t>Rancé</w:t>
      </w:r>
      <w:proofErr w:type="spellEnd"/>
      <w:r w:rsidRPr="005C266B">
        <w:rPr>
          <w:rFonts w:cs="Arial"/>
          <w:szCs w:val="22"/>
          <w:lang w:val="en-AU" w:eastAsia="en-AU" w:bidi="ar-SA"/>
        </w:rPr>
        <w:t xml:space="preserve"> F, Sampson H, S</w:t>
      </w:r>
      <w:r>
        <w:rPr>
          <w:rFonts w:cs="Arial"/>
          <w:szCs w:val="22"/>
          <w:lang w:val="en-AU" w:eastAsia="en-AU" w:bidi="ar-SA"/>
        </w:rPr>
        <w:t xml:space="preserve">tein A, </w:t>
      </w:r>
      <w:proofErr w:type="spellStart"/>
      <w:r>
        <w:rPr>
          <w:rFonts w:cs="Arial"/>
          <w:szCs w:val="22"/>
          <w:lang w:val="en-AU" w:eastAsia="en-AU" w:bidi="ar-SA"/>
        </w:rPr>
        <w:t>Terracciano</w:t>
      </w:r>
      <w:proofErr w:type="spellEnd"/>
      <w:r>
        <w:rPr>
          <w:rFonts w:cs="Arial"/>
          <w:szCs w:val="22"/>
          <w:lang w:val="en-AU" w:eastAsia="en-AU" w:bidi="ar-SA"/>
        </w:rPr>
        <w:t xml:space="preserve"> L, </w:t>
      </w:r>
      <w:proofErr w:type="spellStart"/>
      <w:r>
        <w:rPr>
          <w:rFonts w:cs="Arial"/>
          <w:szCs w:val="22"/>
          <w:lang w:val="en-AU" w:eastAsia="en-AU" w:bidi="ar-SA"/>
        </w:rPr>
        <w:t>Vieths</w:t>
      </w:r>
      <w:proofErr w:type="spellEnd"/>
      <w:r>
        <w:rPr>
          <w:rFonts w:cs="Arial"/>
          <w:szCs w:val="22"/>
          <w:lang w:val="en-AU" w:eastAsia="en-AU" w:bidi="ar-SA"/>
        </w:rPr>
        <w:t xml:space="preserve"> S (2012) </w:t>
      </w:r>
      <w:r w:rsidR="0038366A" w:rsidRPr="0038366A">
        <w:rPr>
          <w:rFonts w:cs="Arial"/>
          <w:szCs w:val="22"/>
          <w:lang w:val="en-AU" w:eastAsia="en-AU" w:bidi="ar-SA"/>
        </w:rPr>
        <w:t>World Allergy Organization (WAO) Diagnosis and Rationale for Action against Cow's Milk Allergy (DRACMA) Guidelines</w:t>
      </w:r>
      <w:r w:rsidR="0038366A">
        <w:rPr>
          <w:rFonts w:cs="Arial"/>
          <w:szCs w:val="22"/>
          <w:lang w:val="en-AU" w:eastAsia="en-AU" w:bidi="ar-SA"/>
        </w:rPr>
        <w:t xml:space="preserve">. </w:t>
      </w:r>
      <w:proofErr w:type="spellStart"/>
      <w:r w:rsidR="0038366A">
        <w:rPr>
          <w:rFonts w:cs="Arial"/>
          <w:szCs w:val="22"/>
          <w:lang w:val="en-AU" w:eastAsia="en-AU" w:bidi="ar-SA"/>
        </w:rPr>
        <w:t>Wold</w:t>
      </w:r>
      <w:proofErr w:type="spellEnd"/>
      <w:r w:rsidR="0038366A">
        <w:rPr>
          <w:rFonts w:cs="Arial"/>
          <w:szCs w:val="22"/>
          <w:lang w:val="en-AU" w:eastAsia="en-AU" w:bidi="ar-SA"/>
        </w:rPr>
        <w:t xml:space="preserve"> Allergy Organ J </w:t>
      </w:r>
      <w:r w:rsidR="0060257D" w:rsidRPr="0060257D">
        <w:rPr>
          <w:rFonts w:cs="Arial"/>
          <w:szCs w:val="22"/>
          <w:lang w:val="en-AU" w:eastAsia="en-AU" w:bidi="ar-SA"/>
        </w:rPr>
        <w:t>3(4):57-161.</w:t>
      </w:r>
      <w:r w:rsidR="0060257D">
        <w:rPr>
          <w:rFonts w:cs="Arial"/>
          <w:szCs w:val="22"/>
          <w:lang w:val="en-AU" w:eastAsia="en-AU" w:bidi="ar-SA"/>
        </w:rPr>
        <w:t xml:space="preserve"> </w:t>
      </w:r>
    </w:p>
    <w:p w14:paraId="50FAE739" w14:textId="717EF0EE" w:rsidR="00EA5F52" w:rsidRDefault="00EA5F52" w:rsidP="00BF5A0D">
      <w:pPr>
        <w:widowControl/>
        <w:textAlignment w:val="baseline"/>
        <w:rPr>
          <w:rFonts w:cs="Arial"/>
          <w:szCs w:val="22"/>
          <w:lang w:val="en-AU" w:eastAsia="en-AU" w:bidi="ar-SA"/>
        </w:rPr>
      </w:pPr>
    </w:p>
    <w:p w14:paraId="2DEDD6C5" w14:textId="32151580" w:rsidR="00EA5F52" w:rsidRDefault="00EA5F52" w:rsidP="00BF5A0D">
      <w:pPr>
        <w:widowControl/>
        <w:textAlignment w:val="baseline"/>
        <w:rPr>
          <w:rFonts w:cs="Arial"/>
          <w:szCs w:val="22"/>
          <w:lang w:val="en-AU" w:eastAsia="en-AU" w:bidi="ar-SA"/>
        </w:rPr>
      </w:pPr>
      <w:r w:rsidRPr="00EA5F52">
        <w:rPr>
          <w:rFonts w:cs="Arial"/>
          <w:szCs w:val="22"/>
          <w:lang w:val="en-AU" w:eastAsia="en-AU" w:bidi="ar-SA"/>
        </w:rPr>
        <w:t xml:space="preserve">Fischer R, </w:t>
      </w:r>
      <w:proofErr w:type="spellStart"/>
      <w:r w:rsidRPr="00EA5F52">
        <w:rPr>
          <w:rFonts w:cs="Arial"/>
          <w:szCs w:val="22"/>
          <w:lang w:val="en-AU" w:eastAsia="en-AU" w:bidi="ar-SA"/>
        </w:rPr>
        <w:t>Debbabi</w:t>
      </w:r>
      <w:proofErr w:type="spellEnd"/>
      <w:r w:rsidRPr="00EA5F52">
        <w:rPr>
          <w:rFonts w:cs="Arial"/>
          <w:szCs w:val="22"/>
          <w:lang w:val="en-AU" w:eastAsia="en-AU" w:bidi="ar-SA"/>
        </w:rPr>
        <w:t xml:space="preserve"> H, </w:t>
      </w:r>
      <w:proofErr w:type="spellStart"/>
      <w:r w:rsidRPr="00EA5F52">
        <w:rPr>
          <w:rFonts w:cs="Arial"/>
          <w:szCs w:val="22"/>
          <w:lang w:val="en-AU" w:eastAsia="en-AU" w:bidi="ar-SA"/>
        </w:rPr>
        <w:t>Blais</w:t>
      </w:r>
      <w:proofErr w:type="spellEnd"/>
      <w:r w:rsidRPr="00EA5F52">
        <w:rPr>
          <w:rFonts w:cs="Arial"/>
          <w:szCs w:val="22"/>
          <w:lang w:val="en-AU" w:eastAsia="en-AU" w:bidi="ar-SA"/>
        </w:rPr>
        <w:t xml:space="preserve"> A, </w:t>
      </w:r>
      <w:proofErr w:type="spellStart"/>
      <w:r w:rsidRPr="00EA5F52">
        <w:rPr>
          <w:rFonts w:cs="Arial"/>
          <w:szCs w:val="22"/>
          <w:lang w:val="en-AU" w:eastAsia="en-AU" w:bidi="ar-SA"/>
        </w:rPr>
        <w:t>Dubarry</w:t>
      </w:r>
      <w:proofErr w:type="spellEnd"/>
      <w:r w:rsidRPr="00EA5F52">
        <w:rPr>
          <w:rFonts w:cs="Arial"/>
          <w:szCs w:val="22"/>
          <w:lang w:val="en-AU" w:eastAsia="en-AU" w:bidi="ar-SA"/>
        </w:rPr>
        <w:t xml:space="preserve"> M,</w:t>
      </w:r>
      <w:r>
        <w:rPr>
          <w:rFonts w:cs="Arial"/>
          <w:szCs w:val="22"/>
          <w:lang w:val="en-AU" w:eastAsia="en-AU" w:bidi="ar-SA"/>
        </w:rPr>
        <w:t xml:space="preserve"> Rautureau M, </w:t>
      </w:r>
      <w:proofErr w:type="spellStart"/>
      <w:r>
        <w:rPr>
          <w:rFonts w:cs="Arial"/>
          <w:szCs w:val="22"/>
          <w:lang w:val="en-AU" w:eastAsia="en-AU" w:bidi="ar-SA"/>
        </w:rPr>
        <w:t>Boyaka</w:t>
      </w:r>
      <w:proofErr w:type="spellEnd"/>
      <w:r>
        <w:rPr>
          <w:rFonts w:cs="Arial"/>
          <w:szCs w:val="22"/>
          <w:lang w:val="en-AU" w:eastAsia="en-AU" w:bidi="ar-SA"/>
        </w:rPr>
        <w:t xml:space="preserve"> PN, Tome D (2007) </w:t>
      </w:r>
      <w:r w:rsidRPr="00EA5F52">
        <w:rPr>
          <w:rFonts w:cs="Arial"/>
          <w:szCs w:val="22"/>
          <w:lang w:val="en-AU" w:eastAsia="en-AU" w:bidi="ar-SA"/>
        </w:rPr>
        <w:t>Uptake of ingested bovine lactoferrin and its accumulation in adult mouse tissues</w:t>
      </w:r>
      <w:r>
        <w:rPr>
          <w:rFonts w:cs="Arial"/>
          <w:szCs w:val="22"/>
          <w:lang w:val="en-AU" w:eastAsia="en-AU" w:bidi="ar-SA"/>
        </w:rPr>
        <w:t xml:space="preserve">. Int </w:t>
      </w:r>
      <w:proofErr w:type="spellStart"/>
      <w:r>
        <w:rPr>
          <w:rFonts w:cs="Arial"/>
          <w:szCs w:val="22"/>
          <w:lang w:val="en-AU" w:eastAsia="en-AU" w:bidi="ar-SA"/>
        </w:rPr>
        <w:t>Immunopharmacol</w:t>
      </w:r>
      <w:proofErr w:type="spellEnd"/>
      <w:r>
        <w:rPr>
          <w:rFonts w:cs="Arial"/>
          <w:szCs w:val="22"/>
          <w:lang w:val="en-AU" w:eastAsia="en-AU" w:bidi="ar-SA"/>
        </w:rPr>
        <w:t xml:space="preserve"> </w:t>
      </w:r>
      <w:r w:rsidRPr="00EA5F52">
        <w:rPr>
          <w:rFonts w:cs="Arial"/>
          <w:szCs w:val="22"/>
          <w:lang w:val="en-AU" w:eastAsia="en-AU" w:bidi="ar-SA"/>
        </w:rPr>
        <w:t>7(10):1387-93.</w:t>
      </w:r>
      <w:r>
        <w:rPr>
          <w:rFonts w:cs="Arial"/>
          <w:szCs w:val="22"/>
          <w:lang w:val="en-AU" w:eastAsia="en-AU" w:bidi="ar-SA"/>
        </w:rPr>
        <w:t xml:space="preserve"> </w:t>
      </w:r>
    </w:p>
    <w:p w14:paraId="115AB740" w14:textId="77777777" w:rsidR="00BF5A0D" w:rsidRPr="00550D44" w:rsidRDefault="00BF5A0D" w:rsidP="00384CD0">
      <w:pPr>
        <w:widowControl/>
        <w:textAlignment w:val="baseline"/>
        <w:rPr>
          <w:rFonts w:cs="Arial"/>
          <w:szCs w:val="22"/>
          <w:lang w:val="en-AU" w:eastAsia="en-AU" w:bidi="ar-SA"/>
        </w:rPr>
      </w:pPr>
    </w:p>
    <w:p w14:paraId="04B32C46" w14:textId="77777777" w:rsidR="00384CD0" w:rsidRDefault="00384CD0" w:rsidP="00384CD0">
      <w:pPr>
        <w:widowControl/>
        <w:textAlignment w:val="baseline"/>
        <w:rPr>
          <w:rFonts w:cs="Arial"/>
          <w:szCs w:val="22"/>
          <w:lang w:val="en-AU" w:eastAsia="en-AU" w:bidi="ar-SA"/>
        </w:rPr>
      </w:pPr>
      <w:r w:rsidRPr="00550D44">
        <w:rPr>
          <w:rFonts w:cs="Arial"/>
          <w:szCs w:val="22"/>
          <w:lang w:eastAsia="en-AU" w:bidi="ar-SA"/>
        </w:rPr>
        <w:t xml:space="preserve">Food Standards Australia New Zealand (2016) AUSNUT 2011-13 Food nutrient database. </w:t>
      </w:r>
      <w:hyperlink r:id="rId24" w:tgtFrame="_blank" w:history="1">
        <w:r w:rsidRPr="00550D44">
          <w:rPr>
            <w:rFonts w:cs="Arial"/>
            <w:color w:val="0000FF"/>
            <w:szCs w:val="22"/>
            <w:lang w:eastAsia="en-AU" w:bidi="ar-SA"/>
          </w:rPr>
          <w:t>http://www.foodstandards.gov.au/science/monitoringnutrients/ausnut/ausnutdatafiles/pages/foodnutrient.aspx</w:t>
        </w:r>
      </w:hyperlink>
      <w:r w:rsidRPr="00550D44">
        <w:rPr>
          <w:rFonts w:cs="Arial"/>
          <w:szCs w:val="22"/>
          <w:lang w:val="en-AU" w:eastAsia="en-AU" w:bidi="ar-SA"/>
        </w:rPr>
        <w:t> </w:t>
      </w:r>
    </w:p>
    <w:p w14:paraId="22F13EC6" w14:textId="77777777" w:rsidR="00A60B96" w:rsidRDefault="00A60B96" w:rsidP="00384CD0">
      <w:pPr>
        <w:widowControl/>
        <w:textAlignment w:val="baseline"/>
        <w:rPr>
          <w:rFonts w:cs="Arial"/>
          <w:szCs w:val="22"/>
          <w:lang w:val="en-AU" w:eastAsia="en-AU" w:bidi="ar-SA"/>
        </w:rPr>
      </w:pPr>
    </w:p>
    <w:p w14:paraId="1CEB8ECE" w14:textId="2872452A" w:rsidR="005F441A" w:rsidRDefault="005F441A" w:rsidP="00384CD0">
      <w:pPr>
        <w:widowControl/>
        <w:textAlignment w:val="baseline"/>
        <w:rPr>
          <w:rStyle w:val="Hyperlink"/>
          <w:rFonts w:cs="Arial"/>
          <w:szCs w:val="22"/>
          <w:lang w:val="en-AU" w:eastAsia="en-AU" w:bidi="ar-SA"/>
        </w:rPr>
      </w:pPr>
      <w:r w:rsidRPr="00550D44">
        <w:rPr>
          <w:rFonts w:cs="Arial"/>
          <w:szCs w:val="22"/>
          <w:lang w:eastAsia="en-AU" w:bidi="ar-SA"/>
        </w:rPr>
        <w:t>Food Standards Australia New Zealand (</w:t>
      </w:r>
      <w:r>
        <w:rPr>
          <w:rFonts w:cs="Arial"/>
          <w:szCs w:val="22"/>
          <w:lang w:eastAsia="en-AU" w:bidi="ar-SA"/>
        </w:rPr>
        <w:t>2019</w:t>
      </w:r>
      <w:r w:rsidR="0011363D">
        <w:rPr>
          <w:rFonts w:cs="Arial"/>
          <w:szCs w:val="22"/>
          <w:lang w:eastAsia="en-AU" w:bidi="ar-SA"/>
        </w:rPr>
        <w:t xml:space="preserve">) </w:t>
      </w:r>
      <w:r w:rsidR="009611B1">
        <w:rPr>
          <w:rFonts w:cs="Arial"/>
          <w:szCs w:val="22"/>
          <w:lang w:eastAsia="en-AU" w:bidi="ar-SA"/>
        </w:rPr>
        <w:t xml:space="preserve">Safety, technical and health effects assessment </w:t>
      </w:r>
      <w:r w:rsidR="00EA202B">
        <w:rPr>
          <w:rFonts w:cs="Arial"/>
          <w:szCs w:val="22"/>
          <w:lang w:eastAsia="en-AU" w:bidi="ar-SA"/>
        </w:rPr>
        <w:t>–</w:t>
      </w:r>
      <w:r w:rsidR="009611B1">
        <w:rPr>
          <w:rFonts w:cs="Arial"/>
          <w:szCs w:val="22"/>
          <w:lang w:eastAsia="en-AU" w:bidi="ar-SA"/>
        </w:rPr>
        <w:t xml:space="preserve"> 2</w:t>
      </w:r>
      <w:r w:rsidR="00EA202B">
        <w:rPr>
          <w:rFonts w:cs="Arial"/>
          <w:szCs w:val="22"/>
          <w:lang w:eastAsia="en-AU" w:bidi="ar-SA"/>
        </w:rPr>
        <w:t xml:space="preserve">’ </w:t>
      </w:r>
      <w:r w:rsidR="009611B1">
        <w:rPr>
          <w:rFonts w:cs="Arial"/>
          <w:szCs w:val="22"/>
          <w:lang w:eastAsia="en-AU" w:bidi="ar-SA"/>
        </w:rPr>
        <w:t xml:space="preserve">FL and </w:t>
      </w:r>
      <w:proofErr w:type="spellStart"/>
      <w:r w:rsidR="009611B1">
        <w:rPr>
          <w:rFonts w:cs="Arial"/>
          <w:szCs w:val="22"/>
          <w:lang w:eastAsia="en-AU" w:bidi="ar-SA"/>
        </w:rPr>
        <w:t>LN</w:t>
      </w:r>
      <w:r w:rsidR="0011363D">
        <w:rPr>
          <w:rFonts w:cs="Arial"/>
          <w:szCs w:val="22"/>
          <w:lang w:eastAsia="en-AU" w:bidi="ar-SA"/>
        </w:rPr>
        <w:t>nT</w:t>
      </w:r>
      <w:proofErr w:type="spellEnd"/>
      <w:r w:rsidR="0011363D">
        <w:rPr>
          <w:rFonts w:cs="Arial"/>
          <w:szCs w:val="22"/>
          <w:lang w:eastAsia="en-AU" w:bidi="ar-SA"/>
        </w:rPr>
        <w:t xml:space="preserve"> in infant formula and other products</w:t>
      </w:r>
      <w:r w:rsidRPr="00550D44">
        <w:rPr>
          <w:rFonts w:cs="Arial"/>
          <w:szCs w:val="22"/>
          <w:lang w:eastAsia="en-AU" w:bidi="ar-SA"/>
        </w:rPr>
        <w:t xml:space="preserve">. </w:t>
      </w:r>
      <w:hyperlink r:id="rId25" w:history="1">
        <w:r w:rsidR="0011363D" w:rsidRPr="00750421">
          <w:rPr>
            <w:rStyle w:val="Hyperlink"/>
            <w:rFonts w:cs="Arial"/>
            <w:szCs w:val="22"/>
            <w:lang w:val="en-AU" w:eastAsia="en-AU" w:bidi="ar-SA"/>
          </w:rPr>
          <w:t>https://www.foodstandards.gov.au/code/applications/Documents/A1155_SD1_Risk%20assessment%20-%202nd%20CFS.pdf</w:t>
        </w:r>
      </w:hyperlink>
    </w:p>
    <w:p w14:paraId="269D881D" w14:textId="77777777" w:rsidR="007D4D04" w:rsidRDefault="007D4D04" w:rsidP="00384CD0">
      <w:pPr>
        <w:widowControl/>
        <w:textAlignment w:val="baseline"/>
        <w:rPr>
          <w:rFonts w:cs="Arial"/>
          <w:szCs w:val="22"/>
          <w:lang w:val="en-AU" w:eastAsia="en-AU" w:bidi="ar-SA"/>
        </w:rPr>
      </w:pPr>
    </w:p>
    <w:p w14:paraId="2EACFFE8" w14:textId="1FD273D5" w:rsidR="007D4D04" w:rsidRDefault="007D4D04" w:rsidP="00384CD0">
      <w:pPr>
        <w:widowControl/>
        <w:textAlignment w:val="baseline"/>
        <w:rPr>
          <w:rFonts w:cs="Arial"/>
          <w:szCs w:val="22"/>
          <w:lang w:val="en-AU" w:eastAsia="en-AU" w:bidi="ar-SA"/>
        </w:rPr>
      </w:pPr>
      <w:r w:rsidRPr="007D4D04">
        <w:rPr>
          <w:rFonts w:cs="Arial"/>
          <w:szCs w:val="22"/>
          <w:lang w:val="en-AU" w:eastAsia="en-AU" w:bidi="ar-SA"/>
        </w:rPr>
        <w:t xml:space="preserve">Gaudin JC, </w:t>
      </w:r>
      <w:proofErr w:type="spellStart"/>
      <w:r w:rsidRPr="007D4D04">
        <w:rPr>
          <w:rFonts w:cs="Arial"/>
          <w:szCs w:val="22"/>
          <w:lang w:val="en-AU" w:eastAsia="en-AU" w:bidi="ar-SA"/>
        </w:rPr>
        <w:t>Rabesona</w:t>
      </w:r>
      <w:proofErr w:type="spellEnd"/>
      <w:r w:rsidRPr="007D4D04">
        <w:rPr>
          <w:rFonts w:cs="Arial"/>
          <w:szCs w:val="22"/>
          <w:lang w:val="en-AU" w:eastAsia="en-AU" w:bidi="ar-SA"/>
        </w:rPr>
        <w:t xml:space="preserve"> H, </w:t>
      </w:r>
      <w:proofErr w:type="spellStart"/>
      <w:r w:rsidRPr="007D4D04">
        <w:rPr>
          <w:rFonts w:cs="Arial"/>
          <w:szCs w:val="22"/>
          <w:lang w:val="en-AU" w:eastAsia="en-AU" w:bidi="ar-SA"/>
        </w:rPr>
        <w:t>Choiset</w:t>
      </w:r>
      <w:proofErr w:type="spellEnd"/>
      <w:r w:rsidRPr="007D4D04">
        <w:rPr>
          <w:rFonts w:cs="Arial"/>
          <w:szCs w:val="22"/>
          <w:lang w:val="en-AU" w:eastAsia="en-AU" w:bidi="ar-SA"/>
        </w:rPr>
        <w:t xml:space="preserve"> Y, </w:t>
      </w:r>
      <w:proofErr w:type="spellStart"/>
      <w:r w:rsidRPr="007D4D04">
        <w:rPr>
          <w:rFonts w:cs="Arial"/>
          <w:szCs w:val="22"/>
          <w:lang w:val="en-AU" w:eastAsia="en-AU" w:bidi="ar-SA"/>
        </w:rPr>
        <w:t>Yeretssian</w:t>
      </w:r>
      <w:proofErr w:type="spellEnd"/>
      <w:r w:rsidRPr="007D4D04">
        <w:rPr>
          <w:rFonts w:cs="Arial"/>
          <w:szCs w:val="22"/>
          <w:lang w:val="en-AU" w:eastAsia="en-AU" w:bidi="ar-SA"/>
        </w:rPr>
        <w:t xml:space="preserve"> G, </w:t>
      </w:r>
      <w:proofErr w:type="spellStart"/>
      <w:r w:rsidRPr="007D4D04">
        <w:rPr>
          <w:rFonts w:cs="Arial"/>
          <w:szCs w:val="22"/>
          <w:lang w:val="en-AU" w:eastAsia="en-AU" w:bidi="ar-SA"/>
        </w:rPr>
        <w:t>Chobert</w:t>
      </w:r>
      <w:proofErr w:type="spellEnd"/>
      <w:r w:rsidRPr="007D4D04">
        <w:rPr>
          <w:rFonts w:cs="Arial"/>
          <w:szCs w:val="22"/>
          <w:lang w:val="en-AU" w:eastAsia="en-AU" w:bidi="ar-SA"/>
        </w:rPr>
        <w:t xml:space="preserve"> JM, </w:t>
      </w:r>
      <w:proofErr w:type="spellStart"/>
      <w:r w:rsidRPr="007D4D04">
        <w:rPr>
          <w:rFonts w:cs="Arial"/>
          <w:szCs w:val="22"/>
          <w:lang w:val="en-AU" w:eastAsia="en-AU" w:bidi="ar-SA"/>
        </w:rPr>
        <w:t>Sakanyan</w:t>
      </w:r>
      <w:proofErr w:type="spellEnd"/>
      <w:r w:rsidRPr="007D4D04">
        <w:rPr>
          <w:rFonts w:cs="Arial"/>
          <w:szCs w:val="22"/>
          <w:lang w:val="en-AU" w:eastAsia="en-AU" w:bidi="ar-SA"/>
        </w:rPr>
        <w:t xml:space="preserve"> V, </w:t>
      </w:r>
      <w:proofErr w:type="spellStart"/>
      <w:r w:rsidRPr="007D4D04">
        <w:rPr>
          <w:rFonts w:cs="Arial"/>
          <w:szCs w:val="22"/>
          <w:lang w:val="en-AU" w:eastAsia="en-AU" w:bidi="ar-SA"/>
        </w:rPr>
        <w:t>Drouet</w:t>
      </w:r>
      <w:proofErr w:type="spellEnd"/>
      <w:r w:rsidRPr="007D4D04">
        <w:rPr>
          <w:rFonts w:cs="Arial"/>
          <w:szCs w:val="22"/>
          <w:lang w:val="en-AU" w:eastAsia="en-AU" w:bidi="ar-SA"/>
        </w:rPr>
        <w:t xml:space="preserve"> M, </w:t>
      </w:r>
      <w:proofErr w:type="spellStart"/>
      <w:r w:rsidRPr="007D4D04">
        <w:rPr>
          <w:rFonts w:cs="Arial"/>
          <w:szCs w:val="22"/>
          <w:lang w:val="en-AU" w:eastAsia="en-AU" w:bidi="ar-SA"/>
        </w:rPr>
        <w:t>Haertlé</w:t>
      </w:r>
      <w:proofErr w:type="spellEnd"/>
      <w:r w:rsidRPr="007D4D04">
        <w:rPr>
          <w:rFonts w:cs="Arial"/>
          <w:szCs w:val="22"/>
          <w:lang w:val="en-AU" w:eastAsia="en-AU" w:bidi="ar-SA"/>
        </w:rPr>
        <w:t xml:space="preserve"> T</w:t>
      </w:r>
      <w:r>
        <w:rPr>
          <w:rFonts w:cs="Arial"/>
          <w:szCs w:val="22"/>
          <w:lang w:val="en-AU" w:eastAsia="en-AU" w:bidi="ar-SA"/>
        </w:rPr>
        <w:t xml:space="preserve"> (2008) </w:t>
      </w:r>
      <w:r w:rsidRPr="007D4D04">
        <w:rPr>
          <w:rFonts w:cs="Arial"/>
          <w:szCs w:val="22"/>
          <w:lang w:val="en-AU" w:eastAsia="en-AU" w:bidi="ar-SA"/>
        </w:rPr>
        <w:t>Assessment of the immunoglobulin E-mediated immune response to milk-specific proteins in allergic patients using microarrays</w:t>
      </w:r>
      <w:r>
        <w:rPr>
          <w:rFonts w:cs="Arial"/>
          <w:szCs w:val="22"/>
          <w:lang w:val="en-AU" w:eastAsia="en-AU" w:bidi="ar-SA"/>
        </w:rPr>
        <w:t xml:space="preserve">. Clin Exp Allergy </w:t>
      </w:r>
      <w:r w:rsidR="008A5540" w:rsidRPr="008A5540">
        <w:rPr>
          <w:rFonts w:cs="Arial"/>
          <w:szCs w:val="22"/>
          <w:lang w:val="en-AU" w:eastAsia="en-AU" w:bidi="ar-SA"/>
        </w:rPr>
        <w:t>38(4):686-93.</w:t>
      </w:r>
      <w:r w:rsidR="008A5540">
        <w:rPr>
          <w:rFonts w:cs="Arial"/>
          <w:szCs w:val="22"/>
          <w:lang w:val="en-AU" w:eastAsia="en-AU" w:bidi="ar-SA"/>
        </w:rPr>
        <w:t xml:space="preserve"> </w:t>
      </w:r>
    </w:p>
    <w:p w14:paraId="72649A08" w14:textId="77777777" w:rsidR="0011363D" w:rsidRPr="00550D44" w:rsidRDefault="0011363D" w:rsidP="00384CD0">
      <w:pPr>
        <w:widowControl/>
        <w:textAlignment w:val="baseline"/>
        <w:rPr>
          <w:rFonts w:cs="Arial"/>
          <w:szCs w:val="22"/>
          <w:lang w:val="en-AU" w:eastAsia="en-AU" w:bidi="ar-SA"/>
        </w:rPr>
      </w:pPr>
    </w:p>
    <w:p w14:paraId="27190BEC" w14:textId="77777777" w:rsidR="00550D44" w:rsidRDefault="00550D44" w:rsidP="00550D44">
      <w:pPr>
        <w:rPr>
          <w:rFonts w:cs="Arial"/>
        </w:rPr>
      </w:pPr>
      <w:r>
        <w:rPr>
          <w:rFonts w:cs="Arial"/>
        </w:rPr>
        <w:t>Gifford JL, Hunter HN, Vogel HJ (2005)</w:t>
      </w:r>
      <w:r w:rsidRPr="00914DFC">
        <w:rPr>
          <w:rFonts w:cs="Arial"/>
        </w:rPr>
        <w:t xml:space="preserve"> Lactoferricin: a lactoferrin-derived peptide with antimicrobial, antiviral, antitumor and immunological properties. Cell Mol Life Sci. </w:t>
      </w:r>
      <w:r>
        <w:rPr>
          <w:rFonts w:cs="Arial"/>
        </w:rPr>
        <w:t>62(22):2588-98. DOI:</w:t>
      </w:r>
      <w:r w:rsidRPr="00914DFC">
        <w:rPr>
          <w:rFonts w:cs="Arial"/>
        </w:rPr>
        <w:t>10.1007/s00018-005-5373-z.</w:t>
      </w:r>
    </w:p>
    <w:p w14:paraId="2B78F75C" w14:textId="77777777" w:rsidR="00FD343F" w:rsidRDefault="00FD343F" w:rsidP="00550D44">
      <w:pPr>
        <w:rPr>
          <w:rFonts w:cs="Arial"/>
        </w:rPr>
      </w:pPr>
    </w:p>
    <w:p w14:paraId="4C9B0563" w14:textId="10AE3B3B" w:rsidR="00C30133" w:rsidRDefault="00FD343F" w:rsidP="00C9739A">
      <w:pPr>
        <w:rPr>
          <w:rFonts w:cs="Arial"/>
        </w:rPr>
      </w:pPr>
      <w:proofErr w:type="spellStart"/>
      <w:r w:rsidRPr="00FD343F">
        <w:rPr>
          <w:rFonts w:cs="Arial"/>
        </w:rPr>
        <w:t>Gíslason</w:t>
      </w:r>
      <w:proofErr w:type="spellEnd"/>
      <w:r w:rsidRPr="00FD343F">
        <w:rPr>
          <w:rFonts w:cs="Arial"/>
        </w:rPr>
        <w:t xml:space="preserve"> J, </w:t>
      </w:r>
      <w:proofErr w:type="spellStart"/>
      <w:r w:rsidRPr="00FD343F">
        <w:rPr>
          <w:rFonts w:cs="Arial"/>
        </w:rPr>
        <w:t>Iyer</w:t>
      </w:r>
      <w:proofErr w:type="spellEnd"/>
      <w:r w:rsidRPr="00FD343F">
        <w:rPr>
          <w:rFonts w:cs="Arial"/>
        </w:rPr>
        <w:t xml:space="preserve"> S, Douglas GC, Hutchens TW, </w:t>
      </w:r>
      <w:proofErr w:type="spellStart"/>
      <w:r w:rsidRPr="00FD343F">
        <w:rPr>
          <w:rFonts w:cs="Arial"/>
        </w:rPr>
        <w:t>Lönnerdal</w:t>
      </w:r>
      <w:proofErr w:type="spellEnd"/>
      <w:r w:rsidRPr="00FD343F">
        <w:rPr>
          <w:rFonts w:cs="Arial"/>
        </w:rPr>
        <w:t xml:space="preserve"> B</w:t>
      </w:r>
      <w:r>
        <w:rPr>
          <w:rFonts w:cs="Arial"/>
        </w:rPr>
        <w:t xml:space="preserve"> (1993)</w:t>
      </w:r>
      <w:r w:rsidR="00C9739A">
        <w:rPr>
          <w:rFonts w:cs="Arial"/>
        </w:rPr>
        <w:t xml:space="preserve"> </w:t>
      </w:r>
      <w:r w:rsidR="00E17659" w:rsidRPr="00C9739A">
        <w:rPr>
          <w:rFonts w:cs="Arial"/>
        </w:rPr>
        <w:t>Lactoferrin receptors in piglet small intestine: Lactoferrin binding properties, ontogeny, and regional distribution in the gastrointestinal tract</w:t>
      </w:r>
      <w:r w:rsidR="00C9739A">
        <w:rPr>
          <w:rFonts w:cs="Arial"/>
        </w:rPr>
        <w:t xml:space="preserve">. J </w:t>
      </w:r>
      <w:proofErr w:type="spellStart"/>
      <w:r w:rsidR="00C9739A">
        <w:rPr>
          <w:rFonts w:cs="Arial"/>
        </w:rPr>
        <w:t>Nutr</w:t>
      </w:r>
      <w:proofErr w:type="spellEnd"/>
      <w:r w:rsidR="00C9739A">
        <w:rPr>
          <w:rFonts w:cs="Arial"/>
        </w:rPr>
        <w:t xml:space="preserve"> </w:t>
      </w:r>
      <w:proofErr w:type="spellStart"/>
      <w:r w:rsidR="00C9739A">
        <w:rPr>
          <w:rFonts w:cs="Arial"/>
        </w:rPr>
        <w:t>Biochem</w:t>
      </w:r>
      <w:proofErr w:type="spellEnd"/>
      <w:r w:rsidR="00C9739A">
        <w:rPr>
          <w:rFonts w:cs="Arial"/>
        </w:rPr>
        <w:t xml:space="preserve"> 4(9):528-533.</w:t>
      </w:r>
    </w:p>
    <w:p w14:paraId="49712D93" w14:textId="77777777" w:rsidR="00C30133" w:rsidRPr="00C30133" w:rsidRDefault="00C30133" w:rsidP="00C9739A">
      <w:pPr>
        <w:rPr>
          <w:rFonts w:cs="Arial"/>
        </w:rPr>
      </w:pPr>
    </w:p>
    <w:p w14:paraId="2C9E2D72" w14:textId="35C2D74B" w:rsidR="00C30133" w:rsidRPr="00C30133" w:rsidRDefault="00C30133" w:rsidP="00C9739A">
      <w:pPr>
        <w:rPr>
          <w:rFonts w:cs="Arial"/>
        </w:rPr>
      </w:pPr>
      <w:r w:rsidRPr="00C30133">
        <w:rPr>
          <w:rFonts w:cs="Arial"/>
        </w:rPr>
        <w:t>Goldman AS, Ga</w:t>
      </w:r>
      <w:r>
        <w:rPr>
          <w:rFonts w:cs="Arial"/>
        </w:rPr>
        <w:t xml:space="preserve">rza C, </w:t>
      </w:r>
      <w:proofErr w:type="spellStart"/>
      <w:r>
        <w:rPr>
          <w:rFonts w:cs="Arial"/>
        </w:rPr>
        <w:t>Schanler</w:t>
      </w:r>
      <w:proofErr w:type="spellEnd"/>
      <w:r>
        <w:rPr>
          <w:rFonts w:cs="Arial"/>
        </w:rPr>
        <w:t xml:space="preserve"> RJ, Goldblum RM (1990) </w:t>
      </w:r>
      <w:r w:rsidRPr="00C30133">
        <w:rPr>
          <w:rFonts w:cs="Arial"/>
        </w:rPr>
        <w:t>Molecular forms of lactoferrin in stool and urine from infants fed human milk</w:t>
      </w:r>
      <w:r>
        <w:rPr>
          <w:rFonts w:cs="Arial"/>
        </w:rPr>
        <w:t xml:space="preserve">. </w:t>
      </w:r>
      <w:proofErr w:type="spellStart"/>
      <w:r>
        <w:rPr>
          <w:rFonts w:cs="Arial"/>
        </w:rPr>
        <w:t>Pediatr</w:t>
      </w:r>
      <w:proofErr w:type="spellEnd"/>
      <w:r>
        <w:rPr>
          <w:rFonts w:cs="Arial"/>
        </w:rPr>
        <w:t xml:space="preserve"> Res </w:t>
      </w:r>
      <w:r w:rsidRPr="00C30133">
        <w:rPr>
          <w:rFonts w:cs="Arial"/>
        </w:rPr>
        <w:t>27(3):252-5.</w:t>
      </w:r>
    </w:p>
    <w:p w14:paraId="06B2307D" w14:textId="6C4212AA" w:rsidR="00550D44" w:rsidRPr="00550D44" w:rsidRDefault="00550D44" w:rsidP="00384CD0">
      <w:pPr>
        <w:widowControl/>
        <w:textAlignment w:val="baseline"/>
        <w:rPr>
          <w:rFonts w:cs="Arial"/>
          <w:szCs w:val="22"/>
          <w:lang w:val="en-AU" w:eastAsia="en-AU" w:bidi="ar-SA"/>
        </w:rPr>
      </w:pPr>
    </w:p>
    <w:p w14:paraId="2D562F71" w14:textId="433D25E8" w:rsidR="00384CD0" w:rsidRDefault="00384CD0" w:rsidP="00384CD0">
      <w:pPr>
        <w:widowControl/>
        <w:textAlignment w:val="baseline"/>
        <w:rPr>
          <w:rFonts w:cs="Arial"/>
          <w:szCs w:val="22"/>
          <w:lang w:eastAsia="en-AU" w:bidi="ar-SA"/>
        </w:rPr>
      </w:pPr>
      <w:r w:rsidRPr="00550D44">
        <w:rPr>
          <w:rFonts w:cs="Arial"/>
          <w:szCs w:val="22"/>
          <w:lang w:eastAsia="en-AU" w:bidi="ar-SA"/>
        </w:rPr>
        <w:t xml:space="preserve">Goldsmith </w:t>
      </w:r>
      <w:r w:rsidR="000E4950">
        <w:rPr>
          <w:rFonts w:cs="Arial"/>
          <w:szCs w:val="22"/>
          <w:lang w:eastAsia="en-AU" w:bidi="ar-SA"/>
        </w:rPr>
        <w:t>SJ</w:t>
      </w:r>
      <w:r w:rsidRPr="00550D44">
        <w:rPr>
          <w:rFonts w:cs="Arial"/>
          <w:szCs w:val="22"/>
          <w:lang w:eastAsia="en-AU" w:bidi="ar-SA"/>
        </w:rPr>
        <w:t>, Dickson</w:t>
      </w:r>
      <w:r w:rsidR="000E4950">
        <w:rPr>
          <w:rFonts w:cs="Arial"/>
          <w:szCs w:val="22"/>
          <w:lang w:eastAsia="en-AU" w:bidi="ar-SA"/>
        </w:rPr>
        <w:t xml:space="preserve"> JS</w:t>
      </w:r>
      <w:r w:rsidRPr="00550D44">
        <w:rPr>
          <w:rFonts w:cs="Arial"/>
          <w:szCs w:val="22"/>
          <w:lang w:eastAsia="en-AU" w:bidi="ar-SA"/>
        </w:rPr>
        <w:t>, Barnhart</w:t>
      </w:r>
      <w:r w:rsidR="000E4950">
        <w:rPr>
          <w:rFonts w:cs="Arial"/>
          <w:szCs w:val="22"/>
          <w:lang w:eastAsia="en-AU" w:bidi="ar-SA"/>
        </w:rPr>
        <w:t xml:space="preserve"> HM</w:t>
      </w:r>
      <w:r w:rsidRPr="00550D44">
        <w:rPr>
          <w:rFonts w:cs="Arial"/>
          <w:szCs w:val="22"/>
          <w:lang w:eastAsia="en-AU" w:bidi="ar-SA"/>
        </w:rPr>
        <w:t>, Toledo</w:t>
      </w:r>
      <w:r w:rsidR="000E4950">
        <w:rPr>
          <w:rFonts w:cs="Arial"/>
          <w:szCs w:val="22"/>
          <w:lang w:eastAsia="en-AU" w:bidi="ar-SA"/>
        </w:rPr>
        <w:t xml:space="preserve"> RT</w:t>
      </w:r>
      <w:r w:rsidRPr="00550D44">
        <w:rPr>
          <w:rFonts w:cs="Arial"/>
          <w:szCs w:val="22"/>
          <w:lang w:eastAsia="en-AU" w:bidi="ar-SA"/>
        </w:rPr>
        <w:t xml:space="preserve">, </w:t>
      </w:r>
      <w:proofErr w:type="spellStart"/>
      <w:r w:rsidRPr="00550D44">
        <w:rPr>
          <w:rFonts w:cs="Arial"/>
          <w:szCs w:val="22"/>
          <w:lang w:eastAsia="en-AU" w:bidi="ar-SA"/>
        </w:rPr>
        <w:t>Eiten</w:t>
      </w:r>
      <w:proofErr w:type="spellEnd"/>
      <w:r w:rsidRPr="00550D44">
        <w:rPr>
          <w:rFonts w:cs="Arial"/>
          <w:szCs w:val="22"/>
          <w:lang w:eastAsia="en-AU" w:bidi="ar-SA"/>
        </w:rPr>
        <w:t>-Miller</w:t>
      </w:r>
      <w:r w:rsidR="000E4950">
        <w:rPr>
          <w:rFonts w:cs="Arial"/>
          <w:szCs w:val="22"/>
          <w:lang w:eastAsia="en-AU" w:bidi="ar-SA"/>
        </w:rPr>
        <w:t xml:space="preserve"> RR (1983)</w:t>
      </w:r>
      <w:r w:rsidRPr="00550D44">
        <w:rPr>
          <w:rFonts w:cs="Arial"/>
          <w:szCs w:val="22"/>
          <w:lang w:eastAsia="en-AU" w:bidi="ar-SA"/>
        </w:rPr>
        <w:t xml:space="preserve"> IgA, IgG, IgM and lactoferrin contents of human milk during early lactation and the effect of processing and storage. Journal of Food Protection 46</w:t>
      </w:r>
      <w:r w:rsidR="000E4950">
        <w:rPr>
          <w:rFonts w:cs="Arial"/>
          <w:szCs w:val="22"/>
          <w:lang w:eastAsia="en-AU" w:bidi="ar-SA"/>
        </w:rPr>
        <w:t>(</w:t>
      </w:r>
      <w:r w:rsidRPr="00550D44">
        <w:rPr>
          <w:rFonts w:cs="Arial"/>
          <w:szCs w:val="22"/>
          <w:lang w:eastAsia="en-AU" w:bidi="ar-SA"/>
        </w:rPr>
        <w:t>1</w:t>
      </w:r>
      <w:r w:rsidR="000E4950">
        <w:rPr>
          <w:rFonts w:cs="Arial"/>
          <w:szCs w:val="22"/>
          <w:lang w:eastAsia="en-AU" w:bidi="ar-SA"/>
        </w:rPr>
        <w:t>)</w:t>
      </w:r>
      <w:r w:rsidRPr="00550D44">
        <w:rPr>
          <w:rFonts w:cs="Arial"/>
          <w:szCs w:val="22"/>
          <w:lang w:eastAsia="en-AU" w:bidi="ar-SA"/>
        </w:rPr>
        <w:t>: 4-7.</w:t>
      </w:r>
    </w:p>
    <w:p w14:paraId="56982DBE" w14:textId="6DA7236D" w:rsidR="00F33BDA" w:rsidRDefault="00F33BDA" w:rsidP="00384CD0">
      <w:pPr>
        <w:widowControl/>
        <w:textAlignment w:val="baseline"/>
        <w:rPr>
          <w:rFonts w:cs="Arial"/>
          <w:szCs w:val="22"/>
          <w:lang w:eastAsia="en-AU" w:bidi="ar-SA"/>
        </w:rPr>
      </w:pPr>
    </w:p>
    <w:p w14:paraId="4007084E" w14:textId="14D29A38" w:rsidR="00F33BDA" w:rsidRDefault="00F33BDA" w:rsidP="00384CD0">
      <w:pPr>
        <w:widowControl/>
        <w:textAlignment w:val="baseline"/>
        <w:rPr>
          <w:rFonts w:cs="Arial"/>
          <w:szCs w:val="22"/>
          <w:lang w:eastAsia="en-AU" w:bidi="ar-SA"/>
        </w:rPr>
      </w:pPr>
      <w:r w:rsidRPr="00F33BDA">
        <w:rPr>
          <w:rFonts w:cs="Arial"/>
          <w:szCs w:val="22"/>
          <w:lang w:eastAsia="en-AU" w:bidi="ar-SA"/>
        </w:rPr>
        <w:t>Goodman RE, Taylor SL, Yamamura J, Kobayashi T, Kaw</w:t>
      </w:r>
      <w:r>
        <w:rPr>
          <w:rFonts w:cs="Arial"/>
          <w:szCs w:val="22"/>
          <w:lang w:eastAsia="en-AU" w:bidi="ar-SA"/>
        </w:rPr>
        <w:t xml:space="preserve">akami H, Kruger CL, Thompson GP (2007) </w:t>
      </w:r>
      <w:r w:rsidRPr="00F33BDA">
        <w:rPr>
          <w:rFonts w:cs="Arial"/>
          <w:szCs w:val="22"/>
          <w:lang w:eastAsia="en-AU" w:bidi="ar-SA"/>
        </w:rPr>
        <w:t>Assessment of the potential allergenicity of a Milk Basic Protein fraction</w:t>
      </w:r>
      <w:r>
        <w:rPr>
          <w:rFonts w:cs="Arial"/>
          <w:szCs w:val="22"/>
          <w:lang w:eastAsia="en-AU" w:bidi="ar-SA"/>
        </w:rPr>
        <w:t xml:space="preserve">. Food Chem </w:t>
      </w:r>
      <w:proofErr w:type="spellStart"/>
      <w:r>
        <w:rPr>
          <w:rFonts w:cs="Arial"/>
          <w:szCs w:val="22"/>
          <w:lang w:eastAsia="en-AU" w:bidi="ar-SA"/>
        </w:rPr>
        <w:t>Toxicol</w:t>
      </w:r>
      <w:proofErr w:type="spellEnd"/>
      <w:r>
        <w:rPr>
          <w:rFonts w:cs="Arial"/>
          <w:szCs w:val="22"/>
          <w:lang w:eastAsia="en-AU" w:bidi="ar-SA"/>
        </w:rPr>
        <w:t xml:space="preserve"> </w:t>
      </w:r>
      <w:r w:rsidRPr="00F33BDA">
        <w:rPr>
          <w:rFonts w:cs="Arial"/>
          <w:szCs w:val="22"/>
          <w:lang w:eastAsia="en-AU" w:bidi="ar-SA"/>
        </w:rPr>
        <w:t>45(10):1787-94.</w:t>
      </w:r>
    </w:p>
    <w:p w14:paraId="528DD918" w14:textId="0E8EF39F" w:rsidR="000E4950" w:rsidRDefault="000E4950" w:rsidP="00384CD0">
      <w:pPr>
        <w:widowControl/>
        <w:textAlignment w:val="baseline"/>
        <w:rPr>
          <w:rFonts w:cs="Arial"/>
          <w:szCs w:val="22"/>
          <w:lang w:val="en-AU" w:eastAsia="en-AU" w:bidi="ar-SA"/>
        </w:rPr>
      </w:pPr>
    </w:p>
    <w:p w14:paraId="44146A98" w14:textId="0D8CCE38" w:rsidR="00F7440C" w:rsidRDefault="00F7440C" w:rsidP="00384CD0">
      <w:pPr>
        <w:widowControl/>
        <w:textAlignment w:val="baseline"/>
        <w:rPr>
          <w:rFonts w:cs="Arial"/>
          <w:szCs w:val="22"/>
          <w:lang w:val="en-AU" w:eastAsia="en-AU" w:bidi="ar-SA"/>
        </w:rPr>
      </w:pPr>
      <w:r>
        <w:rPr>
          <w:rFonts w:cs="Arial"/>
          <w:szCs w:val="22"/>
          <w:lang w:val="en-AU" w:eastAsia="en-AU" w:bidi="ar-SA"/>
        </w:rPr>
        <w:t xml:space="preserve">GRN465 (2016) Generally recognised as safe (GRAS) determination for cow’s milk-derived lactoferrin as a component of term cow’s milk based infant formulas. Morinaga Milk Industry Co. Ltd. </w:t>
      </w:r>
    </w:p>
    <w:p w14:paraId="18B02427" w14:textId="77777777" w:rsidR="00F7440C" w:rsidRDefault="00F7440C" w:rsidP="00384CD0">
      <w:pPr>
        <w:widowControl/>
        <w:textAlignment w:val="baseline"/>
        <w:rPr>
          <w:rFonts w:cs="Arial"/>
          <w:szCs w:val="22"/>
          <w:lang w:val="en-AU" w:eastAsia="en-AU" w:bidi="ar-SA"/>
        </w:rPr>
      </w:pPr>
    </w:p>
    <w:p w14:paraId="0470C22E" w14:textId="76A45079" w:rsidR="00A641F4" w:rsidRDefault="00A641F4" w:rsidP="00384CD0">
      <w:pPr>
        <w:widowControl/>
        <w:textAlignment w:val="baseline"/>
        <w:rPr>
          <w:rFonts w:cs="Arial"/>
          <w:szCs w:val="22"/>
          <w:lang w:val="en-AU" w:eastAsia="en-AU" w:bidi="ar-SA"/>
        </w:rPr>
      </w:pPr>
      <w:r>
        <w:rPr>
          <w:rFonts w:cs="Arial"/>
          <w:szCs w:val="22"/>
          <w:lang w:val="en-AU" w:eastAsia="en-AU" w:bidi="ar-SA"/>
        </w:rPr>
        <w:t>GRN669 (2016) Generally recognised as safe (GRAS) notice: the use of bovin</w:t>
      </w:r>
      <w:r w:rsidR="00F7440C">
        <w:rPr>
          <w:rFonts w:cs="Arial"/>
          <w:szCs w:val="22"/>
          <w:lang w:val="en-AU" w:eastAsia="en-AU" w:bidi="ar-SA"/>
        </w:rPr>
        <w:t>e</w:t>
      </w:r>
      <w:r>
        <w:rPr>
          <w:rFonts w:cs="Arial"/>
          <w:szCs w:val="22"/>
          <w:lang w:val="en-AU" w:eastAsia="en-AU" w:bidi="ar-SA"/>
        </w:rPr>
        <w:t xml:space="preserve"> milk-derived </w:t>
      </w:r>
      <w:r w:rsidR="00F7440C">
        <w:rPr>
          <w:rFonts w:cs="Arial"/>
          <w:szCs w:val="22"/>
          <w:lang w:val="en-AU" w:eastAsia="en-AU" w:bidi="ar-SA"/>
        </w:rPr>
        <w:t xml:space="preserve">lactoferrin in term milk-based infant formulas and toddler formulas. Prepared for </w:t>
      </w:r>
      <w:proofErr w:type="spellStart"/>
      <w:r w:rsidR="00F7440C">
        <w:rPr>
          <w:rFonts w:cs="Arial"/>
          <w:szCs w:val="22"/>
          <w:lang w:val="en-AU" w:eastAsia="en-AU" w:bidi="ar-SA"/>
        </w:rPr>
        <w:t>Synlait</w:t>
      </w:r>
      <w:proofErr w:type="spellEnd"/>
      <w:r w:rsidR="00F7440C">
        <w:rPr>
          <w:rFonts w:cs="Arial"/>
          <w:szCs w:val="22"/>
          <w:lang w:val="en-AU" w:eastAsia="en-AU" w:bidi="ar-SA"/>
        </w:rPr>
        <w:t xml:space="preserve"> Milk Ltd, New Zealand by Drummond Food Science Advisory Ltd, New Zealand. </w:t>
      </w:r>
    </w:p>
    <w:p w14:paraId="403F612B" w14:textId="77777777" w:rsidR="00A641F4" w:rsidRDefault="00A641F4" w:rsidP="00384CD0">
      <w:pPr>
        <w:widowControl/>
        <w:textAlignment w:val="baseline"/>
        <w:rPr>
          <w:rFonts w:cs="Arial"/>
          <w:szCs w:val="22"/>
          <w:lang w:val="en-AU" w:eastAsia="en-AU" w:bidi="ar-SA"/>
        </w:rPr>
      </w:pPr>
    </w:p>
    <w:p w14:paraId="1D24C76C" w14:textId="19ECFD27" w:rsidR="000E4950" w:rsidRPr="00550D44" w:rsidRDefault="000E4950" w:rsidP="00384CD0">
      <w:pPr>
        <w:widowControl/>
        <w:textAlignment w:val="baseline"/>
        <w:rPr>
          <w:rFonts w:cs="Arial"/>
          <w:szCs w:val="22"/>
          <w:lang w:val="en-AU" w:eastAsia="en-AU" w:bidi="ar-SA"/>
        </w:rPr>
      </w:pPr>
      <w:r>
        <w:rPr>
          <w:rFonts w:cs="Arial"/>
          <w:szCs w:val="22"/>
          <w:lang w:val="en-AU" w:eastAsia="en-AU" w:bidi="ar-SA"/>
        </w:rPr>
        <w:t xml:space="preserve">Grosvenor AJ, Haigh BJ, Dyer JM (2014) </w:t>
      </w:r>
      <w:r w:rsidRPr="000E4950">
        <w:rPr>
          <w:rFonts w:cs="Arial"/>
          <w:szCs w:val="22"/>
          <w:lang w:val="en-AU" w:eastAsia="en-AU" w:bidi="ar-SA"/>
        </w:rPr>
        <w:t>Digestion proteomics: tracking lactoferrin truncation and peptide release during simulated gastric digestion</w:t>
      </w:r>
      <w:r>
        <w:rPr>
          <w:rFonts w:cs="Arial"/>
          <w:szCs w:val="22"/>
          <w:lang w:val="en-AU" w:eastAsia="en-AU" w:bidi="ar-SA"/>
        </w:rPr>
        <w:t xml:space="preserve">. Food </w:t>
      </w:r>
      <w:proofErr w:type="spellStart"/>
      <w:r>
        <w:rPr>
          <w:rFonts w:cs="Arial"/>
          <w:szCs w:val="22"/>
          <w:lang w:val="en-AU" w:eastAsia="en-AU" w:bidi="ar-SA"/>
        </w:rPr>
        <w:t>Funct</w:t>
      </w:r>
      <w:proofErr w:type="spellEnd"/>
      <w:r>
        <w:rPr>
          <w:rFonts w:cs="Arial"/>
          <w:szCs w:val="22"/>
          <w:lang w:val="en-AU" w:eastAsia="en-AU" w:bidi="ar-SA"/>
        </w:rPr>
        <w:t xml:space="preserve"> </w:t>
      </w:r>
      <w:r w:rsidRPr="000E4950">
        <w:rPr>
          <w:rFonts w:cs="Arial"/>
          <w:szCs w:val="22"/>
          <w:lang w:val="en-AU" w:eastAsia="en-AU" w:bidi="ar-SA"/>
        </w:rPr>
        <w:t>5(11):2699-705</w:t>
      </w:r>
      <w:r>
        <w:rPr>
          <w:rFonts w:cs="Arial"/>
          <w:szCs w:val="22"/>
          <w:lang w:val="en-AU" w:eastAsia="en-AU" w:bidi="ar-SA"/>
        </w:rPr>
        <w:t xml:space="preserve">. </w:t>
      </w:r>
    </w:p>
    <w:p w14:paraId="5E66C7F5" w14:textId="533446A7" w:rsidR="00384CD0" w:rsidRPr="00550D44" w:rsidRDefault="00384CD0" w:rsidP="00384CD0">
      <w:pPr>
        <w:widowControl/>
        <w:textAlignment w:val="baseline"/>
        <w:rPr>
          <w:rFonts w:cs="Arial"/>
          <w:szCs w:val="22"/>
          <w:lang w:val="en-AU" w:eastAsia="en-AU" w:bidi="ar-SA"/>
        </w:rPr>
      </w:pPr>
    </w:p>
    <w:p w14:paraId="2811EDE7" w14:textId="5900E273" w:rsidR="00384CD0" w:rsidRDefault="00384CD0" w:rsidP="00384CD0">
      <w:pPr>
        <w:widowControl/>
        <w:textAlignment w:val="baseline"/>
        <w:rPr>
          <w:rFonts w:cs="Arial"/>
          <w:szCs w:val="22"/>
          <w:lang w:eastAsia="en-AU" w:bidi="ar-SA"/>
        </w:rPr>
      </w:pPr>
      <w:r w:rsidRPr="00550D44">
        <w:rPr>
          <w:rFonts w:cs="Arial"/>
          <w:szCs w:val="22"/>
          <w:lang w:eastAsia="en-AU" w:bidi="ar-SA"/>
        </w:rPr>
        <w:t xml:space="preserve">Hagiwara SI, Kawai K, </w:t>
      </w:r>
      <w:proofErr w:type="spellStart"/>
      <w:r w:rsidRPr="00550D44">
        <w:rPr>
          <w:rFonts w:cs="Arial"/>
          <w:szCs w:val="22"/>
          <w:lang w:eastAsia="en-AU" w:bidi="ar-SA"/>
        </w:rPr>
        <w:t>Anri</w:t>
      </w:r>
      <w:proofErr w:type="spellEnd"/>
      <w:r w:rsidRPr="00550D44">
        <w:rPr>
          <w:rFonts w:cs="Arial"/>
          <w:szCs w:val="22"/>
          <w:lang w:eastAsia="en-AU" w:bidi="ar-SA"/>
        </w:rPr>
        <w:t xml:space="preserve"> A, </w:t>
      </w:r>
      <w:proofErr w:type="spellStart"/>
      <w:r w:rsidRPr="00550D44">
        <w:rPr>
          <w:rFonts w:cs="Arial"/>
          <w:szCs w:val="22"/>
          <w:lang w:eastAsia="en-AU" w:bidi="ar-SA"/>
        </w:rPr>
        <w:t>Nagahata</w:t>
      </w:r>
      <w:proofErr w:type="spellEnd"/>
      <w:r w:rsidRPr="00550D44">
        <w:rPr>
          <w:rFonts w:cs="Arial"/>
          <w:szCs w:val="22"/>
          <w:lang w:eastAsia="en-AU" w:bidi="ar-SA"/>
        </w:rPr>
        <w:t xml:space="preserve"> H (2003) Lactoferrin concentrations in milk from normal and subclinical </w:t>
      </w:r>
      <w:proofErr w:type="spellStart"/>
      <w:r w:rsidRPr="00550D44">
        <w:rPr>
          <w:rFonts w:cs="Arial"/>
          <w:szCs w:val="22"/>
          <w:lang w:eastAsia="en-AU" w:bidi="ar-SA"/>
        </w:rPr>
        <w:t>mastitic</w:t>
      </w:r>
      <w:proofErr w:type="spellEnd"/>
      <w:r w:rsidRPr="00550D44">
        <w:rPr>
          <w:rFonts w:cs="Arial"/>
          <w:szCs w:val="22"/>
          <w:lang w:eastAsia="en-AU" w:bidi="ar-SA"/>
        </w:rPr>
        <w:t xml:space="preserve"> cows. J Vet Med Sci 65(3</w:t>
      </w:r>
      <w:r w:rsidR="00500383" w:rsidRPr="00550D44">
        <w:rPr>
          <w:rFonts w:cs="Arial"/>
          <w:szCs w:val="22"/>
          <w:lang w:eastAsia="en-AU" w:bidi="ar-SA"/>
        </w:rPr>
        <w:t>)</w:t>
      </w:r>
      <w:r w:rsidR="00500383">
        <w:rPr>
          <w:rFonts w:cs="Arial"/>
          <w:szCs w:val="22"/>
          <w:lang w:eastAsia="en-AU" w:bidi="ar-SA"/>
        </w:rPr>
        <w:t>:</w:t>
      </w:r>
      <w:r w:rsidRPr="00550D44">
        <w:rPr>
          <w:rFonts w:cs="Arial"/>
          <w:szCs w:val="22"/>
          <w:lang w:eastAsia="en-AU" w:bidi="ar-SA"/>
        </w:rPr>
        <w:t>319-323.</w:t>
      </w:r>
    </w:p>
    <w:p w14:paraId="4268789D" w14:textId="142E62F7" w:rsidR="00C31DAC" w:rsidRDefault="00C31DAC" w:rsidP="00384CD0">
      <w:pPr>
        <w:widowControl/>
        <w:textAlignment w:val="baseline"/>
        <w:rPr>
          <w:rFonts w:cs="Arial"/>
          <w:szCs w:val="22"/>
          <w:lang w:val="en-AU" w:eastAsia="en-AU" w:bidi="ar-SA"/>
        </w:rPr>
      </w:pPr>
    </w:p>
    <w:p w14:paraId="52975121" w14:textId="7EDC264B" w:rsidR="00C31DAC" w:rsidRDefault="00C31DAC" w:rsidP="00384CD0">
      <w:pPr>
        <w:widowControl/>
        <w:textAlignment w:val="baseline"/>
        <w:rPr>
          <w:rFonts w:cs="Arial"/>
          <w:szCs w:val="22"/>
          <w:lang w:val="en-AU" w:eastAsia="en-AU" w:bidi="ar-SA"/>
        </w:rPr>
      </w:pPr>
      <w:r w:rsidRPr="00C31DAC">
        <w:rPr>
          <w:rFonts w:cs="Arial"/>
          <w:szCs w:val="22"/>
          <w:lang w:val="en-AU" w:eastAsia="en-AU" w:bidi="ar-SA"/>
        </w:rPr>
        <w:t xml:space="preserve">Harada E, Araki Y, </w:t>
      </w:r>
      <w:proofErr w:type="spellStart"/>
      <w:r w:rsidRPr="00C31DAC">
        <w:rPr>
          <w:rFonts w:cs="Arial"/>
          <w:szCs w:val="22"/>
          <w:lang w:val="en-AU" w:eastAsia="en-AU" w:bidi="ar-SA"/>
        </w:rPr>
        <w:t>Furumura</w:t>
      </w:r>
      <w:proofErr w:type="spellEnd"/>
      <w:r w:rsidRPr="00C31DAC">
        <w:rPr>
          <w:rFonts w:cs="Arial"/>
          <w:szCs w:val="22"/>
          <w:lang w:val="en-AU" w:eastAsia="en-AU" w:bidi="ar-SA"/>
        </w:rPr>
        <w:t xml:space="preserve"> E, Takeuchi T</w:t>
      </w:r>
      <w:r>
        <w:rPr>
          <w:rFonts w:cs="Arial"/>
          <w:szCs w:val="22"/>
          <w:lang w:val="en-AU" w:eastAsia="en-AU" w:bidi="ar-SA"/>
        </w:rPr>
        <w:t xml:space="preserve">, </w:t>
      </w:r>
      <w:proofErr w:type="spellStart"/>
      <w:r>
        <w:rPr>
          <w:rFonts w:cs="Arial"/>
          <w:szCs w:val="22"/>
          <w:lang w:val="en-AU" w:eastAsia="en-AU" w:bidi="ar-SA"/>
        </w:rPr>
        <w:t>Sitizyo</w:t>
      </w:r>
      <w:proofErr w:type="spellEnd"/>
      <w:r>
        <w:rPr>
          <w:rFonts w:cs="Arial"/>
          <w:szCs w:val="22"/>
          <w:lang w:val="en-AU" w:eastAsia="en-AU" w:bidi="ar-SA"/>
        </w:rPr>
        <w:t xml:space="preserve"> K, </w:t>
      </w:r>
      <w:proofErr w:type="spellStart"/>
      <w:r>
        <w:rPr>
          <w:rFonts w:cs="Arial"/>
          <w:szCs w:val="22"/>
          <w:lang w:val="en-AU" w:eastAsia="en-AU" w:bidi="ar-SA"/>
        </w:rPr>
        <w:t>Yajima</w:t>
      </w:r>
      <w:proofErr w:type="spellEnd"/>
      <w:r>
        <w:rPr>
          <w:rFonts w:cs="Arial"/>
          <w:szCs w:val="22"/>
          <w:lang w:val="en-AU" w:eastAsia="en-AU" w:bidi="ar-SA"/>
        </w:rPr>
        <w:t xml:space="preserve"> T, </w:t>
      </w:r>
      <w:proofErr w:type="spellStart"/>
      <w:r>
        <w:rPr>
          <w:rFonts w:cs="Arial"/>
          <w:szCs w:val="22"/>
          <w:lang w:val="en-AU" w:eastAsia="en-AU" w:bidi="ar-SA"/>
        </w:rPr>
        <w:t>Kuwata</w:t>
      </w:r>
      <w:proofErr w:type="spellEnd"/>
      <w:r>
        <w:rPr>
          <w:rFonts w:cs="Arial"/>
          <w:szCs w:val="22"/>
          <w:lang w:val="en-AU" w:eastAsia="en-AU" w:bidi="ar-SA"/>
        </w:rPr>
        <w:t xml:space="preserve"> T (2002) </w:t>
      </w:r>
      <w:r w:rsidRPr="00C31DAC">
        <w:rPr>
          <w:rFonts w:cs="Arial"/>
          <w:szCs w:val="22"/>
          <w:lang w:val="en-AU" w:eastAsia="en-AU" w:bidi="ar-SA"/>
        </w:rPr>
        <w:t>Characteristic transfer of colostrum-derived biologically active substances into cerebrospinal fluid via blood in natural suckling neonatal pigs</w:t>
      </w:r>
      <w:r>
        <w:rPr>
          <w:rFonts w:cs="Arial"/>
          <w:szCs w:val="22"/>
          <w:lang w:val="en-AU" w:eastAsia="en-AU" w:bidi="ar-SA"/>
        </w:rPr>
        <w:t xml:space="preserve">. J Vet Med A </w:t>
      </w:r>
      <w:proofErr w:type="spellStart"/>
      <w:r>
        <w:rPr>
          <w:rFonts w:cs="Arial"/>
          <w:szCs w:val="22"/>
          <w:lang w:val="en-AU" w:eastAsia="en-AU" w:bidi="ar-SA"/>
        </w:rPr>
        <w:t>Physiol</w:t>
      </w:r>
      <w:proofErr w:type="spellEnd"/>
      <w:r>
        <w:rPr>
          <w:rFonts w:cs="Arial"/>
          <w:szCs w:val="22"/>
          <w:lang w:val="en-AU" w:eastAsia="en-AU" w:bidi="ar-SA"/>
        </w:rPr>
        <w:t xml:space="preserve"> </w:t>
      </w:r>
      <w:proofErr w:type="spellStart"/>
      <w:r>
        <w:rPr>
          <w:rFonts w:cs="Arial"/>
          <w:szCs w:val="22"/>
          <w:lang w:val="en-AU" w:eastAsia="en-AU" w:bidi="ar-SA"/>
        </w:rPr>
        <w:t>Pathol</w:t>
      </w:r>
      <w:proofErr w:type="spellEnd"/>
      <w:r>
        <w:rPr>
          <w:rFonts w:cs="Arial"/>
          <w:szCs w:val="22"/>
          <w:lang w:val="en-AU" w:eastAsia="en-AU" w:bidi="ar-SA"/>
        </w:rPr>
        <w:t xml:space="preserve"> Clin Med </w:t>
      </w:r>
      <w:r w:rsidRPr="00C31DAC">
        <w:rPr>
          <w:rFonts w:cs="Arial"/>
          <w:szCs w:val="22"/>
          <w:lang w:val="en-AU" w:eastAsia="en-AU" w:bidi="ar-SA"/>
        </w:rPr>
        <w:t>49(7):358-64</w:t>
      </w:r>
      <w:r>
        <w:rPr>
          <w:rFonts w:cs="Arial"/>
          <w:szCs w:val="22"/>
          <w:lang w:val="en-AU" w:eastAsia="en-AU" w:bidi="ar-SA"/>
        </w:rPr>
        <w:t xml:space="preserve">. </w:t>
      </w:r>
    </w:p>
    <w:p w14:paraId="5EB60AFF" w14:textId="2A5C86A9" w:rsidR="00C31DAC" w:rsidRDefault="00C31DAC" w:rsidP="00384CD0">
      <w:pPr>
        <w:widowControl/>
        <w:textAlignment w:val="baseline"/>
        <w:rPr>
          <w:rFonts w:cs="Arial"/>
          <w:szCs w:val="22"/>
          <w:lang w:val="en-AU" w:eastAsia="en-AU" w:bidi="ar-SA"/>
        </w:rPr>
      </w:pPr>
    </w:p>
    <w:p w14:paraId="3AA6C86D" w14:textId="19B9AC81" w:rsidR="00C31DAC" w:rsidRDefault="00C31DAC" w:rsidP="00C31DAC">
      <w:pPr>
        <w:widowControl/>
        <w:textAlignment w:val="baseline"/>
        <w:rPr>
          <w:rFonts w:cs="Arial"/>
          <w:szCs w:val="22"/>
          <w:lang w:val="en-AU" w:eastAsia="en-AU" w:bidi="ar-SA"/>
        </w:rPr>
      </w:pPr>
      <w:r w:rsidRPr="00C31DAC">
        <w:rPr>
          <w:rFonts w:cs="Arial"/>
          <w:szCs w:val="22"/>
          <w:lang w:val="en-AU" w:eastAsia="en-AU" w:bidi="ar-SA"/>
        </w:rPr>
        <w:t xml:space="preserve">Harada E, Itoh Y, </w:t>
      </w:r>
      <w:proofErr w:type="spellStart"/>
      <w:r w:rsidRPr="00C31DAC">
        <w:rPr>
          <w:rFonts w:cs="Arial"/>
          <w:szCs w:val="22"/>
          <w:lang w:val="en-AU" w:eastAsia="en-AU" w:bidi="ar-SA"/>
        </w:rPr>
        <w:t>Sitizyo</w:t>
      </w:r>
      <w:proofErr w:type="spellEnd"/>
      <w:r w:rsidRPr="00C31DAC">
        <w:rPr>
          <w:rFonts w:cs="Arial"/>
          <w:szCs w:val="22"/>
          <w:lang w:val="en-AU" w:eastAsia="en-AU" w:bidi="ar-SA"/>
        </w:rPr>
        <w:t xml:space="preserve"> K, Takeuchi T, Araki Y, Kitagawa</w:t>
      </w:r>
      <w:r>
        <w:rPr>
          <w:rFonts w:cs="Arial"/>
          <w:szCs w:val="22"/>
          <w:lang w:val="en-AU" w:eastAsia="en-AU" w:bidi="ar-SA"/>
        </w:rPr>
        <w:t xml:space="preserve"> H (1999a) </w:t>
      </w:r>
      <w:r w:rsidRPr="00C31DAC">
        <w:rPr>
          <w:rFonts w:cs="Arial"/>
          <w:szCs w:val="22"/>
          <w:lang w:val="en-AU" w:eastAsia="en-AU" w:bidi="ar-SA"/>
        </w:rPr>
        <w:t>Characteristic transport of lactoferrin from the intestinal lumen into the bile via the blood in piglets</w:t>
      </w:r>
      <w:r>
        <w:rPr>
          <w:rFonts w:cs="Arial"/>
          <w:szCs w:val="22"/>
          <w:lang w:val="en-AU" w:eastAsia="en-AU" w:bidi="ar-SA"/>
        </w:rPr>
        <w:t xml:space="preserve">. </w:t>
      </w:r>
      <w:r w:rsidRPr="00C31DAC">
        <w:rPr>
          <w:rFonts w:cs="Arial"/>
          <w:szCs w:val="22"/>
          <w:lang w:val="en-AU" w:eastAsia="en-AU" w:bidi="ar-SA"/>
        </w:rPr>
        <w:t xml:space="preserve">Comp </w:t>
      </w:r>
      <w:proofErr w:type="spellStart"/>
      <w:r w:rsidRPr="00C31DAC">
        <w:rPr>
          <w:rFonts w:cs="Arial"/>
          <w:szCs w:val="22"/>
          <w:lang w:val="en-AU" w:eastAsia="en-AU" w:bidi="ar-SA"/>
        </w:rPr>
        <w:t>Biochem</w:t>
      </w:r>
      <w:proofErr w:type="spellEnd"/>
      <w:r w:rsidRPr="00C31DAC">
        <w:rPr>
          <w:rFonts w:cs="Arial"/>
          <w:szCs w:val="22"/>
          <w:lang w:val="en-AU" w:eastAsia="en-AU" w:bidi="ar-SA"/>
        </w:rPr>
        <w:t xml:space="preserve"> </w:t>
      </w:r>
      <w:proofErr w:type="spellStart"/>
      <w:r w:rsidRPr="00C31DAC">
        <w:rPr>
          <w:rFonts w:cs="Arial"/>
          <w:szCs w:val="22"/>
          <w:lang w:val="en-AU" w:eastAsia="en-AU" w:bidi="ar-SA"/>
        </w:rPr>
        <w:t>Physiol</w:t>
      </w:r>
      <w:proofErr w:type="spellEnd"/>
      <w:r w:rsidRPr="00C31DAC">
        <w:rPr>
          <w:rFonts w:cs="Arial"/>
          <w:szCs w:val="22"/>
          <w:lang w:val="en-AU" w:eastAsia="en-AU" w:bidi="ar-SA"/>
        </w:rPr>
        <w:t xml:space="preserve"> A Mol </w:t>
      </w:r>
      <w:proofErr w:type="spellStart"/>
      <w:r w:rsidRPr="00C31DAC">
        <w:rPr>
          <w:rFonts w:cs="Arial"/>
          <w:szCs w:val="22"/>
          <w:lang w:val="en-AU" w:eastAsia="en-AU" w:bidi="ar-SA"/>
        </w:rPr>
        <w:t>Integr</w:t>
      </w:r>
      <w:proofErr w:type="spellEnd"/>
      <w:r w:rsidRPr="00C31DAC">
        <w:rPr>
          <w:rFonts w:cs="Arial"/>
          <w:szCs w:val="22"/>
          <w:lang w:val="en-AU" w:eastAsia="en-AU" w:bidi="ar-SA"/>
        </w:rPr>
        <w:t xml:space="preserve"> </w:t>
      </w:r>
      <w:proofErr w:type="spellStart"/>
      <w:r w:rsidRPr="00C31DAC">
        <w:rPr>
          <w:rFonts w:cs="Arial"/>
          <w:szCs w:val="22"/>
          <w:lang w:val="en-AU" w:eastAsia="en-AU" w:bidi="ar-SA"/>
        </w:rPr>
        <w:t>Physiol</w:t>
      </w:r>
      <w:proofErr w:type="spellEnd"/>
      <w:r>
        <w:rPr>
          <w:rFonts w:cs="Arial"/>
          <w:szCs w:val="22"/>
          <w:lang w:val="en-AU" w:eastAsia="en-AU" w:bidi="ar-SA"/>
        </w:rPr>
        <w:t xml:space="preserve"> </w:t>
      </w:r>
      <w:r w:rsidRPr="00C31DAC">
        <w:rPr>
          <w:rFonts w:cs="Arial"/>
          <w:szCs w:val="22"/>
          <w:lang w:val="en-AU" w:eastAsia="en-AU" w:bidi="ar-SA"/>
        </w:rPr>
        <w:t>124(3):321-7.</w:t>
      </w:r>
    </w:p>
    <w:p w14:paraId="031B8BD6" w14:textId="446DD007" w:rsidR="00C31DAC" w:rsidRDefault="00C31DAC" w:rsidP="00C31DAC">
      <w:pPr>
        <w:widowControl/>
        <w:textAlignment w:val="baseline"/>
        <w:rPr>
          <w:rFonts w:cs="Arial"/>
          <w:szCs w:val="22"/>
          <w:lang w:val="en-AU" w:eastAsia="en-AU" w:bidi="ar-SA"/>
        </w:rPr>
      </w:pPr>
    </w:p>
    <w:p w14:paraId="43D2715D" w14:textId="28FEBA7D" w:rsidR="00C31DAC" w:rsidRPr="00550D44" w:rsidRDefault="00FB71F7" w:rsidP="00C31DAC">
      <w:pPr>
        <w:widowControl/>
        <w:textAlignment w:val="baseline"/>
        <w:rPr>
          <w:rFonts w:cs="Arial"/>
          <w:szCs w:val="22"/>
          <w:lang w:val="en-AU" w:eastAsia="en-AU" w:bidi="ar-SA"/>
        </w:rPr>
      </w:pPr>
      <w:r w:rsidRPr="00FB71F7">
        <w:rPr>
          <w:rFonts w:cs="Arial"/>
          <w:szCs w:val="22"/>
          <w:lang w:val="en-AU" w:eastAsia="en-AU" w:bidi="ar-SA"/>
        </w:rPr>
        <w:t xml:space="preserve">Harada E, Sugiyama A, Takeuchi T, </w:t>
      </w:r>
      <w:proofErr w:type="spellStart"/>
      <w:r w:rsidRPr="00FB71F7">
        <w:rPr>
          <w:rFonts w:cs="Arial"/>
          <w:szCs w:val="22"/>
          <w:lang w:val="en-AU" w:eastAsia="en-AU" w:bidi="ar-SA"/>
        </w:rPr>
        <w:t>Sitizyo</w:t>
      </w:r>
      <w:proofErr w:type="spellEnd"/>
      <w:r>
        <w:rPr>
          <w:rFonts w:cs="Arial"/>
          <w:szCs w:val="22"/>
          <w:lang w:val="en-AU" w:eastAsia="en-AU" w:bidi="ar-SA"/>
        </w:rPr>
        <w:t xml:space="preserve"> K, </w:t>
      </w:r>
      <w:proofErr w:type="spellStart"/>
      <w:r>
        <w:rPr>
          <w:rFonts w:cs="Arial"/>
          <w:szCs w:val="22"/>
          <w:lang w:val="en-AU" w:eastAsia="en-AU" w:bidi="ar-SA"/>
        </w:rPr>
        <w:t>Syuto</w:t>
      </w:r>
      <w:proofErr w:type="spellEnd"/>
      <w:r>
        <w:rPr>
          <w:rFonts w:cs="Arial"/>
          <w:szCs w:val="22"/>
          <w:lang w:val="en-AU" w:eastAsia="en-AU" w:bidi="ar-SA"/>
        </w:rPr>
        <w:t xml:space="preserve"> B, </w:t>
      </w:r>
      <w:proofErr w:type="spellStart"/>
      <w:r>
        <w:rPr>
          <w:rFonts w:cs="Arial"/>
          <w:szCs w:val="22"/>
          <w:lang w:val="en-AU" w:eastAsia="en-AU" w:bidi="ar-SA"/>
        </w:rPr>
        <w:t>Yajima</w:t>
      </w:r>
      <w:proofErr w:type="spellEnd"/>
      <w:r>
        <w:rPr>
          <w:rFonts w:cs="Arial"/>
          <w:szCs w:val="22"/>
          <w:lang w:val="en-AU" w:eastAsia="en-AU" w:bidi="ar-SA"/>
        </w:rPr>
        <w:t xml:space="preserve"> T, </w:t>
      </w:r>
      <w:proofErr w:type="spellStart"/>
      <w:r>
        <w:rPr>
          <w:rFonts w:cs="Arial"/>
          <w:szCs w:val="22"/>
          <w:lang w:val="en-AU" w:eastAsia="en-AU" w:bidi="ar-SA"/>
        </w:rPr>
        <w:t>Kuwata</w:t>
      </w:r>
      <w:proofErr w:type="spellEnd"/>
      <w:r>
        <w:rPr>
          <w:rFonts w:cs="Arial"/>
          <w:szCs w:val="22"/>
          <w:lang w:val="en-AU" w:eastAsia="en-AU" w:bidi="ar-SA"/>
        </w:rPr>
        <w:t xml:space="preserve"> T (1999b) </w:t>
      </w:r>
      <w:r w:rsidRPr="00FB71F7">
        <w:rPr>
          <w:rFonts w:cs="Arial"/>
          <w:szCs w:val="22"/>
          <w:lang w:val="en-AU" w:eastAsia="en-AU" w:bidi="ar-SA"/>
        </w:rPr>
        <w:t xml:space="preserve">Characteristic transfer of </w:t>
      </w:r>
      <w:proofErr w:type="spellStart"/>
      <w:r w:rsidRPr="00FB71F7">
        <w:rPr>
          <w:rFonts w:cs="Arial"/>
          <w:szCs w:val="22"/>
          <w:lang w:val="en-AU" w:eastAsia="en-AU" w:bidi="ar-SA"/>
        </w:rPr>
        <w:t>colostral</w:t>
      </w:r>
      <w:proofErr w:type="spellEnd"/>
      <w:r w:rsidRPr="00FB71F7">
        <w:rPr>
          <w:rFonts w:cs="Arial"/>
          <w:szCs w:val="22"/>
          <w:lang w:val="en-AU" w:eastAsia="en-AU" w:bidi="ar-SA"/>
        </w:rPr>
        <w:t xml:space="preserve"> components into cerebrospinal fluid via serum in neonatal pigs</w:t>
      </w:r>
      <w:r>
        <w:rPr>
          <w:rFonts w:cs="Arial"/>
          <w:szCs w:val="22"/>
          <w:lang w:val="en-AU" w:eastAsia="en-AU" w:bidi="ar-SA"/>
        </w:rPr>
        <w:t xml:space="preserve">. Biol Neonate </w:t>
      </w:r>
      <w:r w:rsidRPr="00FB71F7">
        <w:rPr>
          <w:rFonts w:cs="Arial"/>
          <w:szCs w:val="22"/>
          <w:lang w:val="en-AU" w:eastAsia="en-AU" w:bidi="ar-SA"/>
        </w:rPr>
        <w:t>76(1):33-43.</w:t>
      </w:r>
    </w:p>
    <w:p w14:paraId="52E07FF9" w14:textId="24443A09" w:rsidR="00384CD0" w:rsidRDefault="00384CD0" w:rsidP="00384CD0">
      <w:pPr>
        <w:widowControl/>
        <w:textAlignment w:val="baseline"/>
        <w:rPr>
          <w:rFonts w:cs="Arial"/>
          <w:szCs w:val="22"/>
          <w:lang w:val="en-AU" w:eastAsia="en-AU" w:bidi="ar-SA"/>
        </w:rPr>
      </w:pPr>
    </w:p>
    <w:p w14:paraId="588E660B" w14:textId="5420DDD3" w:rsidR="00BF5A0D" w:rsidRPr="00BF5A0D" w:rsidRDefault="00BF5A0D" w:rsidP="00BF5A0D">
      <w:pPr>
        <w:rPr>
          <w:rFonts w:cs="Arial"/>
          <w:szCs w:val="22"/>
          <w:lang w:val="en-AU" w:eastAsia="en-AU" w:bidi="ar-SA"/>
        </w:rPr>
      </w:pPr>
      <w:r w:rsidRPr="00BF5A0D">
        <w:rPr>
          <w:rFonts w:cs="Arial"/>
          <w:szCs w:val="22"/>
          <w:lang w:val="en-AU" w:eastAsia="en-AU" w:bidi="ar-SA"/>
        </w:rPr>
        <w:t>Hasegawa K</w:t>
      </w:r>
      <w:r w:rsidR="003B3EA7">
        <w:rPr>
          <w:rFonts w:cs="Arial"/>
          <w:szCs w:val="22"/>
          <w:lang w:val="en-AU" w:eastAsia="en-AU" w:bidi="ar-SA"/>
        </w:rPr>
        <w:t xml:space="preserve">, </w:t>
      </w:r>
      <w:proofErr w:type="spellStart"/>
      <w:r w:rsidR="003B3EA7">
        <w:rPr>
          <w:rFonts w:cs="Arial"/>
          <w:szCs w:val="22"/>
          <w:lang w:val="en-AU" w:eastAsia="en-AU" w:bidi="ar-SA"/>
        </w:rPr>
        <w:t>Motsuchi</w:t>
      </w:r>
      <w:proofErr w:type="spellEnd"/>
      <w:r w:rsidR="003B3EA7">
        <w:rPr>
          <w:rFonts w:cs="Arial"/>
          <w:szCs w:val="22"/>
          <w:lang w:val="en-AU" w:eastAsia="en-AU" w:bidi="ar-SA"/>
        </w:rPr>
        <w:t xml:space="preserve"> W</w:t>
      </w:r>
      <w:r w:rsidRPr="00BF5A0D">
        <w:rPr>
          <w:rFonts w:cs="Arial"/>
          <w:szCs w:val="22"/>
          <w:lang w:val="en-AU" w:eastAsia="en-AU" w:bidi="ar-SA"/>
        </w:rPr>
        <w:t xml:space="preserve">, Tanaka S, </w:t>
      </w:r>
      <w:proofErr w:type="spellStart"/>
      <w:r w:rsidR="003B3EA7">
        <w:rPr>
          <w:rFonts w:cs="Arial"/>
          <w:szCs w:val="22"/>
          <w:lang w:val="en-AU" w:eastAsia="en-AU" w:bidi="ar-SA"/>
        </w:rPr>
        <w:t>Dosako</w:t>
      </w:r>
      <w:proofErr w:type="spellEnd"/>
      <w:r w:rsidR="003B3EA7">
        <w:rPr>
          <w:rFonts w:cs="Arial"/>
          <w:szCs w:val="22"/>
          <w:lang w:val="en-AU" w:eastAsia="en-AU" w:bidi="ar-SA"/>
        </w:rPr>
        <w:t>, S</w:t>
      </w:r>
      <w:r w:rsidRPr="00BF5A0D">
        <w:rPr>
          <w:rFonts w:cs="Arial"/>
          <w:szCs w:val="22"/>
          <w:lang w:val="en-AU" w:eastAsia="en-AU" w:bidi="ar-SA"/>
        </w:rPr>
        <w:t xml:space="preserve"> (1994) Inhibition with lactoferrin of in vitro infection with human herpes virus.</w:t>
      </w:r>
      <w:r>
        <w:rPr>
          <w:rFonts w:cs="Arial"/>
          <w:szCs w:val="22"/>
          <w:lang w:val="en-AU" w:eastAsia="en-AU" w:bidi="ar-SA"/>
        </w:rPr>
        <w:t xml:space="preserve"> </w:t>
      </w:r>
      <w:proofErr w:type="spellStart"/>
      <w:r>
        <w:rPr>
          <w:rFonts w:cs="Arial"/>
          <w:szCs w:val="22"/>
          <w:lang w:val="en-AU" w:eastAsia="en-AU" w:bidi="ar-SA"/>
        </w:rPr>
        <w:t>Jpn</w:t>
      </w:r>
      <w:proofErr w:type="spellEnd"/>
      <w:r>
        <w:rPr>
          <w:rFonts w:cs="Arial"/>
          <w:szCs w:val="22"/>
          <w:lang w:val="en-AU" w:eastAsia="en-AU" w:bidi="ar-SA"/>
        </w:rPr>
        <w:t xml:space="preserve"> J Med Sci Biol, 47, 73-85.</w:t>
      </w:r>
    </w:p>
    <w:p w14:paraId="1FD730B7" w14:textId="77777777" w:rsidR="00BF5A0D" w:rsidRPr="00550D44" w:rsidRDefault="00BF5A0D" w:rsidP="00384CD0">
      <w:pPr>
        <w:widowControl/>
        <w:textAlignment w:val="baseline"/>
        <w:rPr>
          <w:rFonts w:cs="Arial"/>
          <w:szCs w:val="22"/>
          <w:lang w:val="en-AU" w:eastAsia="en-AU" w:bidi="ar-SA"/>
        </w:rPr>
      </w:pPr>
    </w:p>
    <w:p w14:paraId="62BF9390" w14:textId="201F6028" w:rsidR="00384CD0" w:rsidRPr="00550D44" w:rsidRDefault="38221CDC" w:rsidP="00384CD0">
      <w:pPr>
        <w:widowControl/>
        <w:textAlignment w:val="baseline"/>
      </w:pPr>
      <w:proofErr w:type="spellStart"/>
      <w:r w:rsidRPr="1BE6BE4F">
        <w:rPr>
          <w:rFonts w:eastAsia="Arial" w:cs="Arial"/>
          <w:color w:val="333333"/>
          <w:szCs w:val="22"/>
        </w:rPr>
        <w:t>Hernell</w:t>
      </w:r>
      <w:proofErr w:type="spellEnd"/>
      <w:r w:rsidRPr="1BE6BE4F">
        <w:rPr>
          <w:rFonts w:eastAsia="Arial" w:cs="Arial"/>
          <w:color w:val="333333"/>
          <w:szCs w:val="22"/>
        </w:rPr>
        <w:t xml:space="preserve"> O, </w:t>
      </w:r>
      <w:proofErr w:type="spellStart"/>
      <w:r w:rsidRPr="1BE6BE4F">
        <w:rPr>
          <w:rFonts w:eastAsia="Arial" w:cs="Arial"/>
          <w:color w:val="333333"/>
          <w:szCs w:val="22"/>
        </w:rPr>
        <w:t>Lönnerdal</w:t>
      </w:r>
      <w:proofErr w:type="spellEnd"/>
      <w:r w:rsidRPr="1BE6BE4F">
        <w:rPr>
          <w:rFonts w:eastAsia="Arial" w:cs="Arial"/>
          <w:color w:val="333333"/>
          <w:szCs w:val="22"/>
        </w:rPr>
        <w:t xml:space="preserve"> B (2002) Iron status of infants fed low-iron formula: no effect of added bovine lactoferrin or nucleotides. Am J Clin </w:t>
      </w:r>
      <w:proofErr w:type="spellStart"/>
      <w:r w:rsidRPr="1BE6BE4F">
        <w:rPr>
          <w:rFonts w:eastAsia="Arial" w:cs="Arial"/>
          <w:color w:val="333333"/>
          <w:szCs w:val="22"/>
        </w:rPr>
        <w:t>Nutr</w:t>
      </w:r>
      <w:proofErr w:type="spellEnd"/>
      <w:r w:rsidRPr="1BE6BE4F">
        <w:rPr>
          <w:rFonts w:eastAsia="Arial" w:cs="Arial"/>
          <w:color w:val="333333"/>
          <w:szCs w:val="22"/>
        </w:rPr>
        <w:t xml:space="preserve"> 76(4):858-864. </w:t>
      </w:r>
      <w:proofErr w:type="spellStart"/>
      <w:r w:rsidRPr="1BE6BE4F">
        <w:rPr>
          <w:rFonts w:eastAsia="Arial" w:cs="Arial"/>
          <w:color w:val="333333"/>
          <w:szCs w:val="22"/>
        </w:rPr>
        <w:t>doi</w:t>
      </w:r>
      <w:proofErr w:type="spellEnd"/>
      <w:r w:rsidRPr="1BE6BE4F">
        <w:rPr>
          <w:rFonts w:eastAsia="Arial" w:cs="Arial"/>
          <w:color w:val="333333"/>
          <w:szCs w:val="22"/>
        </w:rPr>
        <w:t>: 10.1093/</w:t>
      </w:r>
      <w:proofErr w:type="spellStart"/>
      <w:r w:rsidRPr="1BE6BE4F">
        <w:rPr>
          <w:rFonts w:eastAsia="Arial" w:cs="Arial"/>
          <w:color w:val="333333"/>
          <w:szCs w:val="22"/>
        </w:rPr>
        <w:t>ajcn</w:t>
      </w:r>
      <w:proofErr w:type="spellEnd"/>
      <w:r w:rsidRPr="1BE6BE4F">
        <w:rPr>
          <w:rFonts w:eastAsia="Arial" w:cs="Arial"/>
          <w:color w:val="333333"/>
          <w:szCs w:val="22"/>
        </w:rPr>
        <w:t>/76.4.858</w:t>
      </w:r>
      <w:r w:rsidRPr="1BE6BE4F">
        <w:rPr>
          <w:rFonts w:eastAsia="Arial" w:cs="Arial"/>
          <w:szCs w:val="22"/>
        </w:rPr>
        <w:t xml:space="preserve"> </w:t>
      </w:r>
    </w:p>
    <w:p w14:paraId="2BC52ECE" w14:textId="582EED61" w:rsidR="00384CD0" w:rsidRPr="00550D44" w:rsidRDefault="00384CD0" w:rsidP="38221CDC">
      <w:pPr>
        <w:widowControl/>
        <w:textAlignment w:val="baseline"/>
        <w:rPr>
          <w:rFonts w:cs="Arial"/>
          <w:lang w:eastAsia="en-AU" w:bidi="ar-SA"/>
        </w:rPr>
      </w:pPr>
    </w:p>
    <w:p w14:paraId="099A511F" w14:textId="3D81BE88" w:rsidR="00384CD0" w:rsidRPr="00550D44" w:rsidRDefault="00384CD0" w:rsidP="00384CD0">
      <w:pPr>
        <w:widowControl/>
        <w:textAlignment w:val="baseline"/>
        <w:rPr>
          <w:rFonts w:cs="Arial"/>
          <w:lang w:val="en-AU" w:eastAsia="en-AU" w:bidi="ar-SA"/>
        </w:rPr>
      </w:pPr>
      <w:r w:rsidRPr="38221CDC">
        <w:rPr>
          <w:rFonts w:cs="Arial"/>
          <w:lang w:eastAsia="en-AU" w:bidi="ar-SA"/>
        </w:rPr>
        <w:t xml:space="preserve">Hirai Y,  </w:t>
      </w:r>
      <w:proofErr w:type="spellStart"/>
      <w:r w:rsidRPr="38221CDC">
        <w:rPr>
          <w:rFonts w:cs="Arial"/>
          <w:lang w:eastAsia="en-AU" w:bidi="ar-SA"/>
        </w:rPr>
        <w:t>K</w:t>
      </w:r>
      <w:r w:rsidR="002E2A4A">
        <w:rPr>
          <w:rFonts w:cs="Arial"/>
          <w:lang w:eastAsia="en-AU" w:bidi="ar-SA"/>
        </w:rPr>
        <w:t>awakata</w:t>
      </w:r>
      <w:proofErr w:type="spellEnd"/>
      <w:r w:rsidR="002E2A4A">
        <w:rPr>
          <w:rFonts w:cs="Arial"/>
          <w:lang w:eastAsia="en-AU" w:bidi="ar-SA"/>
        </w:rPr>
        <w:t xml:space="preserve"> N</w:t>
      </w:r>
      <w:r w:rsidRPr="38221CDC">
        <w:rPr>
          <w:rFonts w:cs="Arial"/>
          <w:lang w:eastAsia="en-AU" w:bidi="ar-SA"/>
        </w:rPr>
        <w:t xml:space="preserve">,  </w:t>
      </w:r>
      <w:r w:rsidR="0026197E">
        <w:rPr>
          <w:rFonts w:cs="Arial"/>
          <w:lang w:eastAsia="en-AU" w:bidi="ar-SA"/>
        </w:rPr>
        <w:t>Satoh K</w:t>
      </w:r>
      <w:r w:rsidRPr="38221CDC">
        <w:rPr>
          <w:rFonts w:cs="Arial"/>
          <w:lang w:eastAsia="en-AU" w:bidi="ar-SA"/>
        </w:rPr>
        <w:t>, I</w:t>
      </w:r>
      <w:r w:rsidR="0026197E">
        <w:rPr>
          <w:rFonts w:cs="Arial"/>
          <w:lang w:eastAsia="en-AU" w:bidi="ar-SA"/>
        </w:rPr>
        <w:t>keda Y</w:t>
      </w:r>
      <w:r w:rsidRPr="38221CDC">
        <w:rPr>
          <w:rFonts w:cs="Arial"/>
          <w:lang w:eastAsia="en-AU" w:bidi="ar-SA"/>
        </w:rPr>
        <w:t xml:space="preserve">, </w:t>
      </w:r>
      <w:proofErr w:type="spellStart"/>
      <w:r w:rsidRPr="38221CDC">
        <w:rPr>
          <w:rFonts w:cs="Arial"/>
          <w:lang w:eastAsia="en-AU" w:bidi="ar-SA"/>
        </w:rPr>
        <w:t>H</w:t>
      </w:r>
      <w:r w:rsidR="0026197E">
        <w:rPr>
          <w:rFonts w:cs="Arial"/>
          <w:lang w:eastAsia="en-AU" w:bidi="ar-SA"/>
        </w:rPr>
        <w:t>isayasu</w:t>
      </w:r>
      <w:proofErr w:type="spellEnd"/>
      <w:r w:rsidR="0026197E">
        <w:rPr>
          <w:rFonts w:cs="Arial"/>
          <w:lang w:eastAsia="en-AU" w:bidi="ar-SA"/>
        </w:rPr>
        <w:t xml:space="preserve"> S</w:t>
      </w:r>
      <w:r w:rsidRPr="38221CDC">
        <w:rPr>
          <w:rFonts w:cs="Arial"/>
          <w:lang w:eastAsia="en-AU" w:bidi="ar-SA"/>
        </w:rPr>
        <w:t xml:space="preserve">, </w:t>
      </w:r>
      <w:proofErr w:type="spellStart"/>
      <w:r w:rsidRPr="38221CDC">
        <w:rPr>
          <w:rFonts w:cs="Arial"/>
          <w:lang w:eastAsia="en-AU" w:bidi="ar-SA"/>
        </w:rPr>
        <w:t>O</w:t>
      </w:r>
      <w:r w:rsidR="0026197E">
        <w:rPr>
          <w:rFonts w:cs="Arial"/>
          <w:lang w:eastAsia="en-AU" w:bidi="ar-SA"/>
        </w:rPr>
        <w:t>rimo</w:t>
      </w:r>
      <w:proofErr w:type="spellEnd"/>
      <w:r w:rsidR="0026197E">
        <w:rPr>
          <w:rFonts w:cs="Arial"/>
          <w:lang w:eastAsia="en-AU" w:bidi="ar-SA"/>
        </w:rPr>
        <w:t xml:space="preserve"> H</w:t>
      </w:r>
      <w:r w:rsidRPr="38221CDC">
        <w:rPr>
          <w:rFonts w:cs="Arial"/>
          <w:lang w:eastAsia="en-AU" w:bidi="ar-SA"/>
        </w:rPr>
        <w:t>, Yoshi</w:t>
      </w:r>
      <w:r w:rsidR="0026197E">
        <w:rPr>
          <w:rFonts w:cs="Arial"/>
          <w:lang w:eastAsia="en-AU" w:bidi="ar-SA"/>
        </w:rPr>
        <w:t>n</w:t>
      </w:r>
      <w:r w:rsidRPr="38221CDC">
        <w:rPr>
          <w:rFonts w:cs="Arial"/>
          <w:lang w:eastAsia="en-AU" w:bidi="ar-SA"/>
        </w:rPr>
        <w:t>o Y</w:t>
      </w:r>
      <w:r w:rsidR="00500383">
        <w:rPr>
          <w:rFonts w:cs="Arial"/>
          <w:lang w:eastAsia="en-AU" w:bidi="ar-SA"/>
        </w:rPr>
        <w:t xml:space="preserve"> (1990)</w:t>
      </w:r>
      <w:r w:rsidRPr="38221CDC">
        <w:rPr>
          <w:rFonts w:cs="Arial"/>
          <w:lang w:eastAsia="en-AU" w:bidi="ar-SA"/>
        </w:rPr>
        <w:t xml:space="preserve"> Concentrations of lactoferrin and iron in human milk at different stages of lactation</w:t>
      </w:r>
      <w:r w:rsidR="67CB6319" w:rsidRPr="38221CDC">
        <w:rPr>
          <w:rFonts w:cs="Arial"/>
          <w:lang w:eastAsia="en-AU" w:bidi="ar-SA"/>
        </w:rPr>
        <w:t>. </w:t>
      </w:r>
      <w:r w:rsidRPr="38221CDC">
        <w:rPr>
          <w:rFonts w:cs="Arial"/>
          <w:lang w:eastAsia="en-AU" w:bidi="ar-SA"/>
        </w:rPr>
        <w:t xml:space="preserve">J </w:t>
      </w:r>
      <w:proofErr w:type="spellStart"/>
      <w:r w:rsidR="00500383">
        <w:rPr>
          <w:rFonts w:cs="Arial"/>
          <w:lang w:eastAsia="en-AU" w:bidi="ar-SA"/>
        </w:rPr>
        <w:t>Nutr</w:t>
      </w:r>
      <w:proofErr w:type="spellEnd"/>
      <w:r w:rsidR="00500383">
        <w:rPr>
          <w:rFonts w:cs="Arial"/>
          <w:lang w:eastAsia="en-AU" w:bidi="ar-SA"/>
        </w:rPr>
        <w:t xml:space="preserve"> Sci </w:t>
      </w:r>
      <w:proofErr w:type="spellStart"/>
      <w:r w:rsidR="00500383">
        <w:rPr>
          <w:rFonts w:cs="Arial"/>
          <w:lang w:eastAsia="en-AU" w:bidi="ar-SA"/>
        </w:rPr>
        <w:t>Vitaminol</w:t>
      </w:r>
      <w:proofErr w:type="spellEnd"/>
      <w:r w:rsidR="67CB6319" w:rsidRPr="38221CDC">
        <w:rPr>
          <w:rFonts w:cs="Arial"/>
          <w:lang w:eastAsia="en-AU" w:bidi="ar-SA"/>
        </w:rPr>
        <w:t> </w:t>
      </w:r>
      <w:r w:rsidRPr="38221CDC">
        <w:rPr>
          <w:rFonts w:cs="Arial"/>
          <w:lang w:eastAsia="en-AU" w:bidi="ar-SA"/>
        </w:rPr>
        <w:t>36</w:t>
      </w:r>
      <w:r w:rsidR="00500383">
        <w:rPr>
          <w:rFonts w:cs="Arial"/>
          <w:lang w:eastAsia="en-AU" w:bidi="ar-SA"/>
        </w:rPr>
        <w:t>(</w:t>
      </w:r>
      <w:r w:rsidRPr="38221CDC">
        <w:rPr>
          <w:rFonts w:cs="Arial"/>
          <w:lang w:eastAsia="en-AU" w:bidi="ar-SA"/>
        </w:rPr>
        <w:t>6</w:t>
      </w:r>
      <w:r w:rsidR="00500383">
        <w:rPr>
          <w:rFonts w:cs="Arial"/>
          <w:lang w:eastAsia="en-AU" w:bidi="ar-SA"/>
        </w:rPr>
        <w:t>)</w:t>
      </w:r>
      <w:r w:rsidRPr="38221CDC">
        <w:rPr>
          <w:rFonts w:cs="Arial"/>
          <w:lang w:eastAsia="en-AU" w:bidi="ar-SA"/>
        </w:rPr>
        <w:t>: 531-544.</w:t>
      </w:r>
      <w:r w:rsidRPr="38221CDC">
        <w:rPr>
          <w:rFonts w:cs="Arial"/>
          <w:lang w:val="en-AU" w:eastAsia="en-AU" w:bidi="ar-SA"/>
        </w:rPr>
        <w:t> </w:t>
      </w:r>
    </w:p>
    <w:p w14:paraId="0026C7B1" w14:textId="77777777" w:rsidR="00384CD0" w:rsidRPr="00550D44" w:rsidRDefault="00384CD0" w:rsidP="00384CD0">
      <w:pPr>
        <w:widowControl/>
        <w:textAlignment w:val="baseline"/>
        <w:rPr>
          <w:rFonts w:cs="Arial"/>
          <w:szCs w:val="22"/>
          <w:lang w:val="en-AU" w:eastAsia="en-AU" w:bidi="ar-SA"/>
        </w:rPr>
      </w:pPr>
      <w:r w:rsidRPr="00550D44">
        <w:rPr>
          <w:rFonts w:cs="Arial"/>
          <w:szCs w:val="22"/>
          <w:lang w:val="en-AU" w:eastAsia="en-AU" w:bidi="ar-SA"/>
        </w:rPr>
        <w:t> </w:t>
      </w:r>
    </w:p>
    <w:p w14:paraId="6AC771F8" w14:textId="1907B9B7" w:rsidR="00384CD0" w:rsidRPr="00550D44" w:rsidRDefault="00384CD0" w:rsidP="00384CD0">
      <w:pPr>
        <w:widowControl/>
        <w:textAlignment w:val="baseline"/>
        <w:rPr>
          <w:rFonts w:cs="Arial"/>
          <w:szCs w:val="22"/>
          <w:lang w:val="en-AU" w:eastAsia="en-AU" w:bidi="ar-SA"/>
        </w:rPr>
      </w:pPr>
      <w:r w:rsidRPr="00550D44">
        <w:rPr>
          <w:rFonts w:cs="Arial"/>
          <w:szCs w:val="22"/>
          <w:lang w:eastAsia="en-AU" w:bidi="ar-SA"/>
        </w:rPr>
        <w:t xml:space="preserve">Hiss S, Meyer T, </w:t>
      </w:r>
      <w:proofErr w:type="spellStart"/>
      <w:r w:rsidRPr="00550D44">
        <w:rPr>
          <w:rFonts w:cs="Arial"/>
          <w:szCs w:val="22"/>
          <w:lang w:eastAsia="en-AU" w:bidi="ar-SA"/>
        </w:rPr>
        <w:t>Sauerwein</w:t>
      </w:r>
      <w:proofErr w:type="spellEnd"/>
      <w:r w:rsidRPr="00550D44">
        <w:rPr>
          <w:rFonts w:cs="Arial"/>
          <w:szCs w:val="22"/>
          <w:lang w:eastAsia="en-AU" w:bidi="ar-SA"/>
        </w:rPr>
        <w:t xml:space="preserve"> H (2008) Lactoferrin concentrations in goat milk throughout lactation. Small Ruminant Research, 80(1-3</w:t>
      </w:r>
      <w:r w:rsidR="00500383" w:rsidRPr="00550D44">
        <w:rPr>
          <w:rFonts w:cs="Arial"/>
          <w:szCs w:val="22"/>
          <w:lang w:eastAsia="en-AU" w:bidi="ar-SA"/>
        </w:rPr>
        <w:t>)</w:t>
      </w:r>
      <w:r w:rsidR="00500383">
        <w:rPr>
          <w:rFonts w:cs="Arial"/>
          <w:szCs w:val="22"/>
          <w:lang w:eastAsia="en-AU" w:bidi="ar-SA"/>
        </w:rPr>
        <w:t>:</w:t>
      </w:r>
      <w:r w:rsidRPr="00550D44">
        <w:rPr>
          <w:rFonts w:cs="Arial"/>
          <w:szCs w:val="22"/>
          <w:lang w:eastAsia="en-AU" w:bidi="ar-SA"/>
        </w:rPr>
        <w:t>87-90.</w:t>
      </w:r>
      <w:r w:rsidRPr="00550D44">
        <w:rPr>
          <w:rFonts w:cs="Arial"/>
          <w:szCs w:val="22"/>
          <w:lang w:val="en-AU" w:eastAsia="en-AU" w:bidi="ar-SA"/>
        </w:rPr>
        <w:t> </w:t>
      </w:r>
    </w:p>
    <w:p w14:paraId="006C186E" w14:textId="77777777" w:rsidR="00384CD0" w:rsidRPr="00550D44" w:rsidRDefault="00384CD0" w:rsidP="00384CD0">
      <w:pPr>
        <w:widowControl/>
        <w:textAlignment w:val="baseline"/>
        <w:rPr>
          <w:rFonts w:cs="Arial"/>
          <w:szCs w:val="22"/>
          <w:lang w:val="en-AU" w:eastAsia="en-AU" w:bidi="ar-SA"/>
        </w:rPr>
      </w:pPr>
      <w:r w:rsidRPr="00550D44">
        <w:rPr>
          <w:rFonts w:cs="Arial"/>
          <w:szCs w:val="22"/>
          <w:lang w:val="en-AU" w:eastAsia="en-AU" w:bidi="ar-SA"/>
        </w:rPr>
        <w:t> </w:t>
      </w:r>
    </w:p>
    <w:p w14:paraId="4DF1F406" w14:textId="77777777" w:rsidR="00384CD0" w:rsidRPr="00550D44" w:rsidRDefault="00384CD0" w:rsidP="00384CD0">
      <w:pPr>
        <w:widowControl/>
        <w:textAlignment w:val="baseline"/>
        <w:rPr>
          <w:rFonts w:cs="Arial"/>
          <w:szCs w:val="22"/>
          <w:lang w:val="en-AU" w:eastAsia="en-AU" w:bidi="ar-SA"/>
        </w:rPr>
      </w:pPr>
      <w:r w:rsidRPr="00550D44">
        <w:rPr>
          <w:rFonts w:cs="Arial"/>
          <w:szCs w:val="22"/>
          <w:lang w:val="en-AU" w:eastAsia="en-AU" w:bidi="ar-SA"/>
        </w:rPr>
        <w:t>Hitchcock NE (1986) Nutrition and growth in infancy and early childhood: A longitudinal study from birth to 5 years /  Nancy E. Hitchcock … [et al.]. Monographs in paediatrics, vol. 19. Karger, Basel. </w:t>
      </w:r>
    </w:p>
    <w:p w14:paraId="562B6FA2" w14:textId="77777777" w:rsidR="00384CD0" w:rsidRPr="00550D44" w:rsidRDefault="00384CD0" w:rsidP="00384CD0">
      <w:pPr>
        <w:widowControl/>
        <w:textAlignment w:val="baseline"/>
        <w:rPr>
          <w:rFonts w:cs="Arial"/>
          <w:szCs w:val="22"/>
          <w:lang w:val="en-AU" w:eastAsia="en-AU" w:bidi="ar-SA"/>
        </w:rPr>
      </w:pPr>
      <w:r w:rsidRPr="00550D44">
        <w:rPr>
          <w:rFonts w:cs="Arial"/>
          <w:szCs w:val="22"/>
          <w:lang w:val="en-AU" w:eastAsia="en-AU" w:bidi="ar-SA"/>
        </w:rPr>
        <w:t> </w:t>
      </w:r>
    </w:p>
    <w:p w14:paraId="1800B70A" w14:textId="53792460" w:rsidR="00C30133" w:rsidRDefault="00384CD0" w:rsidP="00384CD0">
      <w:pPr>
        <w:widowControl/>
        <w:textAlignment w:val="baseline"/>
        <w:rPr>
          <w:rFonts w:cs="Arial"/>
          <w:szCs w:val="22"/>
          <w:lang w:eastAsia="en-AU" w:bidi="ar-SA"/>
        </w:rPr>
      </w:pPr>
      <w:r w:rsidRPr="00550D44">
        <w:rPr>
          <w:rFonts w:cs="Arial"/>
          <w:szCs w:val="22"/>
          <w:lang w:eastAsia="en-AU" w:bidi="ar-SA"/>
        </w:rPr>
        <w:t xml:space="preserve">Houghton MR, Gracey M, Burke V, Bottrell C, Spargo RM (1985) Breast milk lactoferrin levels in relation to maternal nutritional status. J </w:t>
      </w:r>
      <w:proofErr w:type="spellStart"/>
      <w:r w:rsidR="004F435F">
        <w:rPr>
          <w:rFonts w:cs="Arial"/>
          <w:szCs w:val="22"/>
          <w:lang w:eastAsia="en-AU" w:bidi="ar-SA"/>
        </w:rPr>
        <w:t>Pediatr</w:t>
      </w:r>
      <w:proofErr w:type="spellEnd"/>
      <w:r w:rsidR="004F435F">
        <w:rPr>
          <w:rFonts w:cs="Arial"/>
          <w:szCs w:val="22"/>
          <w:lang w:eastAsia="en-AU" w:bidi="ar-SA"/>
        </w:rPr>
        <w:t xml:space="preserve"> Gastroenterol </w:t>
      </w:r>
      <w:proofErr w:type="spellStart"/>
      <w:r w:rsidR="004F435F">
        <w:rPr>
          <w:rFonts w:cs="Arial"/>
          <w:szCs w:val="22"/>
          <w:lang w:eastAsia="en-AU" w:bidi="ar-SA"/>
        </w:rPr>
        <w:t>Nutr</w:t>
      </w:r>
      <w:proofErr w:type="spellEnd"/>
      <w:r w:rsidRPr="00550D44">
        <w:rPr>
          <w:rFonts w:cs="Arial"/>
          <w:szCs w:val="22"/>
          <w:lang w:eastAsia="en-AU" w:bidi="ar-SA"/>
        </w:rPr>
        <w:t> 4(2</w:t>
      </w:r>
      <w:r w:rsidR="004F435F" w:rsidRPr="00550D44">
        <w:rPr>
          <w:rFonts w:cs="Arial"/>
          <w:szCs w:val="22"/>
          <w:lang w:eastAsia="en-AU" w:bidi="ar-SA"/>
        </w:rPr>
        <w:t>)</w:t>
      </w:r>
      <w:r w:rsidR="004F435F">
        <w:rPr>
          <w:rFonts w:cs="Arial"/>
          <w:szCs w:val="22"/>
          <w:lang w:eastAsia="en-AU" w:bidi="ar-SA"/>
        </w:rPr>
        <w:t>:</w:t>
      </w:r>
      <w:r w:rsidRPr="00550D44">
        <w:rPr>
          <w:rFonts w:cs="Arial"/>
          <w:szCs w:val="22"/>
          <w:lang w:eastAsia="en-AU" w:bidi="ar-SA"/>
        </w:rPr>
        <w:t>230-233.</w:t>
      </w:r>
    </w:p>
    <w:p w14:paraId="48E3B68B" w14:textId="77777777" w:rsidR="00C30133" w:rsidRDefault="00C30133" w:rsidP="00384CD0">
      <w:pPr>
        <w:widowControl/>
        <w:textAlignment w:val="baseline"/>
        <w:rPr>
          <w:rFonts w:cs="Arial"/>
          <w:szCs w:val="22"/>
          <w:lang w:eastAsia="en-AU" w:bidi="ar-SA"/>
        </w:rPr>
      </w:pPr>
    </w:p>
    <w:p w14:paraId="082F4503" w14:textId="77777777" w:rsidR="00C30133" w:rsidRDefault="00C30133" w:rsidP="00384CD0">
      <w:pPr>
        <w:widowControl/>
        <w:textAlignment w:val="baseline"/>
        <w:rPr>
          <w:rFonts w:cs="Arial"/>
          <w:szCs w:val="22"/>
          <w:lang w:val="en-AU" w:eastAsia="en-AU" w:bidi="ar-SA"/>
        </w:rPr>
      </w:pPr>
      <w:r>
        <w:rPr>
          <w:rFonts w:cs="Arial"/>
          <w:szCs w:val="22"/>
          <w:lang w:val="en-AU" w:eastAsia="en-AU" w:bidi="ar-SA"/>
        </w:rPr>
        <w:t xml:space="preserve">Hutchens TW, Henry JF, Yip TT (1991a) </w:t>
      </w:r>
      <w:r w:rsidRPr="00C30133">
        <w:rPr>
          <w:rFonts w:cs="Arial"/>
          <w:szCs w:val="22"/>
          <w:lang w:val="en-AU" w:eastAsia="en-AU" w:bidi="ar-SA"/>
        </w:rPr>
        <w:t>Structurally intact (78-kDa) forms of maternal lactoferrin purified from urine of preterm infants fed human milk: identification of a trypsin-like proteolytic cleavage event in vivo that does not result in fragment dissociation</w:t>
      </w:r>
      <w:r>
        <w:rPr>
          <w:rFonts w:cs="Arial"/>
          <w:szCs w:val="22"/>
          <w:lang w:val="en-AU" w:eastAsia="en-AU" w:bidi="ar-SA"/>
        </w:rPr>
        <w:t xml:space="preserve">. Proc Natl </w:t>
      </w:r>
      <w:proofErr w:type="spellStart"/>
      <w:r>
        <w:rPr>
          <w:rFonts w:cs="Arial"/>
          <w:szCs w:val="22"/>
          <w:lang w:val="en-AU" w:eastAsia="en-AU" w:bidi="ar-SA"/>
        </w:rPr>
        <w:t>Acada</w:t>
      </w:r>
      <w:proofErr w:type="spellEnd"/>
      <w:r>
        <w:rPr>
          <w:rFonts w:cs="Arial"/>
          <w:szCs w:val="22"/>
          <w:lang w:val="en-AU" w:eastAsia="en-AU" w:bidi="ar-SA"/>
        </w:rPr>
        <w:t xml:space="preserve"> Sci USA </w:t>
      </w:r>
      <w:r w:rsidRPr="00C30133">
        <w:rPr>
          <w:rFonts w:cs="Arial"/>
          <w:szCs w:val="22"/>
          <w:lang w:val="en-AU" w:eastAsia="en-AU" w:bidi="ar-SA"/>
        </w:rPr>
        <w:t>88(8):2994-8.</w:t>
      </w:r>
    </w:p>
    <w:p w14:paraId="2037CE05" w14:textId="77777777" w:rsidR="00C30133" w:rsidRDefault="00C30133" w:rsidP="00384CD0">
      <w:pPr>
        <w:widowControl/>
        <w:textAlignment w:val="baseline"/>
        <w:rPr>
          <w:rFonts w:cs="Arial"/>
          <w:szCs w:val="22"/>
          <w:lang w:val="en-AU" w:eastAsia="en-AU" w:bidi="ar-SA"/>
        </w:rPr>
      </w:pPr>
    </w:p>
    <w:p w14:paraId="5B667CE8" w14:textId="4198CE0B" w:rsidR="00384CD0" w:rsidRPr="00550D44" w:rsidRDefault="00C30133" w:rsidP="00384CD0">
      <w:pPr>
        <w:widowControl/>
        <w:textAlignment w:val="baseline"/>
        <w:rPr>
          <w:rFonts w:cs="Arial"/>
          <w:szCs w:val="22"/>
          <w:lang w:val="en-AU" w:eastAsia="en-AU" w:bidi="ar-SA"/>
        </w:rPr>
      </w:pPr>
      <w:r w:rsidRPr="00C30133">
        <w:rPr>
          <w:rFonts w:cs="Arial"/>
          <w:szCs w:val="22"/>
          <w:lang w:val="en-AU" w:eastAsia="en-AU" w:bidi="ar-SA"/>
        </w:rPr>
        <w:t xml:space="preserve">Hutchens TW, Henry JF, Yip TT, </w:t>
      </w:r>
      <w:proofErr w:type="spellStart"/>
      <w:r w:rsidRPr="00C30133">
        <w:rPr>
          <w:rFonts w:cs="Arial"/>
          <w:szCs w:val="22"/>
          <w:lang w:val="en-AU" w:eastAsia="en-AU" w:bidi="ar-SA"/>
        </w:rPr>
        <w:t>Hachey</w:t>
      </w:r>
      <w:proofErr w:type="spellEnd"/>
      <w:r w:rsidRPr="00C30133">
        <w:rPr>
          <w:rFonts w:cs="Arial"/>
          <w:szCs w:val="22"/>
          <w:lang w:val="en-AU" w:eastAsia="en-AU" w:bidi="ar-SA"/>
        </w:rPr>
        <w:t xml:space="preserve"> DL,</w:t>
      </w:r>
      <w:r>
        <w:rPr>
          <w:rFonts w:cs="Arial"/>
          <w:szCs w:val="22"/>
          <w:lang w:val="en-AU" w:eastAsia="en-AU" w:bidi="ar-SA"/>
        </w:rPr>
        <w:t xml:space="preserve"> </w:t>
      </w:r>
      <w:proofErr w:type="spellStart"/>
      <w:r>
        <w:rPr>
          <w:rFonts w:cs="Arial"/>
          <w:szCs w:val="22"/>
          <w:lang w:val="en-AU" w:eastAsia="en-AU" w:bidi="ar-SA"/>
        </w:rPr>
        <w:t>Schanler</w:t>
      </w:r>
      <w:proofErr w:type="spellEnd"/>
      <w:r>
        <w:rPr>
          <w:rFonts w:cs="Arial"/>
          <w:szCs w:val="22"/>
          <w:lang w:val="en-AU" w:eastAsia="en-AU" w:bidi="ar-SA"/>
        </w:rPr>
        <w:t xml:space="preserve"> RJ, </w:t>
      </w:r>
      <w:proofErr w:type="spellStart"/>
      <w:r>
        <w:rPr>
          <w:rFonts w:cs="Arial"/>
          <w:szCs w:val="22"/>
          <w:lang w:val="en-AU" w:eastAsia="en-AU" w:bidi="ar-SA"/>
        </w:rPr>
        <w:t>Motil</w:t>
      </w:r>
      <w:proofErr w:type="spellEnd"/>
      <w:r>
        <w:rPr>
          <w:rFonts w:cs="Arial"/>
          <w:szCs w:val="22"/>
          <w:lang w:val="en-AU" w:eastAsia="en-AU" w:bidi="ar-SA"/>
        </w:rPr>
        <w:t xml:space="preserve"> KJ, Garza C (1991b) </w:t>
      </w:r>
      <w:r w:rsidRPr="00C30133">
        <w:rPr>
          <w:rFonts w:cs="Arial"/>
          <w:szCs w:val="22"/>
          <w:lang w:val="en-AU" w:eastAsia="en-AU" w:bidi="ar-SA"/>
        </w:rPr>
        <w:t>Origin of intact lactoferrin and its DNA-binding fragments found in the urine of human milk-fed preterm infants. Evaluation by stable isotopic enrichment</w:t>
      </w:r>
      <w:r>
        <w:rPr>
          <w:rFonts w:cs="Arial"/>
          <w:szCs w:val="22"/>
          <w:lang w:val="en-AU" w:eastAsia="en-AU" w:bidi="ar-SA"/>
        </w:rPr>
        <w:t xml:space="preserve">. </w:t>
      </w:r>
      <w:proofErr w:type="spellStart"/>
      <w:r>
        <w:rPr>
          <w:rFonts w:cs="Arial"/>
          <w:szCs w:val="22"/>
          <w:lang w:val="en-AU" w:eastAsia="en-AU" w:bidi="ar-SA"/>
        </w:rPr>
        <w:t>Pediatr</w:t>
      </w:r>
      <w:proofErr w:type="spellEnd"/>
      <w:r>
        <w:rPr>
          <w:rFonts w:cs="Arial"/>
          <w:szCs w:val="22"/>
          <w:lang w:val="en-AU" w:eastAsia="en-AU" w:bidi="ar-SA"/>
        </w:rPr>
        <w:t xml:space="preserve"> Res </w:t>
      </w:r>
      <w:r w:rsidRPr="00C30133">
        <w:rPr>
          <w:rFonts w:cs="Arial"/>
          <w:szCs w:val="22"/>
          <w:lang w:val="en-AU" w:eastAsia="en-AU" w:bidi="ar-SA"/>
        </w:rPr>
        <w:t>29(3):243-50.</w:t>
      </w:r>
      <w:r>
        <w:rPr>
          <w:rFonts w:cs="Arial"/>
          <w:szCs w:val="22"/>
          <w:lang w:val="en-AU" w:eastAsia="en-AU" w:bidi="ar-SA"/>
        </w:rPr>
        <w:t xml:space="preserve"> </w:t>
      </w:r>
      <w:r w:rsidR="00384CD0" w:rsidRPr="00550D44">
        <w:rPr>
          <w:rFonts w:cs="Arial"/>
          <w:szCs w:val="22"/>
          <w:lang w:val="en-AU" w:eastAsia="en-AU" w:bidi="ar-SA"/>
        </w:rPr>
        <w:t> </w:t>
      </w:r>
    </w:p>
    <w:p w14:paraId="0D0FBCFC" w14:textId="77777777" w:rsidR="00E86B2A" w:rsidRDefault="00E86B2A" w:rsidP="00384CD0">
      <w:pPr>
        <w:widowControl/>
        <w:textAlignment w:val="baseline"/>
        <w:rPr>
          <w:rFonts w:cs="Arial"/>
          <w:szCs w:val="22"/>
          <w:lang w:val="en-AU" w:eastAsia="en-AU" w:bidi="ar-SA"/>
        </w:rPr>
      </w:pPr>
    </w:p>
    <w:p w14:paraId="5EB340E9" w14:textId="65EF0043" w:rsidR="00F33BDA" w:rsidRDefault="00F33BDA" w:rsidP="1C95CCE8">
      <w:pPr>
        <w:widowControl/>
        <w:textAlignment w:val="baseline"/>
        <w:rPr>
          <w:rFonts w:cs="Arial"/>
          <w:lang w:eastAsia="en-AU" w:bidi="ar-SA"/>
        </w:rPr>
      </w:pPr>
      <w:proofErr w:type="spellStart"/>
      <w:r w:rsidRPr="1C95CCE8">
        <w:rPr>
          <w:rFonts w:cs="Arial"/>
          <w:lang w:eastAsia="en-AU" w:bidi="ar-SA"/>
        </w:rPr>
        <w:t>Imaoka</w:t>
      </w:r>
      <w:proofErr w:type="spellEnd"/>
      <w:r w:rsidRPr="1C95CCE8">
        <w:rPr>
          <w:rFonts w:cs="Arial"/>
          <w:lang w:eastAsia="en-AU" w:bidi="ar-SA"/>
        </w:rPr>
        <w:t xml:space="preserve"> M, Satoh H, </w:t>
      </w:r>
      <w:proofErr w:type="spellStart"/>
      <w:r w:rsidRPr="1C95CCE8">
        <w:rPr>
          <w:rFonts w:cs="Arial"/>
          <w:lang w:eastAsia="en-AU" w:bidi="ar-SA"/>
        </w:rPr>
        <w:t>Furuhama</w:t>
      </w:r>
      <w:proofErr w:type="spellEnd"/>
      <w:r w:rsidRPr="1C95CCE8">
        <w:rPr>
          <w:rFonts w:cs="Arial"/>
          <w:lang w:eastAsia="en-AU" w:bidi="ar-SA"/>
        </w:rPr>
        <w:t xml:space="preserve"> K (2007) Age- and sex-related differences in spontaneous </w:t>
      </w:r>
      <w:proofErr w:type="spellStart"/>
      <w:r w:rsidRPr="1C95CCE8">
        <w:rPr>
          <w:rFonts w:cs="Arial"/>
          <w:lang w:eastAsia="en-AU" w:bidi="ar-SA"/>
        </w:rPr>
        <w:t>hemorrhage</w:t>
      </w:r>
      <w:proofErr w:type="spellEnd"/>
      <w:r w:rsidRPr="1C95CCE8">
        <w:rPr>
          <w:rFonts w:cs="Arial"/>
          <w:lang w:eastAsia="en-AU" w:bidi="ar-SA"/>
        </w:rPr>
        <w:t xml:space="preserve"> and fibrosis of the pancreatic islets in Sprague-Dawley rats. </w:t>
      </w:r>
      <w:proofErr w:type="spellStart"/>
      <w:r w:rsidRPr="1C95CCE8">
        <w:rPr>
          <w:rFonts w:cs="Arial"/>
          <w:lang w:eastAsia="en-AU" w:bidi="ar-SA"/>
        </w:rPr>
        <w:t>Toxicol</w:t>
      </w:r>
      <w:proofErr w:type="spellEnd"/>
      <w:r w:rsidRPr="1C95CCE8">
        <w:rPr>
          <w:rFonts w:cs="Arial"/>
          <w:lang w:eastAsia="en-AU" w:bidi="ar-SA"/>
        </w:rPr>
        <w:t xml:space="preserve"> </w:t>
      </w:r>
      <w:proofErr w:type="spellStart"/>
      <w:r w:rsidRPr="1C95CCE8">
        <w:rPr>
          <w:rFonts w:cs="Arial"/>
          <w:lang w:eastAsia="en-AU" w:bidi="ar-SA"/>
        </w:rPr>
        <w:t>Pathol</w:t>
      </w:r>
      <w:proofErr w:type="spellEnd"/>
      <w:r w:rsidRPr="1C95CCE8">
        <w:rPr>
          <w:rFonts w:cs="Arial"/>
          <w:lang w:eastAsia="en-AU" w:bidi="ar-SA"/>
        </w:rPr>
        <w:t xml:space="preserve"> 35(3):388-94. </w:t>
      </w:r>
    </w:p>
    <w:p w14:paraId="1980A339" w14:textId="621ACA05" w:rsidR="00C30133" w:rsidRDefault="00C30133" w:rsidP="00384CD0">
      <w:pPr>
        <w:widowControl/>
        <w:textAlignment w:val="baseline"/>
        <w:rPr>
          <w:rFonts w:cs="Arial"/>
          <w:szCs w:val="22"/>
          <w:lang w:eastAsia="en-AU" w:bidi="ar-SA"/>
        </w:rPr>
      </w:pPr>
    </w:p>
    <w:p w14:paraId="38C501E0" w14:textId="335E4168" w:rsidR="00C30133" w:rsidRPr="00E86B2A" w:rsidRDefault="00C30133" w:rsidP="00384CD0">
      <w:pPr>
        <w:widowControl/>
        <w:textAlignment w:val="baseline"/>
        <w:rPr>
          <w:rFonts w:cs="Arial"/>
          <w:szCs w:val="22"/>
          <w:lang w:eastAsia="en-AU" w:bidi="ar-SA"/>
        </w:rPr>
      </w:pPr>
      <w:proofErr w:type="spellStart"/>
      <w:r w:rsidRPr="00C30133">
        <w:rPr>
          <w:rFonts w:cs="Arial"/>
          <w:szCs w:val="22"/>
          <w:lang w:eastAsia="en-AU" w:bidi="ar-SA"/>
        </w:rPr>
        <w:t>Itell</w:t>
      </w:r>
      <w:proofErr w:type="spellEnd"/>
      <w:r w:rsidRPr="00C30133">
        <w:rPr>
          <w:rFonts w:cs="Arial"/>
          <w:szCs w:val="22"/>
          <w:lang w:eastAsia="en-AU" w:bidi="ar-SA"/>
        </w:rPr>
        <w:t xml:space="preserve"> HL, </w:t>
      </w:r>
      <w:proofErr w:type="spellStart"/>
      <w:r w:rsidRPr="00C30133">
        <w:rPr>
          <w:rFonts w:cs="Arial"/>
          <w:szCs w:val="22"/>
          <w:lang w:eastAsia="en-AU" w:bidi="ar-SA"/>
        </w:rPr>
        <w:t>Berenz</w:t>
      </w:r>
      <w:proofErr w:type="spellEnd"/>
      <w:r w:rsidRPr="00C30133">
        <w:rPr>
          <w:rFonts w:cs="Arial"/>
          <w:szCs w:val="22"/>
          <w:lang w:eastAsia="en-AU" w:bidi="ar-SA"/>
        </w:rPr>
        <w:t xml:space="preserve"> A, M</w:t>
      </w:r>
      <w:r>
        <w:rPr>
          <w:rFonts w:cs="Arial"/>
          <w:szCs w:val="22"/>
          <w:lang w:eastAsia="en-AU" w:bidi="ar-SA"/>
        </w:rPr>
        <w:t xml:space="preserve">angan RJ, </w:t>
      </w:r>
      <w:proofErr w:type="spellStart"/>
      <w:r>
        <w:rPr>
          <w:rFonts w:cs="Arial"/>
          <w:szCs w:val="22"/>
          <w:lang w:eastAsia="en-AU" w:bidi="ar-SA"/>
        </w:rPr>
        <w:t>Permar</w:t>
      </w:r>
      <w:proofErr w:type="spellEnd"/>
      <w:r>
        <w:rPr>
          <w:rFonts w:cs="Arial"/>
          <w:szCs w:val="22"/>
          <w:lang w:eastAsia="en-AU" w:bidi="ar-SA"/>
        </w:rPr>
        <w:t xml:space="preserve"> SR, Kaufman DA (2020) </w:t>
      </w:r>
      <w:r w:rsidRPr="00C30133">
        <w:rPr>
          <w:rFonts w:cs="Arial"/>
          <w:szCs w:val="22"/>
          <w:lang w:eastAsia="en-AU" w:bidi="ar-SA"/>
        </w:rPr>
        <w:t>Systemic and mucosal levels of lactoferrin in very low birth weight infants supplemented with bovine lactoferrin</w:t>
      </w:r>
      <w:r>
        <w:rPr>
          <w:rFonts w:cs="Arial"/>
          <w:szCs w:val="22"/>
          <w:lang w:eastAsia="en-AU" w:bidi="ar-SA"/>
        </w:rPr>
        <w:t xml:space="preserve">. </w:t>
      </w:r>
      <w:proofErr w:type="spellStart"/>
      <w:r>
        <w:rPr>
          <w:rFonts w:cs="Arial"/>
          <w:szCs w:val="22"/>
          <w:lang w:eastAsia="en-AU" w:bidi="ar-SA"/>
        </w:rPr>
        <w:t>Biochem</w:t>
      </w:r>
      <w:proofErr w:type="spellEnd"/>
      <w:r>
        <w:rPr>
          <w:rFonts w:cs="Arial"/>
          <w:szCs w:val="22"/>
          <w:lang w:eastAsia="en-AU" w:bidi="ar-SA"/>
        </w:rPr>
        <w:t xml:space="preserve"> Cell </w:t>
      </w:r>
      <w:proofErr w:type="spellStart"/>
      <w:r>
        <w:rPr>
          <w:rFonts w:cs="Arial"/>
          <w:szCs w:val="22"/>
          <w:lang w:eastAsia="en-AU" w:bidi="ar-SA"/>
        </w:rPr>
        <w:t>Biol</w:t>
      </w:r>
      <w:proofErr w:type="spellEnd"/>
      <w:r>
        <w:rPr>
          <w:rFonts w:cs="Arial"/>
          <w:szCs w:val="22"/>
          <w:lang w:eastAsia="en-AU" w:bidi="ar-SA"/>
        </w:rPr>
        <w:t xml:space="preserve"> </w:t>
      </w:r>
      <w:r w:rsidRPr="00C30133">
        <w:rPr>
          <w:rFonts w:cs="Arial"/>
          <w:szCs w:val="22"/>
          <w:lang w:eastAsia="en-AU" w:bidi="ar-SA"/>
        </w:rPr>
        <w:t>99(1):25-34</w:t>
      </w:r>
      <w:r>
        <w:rPr>
          <w:rFonts w:cs="Arial"/>
          <w:szCs w:val="22"/>
          <w:lang w:eastAsia="en-AU" w:bidi="ar-SA"/>
        </w:rPr>
        <w:t xml:space="preserve">. </w:t>
      </w:r>
    </w:p>
    <w:p w14:paraId="0E5A3F17" w14:textId="77777777" w:rsidR="00BF5A0D" w:rsidRDefault="00BF5A0D" w:rsidP="00384CD0">
      <w:pPr>
        <w:widowControl/>
        <w:textAlignment w:val="baseline"/>
        <w:rPr>
          <w:rFonts w:cs="Arial"/>
          <w:szCs w:val="22"/>
          <w:lang w:val="en-AU" w:eastAsia="en-AU" w:bidi="ar-SA"/>
        </w:rPr>
      </w:pPr>
    </w:p>
    <w:p w14:paraId="1944E086" w14:textId="7A258BB4" w:rsidR="00BF5A0D" w:rsidRPr="00BF5A0D" w:rsidRDefault="00D372A8" w:rsidP="00BF5A0D">
      <w:pPr>
        <w:widowControl/>
        <w:textAlignment w:val="baseline"/>
      </w:pPr>
      <w:proofErr w:type="spellStart"/>
      <w:r w:rsidRPr="00D372A8">
        <w:rPr>
          <w:rFonts w:eastAsia="Arial" w:cs="Arial"/>
          <w:color w:val="333333"/>
          <w:szCs w:val="22"/>
        </w:rPr>
        <w:t>Jarrold</w:t>
      </w:r>
      <w:proofErr w:type="spellEnd"/>
      <w:r w:rsidRPr="00D372A8">
        <w:rPr>
          <w:rFonts w:eastAsia="Arial" w:cs="Arial"/>
          <w:color w:val="333333"/>
          <w:szCs w:val="22"/>
        </w:rPr>
        <w:t xml:space="preserve"> K, Helfer B, </w:t>
      </w:r>
      <w:proofErr w:type="spellStart"/>
      <w:r w:rsidRPr="00D372A8">
        <w:rPr>
          <w:rFonts w:eastAsia="Arial" w:cs="Arial"/>
          <w:color w:val="333333"/>
          <w:szCs w:val="22"/>
        </w:rPr>
        <w:t>Eskander</w:t>
      </w:r>
      <w:proofErr w:type="spellEnd"/>
      <w:r w:rsidRPr="00D372A8">
        <w:rPr>
          <w:rFonts w:eastAsia="Arial" w:cs="Arial"/>
          <w:color w:val="333333"/>
          <w:szCs w:val="22"/>
        </w:rPr>
        <w:t xml:space="preserve"> M, Crawley H, </w:t>
      </w:r>
      <w:proofErr w:type="spellStart"/>
      <w:r w:rsidRPr="00D372A8">
        <w:rPr>
          <w:rFonts w:eastAsia="Arial" w:cs="Arial"/>
          <w:color w:val="333333"/>
          <w:szCs w:val="22"/>
        </w:rPr>
        <w:t>Trabulsi</w:t>
      </w:r>
      <w:proofErr w:type="spellEnd"/>
      <w:r w:rsidRPr="00D372A8">
        <w:rPr>
          <w:rFonts w:eastAsia="Arial" w:cs="Arial"/>
          <w:color w:val="333333"/>
          <w:szCs w:val="22"/>
        </w:rPr>
        <w:t xml:space="preserve"> J, Caulfield LE, Duffy G, Garcia-Larsen V, Hayward D, Hyde M, Jeffries S, </w:t>
      </w:r>
      <w:proofErr w:type="spellStart"/>
      <w:r w:rsidRPr="00D372A8">
        <w:rPr>
          <w:rFonts w:eastAsia="Arial" w:cs="Arial"/>
          <w:color w:val="333333"/>
          <w:szCs w:val="22"/>
        </w:rPr>
        <w:t>Knip</w:t>
      </w:r>
      <w:proofErr w:type="spellEnd"/>
      <w:r w:rsidRPr="00D372A8">
        <w:rPr>
          <w:rFonts w:eastAsia="Arial" w:cs="Arial"/>
          <w:color w:val="333333"/>
          <w:szCs w:val="22"/>
        </w:rPr>
        <w:t xml:space="preserve"> M, Leonardi-Bee J, Loder E, Lodge CJ, Lowe AJ, McGuire W, Osborn D, </w:t>
      </w:r>
      <w:proofErr w:type="spellStart"/>
      <w:r w:rsidRPr="00D372A8">
        <w:rPr>
          <w:rFonts w:eastAsia="Arial" w:cs="Arial"/>
          <w:color w:val="333333"/>
          <w:szCs w:val="22"/>
        </w:rPr>
        <w:t>Przyrembel</w:t>
      </w:r>
      <w:proofErr w:type="spellEnd"/>
      <w:r w:rsidRPr="00D372A8">
        <w:rPr>
          <w:rFonts w:eastAsia="Arial" w:cs="Arial"/>
          <w:color w:val="333333"/>
          <w:szCs w:val="22"/>
        </w:rPr>
        <w:t xml:space="preserve"> H, Renfrew MJ, Trumbo P, Warner J, </w:t>
      </w:r>
      <w:proofErr w:type="spellStart"/>
      <w:r w:rsidRPr="00D372A8">
        <w:rPr>
          <w:rFonts w:eastAsia="Arial" w:cs="Arial"/>
          <w:color w:val="333333"/>
          <w:szCs w:val="22"/>
        </w:rPr>
        <w:t>Schneeman</w:t>
      </w:r>
      <w:proofErr w:type="spellEnd"/>
      <w:r w:rsidRPr="00D372A8">
        <w:rPr>
          <w:rFonts w:eastAsia="Arial" w:cs="Arial"/>
          <w:color w:val="333333"/>
          <w:szCs w:val="22"/>
        </w:rPr>
        <w:t xml:space="preserve"> B, Boyle RJ</w:t>
      </w:r>
      <w:r w:rsidR="38221CDC" w:rsidRPr="1BE6BE4F">
        <w:rPr>
          <w:rFonts w:eastAsia="Arial" w:cs="Arial"/>
          <w:color w:val="333333"/>
          <w:szCs w:val="22"/>
        </w:rPr>
        <w:t xml:space="preserve"> (2020) Guidance for the conduct and reporting of clinical trials of breast milk substitutes. JAMA </w:t>
      </w:r>
      <w:proofErr w:type="spellStart"/>
      <w:r w:rsidR="38221CDC" w:rsidRPr="1BE6BE4F">
        <w:rPr>
          <w:rFonts w:eastAsia="Arial" w:cs="Arial"/>
          <w:color w:val="333333"/>
          <w:szCs w:val="22"/>
        </w:rPr>
        <w:t>Pediatr</w:t>
      </w:r>
      <w:proofErr w:type="spellEnd"/>
      <w:r w:rsidR="38221CDC" w:rsidRPr="1BE6BE4F">
        <w:rPr>
          <w:rFonts w:eastAsia="Arial" w:cs="Arial"/>
          <w:color w:val="333333"/>
          <w:szCs w:val="22"/>
        </w:rPr>
        <w:t xml:space="preserve"> 174(9):874–881. doi:10.1001/jamapediatrics.2020.0578</w:t>
      </w:r>
      <w:r w:rsidR="38221CDC" w:rsidRPr="1BE6BE4F">
        <w:rPr>
          <w:rFonts w:eastAsia="Arial" w:cs="Arial"/>
          <w:szCs w:val="22"/>
          <w:lang w:val="en-AU"/>
        </w:rPr>
        <w:t xml:space="preserve"> </w:t>
      </w:r>
    </w:p>
    <w:p w14:paraId="48C4B466" w14:textId="544EF79E" w:rsidR="00BF5A0D" w:rsidRPr="00BF5A0D" w:rsidRDefault="00BF5A0D" w:rsidP="38221CDC">
      <w:pPr>
        <w:widowControl/>
        <w:textAlignment w:val="baseline"/>
        <w:rPr>
          <w:szCs w:val="22"/>
          <w:lang w:val="en-AU"/>
        </w:rPr>
      </w:pPr>
    </w:p>
    <w:p w14:paraId="7F3E483E" w14:textId="008C4F10" w:rsidR="00BF5A0D" w:rsidRDefault="38221CDC" w:rsidP="38221CDC">
      <w:pPr>
        <w:widowControl/>
        <w:textAlignment w:val="baseline"/>
        <w:rPr>
          <w:rFonts w:eastAsia="Arial" w:cs="Arial"/>
          <w:szCs w:val="22"/>
        </w:rPr>
      </w:pPr>
      <w:r w:rsidRPr="1BE6BE4F">
        <w:rPr>
          <w:rFonts w:eastAsia="Arial" w:cs="Arial"/>
          <w:szCs w:val="22"/>
        </w:rPr>
        <w:t xml:space="preserve">Johnston WH, Ashley C, </w:t>
      </w:r>
      <w:proofErr w:type="spellStart"/>
      <w:r w:rsidRPr="1BE6BE4F">
        <w:rPr>
          <w:rFonts w:eastAsia="Arial" w:cs="Arial"/>
          <w:szCs w:val="22"/>
        </w:rPr>
        <w:t>Yeiser</w:t>
      </w:r>
      <w:proofErr w:type="spellEnd"/>
      <w:r w:rsidRPr="1BE6BE4F">
        <w:rPr>
          <w:rFonts w:eastAsia="Arial" w:cs="Arial"/>
          <w:szCs w:val="22"/>
        </w:rPr>
        <w:t xml:space="preserve"> M, Harris CL, Stolz SI, Wampler JL, </w:t>
      </w:r>
      <w:proofErr w:type="spellStart"/>
      <w:r w:rsidRPr="1BE6BE4F">
        <w:rPr>
          <w:rFonts w:eastAsia="Arial" w:cs="Arial"/>
          <w:szCs w:val="22"/>
        </w:rPr>
        <w:t>Wittke</w:t>
      </w:r>
      <w:proofErr w:type="spellEnd"/>
      <w:r w:rsidRPr="1BE6BE4F">
        <w:rPr>
          <w:rFonts w:eastAsia="Arial" w:cs="Arial"/>
          <w:szCs w:val="22"/>
        </w:rPr>
        <w:t xml:space="preserve"> A, Cooper TR (2015) Growth and tolerance of formula with lactoferrin in infants through one year of age: double-blind, randomized, controlled trial. BMC </w:t>
      </w:r>
      <w:proofErr w:type="spellStart"/>
      <w:r w:rsidRPr="1BE6BE4F">
        <w:rPr>
          <w:rFonts w:eastAsia="Arial" w:cs="Arial"/>
          <w:szCs w:val="22"/>
        </w:rPr>
        <w:t>Pediatr</w:t>
      </w:r>
      <w:proofErr w:type="spellEnd"/>
      <w:r w:rsidRPr="1BE6BE4F">
        <w:rPr>
          <w:rFonts w:eastAsia="Arial" w:cs="Arial"/>
          <w:szCs w:val="22"/>
        </w:rPr>
        <w:t xml:space="preserve"> 15(1):173. doi:10.1186/s12887-015-0488-3</w:t>
      </w:r>
    </w:p>
    <w:p w14:paraId="0C70D7FD" w14:textId="00FCF4A1" w:rsidR="0056000E" w:rsidRDefault="0056000E" w:rsidP="38221CDC">
      <w:pPr>
        <w:widowControl/>
        <w:textAlignment w:val="baseline"/>
        <w:rPr>
          <w:rFonts w:eastAsia="Arial" w:cs="Arial"/>
          <w:szCs w:val="22"/>
        </w:rPr>
      </w:pPr>
    </w:p>
    <w:p w14:paraId="03417AD1" w14:textId="2A956A9B" w:rsidR="0056000E" w:rsidRDefault="0056000E" w:rsidP="38221CDC">
      <w:pPr>
        <w:widowControl/>
        <w:textAlignment w:val="baseline"/>
        <w:rPr>
          <w:rFonts w:eastAsia="Arial" w:cs="Arial"/>
          <w:szCs w:val="22"/>
        </w:rPr>
      </w:pPr>
      <w:r w:rsidRPr="0056000E">
        <w:rPr>
          <w:rFonts w:eastAsia="Arial" w:cs="Arial"/>
          <w:szCs w:val="22"/>
        </w:rPr>
        <w:t xml:space="preserve">Kaufman DA, </w:t>
      </w:r>
      <w:proofErr w:type="spellStart"/>
      <w:r w:rsidRPr="0056000E">
        <w:rPr>
          <w:rFonts w:eastAsia="Arial" w:cs="Arial"/>
          <w:szCs w:val="22"/>
        </w:rPr>
        <w:t>Berenz</w:t>
      </w:r>
      <w:proofErr w:type="spellEnd"/>
      <w:r w:rsidRPr="0056000E">
        <w:rPr>
          <w:rFonts w:eastAsia="Arial" w:cs="Arial"/>
          <w:szCs w:val="22"/>
        </w:rPr>
        <w:t xml:space="preserve"> A, </w:t>
      </w:r>
      <w:proofErr w:type="spellStart"/>
      <w:r w:rsidRPr="0056000E">
        <w:rPr>
          <w:rFonts w:eastAsia="Arial" w:cs="Arial"/>
          <w:szCs w:val="22"/>
        </w:rPr>
        <w:t>Itell</w:t>
      </w:r>
      <w:proofErr w:type="spellEnd"/>
      <w:r w:rsidRPr="0056000E">
        <w:rPr>
          <w:rFonts w:eastAsia="Arial" w:cs="Arial"/>
          <w:szCs w:val="22"/>
        </w:rPr>
        <w:t xml:space="preserve"> HL, Conaway M, Blackman A, </w:t>
      </w:r>
      <w:proofErr w:type="spellStart"/>
      <w:r w:rsidRPr="0056000E">
        <w:rPr>
          <w:rFonts w:eastAsia="Arial" w:cs="Arial"/>
          <w:szCs w:val="22"/>
        </w:rPr>
        <w:t>Nataro</w:t>
      </w:r>
      <w:proofErr w:type="spellEnd"/>
      <w:r w:rsidRPr="0056000E">
        <w:rPr>
          <w:rFonts w:eastAsia="Arial" w:cs="Arial"/>
          <w:szCs w:val="22"/>
        </w:rPr>
        <w:t xml:space="preserve"> JP, </w:t>
      </w:r>
      <w:proofErr w:type="spellStart"/>
      <w:r w:rsidRPr="0056000E">
        <w:rPr>
          <w:rFonts w:eastAsia="Arial" w:cs="Arial"/>
          <w:szCs w:val="22"/>
        </w:rPr>
        <w:t>Permar</w:t>
      </w:r>
      <w:proofErr w:type="spellEnd"/>
      <w:r w:rsidRPr="0056000E">
        <w:rPr>
          <w:rFonts w:eastAsia="Arial" w:cs="Arial"/>
          <w:szCs w:val="22"/>
        </w:rPr>
        <w:t xml:space="preserve"> SR</w:t>
      </w:r>
      <w:r>
        <w:rPr>
          <w:rFonts w:eastAsia="Arial" w:cs="Arial"/>
          <w:szCs w:val="22"/>
        </w:rPr>
        <w:t xml:space="preserve"> (2021) </w:t>
      </w:r>
      <w:r w:rsidR="003C01CB" w:rsidRPr="003C01CB">
        <w:rPr>
          <w:rFonts w:eastAsia="Arial" w:cs="Arial"/>
          <w:szCs w:val="22"/>
        </w:rPr>
        <w:t>Dose escalation study of bovine lactoferrin in preterm infants: getting the dose right</w:t>
      </w:r>
      <w:r w:rsidR="003C01CB">
        <w:rPr>
          <w:rFonts w:eastAsia="Arial" w:cs="Arial"/>
          <w:szCs w:val="22"/>
        </w:rPr>
        <w:t xml:space="preserve">. </w:t>
      </w:r>
      <w:proofErr w:type="spellStart"/>
      <w:r w:rsidR="003C01CB">
        <w:rPr>
          <w:rFonts w:eastAsia="Arial" w:cs="Arial"/>
          <w:szCs w:val="22"/>
        </w:rPr>
        <w:t>Biochem</w:t>
      </w:r>
      <w:proofErr w:type="spellEnd"/>
      <w:r w:rsidR="003C01CB">
        <w:rPr>
          <w:rFonts w:eastAsia="Arial" w:cs="Arial"/>
          <w:szCs w:val="22"/>
        </w:rPr>
        <w:t xml:space="preserve"> Cell </w:t>
      </w:r>
      <w:proofErr w:type="spellStart"/>
      <w:r w:rsidR="003C01CB">
        <w:rPr>
          <w:rFonts w:eastAsia="Arial" w:cs="Arial"/>
          <w:szCs w:val="22"/>
        </w:rPr>
        <w:t>Biol</w:t>
      </w:r>
      <w:proofErr w:type="spellEnd"/>
      <w:r w:rsidR="003C01CB">
        <w:rPr>
          <w:rFonts w:eastAsia="Arial" w:cs="Arial"/>
          <w:szCs w:val="22"/>
        </w:rPr>
        <w:t xml:space="preserve"> </w:t>
      </w:r>
      <w:r w:rsidR="003C01CB" w:rsidRPr="003C01CB">
        <w:rPr>
          <w:rFonts w:eastAsia="Arial" w:cs="Arial"/>
          <w:szCs w:val="22"/>
        </w:rPr>
        <w:t>99(1):7-13</w:t>
      </w:r>
      <w:r w:rsidR="003C01CB">
        <w:rPr>
          <w:rFonts w:eastAsia="Arial" w:cs="Arial"/>
          <w:szCs w:val="22"/>
        </w:rPr>
        <w:t xml:space="preserve">. </w:t>
      </w:r>
    </w:p>
    <w:p w14:paraId="332831DD" w14:textId="44F21801" w:rsidR="0056000E" w:rsidRDefault="0056000E" w:rsidP="38221CDC">
      <w:pPr>
        <w:widowControl/>
        <w:textAlignment w:val="baseline"/>
        <w:rPr>
          <w:rFonts w:eastAsia="Arial" w:cs="Arial"/>
          <w:szCs w:val="22"/>
          <w:lang w:val="en-AU"/>
        </w:rPr>
      </w:pPr>
    </w:p>
    <w:p w14:paraId="168FA7F2" w14:textId="03D93419" w:rsidR="0056000E" w:rsidRPr="00BF5A0D" w:rsidRDefault="0056000E" w:rsidP="38221CDC">
      <w:pPr>
        <w:widowControl/>
        <w:textAlignment w:val="baseline"/>
        <w:rPr>
          <w:rFonts w:eastAsia="Arial" w:cs="Arial"/>
          <w:szCs w:val="22"/>
          <w:lang w:val="en-AU"/>
        </w:rPr>
      </w:pPr>
      <w:r w:rsidRPr="0056000E">
        <w:rPr>
          <w:rFonts w:eastAsia="Arial" w:cs="Arial"/>
          <w:szCs w:val="22"/>
          <w:lang w:val="en-AU"/>
        </w:rPr>
        <w:t xml:space="preserve">Kaur G, </w:t>
      </w:r>
      <w:proofErr w:type="spellStart"/>
      <w:r w:rsidRPr="0056000E">
        <w:rPr>
          <w:rFonts w:eastAsia="Arial" w:cs="Arial"/>
          <w:szCs w:val="22"/>
          <w:lang w:val="en-AU"/>
        </w:rPr>
        <w:t>Gathwala</w:t>
      </w:r>
      <w:proofErr w:type="spellEnd"/>
      <w:r w:rsidRPr="0056000E">
        <w:rPr>
          <w:rFonts w:eastAsia="Arial" w:cs="Arial"/>
          <w:szCs w:val="22"/>
          <w:lang w:val="en-AU"/>
        </w:rPr>
        <w:t xml:space="preserve"> G</w:t>
      </w:r>
      <w:r>
        <w:rPr>
          <w:rFonts w:eastAsia="Arial" w:cs="Arial"/>
          <w:szCs w:val="22"/>
          <w:lang w:val="en-AU"/>
        </w:rPr>
        <w:t xml:space="preserve"> (2015) </w:t>
      </w:r>
      <w:r w:rsidRPr="0056000E">
        <w:rPr>
          <w:rFonts w:eastAsia="Arial" w:cs="Arial"/>
          <w:szCs w:val="22"/>
          <w:lang w:val="en-AU"/>
        </w:rPr>
        <w:t>Efficacy of Bovine Lactoferrin Supplementation in Preventing Late-onset Sepsis in low Birth Weight Neonates: A Randomized Placebo-Controlled Clinical Trial</w:t>
      </w:r>
      <w:r>
        <w:rPr>
          <w:rFonts w:eastAsia="Arial" w:cs="Arial"/>
          <w:szCs w:val="22"/>
          <w:lang w:val="en-AU"/>
        </w:rPr>
        <w:t xml:space="preserve">. J Trop </w:t>
      </w:r>
      <w:proofErr w:type="spellStart"/>
      <w:r>
        <w:rPr>
          <w:rFonts w:eastAsia="Arial" w:cs="Arial"/>
          <w:szCs w:val="22"/>
          <w:lang w:val="en-AU"/>
        </w:rPr>
        <w:t>Pediatr</w:t>
      </w:r>
      <w:proofErr w:type="spellEnd"/>
      <w:r>
        <w:rPr>
          <w:rFonts w:eastAsia="Arial" w:cs="Arial"/>
          <w:szCs w:val="22"/>
          <w:lang w:val="en-AU"/>
        </w:rPr>
        <w:t xml:space="preserve"> </w:t>
      </w:r>
      <w:r w:rsidRPr="0056000E">
        <w:rPr>
          <w:rFonts w:eastAsia="Arial" w:cs="Arial"/>
          <w:szCs w:val="22"/>
          <w:lang w:val="en-AU"/>
        </w:rPr>
        <w:t>61(5):370-6.</w:t>
      </w:r>
      <w:r>
        <w:rPr>
          <w:rFonts w:eastAsia="Arial" w:cs="Arial"/>
          <w:szCs w:val="22"/>
          <w:lang w:val="en-AU"/>
        </w:rPr>
        <w:t xml:space="preserve"> </w:t>
      </w:r>
    </w:p>
    <w:p w14:paraId="6A59F846" w14:textId="2D39DBE8" w:rsidR="00BF5A0D" w:rsidRPr="00BF5A0D" w:rsidRDefault="00BF5A0D" w:rsidP="38221CDC">
      <w:pPr>
        <w:widowControl/>
        <w:textAlignment w:val="baseline"/>
        <w:rPr>
          <w:rFonts w:cs="Arial"/>
          <w:lang w:val="en-AU" w:eastAsia="en-AU" w:bidi="ar-SA"/>
        </w:rPr>
      </w:pPr>
    </w:p>
    <w:p w14:paraId="25BEE7F2" w14:textId="7564026D" w:rsidR="00BF5A0D" w:rsidRPr="00BF5A0D" w:rsidRDefault="2F6C5033" w:rsidP="1BE6BE4F">
      <w:pPr>
        <w:widowControl/>
        <w:textAlignment w:val="baseline"/>
        <w:rPr>
          <w:rFonts w:eastAsia="Arial" w:cs="Arial"/>
          <w:color w:val="212121"/>
          <w:szCs w:val="22"/>
          <w:lang w:val="en-US"/>
        </w:rPr>
      </w:pPr>
      <w:r w:rsidRPr="1BCF129A">
        <w:rPr>
          <w:rFonts w:eastAsia="Arial" w:cs="Arial"/>
          <w:color w:val="212121"/>
        </w:rPr>
        <w:t xml:space="preserve">Kawakami H, </w:t>
      </w:r>
      <w:proofErr w:type="spellStart"/>
      <w:r w:rsidRPr="1BCF129A">
        <w:rPr>
          <w:rFonts w:eastAsia="Arial" w:cs="Arial"/>
          <w:color w:val="212121"/>
        </w:rPr>
        <w:t>Lönnerdal</w:t>
      </w:r>
      <w:proofErr w:type="spellEnd"/>
      <w:r w:rsidRPr="1BCF129A">
        <w:rPr>
          <w:rFonts w:eastAsia="Arial" w:cs="Arial"/>
          <w:color w:val="212121"/>
        </w:rPr>
        <w:t xml:space="preserve"> B (1991) Isolation and function of a receptor for human lactoferrin in human </w:t>
      </w:r>
      <w:proofErr w:type="spellStart"/>
      <w:r w:rsidRPr="1BCF129A">
        <w:rPr>
          <w:rFonts w:eastAsia="Arial" w:cs="Arial"/>
          <w:color w:val="212121"/>
        </w:rPr>
        <w:t>fetal</w:t>
      </w:r>
      <w:proofErr w:type="spellEnd"/>
      <w:r w:rsidRPr="1BCF129A">
        <w:rPr>
          <w:rFonts w:eastAsia="Arial" w:cs="Arial"/>
          <w:color w:val="212121"/>
        </w:rPr>
        <w:t xml:space="preserve"> intestinal brush-border membranes. Am J </w:t>
      </w:r>
      <w:proofErr w:type="spellStart"/>
      <w:r w:rsidRPr="1BCF129A">
        <w:rPr>
          <w:rFonts w:eastAsia="Arial" w:cs="Arial"/>
          <w:color w:val="212121"/>
        </w:rPr>
        <w:t>Physiol</w:t>
      </w:r>
      <w:proofErr w:type="spellEnd"/>
      <w:r w:rsidRPr="1BCF129A">
        <w:rPr>
          <w:rFonts w:eastAsia="Arial" w:cs="Arial"/>
          <w:color w:val="212121"/>
        </w:rPr>
        <w:t xml:space="preserve"> 261(5 Pt 1):G841-846. </w:t>
      </w:r>
      <w:proofErr w:type="spellStart"/>
      <w:r w:rsidRPr="1BCF129A">
        <w:rPr>
          <w:rFonts w:eastAsia="Arial" w:cs="Arial"/>
          <w:color w:val="212121"/>
        </w:rPr>
        <w:t>doi</w:t>
      </w:r>
      <w:proofErr w:type="spellEnd"/>
      <w:r w:rsidRPr="1BCF129A">
        <w:rPr>
          <w:rFonts w:eastAsia="Arial" w:cs="Arial"/>
          <w:color w:val="212121"/>
        </w:rPr>
        <w:t>: 10.1152/ajpgi.1991.261.5.G841</w:t>
      </w:r>
    </w:p>
    <w:p w14:paraId="51CB1DBA" w14:textId="379DCC4B" w:rsidR="1BCF129A" w:rsidRDefault="1BCF129A" w:rsidP="1BCF129A">
      <w:pPr>
        <w:widowControl/>
        <w:rPr>
          <w:rFonts w:eastAsia="Arial" w:cs="Arial"/>
          <w:lang w:val="en-AU" w:eastAsia="en-AU" w:bidi="ar-SA"/>
        </w:rPr>
      </w:pPr>
    </w:p>
    <w:p w14:paraId="0AF8B133" w14:textId="6A8BB47C" w:rsidR="00BF5A0D" w:rsidRPr="00BF5A0D" w:rsidRDefault="004F435F" w:rsidP="00BF5A0D">
      <w:pPr>
        <w:widowControl/>
        <w:textAlignment w:val="baseline"/>
        <w:rPr>
          <w:rFonts w:cs="Arial"/>
          <w:lang w:val="en-AU" w:eastAsia="en-AU" w:bidi="ar-SA"/>
        </w:rPr>
      </w:pPr>
      <w:r w:rsidRPr="004F435F">
        <w:rPr>
          <w:rFonts w:cs="Arial"/>
          <w:lang w:val="en-AU" w:eastAsia="en-AU" w:bidi="ar-SA"/>
        </w:rPr>
        <w:t xml:space="preserve">Kawasaki Y, </w:t>
      </w:r>
      <w:proofErr w:type="spellStart"/>
      <w:r w:rsidRPr="004F435F">
        <w:rPr>
          <w:rFonts w:cs="Arial"/>
          <w:lang w:val="en-AU" w:eastAsia="en-AU" w:bidi="ar-SA"/>
        </w:rPr>
        <w:t>Tazume</w:t>
      </w:r>
      <w:proofErr w:type="spellEnd"/>
      <w:r w:rsidRPr="004F435F">
        <w:rPr>
          <w:rFonts w:cs="Arial"/>
          <w:lang w:val="en-AU" w:eastAsia="en-AU" w:bidi="ar-SA"/>
        </w:rPr>
        <w:t xml:space="preserve"> S, Shimizu K, Matsuzawa H, </w:t>
      </w:r>
      <w:proofErr w:type="spellStart"/>
      <w:r w:rsidRPr="004F435F">
        <w:rPr>
          <w:rFonts w:cs="Arial"/>
          <w:lang w:val="en-AU" w:eastAsia="en-AU" w:bidi="ar-SA"/>
        </w:rPr>
        <w:t>Dosako</w:t>
      </w:r>
      <w:proofErr w:type="spellEnd"/>
      <w:r w:rsidRPr="004F435F">
        <w:rPr>
          <w:rFonts w:cs="Arial"/>
          <w:lang w:val="en-AU" w:eastAsia="en-AU" w:bidi="ar-SA"/>
        </w:rPr>
        <w:t xml:space="preserve"> S, </w:t>
      </w:r>
      <w:proofErr w:type="spellStart"/>
      <w:r w:rsidRPr="004F435F">
        <w:rPr>
          <w:rFonts w:cs="Arial"/>
          <w:lang w:val="en-AU" w:eastAsia="en-AU" w:bidi="ar-SA"/>
        </w:rPr>
        <w:t>Isoda</w:t>
      </w:r>
      <w:proofErr w:type="spellEnd"/>
      <w:r w:rsidRPr="004F435F">
        <w:rPr>
          <w:rFonts w:cs="Arial"/>
          <w:lang w:val="en-AU" w:eastAsia="en-AU" w:bidi="ar-SA"/>
        </w:rPr>
        <w:t xml:space="preserve"> H, Tsukiji M, Fujimura R, </w:t>
      </w:r>
      <w:proofErr w:type="spellStart"/>
      <w:r w:rsidRPr="004F435F">
        <w:rPr>
          <w:rFonts w:cs="Arial"/>
          <w:lang w:val="en-AU" w:eastAsia="en-AU" w:bidi="ar-SA"/>
        </w:rPr>
        <w:t>Muranaka</w:t>
      </w:r>
      <w:proofErr w:type="spellEnd"/>
      <w:r w:rsidRPr="004F435F">
        <w:rPr>
          <w:rFonts w:cs="Arial"/>
          <w:lang w:val="en-AU" w:eastAsia="en-AU" w:bidi="ar-SA"/>
        </w:rPr>
        <w:t xml:space="preserve"> Y, </w:t>
      </w:r>
      <w:proofErr w:type="spellStart"/>
      <w:r w:rsidRPr="004F435F">
        <w:rPr>
          <w:rFonts w:cs="Arial"/>
          <w:lang w:val="en-AU" w:eastAsia="en-AU" w:bidi="ar-SA"/>
        </w:rPr>
        <w:t>Isihida</w:t>
      </w:r>
      <w:proofErr w:type="spellEnd"/>
      <w:r w:rsidRPr="004F435F">
        <w:rPr>
          <w:rFonts w:cs="Arial"/>
          <w:lang w:val="en-AU" w:eastAsia="en-AU" w:bidi="ar-SA"/>
        </w:rPr>
        <w:t xml:space="preserve"> H</w:t>
      </w:r>
      <w:r w:rsidR="00BF5A0D" w:rsidRPr="38221CDC">
        <w:rPr>
          <w:rFonts w:cs="Arial"/>
          <w:lang w:val="en-AU" w:eastAsia="en-AU" w:bidi="ar-SA"/>
        </w:rPr>
        <w:t xml:space="preserve"> (2000) Inhibitory effects of bovine lactoferrin on the adherence of enterotoxigenic </w:t>
      </w:r>
      <w:r w:rsidR="00BF5A0D" w:rsidRPr="00A64664">
        <w:rPr>
          <w:rFonts w:cs="Arial"/>
          <w:i/>
          <w:lang w:val="en-AU" w:eastAsia="en-AU" w:bidi="ar-SA"/>
        </w:rPr>
        <w:t>Escherichia coli</w:t>
      </w:r>
      <w:r w:rsidR="00BF5A0D" w:rsidRPr="38221CDC">
        <w:rPr>
          <w:rFonts w:cs="Arial"/>
          <w:lang w:val="en-AU" w:eastAsia="en-AU" w:bidi="ar-SA"/>
        </w:rPr>
        <w:t xml:space="preserve"> to host cells. </w:t>
      </w:r>
      <w:proofErr w:type="spellStart"/>
      <w:r w:rsidR="00BF5A0D" w:rsidRPr="38221CDC">
        <w:rPr>
          <w:rFonts w:cs="Arial"/>
          <w:lang w:val="en-AU" w:eastAsia="en-AU" w:bidi="ar-SA"/>
        </w:rPr>
        <w:t>Biosci</w:t>
      </w:r>
      <w:proofErr w:type="spellEnd"/>
      <w:r w:rsidR="00BF5A0D" w:rsidRPr="38221CDC">
        <w:rPr>
          <w:rFonts w:cs="Arial"/>
          <w:lang w:val="en-AU" w:eastAsia="en-AU" w:bidi="ar-SA"/>
        </w:rPr>
        <w:t xml:space="preserve"> </w:t>
      </w:r>
      <w:proofErr w:type="spellStart"/>
      <w:r w:rsidR="00BF5A0D" w:rsidRPr="38221CDC">
        <w:rPr>
          <w:rFonts w:cs="Arial"/>
          <w:lang w:val="en-AU" w:eastAsia="en-AU" w:bidi="ar-SA"/>
        </w:rPr>
        <w:t>Biotechnol</w:t>
      </w:r>
      <w:proofErr w:type="spellEnd"/>
      <w:r w:rsidR="00BF5A0D" w:rsidRPr="38221CDC">
        <w:rPr>
          <w:rFonts w:cs="Arial"/>
          <w:lang w:val="en-AU" w:eastAsia="en-AU" w:bidi="ar-SA"/>
        </w:rPr>
        <w:t xml:space="preserve"> </w:t>
      </w:r>
      <w:proofErr w:type="spellStart"/>
      <w:r w:rsidR="00BF5A0D" w:rsidRPr="38221CDC">
        <w:rPr>
          <w:rFonts w:cs="Arial"/>
          <w:lang w:val="en-AU" w:eastAsia="en-AU" w:bidi="ar-SA"/>
        </w:rPr>
        <w:t>Biochem</w:t>
      </w:r>
      <w:proofErr w:type="spellEnd"/>
      <w:r w:rsidR="00BF5A0D" w:rsidRPr="38221CDC">
        <w:rPr>
          <w:rFonts w:cs="Arial"/>
          <w:lang w:val="en-AU" w:eastAsia="en-AU" w:bidi="ar-SA"/>
        </w:rPr>
        <w:t xml:space="preserve"> 64(2</w:t>
      </w:r>
      <w:r w:rsidRPr="38221CDC">
        <w:rPr>
          <w:rFonts w:cs="Arial"/>
          <w:lang w:val="en-AU" w:eastAsia="en-AU" w:bidi="ar-SA"/>
        </w:rPr>
        <w:t>)</w:t>
      </w:r>
      <w:r>
        <w:rPr>
          <w:rFonts w:cs="Arial"/>
          <w:lang w:val="en-AU" w:eastAsia="en-AU" w:bidi="ar-SA"/>
        </w:rPr>
        <w:t>:</w:t>
      </w:r>
      <w:r w:rsidR="00BF5A0D" w:rsidRPr="38221CDC">
        <w:rPr>
          <w:rFonts w:cs="Arial"/>
          <w:lang w:val="en-AU" w:eastAsia="en-AU" w:bidi="ar-SA"/>
        </w:rPr>
        <w:t xml:space="preserve">348-354. </w:t>
      </w:r>
    </w:p>
    <w:p w14:paraId="01B2A1DC" w14:textId="77777777" w:rsidR="00BF5A0D" w:rsidRPr="00BF5A0D" w:rsidRDefault="00BF5A0D" w:rsidP="00BF5A0D">
      <w:pPr>
        <w:widowControl/>
        <w:textAlignment w:val="baseline"/>
        <w:rPr>
          <w:rFonts w:cs="Arial"/>
          <w:szCs w:val="22"/>
          <w:lang w:val="en-AU" w:eastAsia="en-AU" w:bidi="ar-SA"/>
        </w:rPr>
      </w:pPr>
    </w:p>
    <w:p w14:paraId="516DF810" w14:textId="40D9749C" w:rsidR="00BF5A0D" w:rsidRDefault="00BF5A0D" w:rsidP="00BF5A0D">
      <w:pPr>
        <w:widowControl/>
        <w:textAlignment w:val="baseline"/>
        <w:rPr>
          <w:rFonts w:cs="Arial"/>
          <w:lang w:val="en-AU" w:eastAsia="en-AU" w:bidi="ar-SA"/>
        </w:rPr>
      </w:pPr>
      <w:r w:rsidRPr="38221CDC">
        <w:rPr>
          <w:rFonts w:cs="Arial"/>
          <w:lang w:val="en-AU" w:eastAsia="en-AU" w:bidi="ar-SA"/>
        </w:rPr>
        <w:t>King JC Jr, Cummings GE, Guo N</w:t>
      </w:r>
      <w:r w:rsidR="00D4428F" w:rsidRPr="00D4428F">
        <w:rPr>
          <w:rFonts w:cs="Arial"/>
          <w:lang w:val="en-AU" w:eastAsia="en-AU" w:bidi="ar-SA"/>
        </w:rPr>
        <w:t xml:space="preserve">, Trivedi L, </w:t>
      </w:r>
      <w:proofErr w:type="spellStart"/>
      <w:r w:rsidR="00D4428F" w:rsidRPr="00D4428F">
        <w:rPr>
          <w:rFonts w:cs="Arial"/>
          <w:lang w:val="en-AU" w:eastAsia="en-AU" w:bidi="ar-SA"/>
        </w:rPr>
        <w:t>Readmond</w:t>
      </w:r>
      <w:proofErr w:type="spellEnd"/>
      <w:r w:rsidR="00D4428F" w:rsidRPr="00D4428F">
        <w:rPr>
          <w:rFonts w:cs="Arial"/>
          <w:lang w:val="en-AU" w:eastAsia="en-AU" w:bidi="ar-SA"/>
        </w:rPr>
        <w:t xml:space="preserve"> BX, Keane V, </w:t>
      </w:r>
      <w:proofErr w:type="spellStart"/>
      <w:r w:rsidR="00D4428F" w:rsidRPr="00D4428F">
        <w:rPr>
          <w:rFonts w:cs="Arial"/>
          <w:lang w:val="en-AU" w:eastAsia="en-AU" w:bidi="ar-SA"/>
        </w:rPr>
        <w:t>Feigelman</w:t>
      </w:r>
      <w:proofErr w:type="spellEnd"/>
      <w:r w:rsidR="00D4428F" w:rsidRPr="00D4428F">
        <w:rPr>
          <w:rFonts w:cs="Arial"/>
          <w:lang w:val="en-AU" w:eastAsia="en-AU" w:bidi="ar-SA"/>
        </w:rPr>
        <w:t xml:space="preserve"> S, de </w:t>
      </w:r>
      <w:proofErr w:type="spellStart"/>
      <w:r w:rsidR="00D4428F" w:rsidRPr="00D4428F">
        <w:rPr>
          <w:rFonts w:cs="Arial"/>
          <w:lang w:val="en-AU" w:eastAsia="en-AU" w:bidi="ar-SA"/>
        </w:rPr>
        <w:t>Waard</w:t>
      </w:r>
      <w:proofErr w:type="spellEnd"/>
      <w:r w:rsidR="00D4428F" w:rsidRPr="00D4428F">
        <w:rPr>
          <w:rFonts w:cs="Arial"/>
          <w:lang w:val="en-AU" w:eastAsia="en-AU" w:bidi="ar-SA"/>
        </w:rPr>
        <w:t xml:space="preserve"> R</w:t>
      </w:r>
      <w:r w:rsidRPr="38221CDC">
        <w:rPr>
          <w:rFonts w:cs="Arial"/>
          <w:lang w:val="en-AU" w:eastAsia="en-AU" w:bidi="ar-SA"/>
        </w:rPr>
        <w:t xml:space="preserve"> (2007) A double-blind, placebo-controlled, pilot study of bovine lactoferrin supplementation in bottle-fed infants. J </w:t>
      </w:r>
      <w:proofErr w:type="spellStart"/>
      <w:r w:rsidRPr="38221CDC">
        <w:rPr>
          <w:rFonts w:cs="Arial"/>
          <w:lang w:val="en-AU" w:eastAsia="en-AU" w:bidi="ar-SA"/>
        </w:rPr>
        <w:t>Pediatr</w:t>
      </w:r>
      <w:proofErr w:type="spellEnd"/>
      <w:r w:rsidRPr="38221CDC">
        <w:rPr>
          <w:rFonts w:cs="Arial"/>
          <w:lang w:val="en-AU" w:eastAsia="en-AU" w:bidi="ar-SA"/>
        </w:rPr>
        <w:t xml:space="preserve"> Gastroenterol </w:t>
      </w:r>
      <w:proofErr w:type="spellStart"/>
      <w:r w:rsidRPr="38221CDC">
        <w:rPr>
          <w:rFonts w:cs="Arial"/>
          <w:lang w:val="en-AU" w:eastAsia="en-AU" w:bidi="ar-SA"/>
        </w:rPr>
        <w:t>Nutr</w:t>
      </w:r>
      <w:proofErr w:type="spellEnd"/>
      <w:r w:rsidRPr="38221CDC">
        <w:rPr>
          <w:rFonts w:cs="Arial"/>
          <w:lang w:val="en-AU" w:eastAsia="en-AU" w:bidi="ar-SA"/>
        </w:rPr>
        <w:t xml:space="preserve"> 44(2</w:t>
      </w:r>
      <w:r w:rsidR="46CC3A74" w:rsidRPr="38221CDC">
        <w:rPr>
          <w:rFonts w:cs="Arial"/>
          <w:lang w:val="en-AU" w:eastAsia="en-AU" w:bidi="ar-SA"/>
        </w:rPr>
        <w:t>):</w:t>
      </w:r>
      <w:r w:rsidRPr="38221CDC">
        <w:rPr>
          <w:rFonts w:cs="Arial"/>
          <w:lang w:val="en-AU" w:eastAsia="en-AU" w:bidi="ar-SA"/>
        </w:rPr>
        <w:t>245-251. doi:10.1097/01.mpg.0000243435.54958.68</w:t>
      </w:r>
    </w:p>
    <w:p w14:paraId="3231B8C5" w14:textId="22BFEEBC" w:rsidR="00C31DAC" w:rsidRDefault="00C31DAC" w:rsidP="00BF5A0D">
      <w:pPr>
        <w:widowControl/>
        <w:textAlignment w:val="baseline"/>
        <w:rPr>
          <w:rFonts w:cs="Arial"/>
          <w:lang w:val="en-AU" w:eastAsia="en-AU" w:bidi="ar-SA"/>
        </w:rPr>
      </w:pPr>
    </w:p>
    <w:p w14:paraId="3836565F" w14:textId="1FC248F9" w:rsidR="00C31DAC" w:rsidRDefault="00C31DAC" w:rsidP="00BF5A0D">
      <w:pPr>
        <w:widowControl/>
        <w:textAlignment w:val="baseline"/>
        <w:rPr>
          <w:rFonts w:cs="Arial"/>
          <w:lang w:val="en-AU" w:eastAsia="en-AU" w:bidi="ar-SA"/>
        </w:rPr>
      </w:pPr>
      <w:r w:rsidRPr="00C31DAC">
        <w:rPr>
          <w:rFonts w:cs="Arial"/>
          <w:lang w:val="en-AU" w:eastAsia="en-AU" w:bidi="ar-SA"/>
        </w:rPr>
        <w:t xml:space="preserve">Kitagawa H, Yoshizawa Y, Yokoyama T, Takeuchi T, </w:t>
      </w:r>
      <w:proofErr w:type="spellStart"/>
      <w:r w:rsidRPr="00C31DAC">
        <w:rPr>
          <w:rFonts w:cs="Arial"/>
          <w:lang w:val="en-AU" w:eastAsia="en-AU" w:bidi="ar-SA"/>
        </w:rPr>
        <w:t>Talukder</w:t>
      </w:r>
      <w:proofErr w:type="spellEnd"/>
      <w:r w:rsidRPr="00C31DAC">
        <w:rPr>
          <w:rFonts w:cs="Arial"/>
          <w:lang w:val="en-AU" w:eastAsia="en-AU" w:bidi="ar-SA"/>
        </w:rPr>
        <w:t xml:space="preserve"> </w:t>
      </w:r>
      <w:r>
        <w:rPr>
          <w:rFonts w:cs="Arial"/>
          <w:lang w:val="en-AU" w:eastAsia="en-AU" w:bidi="ar-SA"/>
        </w:rPr>
        <w:t xml:space="preserve">MJ, Shimizu H, Ando K, Harada E (2003) </w:t>
      </w:r>
      <w:r w:rsidRPr="00C31DAC">
        <w:rPr>
          <w:rFonts w:cs="Arial"/>
          <w:lang w:val="en-AU" w:eastAsia="en-AU" w:bidi="ar-SA"/>
        </w:rPr>
        <w:t>Persorption of bovine lactoferrin from the intestinal lumen into the systemic circulation via the portal vein and the mesenteric lymphatics in growing pigs</w:t>
      </w:r>
      <w:r>
        <w:rPr>
          <w:rFonts w:cs="Arial"/>
          <w:lang w:val="en-AU" w:eastAsia="en-AU" w:bidi="ar-SA"/>
        </w:rPr>
        <w:t xml:space="preserve">. J Vet Med Sci </w:t>
      </w:r>
      <w:r w:rsidRPr="00C31DAC">
        <w:rPr>
          <w:rFonts w:cs="Arial"/>
          <w:lang w:val="en-AU" w:eastAsia="en-AU" w:bidi="ar-SA"/>
        </w:rPr>
        <w:t>65(5):567-72</w:t>
      </w:r>
      <w:r>
        <w:rPr>
          <w:rFonts w:cs="Arial"/>
          <w:lang w:val="en-AU" w:eastAsia="en-AU" w:bidi="ar-SA"/>
        </w:rPr>
        <w:t xml:space="preserve">. </w:t>
      </w:r>
    </w:p>
    <w:p w14:paraId="6CC4C5DA" w14:textId="4BA0375F" w:rsidR="00F33BDA" w:rsidRDefault="00F33BDA" w:rsidP="00BF5A0D">
      <w:pPr>
        <w:widowControl/>
        <w:textAlignment w:val="baseline"/>
        <w:rPr>
          <w:rFonts w:cs="Arial"/>
          <w:lang w:val="en-AU" w:eastAsia="en-AU" w:bidi="ar-SA"/>
        </w:rPr>
      </w:pPr>
    </w:p>
    <w:p w14:paraId="5C790583" w14:textId="4F18474F" w:rsidR="00F33BDA" w:rsidRDefault="00F33BDA" w:rsidP="00BF5A0D">
      <w:pPr>
        <w:widowControl/>
        <w:textAlignment w:val="baseline"/>
        <w:rPr>
          <w:rFonts w:cs="Arial"/>
          <w:lang w:val="en-AU" w:eastAsia="en-AU" w:bidi="ar-SA"/>
        </w:rPr>
      </w:pPr>
      <w:r w:rsidRPr="00F33BDA">
        <w:rPr>
          <w:rFonts w:cs="Arial"/>
          <w:lang w:val="en-AU" w:eastAsia="en-AU" w:bidi="ar-SA"/>
        </w:rPr>
        <w:t xml:space="preserve">Kruger CL, </w:t>
      </w:r>
      <w:proofErr w:type="spellStart"/>
      <w:r w:rsidRPr="00F33BDA">
        <w:rPr>
          <w:rFonts w:cs="Arial"/>
          <w:lang w:val="en-AU" w:eastAsia="en-AU" w:bidi="ar-SA"/>
        </w:rPr>
        <w:t>Marano</w:t>
      </w:r>
      <w:proofErr w:type="spellEnd"/>
      <w:r w:rsidRPr="00F33BDA">
        <w:rPr>
          <w:rFonts w:cs="Arial"/>
          <w:lang w:val="en-AU" w:eastAsia="en-AU" w:bidi="ar-SA"/>
        </w:rPr>
        <w:t xml:space="preserve"> KM, Morita Y, Takada Y, Kawakami H, Kobayashi T, S</w:t>
      </w:r>
      <w:r>
        <w:rPr>
          <w:rFonts w:cs="Arial"/>
          <w:lang w:val="en-AU" w:eastAsia="en-AU" w:bidi="ar-SA"/>
        </w:rPr>
        <w:t xml:space="preserve">unaga M, Furukawa M, Kawamura K (2007) </w:t>
      </w:r>
      <w:r w:rsidRPr="00F33BDA">
        <w:rPr>
          <w:rFonts w:cs="Arial"/>
          <w:lang w:val="en-AU" w:eastAsia="en-AU" w:bidi="ar-SA"/>
        </w:rPr>
        <w:t>Safety evaluation of a milk basic protein fraction</w:t>
      </w:r>
      <w:r>
        <w:rPr>
          <w:rFonts w:cs="Arial"/>
          <w:lang w:val="en-AU" w:eastAsia="en-AU" w:bidi="ar-SA"/>
        </w:rPr>
        <w:t xml:space="preserve">. Food Chem </w:t>
      </w:r>
      <w:proofErr w:type="spellStart"/>
      <w:r>
        <w:rPr>
          <w:rFonts w:cs="Arial"/>
          <w:lang w:val="en-AU" w:eastAsia="en-AU" w:bidi="ar-SA"/>
        </w:rPr>
        <w:t>Toxicol</w:t>
      </w:r>
      <w:proofErr w:type="spellEnd"/>
      <w:r>
        <w:rPr>
          <w:rFonts w:cs="Arial"/>
          <w:lang w:val="en-AU" w:eastAsia="en-AU" w:bidi="ar-SA"/>
        </w:rPr>
        <w:t xml:space="preserve"> </w:t>
      </w:r>
      <w:r w:rsidRPr="00F33BDA">
        <w:rPr>
          <w:rFonts w:cs="Arial"/>
          <w:lang w:val="en-AU" w:eastAsia="en-AU" w:bidi="ar-SA"/>
        </w:rPr>
        <w:t>45(7):1301-7.</w:t>
      </w:r>
      <w:r>
        <w:rPr>
          <w:rFonts w:cs="Arial"/>
          <w:lang w:val="en-AU" w:eastAsia="en-AU" w:bidi="ar-SA"/>
        </w:rPr>
        <w:t xml:space="preserve"> </w:t>
      </w:r>
    </w:p>
    <w:p w14:paraId="0ED4F506" w14:textId="663C246A" w:rsidR="00C9739A" w:rsidRDefault="00C9739A" w:rsidP="00BF5A0D">
      <w:pPr>
        <w:widowControl/>
        <w:textAlignment w:val="baseline"/>
        <w:rPr>
          <w:rFonts w:cs="Arial"/>
          <w:lang w:val="en-AU" w:eastAsia="en-AU" w:bidi="ar-SA"/>
        </w:rPr>
      </w:pPr>
    </w:p>
    <w:p w14:paraId="2C4DE64D" w14:textId="197EFF03" w:rsidR="00C9739A" w:rsidRDefault="00C9739A" w:rsidP="00BF5A0D">
      <w:pPr>
        <w:widowControl/>
        <w:textAlignment w:val="baseline"/>
        <w:rPr>
          <w:rFonts w:cs="Arial"/>
          <w:lang w:val="en-AU" w:eastAsia="en-AU" w:bidi="ar-SA"/>
        </w:rPr>
      </w:pPr>
      <w:proofErr w:type="spellStart"/>
      <w:r w:rsidRPr="00C9739A">
        <w:rPr>
          <w:rFonts w:cs="Arial"/>
          <w:lang w:val="en-AU" w:eastAsia="en-AU" w:bidi="ar-SA"/>
        </w:rPr>
        <w:t>Kuwata</w:t>
      </w:r>
      <w:proofErr w:type="spellEnd"/>
      <w:r w:rsidRPr="00C9739A">
        <w:rPr>
          <w:rFonts w:cs="Arial"/>
          <w:lang w:val="en-AU" w:eastAsia="en-AU" w:bidi="ar-SA"/>
        </w:rPr>
        <w:t xml:space="preserve"> H, Yamauchi K, </w:t>
      </w:r>
      <w:proofErr w:type="spellStart"/>
      <w:r w:rsidRPr="00C9739A">
        <w:rPr>
          <w:rFonts w:cs="Arial"/>
          <w:lang w:val="en-AU" w:eastAsia="en-AU" w:bidi="ar-SA"/>
        </w:rPr>
        <w:t>Teraguchi</w:t>
      </w:r>
      <w:proofErr w:type="spellEnd"/>
      <w:r w:rsidRPr="00C9739A">
        <w:rPr>
          <w:rFonts w:cs="Arial"/>
          <w:lang w:val="en-AU" w:eastAsia="en-AU" w:bidi="ar-SA"/>
        </w:rPr>
        <w:t xml:space="preserve"> S, </w:t>
      </w:r>
      <w:proofErr w:type="spellStart"/>
      <w:r w:rsidRPr="00C9739A">
        <w:rPr>
          <w:rFonts w:cs="Arial"/>
          <w:lang w:val="en-AU" w:eastAsia="en-AU" w:bidi="ar-SA"/>
        </w:rPr>
        <w:t>Ushida</w:t>
      </w:r>
      <w:proofErr w:type="spellEnd"/>
      <w:r w:rsidRPr="00C9739A">
        <w:rPr>
          <w:rFonts w:cs="Arial"/>
          <w:lang w:val="en-AU" w:eastAsia="en-AU" w:bidi="ar-SA"/>
        </w:rPr>
        <w:t xml:space="preserve"> Y, </w:t>
      </w:r>
      <w:proofErr w:type="spellStart"/>
      <w:r w:rsidRPr="00C9739A">
        <w:rPr>
          <w:rFonts w:cs="Arial"/>
          <w:lang w:val="en-AU" w:eastAsia="en-AU" w:bidi="ar-SA"/>
        </w:rPr>
        <w:t>S</w:t>
      </w:r>
      <w:r>
        <w:rPr>
          <w:rFonts w:cs="Arial"/>
          <w:lang w:val="en-AU" w:eastAsia="en-AU" w:bidi="ar-SA"/>
        </w:rPr>
        <w:t>himokawa</w:t>
      </w:r>
      <w:proofErr w:type="spellEnd"/>
      <w:r>
        <w:rPr>
          <w:rFonts w:cs="Arial"/>
          <w:lang w:val="en-AU" w:eastAsia="en-AU" w:bidi="ar-SA"/>
        </w:rPr>
        <w:t xml:space="preserve"> Y, </w:t>
      </w:r>
      <w:proofErr w:type="spellStart"/>
      <w:r>
        <w:rPr>
          <w:rFonts w:cs="Arial"/>
          <w:lang w:val="en-AU" w:eastAsia="en-AU" w:bidi="ar-SA"/>
        </w:rPr>
        <w:t>Toida</w:t>
      </w:r>
      <w:proofErr w:type="spellEnd"/>
      <w:r>
        <w:rPr>
          <w:rFonts w:cs="Arial"/>
          <w:lang w:val="en-AU" w:eastAsia="en-AU" w:bidi="ar-SA"/>
        </w:rPr>
        <w:t xml:space="preserve"> T, </w:t>
      </w:r>
      <w:proofErr w:type="spellStart"/>
      <w:r>
        <w:rPr>
          <w:rFonts w:cs="Arial"/>
          <w:lang w:val="en-AU" w:eastAsia="en-AU" w:bidi="ar-SA"/>
        </w:rPr>
        <w:t>Hayasawa</w:t>
      </w:r>
      <w:proofErr w:type="spellEnd"/>
      <w:r>
        <w:rPr>
          <w:rFonts w:cs="Arial"/>
          <w:lang w:val="en-AU" w:eastAsia="en-AU" w:bidi="ar-SA"/>
        </w:rPr>
        <w:t xml:space="preserve"> H (2001) </w:t>
      </w:r>
      <w:r w:rsidRPr="00C9739A">
        <w:rPr>
          <w:rFonts w:cs="Arial"/>
          <w:lang w:val="en-AU" w:eastAsia="en-AU" w:bidi="ar-SA"/>
        </w:rPr>
        <w:t>Functional fragments of ingested lactoferrin are resistant to proteolytic degradation in the gastrointestinal tract of adult rats</w:t>
      </w:r>
      <w:r>
        <w:rPr>
          <w:rFonts w:cs="Arial"/>
          <w:lang w:val="en-AU" w:eastAsia="en-AU" w:bidi="ar-SA"/>
        </w:rPr>
        <w:t xml:space="preserve">. J </w:t>
      </w:r>
      <w:proofErr w:type="spellStart"/>
      <w:r>
        <w:rPr>
          <w:rFonts w:cs="Arial"/>
          <w:lang w:val="en-AU" w:eastAsia="en-AU" w:bidi="ar-SA"/>
        </w:rPr>
        <w:t>Nutr</w:t>
      </w:r>
      <w:proofErr w:type="spellEnd"/>
      <w:r>
        <w:rPr>
          <w:rFonts w:cs="Arial"/>
          <w:lang w:val="en-AU" w:eastAsia="en-AU" w:bidi="ar-SA"/>
        </w:rPr>
        <w:t xml:space="preserve"> </w:t>
      </w:r>
      <w:r w:rsidRPr="00C9739A">
        <w:rPr>
          <w:rFonts w:cs="Arial"/>
          <w:lang w:val="en-AU" w:eastAsia="en-AU" w:bidi="ar-SA"/>
        </w:rPr>
        <w:t>131(8):2121-7.</w:t>
      </w:r>
      <w:r>
        <w:rPr>
          <w:rFonts w:cs="Arial"/>
          <w:lang w:val="en-AU" w:eastAsia="en-AU" w:bidi="ar-SA"/>
        </w:rPr>
        <w:t xml:space="preserve"> </w:t>
      </w:r>
    </w:p>
    <w:p w14:paraId="6FBDCE8F" w14:textId="77777777" w:rsidR="003D14D2" w:rsidRDefault="003D14D2" w:rsidP="00BF5A0D">
      <w:pPr>
        <w:widowControl/>
        <w:textAlignment w:val="baseline"/>
        <w:rPr>
          <w:rFonts w:cs="Arial"/>
          <w:lang w:val="en-AU" w:eastAsia="en-AU" w:bidi="ar-SA"/>
        </w:rPr>
      </w:pPr>
    </w:p>
    <w:p w14:paraId="32421AB0" w14:textId="7D2B2BD8" w:rsidR="003D14D2" w:rsidRDefault="003D14D2" w:rsidP="00BF5A0D">
      <w:pPr>
        <w:widowControl/>
        <w:textAlignment w:val="baseline"/>
        <w:rPr>
          <w:rFonts w:cs="Arial"/>
          <w:lang w:val="en-AU" w:eastAsia="en-AU" w:bidi="ar-SA"/>
        </w:rPr>
      </w:pPr>
      <w:proofErr w:type="spellStart"/>
      <w:r w:rsidRPr="003D14D2">
        <w:rPr>
          <w:rFonts w:cs="Arial"/>
          <w:lang w:val="en-AU" w:eastAsia="en-AU" w:bidi="ar-SA"/>
        </w:rPr>
        <w:t>Latorre</w:t>
      </w:r>
      <w:proofErr w:type="spellEnd"/>
      <w:r w:rsidRPr="003D14D2">
        <w:rPr>
          <w:rFonts w:cs="Arial"/>
          <w:lang w:val="en-AU" w:eastAsia="en-AU" w:bidi="ar-SA"/>
        </w:rPr>
        <w:t xml:space="preserve"> D, </w:t>
      </w:r>
      <w:proofErr w:type="spellStart"/>
      <w:r w:rsidRPr="003D14D2">
        <w:rPr>
          <w:rFonts w:cs="Arial"/>
          <w:lang w:val="en-AU" w:eastAsia="en-AU" w:bidi="ar-SA"/>
        </w:rPr>
        <w:t>Berlutti</w:t>
      </w:r>
      <w:proofErr w:type="spellEnd"/>
      <w:r w:rsidRPr="003D14D2">
        <w:rPr>
          <w:rFonts w:cs="Arial"/>
          <w:lang w:val="en-AU" w:eastAsia="en-AU" w:bidi="ar-SA"/>
        </w:rPr>
        <w:t xml:space="preserve"> F</w:t>
      </w:r>
      <w:r>
        <w:rPr>
          <w:rFonts w:cs="Arial"/>
          <w:lang w:val="en-AU" w:eastAsia="en-AU" w:bidi="ar-SA"/>
        </w:rPr>
        <w:t xml:space="preserve">, </w:t>
      </w:r>
      <w:proofErr w:type="spellStart"/>
      <w:r>
        <w:rPr>
          <w:rFonts w:cs="Arial"/>
          <w:lang w:val="en-AU" w:eastAsia="en-AU" w:bidi="ar-SA"/>
        </w:rPr>
        <w:t>Valenti</w:t>
      </w:r>
      <w:proofErr w:type="spellEnd"/>
      <w:r>
        <w:rPr>
          <w:rFonts w:cs="Arial"/>
          <w:lang w:val="en-AU" w:eastAsia="en-AU" w:bidi="ar-SA"/>
        </w:rPr>
        <w:t xml:space="preserve"> P, </w:t>
      </w:r>
      <w:proofErr w:type="spellStart"/>
      <w:r>
        <w:rPr>
          <w:rFonts w:cs="Arial"/>
          <w:lang w:val="en-AU" w:eastAsia="en-AU" w:bidi="ar-SA"/>
        </w:rPr>
        <w:t>Gessani</w:t>
      </w:r>
      <w:proofErr w:type="spellEnd"/>
      <w:r>
        <w:rPr>
          <w:rFonts w:cs="Arial"/>
          <w:lang w:val="en-AU" w:eastAsia="en-AU" w:bidi="ar-SA"/>
        </w:rPr>
        <w:t xml:space="preserve"> S, </w:t>
      </w:r>
      <w:proofErr w:type="spellStart"/>
      <w:r>
        <w:rPr>
          <w:rFonts w:cs="Arial"/>
          <w:lang w:val="en-AU" w:eastAsia="en-AU" w:bidi="ar-SA"/>
        </w:rPr>
        <w:t>Puddu</w:t>
      </w:r>
      <w:proofErr w:type="spellEnd"/>
      <w:r>
        <w:rPr>
          <w:rFonts w:cs="Arial"/>
          <w:lang w:val="en-AU" w:eastAsia="en-AU" w:bidi="ar-SA"/>
        </w:rPr>
        <w:t xml:space="preserve"> P (2012) </w:t>
      </w:r>
      <w:r w:rsidR="002755D5" w:rsidRPr="002755D5">
        <w:rPr>
          <w:rFonts w:cs="Arial"/>
          <w:lang w:val="en-AU" w:eastAsia="en-AU" w:bidi="ar-SA"/>
        </w:rPr>
        <w:t>LF immunomodulatory strategies: mastering bacterial endotoxin</w:t>
      </w:r>
      <w:r w:rsidR="002755D5">
        <w:rPr>
          <w:rFonts w:cs="Arial"/>
          <w:lang w:val="en-AU" w:eastAsia="en-AU" w:bidi="ar-SA"/>
        </w:rPr>
        <w:t xml:space="preserve">. </w:t>
      </w:r>
      <w:proofErr w:type="spellStart"/>
      <w:r w:rsidR="002755D5">
        <w:rPr>
          <w:rFonts w:cs="Arial"/>
          <w:lang w:val="en-AU" w:eastAsia="en-AU" w:bidi="ar-SA"/>
        </w:rPr>
        <w:t>Biochem</w:t>
      </w:r>
      <w:proofErr w:type="spellEnd"/>
      <w:r w:rsidR="002755D5">
        <w:rPr>
          <w:rFonts w:cs="Arial"/>
          <w:lang w:val="en-AU" w:eastAsia="en-AU" w:bidi="ar-SA"/>
        </w:rPr>
        <w:t xml:space="preserve"> Cell Biol </w:t>
      </w:r>
      <w:r w:rsidR="008C4308" w:rsidRPr="00975A0A">
        <w:rPr>
          <w:rFonts w:cs="Arial"/>
          <w:lang w:val="en-AU" w:eastAsia="en-AU" w:bidi="ar-SA"/>
        </w:rPr>
        <w:t>90(3):269-78</w:t>
      </w:r>
      <w:r w:rsidR="00975A0A">
        <w:rPr>
          <w:rFonts w:cs="Arial"/>
          <w:lang w:val="en-AU" w:eastAsia="en-AU" w:bidi="ar-SA"/>
        </w:rPr>
        <w:t xml:space="preserve">. </w:t>
      </w:r>
    </w:p>
    <w:p w14:paraId="18B86B84" w14:textId="77777777" w:rsidR="00BF5A0D" w:rsidRPr="00550D44" w:rsidRDefault="00BF5A0D" w:rsidP="00384CD0">
      <w:pPr>
        <w:widowControl/>
        <w:textAlignment w:val="baseline"/>
        <w:rPr>
          <w:rFonts w:cs="Arial"/>
          <w:szCs w:val="22"/>
          <w:lang w:val="en-AU" w:eastAsia="en-AU" w:bidi="ar-SA"/>
        </w:rPr>
      </w:pPr>
    </w:p>
    <w:p w14:paraId="7E92F065" w14:textId="0A67D67A" w:rsidR="00384CD0" w:rsidRPr="00550D44" w:rsidRDefault="00384CD0" w:rsidP="00384CD0">
      <w:pPr>
        <w:widowControl/>
        <w:textAlignment w:val="baseline"/>
        <w:rPr>
          <w:rFonts w:cs="Arial"/>
          <w:szCs w:val="22"/>
          <w:lang w:val="en-AU" w:eastAsia="en-AU" w:bidi="ar-SA"/>
        </w:rPr>
      </w:pPr>
      <w:r w:rsidRPr="00550D44">
        <w:rPr>
          <w:rFonts w:cs="Arial"/>
          <w:szCs w:val="22"/>
          <w:lang w:eastAsia="en-AU" w:bidi="ar-SA"/>
        </w:rPr>
        <w:t xml:space="preserve">Lien E, Jackson J, Kuhlman C, </w:t>
      </w:r>
      <w:proofErr w:type="spellStart"/>
      <w:r w:rsidRPr="00550D44">
        <w:rPr>
          <w:rFonts w:cs="Arial"/>
          <w:szCs w:val="22"/>
          <w:lang w:eastAsia="en-AU" w:bidi="ar-SA"/>
        </w:rPr>
        <w:t>Pramuk</w:t>
      </w:r>
      <w:proofErr w:type="spellEnd"/>
      <w:r w:rsidRPr="00550D44">
        <w:rPr>
          <w:rFonts w:cs="Arial"/>
          <w:szCs w:val="22"/>
          <w:lang w:eastAsia="en-AU" w:bidi="ar-SA"/>
        </w:rPr>
        <w:t xml:space="preserve"> K, </w:t>
      </w:r>
      <w:proofErr w:type="spellStart"/>
      <w:r w:rsidRPr="00550D44">
        <w:rPr>
          <w:rFonts w:cs="Arial"/>
          <w:szCs w:val="22"/>
          <w:lang w:eastAsia="en-AU" w:bidi="ar-SA"/>
        </w:rPr>
        <w:t>Lönnerdal</w:t>
      </w:r>
      <w:proofErr w:type="spellEnd"/>
      <w:r w:rsidRPr="00550D44">
        <w:rPr>
          <w:rFonts w:cs="Arial"/>
          <w:szCs w:val="22"/>
          <w:lang w:eastAsia="en-AU" w:bidi="ar-SA"/>
        </w:rPr>
        <w:t xml:space="preserve"> B, </w:t>
      </w:r>
      <w:proofErr w:type="spellStart"/>
      <w:r w:rsidRPr="00550D44">
        <w:rPr>
          <w:rFonts w:cs="Arial"/>
          <w:szCs w:val="22"/>
          <w:lang w:eastAsia="en-AU" w:bidi="ar-SA"/>
        </w:rPr>
        <w:t>Janszen</w:t>
      </w:r>
      <w:proofErr w:type="spellEnd"/>
      <w:r w:rsidRPr="00550D44">
        <w:rPr>
          <w:rFonts w:cs="Arial"/>
          <w:szCs w:val="22"/>
          <w:lang w:eastAsia="en-AU" w:bidi="ar-SA"/>
        </w:rPr>
        <w:t xml:space="preserve"> D (2004) Variations in concentrations of lactoferrin in human milk: a nine country survey. In Protecting Infants through Human Milk (pp. 423-426). Springer, Boston, MA.</w:t>
      </w:r>
      <w:r w:rsidRPr="00550D44">
        <w:rPr>
          <w:rFonts w:cs="Arial"/>
          <w:szCs w:val="22"/>
          <w:lang w:val="en-AU" w:eastAsia="en-AU" w:bidi="ar-SA"/>
        </w:rPr>
        <w:t> </w:t>
      </w:r>
    </w:p>
    <w:p w14:paraId="661D4EFF" w14:textId="77777777" w:rsidR="00384CD0" w:rsidRPr="00550D44" w:rsidRDefault="00384CD0" w:rsidP="00384CD0">
      <w:pPr>
        <w:widowControl/>
        <w:textAlignment w:val="baseline"/>
        <w:rPr>
          <w:rFonts w:cs="Arial"/>
          <w:szCs w:val="22"/>
          <w:lang w:val="en-AU" w:eastAsia="en-AU" w:bidi="ar-SA"/>
        </w:rPr>
      </w:pPr>
      <w:r w:rsidRPr="38221CDC">
        <w:rPr>
          <w:rFonts w:cs="Arial"/>
          <w:lang w:val="en-AU" w:eastAsia="en-AU" w:bidi="ar-SA"/>
        </w:rPr>
        <w:t> </w:t>
      </w:r>
    </w:p>
    <w:p w14:paraId="761BFC5C" w14:textId="6B09851C" w:rsidR="00384CD0" w:rsidRPr="00550D44" w:rsidRDefault="38221CDC" w:rsidP="00384CD0">
      <w:pPr>
        <w:widowControl/>
        <w:textAlignment w:val="baseline"/>
      </w:pPr>
      <w:r w:rsidRPr="1BE6BE4F">
        <w:rPr>
          <w:rFonts w:eastAsia="Arial" w:cs="Arial"/>
          <w:color w:val="212121"/>
          <w:szCs w:val="22"/>
        </w:rPr>
        <w:t xml:space="preserve">Li F, Wu SS, </w:t>
      </w:r>
      <w:proofErr w:type="spellStart"/>
      <w:r w:rsidRPr="1BE6BE4F">
        <w:rPr>
          <w:rFonts w:eastAsia="Arial" w:cs="Arial"/>
          <w:color w:val="212121"/>
          <w:szCs w:val="22"/>
        </w:rPr>
        <w:t>Berseth</w:t>
      </w:r>
      <w:proofErr w:type="spellEnd"/>
      <w:r w:rsidRPr="1BE6BE4F">
        <w:rPr>
          <w:rFonts w:eastAsia="Arial" w:cs="Arial"/>
          <w:color w:val="212121"/>
          <w:szCs w:val="22"/>
        </w:rPr>
        <w:t xml:space="preserve"> CL, Harris CL, Richards JD, Wampler JL, Zhuang W, Cleghorn G, Rudolph CD, Liu B, </w:t>
      </w:r>
      <w:proofErr w:type="spellStart"/>
      <w:r w:rsidRPr="1BE6BE4F">
        <w:rPr>
          <w:rFonts w:eastAsia="Arial" w:cs="Arial"/>
          <w:color w:val="212121"/>
          <w:szCs w:val="22"/>
        </w:rPr>
        <w:t>Shaddy</w:t>
      </w:r>
      <w:proofErr w:type="spellEnd"/>
      <w:r w:rsidRPr="1BE6BE4F">
        <w:rPr>
          <w:rFonts w:eastAsia="Arial" w:cs="Arial"/>
          <w:color w:val="212121"/>
          <w:szCs w:val="22"/>
        </w:rPr>
        <w:t xml:space="preserve"> DJ, Colombo J (2019) Improved neurodevelopmental outcomes associated with bovine milk fat globule membrane and lactoferrin in infant formula: a randomized, controlled trial. J </w:t>
      </w:r>
      <w:proofErr w:type="spellStart"/>
      <w:r w:rsidRPr="1BE6BE4F">
        <w:rPr>
          <w:rFonts w:eastAsia="Arial" w:cs="Arial"/>
          <w:color w:val="212121"/>
          <w:szCs w:val="22"/>
        </w:rPr>
        <w:t>Pediatr</w:t>
      </w:r>
      <w:proofErr w:type="spellEnd"/>
      <w:r w:rsidRPr="1BE6BE4F">
        <w:rPr>
          <w:rFonts w:eastAsia="Arial" w:cs="Arial"/>
          <w:color w:val="212121"/>
          <w:szCs w:val="22"/>
        </w:rPr>
        <w:t xml:space="preserve"> 215:24-31. </w:t>
      </w:r>
      <w:proofErr w:type="spellStart"/>
      <w:r w:rsidRPr="1BE6BE4F">
        <w:rPr>
          <w:rFonts w:eastAsia="Arial" w:cs="Arial"/>
          <w:color w:val="212121"/>
          <w:szCs w:val="22"/>
        </w:rPr>
        <w:t>doi</w:t>
      </w:r>
      <w:proofErr w:type="spellEnd"/>
      <w:r w:rsidRPr="1BE6BE4F">
        <w:rPr>
          <w:rFonts w:eastAsia="Arial" w:cs="Arial"/>
          <w:color w:val="212121"/>
          <w:szCs w:val="22"/>
        </w:rPr>
        <w:t>: 10.1016/j.jpeds.2019.08.030</w:t>
      </w:r>
      <w:r w:rsidRPr="1BE6BE4F">
        <w:rPr>
          <w:rFonts w:eastAsia="Arial" w:cs="Arial"/>
          <w:szCs w:val="22"/>
        </w:rPr>
        <w:t xml:space="preserve"> </w:t>
      </w:r>
    </w:p>
    <w:p w14:paraId="58170E29" w14:textId="67E4DBB4" w:rsidR="00384CD0" w:rsidRPr="00550D44" w:rsidRDefault="00384CD0" w:rsidP="38221CDC">
      <w:pPr>
        <w:widowControl/>
        <w:textAlignment w:val="baseline"/>
        <w:rPr>
          <w:rFonts w:cs="Arial"/>
          <w:lang w:eastAsia="en-AU" w:bidi="ar-SA"/>
        </w:rPr>
      </w:pPr>
    </w:p>
    <w:p w14:paraId="0D6C73AB" w14:textId="5F907314" w:rsidR="00384CD0" w:rsidRPr="00550D44" w:rsidRDefault="00384CD0" w:rsidP="00384CD0">
      <w:pPr>
        <w:widowControl/>
        <w:textAlignment w:val="baseline"/>
        <w:rPr>
          <w:rFonts w:cs="Arial"/>
          <w:lang w:val="en-AU" w:eastAsia="en-AU" w:bidi="ar-SA"/>
        </w:rPr>
      </w:pPr>
      <w:r w:rsidRPr="38221CDC">
        <w:rPr>
          <w:rFonts w:cs="Arial"/>
          <w:lang w:eastAsia="en-AU" w:bidi="ar-SA"/>
        </w:rPr>
        <w:t xml:space="preserve">Liu L, Guo Q, Cui M, Liu J, Yang C, Li X., </w:t>
      </w:r>
      <w:r w:rsidR="004F435F">
        <w:rPr>
          <w:rFonts w:cs="Arial"/>
          <w:lang w:eastAsia="en-AU" w:bidi="ar-SA"/>
        </w:rPr>
        <w:t xml:space="preserve">Liu P, </w:t>
      </w:r>
      <w:r w:rsidRPr="38221CDC">
        <w:rPr>
          <w:rFonts w:cs="Arial"/>
          <w:lang w:eastAsia="en-AU" w:bidi="ar-SA"/>
        </w:rPr>
        <w:t>Wang, L (2022) Impact of maternal nutrition during early pregnancy and diet during lactation on lactoferrin in mature breast milk</w:t>
      </w:r>
      <w:r w:rsidR="67CB6319" w:rsidRPr="38221CDC">
        <w:rPr>
          <w:rFonts w:cs="Arial"/>
          <w:lang w:eastAsia="en-AU" w:bidi="ar-SA"/>
        </w:rPr>
        <w:t>. </w:t>
      </w:r>
      <w:r w:rsidRPr="38221CDC">
        <w:rPr>
          <w:rFonts w:cs="Arial"/>
          <w:lang w:eastAsia="en-AU" w:bidi="ar-SA"/>
        </w:rPr>
        <w:t>Nutrition</w:t>
      </w:r>
      <w:r w:rsidR="67CB6319" w:rsidRPr="38221CDC">
        <w:rPr>
          <w:rFonts w:cs="Arial"/>
          <w:lang w:eastAsia="en-AU" w:bidi="ar-SA"/>
        </w:rPr>
        <w:t> </w:t>
      </w:r>
      <w:r w:rsidRPr="38221CDC">
        <w:rPr>
          <w:rFonts w:cs="Arial"/>
          <w:lang w:eastAsia="en-AU" w:bidi="ar-SA"/>
        </w:rPr>
        <w:t>93</w:t>
      </w:r>
      <w:r w:rsidR="004F435F">
        <w:rPr>
          <w:rFonts w:cs="Arial"/>
          <w:lang w:eastAsia="en-AU" w:bidi="ar-SA"/>
        </w:rPr>
        <w:t>:</w:t>
      </w:r>
      <w:r w:rsidRPr="38221CDC">
        <w:rPr>
          <w:rFonts w:cs="Arial"/>
          <w:lang w:eastAsia="en-AU" w:bidi="ar-SA"/>
        </w:rPr>
        <w:t>111500.</w:t>
      </w:r>
      <w:r w:rsidRPr="38221CDC">
        <w:rPr>
          <w:rFonts w:cs="Arial"/>
          <w:lang w:val="en-AU" w:eastAsia="en-AU" w:bidi="ar-SA"/>
        </w:rPr>
        <w:t> </w:t>
      </w:r>
    </w:p>
    <w:p w14:paraId="37A8ACA2" w14:textId="77777777" w:rsidR="00BF5A0D" w:rsidRDefault="00BF5A0D" w:rsidP="00550D44">
      <w:pPr>
        <w:widowControl/>
        <w:textAlignment w:val="baseline"/>
        <w:rPr>
          <w:rFonts w:eastAsia="Arial" w:cs="Arial"/>
        </w:rPr>
      </w:pPr>
    </w:p>
    <w:p w14:paraId="4DC0C764" w14:textId="12636BA3" w:rsidR="00BF5A0D" w:rsidRPr="00BF5A0D" w:rsidRDefault="38221CDC" w:rsidP="00BF5A0D">
      <w:pPr>
        <w:widowControl/>
        <w:textAlignment w:val="baseline"/>
      </w:pPr>
      <w:proofErr w:type="spellStart"/>
      <w:r w:rsidRPr="1BE6BE4F">
        <w:rPr>
          <w:rFonts w:eastAsia="Arial" w:cs="Arial"/>
          <w:color w:val="333333"/>
          <w:szCs w:val="22"/>
        </w:rPr>
        <w:t>Lönnerdal</w:t>
      </w:r>
      <w:proofErr w:type="spellEnd"/>
      <w:r w:rsidRPr="1BE6BE4F">
        <w:rPr>
          <w:rFonts w:eastAsia="Arial" w:cs="Arial"/>
          <w:color w:val="333333"/>
          <w:szCs w:val="22"/>
        </w:rPr>
        <w:t xml:space="preserve"> B, </w:t>
      </w:r>
      <w:proofErr w:type="spellStart"/>
      <w:r w:rsidRPr="1BE6BE4F">
        <w:rPr>
          <w:rFonts w:eastAsia="Arial" w:cs="Arial"/>
          <w:color w:val="333333"/>
          <w:szCs w:val="22"/>
        </w:rPr>
        <w:t>Hernell</w:t>
      </w:r>
      <w:proofErr w:type="spellEnd"/>
      <w:r w:rsidRPr="1BE6BE4F">
        <w:rPr>
          <w:rFonts w:eastAsia="Arial" w:cs="Arial"/>
          <w:color w:val="333333"/>
          <w:szCs w:val="22"/>
        </w:rPr>
        <w:t xml:space="preserve"> O (1994) Iron, zinc, copper and selenium status of breast-fed infants and infants fed trace element fortified milk-based infant formula. Acta </w:t>
      </w:r>
      <w:proofErr w:type="spellStart"/>
      <w:r w:rsidRPr="1BE6BE4F">
        <w:rPr>
          <w:rFonts w:eastAsia="Arial" w:cs="Arial"/>
          <w:color w:val="333333"/>
          <w:szCs w:val="22"/>
        </w:rPr>
        <w:t>Paediatr</w:t>
      </w:r>
      <w:proofErr w:type="spellEnd"/>
      <w:r w:rsidRPr="1BE6BE4F">
        <w:rPr>
          <w:rFonts w:eastAsia="Arial" w:cs="Arial"/>
          <w:color w:val="333333"/>
          <w:szCs w:val="22"/>
        </w:rPr>
        <w:t xml:space="preserve"> 83(4):367-373. </w:t>
      </w:r>
      <w:proofErr w:type="spellStart"/>
      <w:r w:rsidRPr="1BE6BE4F">
        <w:rPr>
          <w:rFonts w:eastAsia="Arial" w:cs="Arial"/>
          <w:color w:val="333333"/>
          <w:szCs w:val="22"/>
        </w:rPr>
        <w:t>doi</w:t>
      </w:r>
      <w:proofErr w:type="spellEnd"/>
      <w:r w:rsidRPr="1BE6BE4F">
        <w:rPr>
          <w:rFonts w:eastAsia="Arial" w:cs="Arial"/>
          <w:color w:val="333333"/>
          <w:szCs w:val="22"/>
        </w:rPr>
        <w:t>: 10.1111/j.1651-2227.1994.tb18121.x.</w:t>
      </w:r>
      <w:r w:rsidRPr="1BE6BE4F">
        <w:rPr>
          <w:rFonts w:eastAsia="Arial" w:cs="Arial"/>
          <w:szCs w:val="22"/>
        </w:rPr>
        <w:t xml:space="preserve"> </w:t>
      </w:r>
    </w:p>
    <w:p w14:paraId="51719DDF" w14:textId="4D15BD3B" w:rsidR="00BF5A0D" w:rsidRPr="00BF5A0D" w:rsidRDefault="00BF5A0D" w:rsidP="38221CDC">
      <w:pPr>
        <w:widowControl/>
        <w:textAlignment w:val="baseline"/>
        <w:rPr>
          <w:rFonts w:eastAsia="Arial" w:cs="Arial"/>
        </w:rPr>
      </w:pPr>
    </w:p>
    <w:p w14:paraId="683E3A5F" w14:textId="1053DB1F" w:rsidR="00BF5A0D" w:rsidRPr="00BF5A0D" w:rsidRDefault="00BF5A0D" w:rsidP="00BF5A0D">
      <w:pPr>
        <w:widowControl/>
        <w:textAlignment w:val="baseline"/>
        <w:rPr>
          <w:rFonts w:eastAsia="Arial" w:cs="Arial"/>
        </w:rPr>
      </w:pPr>
      <w:proofErr w:type="spellStart"/>
      <w:r w:rsidRPr="00BF5A0D">
        <w:rPr>
          <w:rFonts w:eastAsia="Arial" w:cs="Arial"/>
        </w:rPr>
        <w:t>Lönnerdal</w:t>
      </w:r>
      <w:proofErr w:type="spellEnd"/>
      <w:r w:rsidRPr="00BF5A0D">
        <w:rPr>
          <w:rFonts w:eastAsia="Arial" w:cs="Arial"/>
        </w:rPr>
        <w:t xml:space="preserve"> B, Du X, Jian R (2020) Biological activities of commercial bovine lactoferrin sources. </w:t>
      </w:r>
      <w:proofErr w:type="spellStart"/>
      <w:r w:rsidRPr="00BF5A0D">
        <w:rPr>
          <w:rFonts w:eastAsia="Arial" w:cs="Arial"/>
        </w:rPr>
        <w:t>Biochem</w:t>
      </w:r>
      <w:proofErr w:type="spellEnd"/>
      <w:r w:rsidRPr="00BF5A0D">
        <w:rPr>
          <w:rFonts w:eastAsia="Arial" w:cs="Arial"/>
        </w:rPr>
        <w:t xml:space="preserve"> Cell </w:t>
      </w:r>
      <w:proofErr w:type="spellStart"/>
      <w:r w:rsidRPr="00BF5A0D">
        <w:rPr>
          <w:rFonts w:eastAsia="Arial" w:cs="Arial"/>
        </w:rPr>
        <w:t>Biol</w:t>
      </w:r>
      <w:proofErr w:type="spellEnd"/>
      <w:r w:rsidRPr="00BF5A0D">
        <w:rPr>
          <w:rFonts w:eastAsia="Arial" w:cs="Arial"/>
        </w:rPr>
        <w:t xml:space="preserve"> 99(1</w:t>
      </w:r>
      <w:r w:rsidR="004F435F" w:rsidRPr="00BF5A0D">
        <w:rPr>
          <w:rFonts w:eastAsia="Arial" w:cs="Arial"/>
        </w:rPr>
        <w:t>)</w:t>
      </w:r>
      <w:r w:rsidR="004F435F">
        <w:rPr>
          <w:rFonts w:eastAsia="Arial" w:cs="Arial"/>
        </w:rPr>
        <w:t>:</w:t>
      </w:r>
      <w:r w:rsidRPr="00BF5A0D">
        <w:rPr>
          <w:rFonts w:eastAsia="Arial" w:cs="Arial"/>
        </w:rPr>
        <w:t xml:space="preserve">35-46. </w:t>
      </w:r>
    </w:p>
    <w:p w14:paraId="365241FA" w14:textId="77777777" w:rsidR="00BF5A0D" w:rsidRPr="00BF5A0D" w:rsidRDefault="00BF5A0D" w:rsidP="00BF5A0D">
      <w:pPr>
        <w:widowControl/>
        <w:textAlignment w:val="baseline"/>
        <w:rPr>
          <w:rFonts w:eastAsia="Arial" w:cs="Arial"/>
        </w:rPr>
      </w:pPr>
    </w:p>
    <w:p w14:paraId="72F0B8C6" w14:textId="776F4D98" w:rsidR="00BF5A0D" w:rsidRDefault="00BF5A0D" w:rsidP="00BF5A0D">
      <w:pPr>
        <w:widowControl/>
        <w:textAlignment w:val="baseline"/>
        <w:rPr>
          <w:rFonts w:eastAsia="Arial" w:cs="Arial"/>
        </w:rPr>
      </w:pPr>
      <w:proofErr w:type="spellStart"/>
      <w:r w:rsidRPr="00BF5A0D">
        <w:rPr>
          <w:rFonts w:eastAsia="Arial" w:cs="Arial"/>
        </w:rPr>
        <w:t>Lönnerdal</w:t>
      </w:r>
      <w:proofErr w:type="spellEnd"/>
      <w:r w:rsidRPr="00BF5A0D">
        <w:rPr>
          <w:rFonts w:eastAsia="Arial" w:cs="Arial"/>
        </w:rPr>
        <w:t xml:space="preserve"> B, Jiang R, Du X (2011) Bovine lactoferrin can be taken up by the human intestinal lactoferrin receptor and exert bioactivities. J </w:t>
      </w:r>
      <w:proofErr w:type="spellStart"/>
      <w:r w:rsidRPr="00BF5A0D">
        <w:rPr>
          <w:rFonts w:eastAsia="Arial" w:cs="Arial"/>
        </w:rPr>
        <w:t>Pediatr</w:t>
      </w:r>
      <w:proofErr w:type="spellEnd"/>
      <w:r w:rsidRPr="00BF5A0D">
        <w:rPr>
          <w:rFonts w:eastAsia="Arial" w:cs="Arial"/>
        </w:rPr>
        <w:t xml:space="preserve"> Gastroenterol </w:t>
      </w:r>
      <w:proofErr w:type="spellStart"/>
      <w:r w:rsidRPr="00BF5A0D">
        <w:rPr>
          <w:rFonts w:eastAsia="Arial" w:cs="Arial"/>
        </w:rPr>
        <w:t>Nutr</w:t>
      </w:r>
      <w:proofErr w:type="spellEnd"/>
      <w:r w:rsidRPr="00BF5A0D">
        <w:rPr>
          <w:rFonts w:eastAsia="Arial" w:cs="Arial"/>
        </w:rPr>
        <w:t>, 53(6</w:t>
      </w:r>
      <w:r w:rsidR="004F435F" w:rsidRPr="00BF5A0D">
        <w:rPr>
          <w:rFonts w:eastAsia="Arial" w:cs="Arial"/>
        </w:rPr>
        <w:t>)</w:t>
      </w:r>
      <w:r w:rsidR="004F435F">
        <w:rPr>
          <w:rFonts w:eastAsia="Arial" w:cs="Arial"/>
        </w:rPr>
        <w:t>:</w:t>
      </w:r>
      <w:r w:rsidRPr="00BF5A0D">
        <w:rPr>
          <w:rFonts w:eastAsia="Arial" w:cs="Arial"/>
        </w:rPr>
        <w:t>606-614. doi:10.1097/MPG.0b013e318230a419</w:t>
      </w:r>
    </w:p>
    <w:p w14:paraId="50438796" w14:textId="77777777" w:rsidR="00BF5A0D" w:rsidRDefault="00BF5A0D" w:rsidP="00550D44">
      <w:pPr>
        <w:widowControl/>
        <w:textAlignment w:val="baseline"/>
        <w:rPr>
          <w:rFonts w:eastAsia="Arial" w:cs="Arial"/>
        </w:rPr>
      </w:pPr>
    </w:p>
    <w:p w14:paraId="6039A029" w14:textId="0400AFA4" w:rsidR="00550D44" w:rsidRDefault="00550D44" w:rsidP="00550D44">
      <w:pPr>
        <w:rPr>
          <w:rFonts w:eastAsia="Arial" w:cs="Arial"/>
        </w:rPr>
      </w:pPr>
      <w:r w:rsidRPr="004E2DDA">
        <w:rPr>
          <w:rFonts w:eastAsia="Arial" w:cs="Arial"/>
        </w:rPr>
        <w:t xml:space="preserve">Lu L, </w:t>
      </w:r>
      <w:proofErr w:type="spellStart"/>
      <w:r w:rsidRPr="004E2DDA">
        <w:rPr>
          <w:rFonts w:eastAsia="Arial" w:cs="Arial"/>
        </w:rPr>
        <w:t>Hangoc</w:t>
      </w:r>
      <w:proofErr w:type="spellEnd"/>
      <w:r w:rsidRPr="004E2DDA">
        <w:rPr>
          <w:rFonts w:eastAsia="Arial" w:cs="Arial"/>
        </w:rPr>
        <w:t xml:space="preserve"> G, </w:t>
      </w:r>
      <w:proofErr w:type="spellStart"/>
      <w:r w:rsidRPr="004E2DDA">
        <w:rPr>
          <w:rFonts w:eastAsia="Arial" w:cs="Arial"/>
        </w:rPr>
        <w:t>Oliff</w:t>
      </w:r>
      <w:proofErr w:type="spellEnd"/>
      <w:r w:rsidRPr="004E2DDA">
        <w:rPr>
          <w:rFonts w:eastAsia="Arial" w:cs="Arial"/>
        </w:rPr>
        <w:t xml:space="preserve"> A, Chen LT, Shen RN, </w:t>
      </w:r>
      <w:proofErr w:type="spellStart"/>
      <w:r w:rsidRPr="004E2DDA">
        <w:rPr>
          <w:rFonts w:eastAsia="Arial" w:cs="Arial"/>
        </w:rPr>
        <w:t>Broxmeyer</w:t>
      </w:r>
      <w:proofErr w:type="spellEnd"/>
      <w:r w:rsidRPr="004E2DDA">
        <w:rPr>
          <w:rFonts w:eastAsia="Arial" w:cs="Arial"/>
        </w:rPr>
        <w:t xml:space="preserve"> HE</w:t>
      </w:r>
      <w:r>
        <w:rPr>
          <w:rFonts w:eastAsia="Arial" w:cs="Arial"/>
        </w:rPr>
        <w:t xml:space="preserve"> (1987)</w:t>
      </w:r>
      <w:r w:rsidRPr="004E2DDA">
        <w:rPr>
          <w:rFonts w:eastAsia="Arial" w:cs="Arial"/>
        </w:rPr>
        <w:t xml:space="preserve"> Protective influence of lactoferrin on mice infected with the </w:t>
      </w:r>
      <w:proofErr w:type="spellStart"/>
      <w:r w:rsidRPr="004E2DDA">
        <w:rPr>
          <w:rFonts w:eastAsia="Arial" w:cs="Arial"/>
        </w:rPr>
        <w:t>polycythemia</w:t>
      </w:r>
      <w:proofErr w:type="spellEnd"/>
      <w:r w:rsidRPr="004E2DDA">
        <w:rPr>
          <w:rFonts w:eastAsia="Arial" w:cs="Arial"/>
        </w:rPr>
        <w:t>-inducing strain of Friend virus complex. Cancer Res 47(15):4184-</w:t>
      </w:r>
      <w:r>
        <w:rPr>
          <w:rFonts w:eastAsia="Arial" w:cs="Arial"/>
        </w:rPr>
        <w:t>418</w:t>
      </w:r>
      <w:r w:rsidRPr="004E2DDA">
        <w:rPr>
          <w:rFonts w:eastAsia="Arial" w:cs="Arial"/>
        </w:rPr>
        <w:t>8.</w:t>
      </w:r>
    </w:p>
    <w:p w14:paraId="2220F543" w14:textId="77777777" w:rsidR="00550D44" w:rsidRDefault="00550D44" w:rsidP="00384CD0">
      <w:pPr>
        <w:widowControl/>
        <w:textAlignment w:val="baseline"/>
        <w:rPr>
          <w:rFonts w:cs="Arial"/>
          <w:szCs w:val="22"/>
          <w:lang w:val="en-AU" w:eastAsia="en-AU" w:bidi="ar-SA"/>
        </w:rPr>
      </w:pPr>
    </w:p>
    <w:p w14:paraId="362DB574" w14:textId="295EDDF4" w:rsidR="00550D44" w:rsidRDefault="00550D44" w:rsidP="00550D44">
      <w:pPr>
        <w:rPr>
          <w:rFonts w:eastAsia="Arial" w:cs="Arial"/>
        </w:rPr>
      </w:pPr>
      <w:r w:rsidRPr="004E2DDA">
        <w:rPr>
          <w:rFonts w:eastAsia="Arial" w:cs="Arial"/>
        </w:rPr>
        <w:t>Lu L, Shen RN, Zhou SZ, Srivastava C, Harrington M, Miyazawa K, Wu B, Li</w:t>
      </w:r>
      <w:r>
        <w:rPr>
          <w:rFonts w:eastAsia="Arial" w:cs="Arial"/>
        </w:rPr>
        <w:t xml:space="preserve">n ZH, </w:t>
      </w:r>
      <w:proofErr w:type="spellStart"/>
      <w:r>
        <w:rPr>
          <w:rFonts w:eastAsia="Arial" w:cs="Arial"/>
        </w:rPr>
        <w:t>Ruscetti</w:t>
      </w:r>
      <w:proofErr w:type="spellEnd"/>
      <w:r>
        <w:rPr>
          <w:rFonts w:eastAsia="Arial" w:cs="Arial"/>
        </w:rPr>
        <w:t xml:space="preserve"> S, </w:t>
      </w:r>
      <w:proofErr w:type="spellStart"/>
      <w:r>
        <w:rPr>
          <w:rFonts w:eastAsia="Arial" w:cs="Arial"/>
        </w:rPr>
        <w:t>Broxmeyer</w:t>
      </w:r>
      <w:proofErr w:type="spellEnd"/>
      <w:r>
        <w:rPr>
          <w:rFonts w:eastAsia="Arial" w:cs="Arial"/>
        </w:rPr>
        <w:t xml:space="preserve"> HE (1991) </w:t>
      </w:r>
      <w:r w:rsidRPr="004E2DDA">
        <w:rPr>
          <w:rFonts w:eastAsia="Arial" w:cs="Arial"/>
        </w:rPr>
        <w:t xml:space="preserve">Synergistic effect of human lactoferrin and recombinant murine interferon-gamma on disease progression in mice infected with the </w:t>
      </w:r>
      <w:proofErr w:type="spellStart"/>
      <w:r w:rsidRPr="004E2DDA">
        <w:rPr>
          <w:rFonts w:eastAsia="Arial" w:cs="Arial"/>
        </w:rPr>
        <w:t>polycythemia</w:t>
      </w:r>
      <w:proofErr w:type="spellEnd"/>
      <w:r w:rsidRPr="004E2DDA">
        <w:rPr>
          <w:rFonts w:eastAsia="Arial" w:cs="Arial"/>
        </w:rPr>
        <w:t>-inducing strain of the Friend vir</w:t>
      </w:r>
      <w:r>
        <w:rPr>
          <w:rFonts w:eastAsia="Arial" w:cs="Arial"/>
        </w:rPr>
        <w:t xml:space="preserve">us complex. Int J </w:t>
      </w:r>
      <w:proofErr w:type="spellStart"/>
      <w:r>
        <w:rPr>
          <w:rFonts w:eastAsia="Arial" w:cs="Arial"/>
        </w:rPr>
        <w:t>Hematol</w:t>
      </w:r>
      <w:proofErr w:type="spellEnd"/>
      <w:r>
        <w:rPr>
          <w:rFonts w:eastAsia="Arial" w:cs="Arial"/>
        </w:rPr>
        <w:t xml:space="preserve"> </w:t>
      </w:r>
      <w:r w:rsidRPr="004E2DDA">
        <w:rPr>
          <w:rFonts w:eastAsia="Arial" w:cs="Arial"/>
        </w:rPr>
        <w:t>54(2):117-24.</w:t>
      </w:r>
    </w:p>
    <w:p w14:paraId="283EED4C" w14:textId="77777777" w:rsidR="00550D44" w:rsidRDefault="00550D44" w:rsidP="00550D44">
      <w:pPr>
        <w:rPr>
          <w:rFonts w:eastAsia="Arial" w:cs="Arial"/>
        </w:rPr>
      </w:pPr>
    </w:p>
    <w:p w14:paraId="48963E5E" w14:textId="771D23F2" w:rsidR="00384CD0" w:rsidRPr="00550D44" w:rsidRDefault="38221CDC" w:rsidP="00384CD0">
      <w:pPr>
        <w:widowControl/>
        <w:textAlignment w:val="baseline"/>
        <w:rPr>
          <w:rFonts w:eastAsia="Arial"/>
        </w:rPr>
      </w:pPr>
      <w:proofErr w:type="spellStart"/>
      <w:r w:rsidRPr="1BE6BE4F">
        <w:rPr>
          <w:rFonts w:eastAsia="Arial" w:cs="Arial"/>
          <w:color w:val="212121"/>
          <w:szCs w:val="22"/>
        </w:rPr>
        <w:t>Majka</w:t>
      </w:r>
      <w:proofErr w:type="spellEnd"/>
      <w:r w:rsidRPr="1BE6BE4F">
        <w:rPr>
          <w:rFonts w:eastAsia="Arial" w:cs="Arial"/>
          <w:color w:val="212121"/>
          <w:szCs w:val="22"/>
        </w:rPr>
        <w:t xml:space="preserve"> G, </w:t>
      </w:r>
      <w:proofErr w:type="spellStart"/>
      <w:r w:rsidRPr="1BE6BE4F">
        <w:rPr>
          <w:rFonts w:eastAsia="Arial" w:cs="Arial"/>
          <w:color w:val="212121"/>
          <w:szCs w:val="22"/>
        </w:rPr>
        <w:t>Pilarczyk</w:t>
      </w:r>
      <w:proofErr w:type="spellEnd"/>
      <w:r w:rsidRPr="1BE6BE4F">
        <w:rPr>
          <w:rFonts w:eastAsia="Arial" w:cs="Arial"/>
          <w:color w:val="212121"/>
          <w:szCs w:val="22"/>
        </w:rPr>
        <w:t xml:space="preserve">-Zurek M, </w:t>
      </w:r>
      <w:proofErr w:type="spellStart"/>
      <w:r w:rsidRPr="1BE6BE4F">
        <w:rPr>
          <w:rFonts w:eastAsia="Arial" w:cs="Arial"/>
          <w:color w:val="212121"/>
          <w:szCs w:val="22"/>
        </w:rPr>
        <w:t>Baranowska</w:t>
      </w:r>
      <w:proofErr w:type="spellEnd"/>
      <w:r w:rsidRPr="1BE6BE4F">
        <w:rPr>
          <w:rFonts w:eastAsia="Arial" w:cs="Arial"/>
          <w:color w:val="212121"/>
          <w:szCs w:val="22"/>
        </w:rPr>
        <w:t xml:space="preserve"> A, </w:t>
      </w:r>
      <w:proofErr w:type="spellStart"/>
      <w:r w:rsidRPr="1BE6BE4F">
        <w:rPr>
          <w:rFonts w:eastAsia="Arial" w:cs="Arial"/>
          <w:color w:val="212121"/>
          <w:szCs w:val="22"/>
        </w:rPr>
        <w:t>Skowron</w:t>
      </w:r>
      <w:proofErr w:type="spellEnd"/>
      <w:r w:rsidRPr="1BE6BE4F">
        <w:rPr>
          <w:rFonts w:eastAsia="Arial" w:cs="Arial"/>
          <w:color w:val="212121"/>
          <w:szCs w:val="22"/>
        </w:rPr>
        <w:t xml:space="preserve"> B, Strus M (2020) Lactoferrin metal saturation-which form is the best for neonatal nutrition? Nutrients 12(11):3340. </w:t>
      </w:r>
      <w:proofErr w:type="spellStart"/>
      <w:r w:rsidRPr="1BE6BE4F">
        <w:rPr>
          <w:rFonts w:eastAsia="Arial" w:cs="Arial"/>
          <w:color w:val="212121"/>
          <w:szCs w:val="22"/>
        </w:rPr>
        <w:t>doi</w:t>
      </w:r>
      <w:proofErr w:type="spellEnd"/>
      <w:r w:rsidRPr="1BE6BE4F">
        <w:rPr>
          <w:rFonts w:eastAsia="Arial" w:cs="Arial"/>
          <w:color w:val="212121"/>
          <w:szCs w:val="22"/>
        </w:rPr>
        <w:t>: 10.3390/nu12113340</w:t>
      </w:r>
      <w:r w:rsidRPr="1BE6BE4F">
        <w:rPr>
          <w:rFonts w:eastAsia="Arial" w:cs="Arial"/>
          <w:szCs w:val="22"/>
        </w:rPr>
        <w:t xml:space="preserve"> </w:t>
      </w:r>
    </w:p>
    <w:p w14:paraId="118E5F5F" w14:textId="5DDCAD82" w:rsidR="00C91C85" w:rsidRDefault="00C91C85" w:rsidP="00384CD0">
      <w:pPr>
        <w:widowControl/>
        <w:textAlignment w:val="baseline"/>
      </w:pPr>
    </w:p>
    <w:p w14:paraId="75F9425E" w14:textId="09EFBFCE" w:rsidR="00C91C85" w:rsidRDefault="00C91C85" w:rsidP="00384CD0">
      <w:pPr>
        <w:widowControl/>
        <w:textAlignment w:val="baseline"/>
      </w:pPr>
      <w:r w:rsidRPr="00C91C85">
        <w:t xml:space="preserve">Manzoni P, Meyer M, </w:t>
      </w:r>
      <w:proofErr w:type="spellStart"/>
      <w:r w:rsidRPr="00C91C85">
        <w:t>Stolfi</w:t>
      </w:r>
      <w:proofErr w:type="spellEnd"/>
      <w:r w:rsidRPr="00C91C85">
        <w:t xml:space="preserve"> I, Rinaldi M, </w:t>
      </w:r>
      <w:proofErr w:type="spellStart"/>
      <w:r w:rsidRPr="00C91C85">
        <w:t>Cattani</w:t>
      </w:r>
      <w:proofErr w:type="spellEnd"/>
      <w:r w:rsidRPr="00C91C85">
        <w:t xml:space="preserve"> S, </w:t>
      </w:r>
      <w:proofErr w:type="spellStart"/>
      <w:r w:rsidRPr="00C91C85">
        <w:t>Pugni</w:t>
      </w:r>
      <w:proofErr w:type="spellEnd"/>
      <w:r w:rsidRPr="00C91C85">
        <w:t xml:space="preserve"> L, Romeo MG, Messner H, </w:t>
      </w:r>
      <w:proofErr w:type="spellStart"/>
      <w:r w:rsidRPr="00C91C85">
        <w:t>Decembrino</w:t>
      </w:r>
      <w:proofErr w:type="spellEnd"/>
      <w:r w:rsidRPr="00C91C85">
        <w:t xml:space="preserve"> L, </w:t>
      </w:r>
      <w:proofErr w:type="spellStart"/>
      <w:r w:rsidRPr="00C91C85">
        <w:t>Laforgia</w:t>
      </w:r>
      <w:proofErr w:type="spellEnd"/>
      <w:r w:rsidRPr="00C91C85">
        <w:t xml:space="preserve"> N, </w:t>
      </w:r>
      <w:proofErr w:type="spellStart"/>
      <w:r w:rsidRPr="00C91C85">
        <w:t>Vagnarelli</w:t>
      </w:r>
      <w:proofErr w:type="spellEnd"/>
      <w:r w:rsidRPr="00C91C85">
        <w:t xml:space="preserve"> F, Memo L, </w:t>
      </w:r>
      <w:proofErr w:type="spellStart"/>
      <w:r w:rsidRPr="00C91C85">
        <w:t>Bordignon</w:t>
      </w:r>
      <w:proofErr w:type="spellEnd"/>
      <w:r w:rsidRPr="00C91C85">
        <w:t xml:space="preserve"> L, Maule M, Gallo E, Mostert M, </w:t>
      </w:r>
      <w:proofErr w:type="spellStart"/>
      <w:r w:rsidRPr="00C91C85">
        <w:t>Quercia</w:t>
      </w:r>
      <w:proofErr w:type="spellEnd"/>
      <w:r w:rsidRPr="00C91C85">
        <w:t xml:space="preserve"> M, </w:t>
      </w:r>
      <w:proofErr w:type="spellStart"/>
      <w:r w:rsidRPr="00C91C85">
        <w:t>Bollani</w:t>
      </w:r>
      <w:proofErr w:type="spellEnd"/>
      <w:r w:rsidRPr="00C91C85">
        <w:t xml:space="preserve"> L, </w:t>
      </w:r>
      <w:proofErr w:type="spellStart"/>
      <w:r w:rsidRPr="00C91C85">
        <w:t>Pedicino</w:t>
      </w:r>
      <w:proofErr w:type="spellEnd"/>
      <w:r w:rsidRPr="00C91C85">
        <w:t xml:space="preserve"> R, </w:t>
      </w:r>
      <w:proofErr w:type="spellStart"/>
      <w:r w:rsidRPr="00C91C85">
        <w:t>Renzullo</w:t>
      </w:r>
      <w:proofErr w:type="spellEnd"/>
      <w:r w:rsidRPr="00C91C85">
        <w:t xml:space="preserve"> L, Betta P, Ferrari F, Alexander T, </w:t>
      </w:r>
      <w:proofErr w:type="spellStart"/>
      <w:r w:rsidRPr="00C91C85">
        <w:t>Magaldi</w:t>
      </w:r>
      <w:proofErr w:type="spellEnd"/>
      <w:r w:rsidRPr="00C91C85">
        <w:t xml:space="preserve"> R</w:t>
      </w:r>
      <w:r>
        <w:t xml:space="preserve">, Farina D, </w:t>
      </w:r>
      <w:proofErr w:type="spellStart"/>
      <w:r>
        <w:t>Mosca</w:t>
      </w:r>
      <w:proofErr w:type="spellEnd"/>
      <w:r>
        <w:t xml:space="preserve"> F, </w:t>
      </w:r>
      <w:proofErr w:type="spellStart"/>
      <w:r>
        <w:t>Stronati</w:t>
      </w:r>
      <w:proofErr w:type="spellEnd"/>
      <w:r>
        <w:t xml:space="preserve"> M (2014) </w:t>
      </w:r>
      <w:r w:rsidRPr="00C91C85">
        <w:t>Bovine lactoferrin supplementation for prevention of necrotizing enterocolitis in very-low-birth-weight neonates: a randomized clinical trial</w:t>
      </w:r>
      <w:r>
        <w:t xml:space="preserve">. Early Hum Dev </w:t>
      </w:r>
      <w:r w:rsidRPr="00C91C85">
        <w:t xml:space="preserve">90 </w:t>
      </w:r>
      <w:proofErr w:type="spellStart"/>
      <w:r w:rsidRPr="00C91C85">
        <w:t>Suppl</w:t>
      </w:r>
      <w:proofErr w:type="spellEnd"/>
      <w:r w:rsidRPr="00C91C85">
        <w:t xml:space="preserve"> 1:S60-5.</w:t>
      </w:r>
      <w:r>
        <w:t xml:space="preserve"> </w:t>
      </w:r>
    </w:p>
    <w:p w14:paraId="4D9DEF77" w14:textId="466BC42E" w:rsidR="00C91C85" w:rsidRDefault="00C91C85" w:rsidP="00384CD0">
      <w:pPr>
        <w:widowControl/>
        <w:textAlignment w:val="baseline"/>
      </w:pPr>
    </w:p>
    <w:p w14:paraId="2F51EE95" w14:textId="33AA3E9F" w:rsidR="00C91C85" w:rsidRPr="00550D44" w:rsidRDefault="00C91C85" w:rsidP="00384CD0">
      <w:pPr>
        <w:widowControl/>
        <w:textAlignment w:val="baseline"/>
      </w:pPr>
      <w:r w:rsidRPr="00C91C85">
        <w:t xml:space="preserve">Manzoni P, Rinaldi M, </w:t>
      </w:r>
      <w:proofErr w:type="spellStart"/>
      <w:r w:rsidRPr="00C91C85">
        <w:t>Cattani</w:t>
      </w:r>
      <w:proofErr w:type="spellEnd"/>
      <w:r w:rsidRPr="00C91C85">
        <w:t xml:space="preserve"> S, </w:t>
      </w:r>
      <w:proofErr w:type="spellStart"/>
      <w:r w:rsidRPr="00C91C85">
        <w:t>Pugni</w:t>
      </w:r>
      <w:proofErr w:type="spellEnd"/>
      <w:r w:rsidRPr="00C91C85">
        <w:t xml:space="preserve"> L, Romeo MG, Messner H, </w:t>
      </w:r>
      <w:proofErr w:type="spellStart"/>
      <w:r w:rsidRPr="00C91C85">
        <w:t>Stolfi</w:t>
      </w:r>
      <w:proofErr w:type="spellEnd"/>
      <w:r w:rsidRPr="00C91C85">
        <w:t xml:space="preserve"> I, </w:t>
      </w:r>
      <w:proofErr w:type="spellStart"/>
      <w:r w:rsidRPr="00C91C85">
        <w:t>Decembrino</w:t>
      </w:r>
      <w:proofErr w:type="spellEnd"/>
      <w:r w:rsidRPr="00C91C85">
        <w:t xml:space="preserve"> L, </w:t>
      </w:r>
      <w:proofErr w:type="spellStart"/>
      <w:r w:rsidRPr="00C91C85">
        <w:t>Laforgia</w:t>
      </w:r>
      <w:proofErr w:type="spellEnd"/>
      <w:r w:rsidRPr="00C91C85">
        <w:t xml:space="preserve"> N, </w:t>
      </w:r>
      <w:proofErr w:type="spellStart"/>
      <w:r w:rsidRPr="00C91C85">
        <w:t>Vagnarelli</w:t>
      </w:r>
      <w:proofErr w:type="spellEnd"/>
      <w:r w:rsidRPr="00C91C85">
        <w:t xml:space="preserve"> F, Memo L, </w:t>
      </w:r>
      <w:proofErr w:type="spellStart"/>
      <w:r w:rsidRPr="00C91C85">
        <w:t>Bordignon</w:t>
      </w:r>
      <w:proofErr w:type="spellEnd"/>
      <w:r w:rsidRPr="00C91C85">
        <w:t xml:space="preserve"> L, Saia OS, Maule M, Gallo E, Mostert M, Magnani C, </w:t>
      </w:r>
      <w:proofErr w:type="spellStart"/>
      <w:r w:rsidRPr="00C91C85">
        <w:t>Quercia</w:t>
      </w:r>
      <w:proofErr w:type="spellEnd"/>
      <w:r w:rsidRPr="00C91C85">
        <w:t xml:space="preserve"> M, </w:t>
      </w:r>
      <w:proofErr w:type="spellStart"/>
      <w:r w:rsidRPr="00C91C85">
        <w:t>Bollani</w:t>
      </w:r>
      <w:proofErr w:type="spellEnd"/>
      <w:r w:rsidRPr="00C91C85">
        <w:t xml:space="preserve"> L, </w:t>
      </w:r>
      <w:proofErr w:type="spellStart"/>
      <w:r w:rsidRPr="00C91C85">
        <w:t>Pedicino</w:t>
      </w:r>
      <w:proofErr w:type="spellEnd"/>
      <w:r w:rsidRPr="00C91C85">
        <w:t xml:space="preserve"> R, </w:t>
      </w:r>
      <w:proofErr w:type="spellStart"/>
      <w:r w:rsidRPr="00C91C85">
        <w:t>Renzullo</w:t>
      </w:r>
      <w:proofErr w:type="spellEnd"/>
      <w:r w:rsidRPr="00C91C85">
        <w:t xml:space="preserve"> L, Betta P, </w:t>
      </w:r>
      <w:proofErr w:type="spellStart"/>
      <w:r w:rsidRPr="00C91C85">
        <w:t>Mosca</w:t>
      </w:r>
      <w:proofErr w:type="spellEnd"/>
      <w:r w:rsidRPr="00C91C85">
        <w:t xml:space="preserve"> F, Ferrari F, </w:t>
      </w:r>
      <w:proofErr w:type="spellStart"/>
      <w:r w:rsidRPr="00C91C85">
        <w:t>Magaldi</w:t>
      </w:r>
      <w:proofErr w:type="spellEnd"/>
      <w:r w:rsidRPr="00C91C85">
        <w:t xml:space="preserve"> R, </w:t>
      </w:r>
      <w:proofErr w:type="spellStart"/>
      <w:r w:rsidRPr="00C91C85">
        <w:t>Stronati</w:t>
      </w:r>
      <w:proofErr w:type="spellEnd"/>
      <w:r w:rsidRPr="00C91C85">
        <w:t xml:space="preserve"> M, Farina D; Italian Task Force for the Study and Prevention of Neonatal Fungal Infections,</w:t>
      </w:r>
      <w:r>
        <w:t xml:space="preserve"> Italian Society of Neonatology (2009) </w:t>
      </w:r>
      <w:r w:rsidRPr="00C91C85">
        <w:t>Bovine lactoferrin supplementation for prevention of late-onset sepsis in very low-birth-weight neonates: a randomized trial</w:t>
      </w:r>
      <w:r>
        <w:t xml:space="preserve">. JAMA </w:t>
      </w:r>
      <w:r w:rsidRPr="00C91C85">
        <w:t>302(13):1421-8</w:t>
      </w:r>
      <w:r>
        <w:t xml:space="preserve">. </w:t>
      </w:r>
    </w:p>
    <w:p w14:paraId="294A845C" w14:textId="74BE65B2" w:rsidR="0682D99A" w:rsidRDefault="0682D99A" w:rsidP="0682D99A">
      <w:pPr>
        <w:widowControl/>
        <w:rPr>
          <w:szCs w:val="22"/>
        </w:rPr>
      </w:pPr>
    </w:p>
    <w:p w14:paraId="700F0956" w14:textId="29286510" w:rsidR="05FE2540" w:rsidRDefault="05FE2540" w:rsidP="0682D99A">
      <w:pPr>
        <w:rPr>
          <w:rFonts w:eastAsia="Arial" w:cs="Arial"/>
          <w:color w:val="212121"/>
          <w:szCs w:val="22"/>
        </w:rPr>
      </w:pPr>
      <w:r w:rsidRPr="0682D99A">
        <w:rPr>
          <w:rFonts w:eastAsia="Arial" w:cs="Arial"/>
          <w:color w:val="212121"/>
          <w:szCs w:val="22"/>
        </w:rPr>
        <w:t xml:space="preserve">Manzoni P, </w:t>
      </w:r>
      <w:proofErr w:type="spellStart"/>
      <w:r w:rsidRPr="0682D99A">
        <w:rPr>
          <w:rFonts w:eastAsia="Arial" w:cs="Arial"/>
          <w:color w:val="212121"/>
          <w:szCs w:val="22"/>
        </w:rPr>
        <w:t>Dall'Agnola</w:t>
      </w:r>
      <w:proofErr w:type="spellEnd"/>
      <w:r w:rsidRPr="0682D99A">
        <w:rPr>
          <w:rFonts w:eastAsia="Arial" w:cs="Arial"/>
          <w:color w:val="212121"/>
          <w:szCs w:val="22"/>
        </w:rPr>
        <w:t xml:space="preserve"> A, Tomé D, Kaufman DA, </w:t>
      </w:r>
      <w:proofErr w:type="spellStart"/>
      <w:r w:rsidRPr="0682D99A">
        <w:rPr>
          <w:rFonts w:eastAsia="Arial" w:cs="Arial"/>
          <w:color w:val="212121"/>
          <w:szCs w:val="22"/>
        </w:rPr>
        <w:t>Tavella</w:t>
      </w:r>
      <w:proofErr w:type="spellEnd"/>
      <w:r w:rsidRPr="0682D99A">
        <w:rPr>
          <w:rFonts w:eastAsia="Arial" w:cs="Arial"/>
          <w:color w:val="212121"/>
          <w:szCs w:val="22"/>
        </w:rPr>
        <w:t xml:space="preserve"> E, </w:t>
      </w:r>
      <w:proofErr w:type="spellStart"/>
      <w:r w:rsidRPr="0682D99A">
        <w:rPr>
          <w:rFonts w:eastAsia="Arial" w:cs="Arial"/>
          <w:color w:val="212121"/>
          <w:szCs w:val="22"/>
        </w:rPr>
        <w:t>Pieretto</w:t>
      </w:r>
      <w:proofErr w:type="spellEnd"/>
      <w:r w:rsidRPr="0682D99A">
        <w:rPr>
          <w:rFonts w:eastAsia="Arial" w:cs="Arial"/>
          <w:color w:val="212121"/>
          <w:szCs w:val="22"/>
        </w:rPr>
        <w:t xml:space="preserve"> M, Messina A, De Luca D, </w:t>
      </w:r>
      <w:proofErr w:type="spellStart"/>
      <w:r w:rsidRPr="0682D99A">
        <w:rPr>
          <w:rFonts w:eastAsia="Arial" w:cs="Arial"/>
          <w:color w:val="212121"/>
          <w:szCs w:val="22"/>
        </w:rPr>
        <w:t>Bellaiche</w:t>
      </w:r>
      <w:proofErr w:type="spellEnd"/>
      <w:r w:rsidRPr="0682D99A">
        <w:rPr>
          <w:rFonts w:eastAsia="Arial" w:cs="Arial"/>
          <w:color w:val="212121"/>
          <w:szCs w:val="22"/>
        </w:rPr>
        <w:t xml:space="preserve"> M, </w:t>
      </w:r>
      <w:proofErr w:type="spellStart"/>
      <w:r w:rsidRPr="0682D99A">
        <w:rPr>
          <w:rFonts w:eastAsia="Arial" w:cs="Arial"/>
          <w:color w:val="212121"/>
          <w:szCs w:val="22"/>
        </w:rPr>
        <w:t>Mosca</w:t>
      </w:r>
      <w:proofErr w:type="spellEnd"/>
      <w:r w:rsidRPr="0682D99A">
        <w:rPr>
          <w:rFonts w:eastAsia="Arial" w:cs="Arial"/>
          <w:color w:val="212121"/>
          <w:szCs w:val="22"/>
        </w:rPr>
        <w:t xml:space="preserve"> A, </w:t>
      </w:r>
      <w:proofErr w:type="spellStart"/>
      <w:r w:rsidRPr="0682D99A">
        <w:rPr>
          <w:rFonts w:eastAsia="Arial" w:cs="Arial"/>
          <w:color w:val="212121"/>
          <w:szCs w:val="22"/>
        </w:rPr>
        <w:t>Piloquet</w:t>
      </w:r>
      <w:proofErr w:type="spellEnd"/>
      <w:r w:rsidRPr="0682D99A">
        <w:rPr>
          <w:rFonts w:eastAsia="Arial" w:cs="Arial"/>
          <w:color w:val="212121"/>
          <w:szCs w:val="22"/>
        </w:rPr>
        <w:t xml:space="preserve"> H, </w:t>
      </w:r>
      <w:proofErr w:type="spellStart"/>
      <w:r w:rsidRPr="0682D99A">
        <w:rPr>
          <w:rFonts w:eastAsia="Arial" w:cs="Arial"/>
          <w:color w:val="212121"/>
          <w:szCs w:val="22"/>
        </w:rPr>
        <w:t>Simeoni</w:t>
      </w:r>
      <w:proofErr w:type="spellEnd"/>
      <w:r w:rsidRPr="0682D99A">
        <w:rPr>
          <w:rFonts w:eastAsia="Arial" w:cs="Arial"/>
          <w:color w:val="212121"/>
          <w:szCs w:val="22"/>
        </w:rPr>
        <w:t xml:space="preserve"> U, </w:t>
      </w:r>
      <w:proofErr w:type="spellStart"/>
      <w:r w:rsidRPr="0682D99A">
        <w:rPr>
          <w:rFonts w:eastAsia="Arial" w:cs="Arial"/>
          <w:color w:val="212121"/>
          <w:szCs w:val="22"/>
        </w:rPr>
        <w:t>Picaud</w:t>
      </w:r>
      <w:proofErr w:type="spellEnd"/>
      <w:r w:rsidRPr="0682D99A">
        <w:rPr>
          <w:rFonts w:eastAsia="Arial" w:cs="Arial"/>
          <w:color w:val="212121"/>
          <w:szCs w:val="22"/>
        </w:rPr>
        <w:t xml:space="preserve"> JC, Del Vecchio A (2018) Role of lactoferrin in neonates and infants: an update. Am J </w:t>
      </w:r>
      <w:proofErr w:type="spellStart"/>
      <w:r w:rsidRPr="0682D99A">
        <w:rPr>
          <w:rFonts w:eastAsia="Arial" w:cs="Arial"/>
          <w:color w:val="212121"/>
          <w:szCs w:val="22"/>
        </w:rPr>
        <w:t>Perinatol</w:t>
      </w:r>
      <w:proofErr w:type="spellEnd"/>
      <w:r w:rsidRPr="0682D99A">
        <w:rPr>
          <w:rFonts w:eastAsia="Arial" w:cs="Arial"/>
          <w:color w:val="212121"/>
          <w:szCs w:val="22"/>
        </w:rPr>
        <w:t xml:space="preserve"> 35(6):561-565.</w:t>
      </w:r>
    </w:p>
    <w:p w14:paraId="290ADD5C" w14:textId="69DDFBAE" w:rsidR="00384CD0" w:rsidRPr="00550D44" w:rsidRDefault="00384CD0" w:rsidP="38221CDC">
      <w:pPr>
        <w:widowControl/>
        <w:textAlignment w:val="baseline"/>
        <w:rPr>
          <w:rFonts w:cs="Arial"/>
          <w:lang w:eastAsia="en-AU" w:bidi="ar-SA"/>
        </w:rPr>
      </w:pPr>
    </w:p>
    <w:p w14:paraId="0EC9D625" w14:textId="77777777" w:rsidR="0001282E" w:rsidRPr="00550D44" w:rsidRDefault="0001282E" w:rsidP="0001282E">
      <w:pPr>
        <w:widowControl/>
        <w:textAlignment w:val="baseline"/>
        <w:rPr>
          <w:rFonts w:cs="Arial"/>
          <w:szCs w:val="22"/>
          <w:lang w:val="en-AU" w:eastAsia="en-AU" w:bidi="ar-SA"/>
        </w:rPr>
      </w:pPr>
      <w:proofErr w:type="spellStart"/>
      <w:r w:rsidRPr="00550D44">
        <w:rPr>
          <w:rFonts w:cs="Arial"/>
          <w:szCs w:val="22"/>
          <w:lang w:eastAsia="en-AU" w:bidi="ar-SA"/>
        </w:rPr>
        <w:t>Maragkoudakis</w:t>
      </w:r>
      <w:proofErr w:type="spellEnd"/>
      <w:r w:rsidRPr="00550D44">
        <w:rPr>
          <w:rFonts w:cs="Arial"/>
          <w:szCs w:val="22"/>
          <w:lang w:eastAsia="en-AU" w:bidi="ar-SA"/>
        </w:rPr>
        <w:t xml:space="preserve"> P</w:t>
      </w:r>
      <w:r>
        <w:rPr>
          <w:rFonts w:cs="Arial"/>
          <w:szCs w:val="22"/>
          <w:lang w:eastAsia="en-AU" w:bidi="ar-SA"/>
        </w:rPr>
        <w:t>,</w:t>
      </w:r>
      <w:r w:rsidRPr="00550D44">
        <w:rPr>
          <w:rFonts w:cs="Arial"/>
          <w:szCs w:val="22"/>
          <w:lang w:eastAsia="en-AU" w:bidi="ar-SA"/>
        </w:rPr>
        <w:t xml:space="preserve"> </w:t>
      </w:r>
      <w:proofErr w:type="spellStart"/>
      <w:r w:rsidRPr="00550D44">
        <w:rPr>
          <w:rFonts w:cs="Arial"/>
          <w:szCs w:val="22"/>
          <w:lang w:eastAsia="en-AU" w:bidi="ar-SA"/>
        </w:rPr>
        <w:t>Vendramin</w:t>
      </w:r>
      <w:proofErr w:type="spellEnd"/>
      <w:r w:rsidRPr="00550D44">
        <w:rPr>
          <w:rFonts w:cs="Arial"/>
          <w:szCs w:val="22"/>
          <w:lang w:eastAsia="en-AU" w:bidi="ar-SA"/>
        </w:rPr>
        <w:t xml:space="preserve"> V</w:t>
      </w:r>
      <w:r>
        <w:rPr>
          <w:rFonts w:cs="Arial"/>
          <w:szCs w:val="22"/>
          <w:lang w:eastAsia="en-AU" w:bidi="ar-SA"/>
        </w:rPr>
        <w:t>,</w:t>
      </w:r>
      <w:r w:rsidRPr="00550D44">
        <w:rPr>
          <w:rFonts w:cs="Arial"/>
          <w:szCs w:val="22"/>
          <w:lang w:eastAsia="en-AU" w:bidi="ar-SA"/>
        </w:rPr>
        <w:t xml:space="preserve"> Bovo B</w:t>
      </w:r>
      <w:r>
        <w:rPr>
          <w:rFonts w:cs="Arial"/>
          <w:szCs w:val="22"/>
          <w:lang w:eastAsia="en-AU" w:bidi="ar-SA"/>
        </w:rPr>
        <w:t>,</w:t>
      </w:r>
      <w:r w:rsidRPr="00550D44">
        <w:rPr>
          <w:rFonts w:cs="Arial"/>
          <w:szCs w:val="22"/>
          <w:lang w:eastAsia="en-AU" w:bidi="ar-SA"/>
        </w:rPr>
        <w:t xml:space="preserve"> </w:t>
      </w:r>
      <w:proofErr w:type="spellStart"/>
      <w:r w:rsidRPr="00550D44">
        <w:rPr>
          <w:rFonts w:cs="Arial"/>
          <w:szCs w:val="22"/>
          <w:lang w:eastAsia="en-AU" w:bidi="ar-SA"/>
        </w:rPr>
        <w:t>Treu</w:t>
      </w:r>
      <w:proofErr w:type="spellEnd"/>
      <w:r w:rsidRPr="00550D44">
        <w:rPr>
          <w:rFonts w:cs="Arial"/>
          <w:szCs w:val="22"/>
          <w:lang w:eastAsia="en-AU" w:bidi="ar-SA"/>
        </w:rPr>
        <w:t xml:space="preserve"> L</w:t>
      </w:r>
      <w:r>
        <w:rPr>
          <w:rFonts w:cs="Arial"/>
          <w:szCs w:val="22"/>
          <w:lang w:eastAsia="en-AU" w:bidi="ar-SA"/>
        </w:rPr>
        <w:t>,</w:t>
      </w:r>
      <w:r w:rsidRPr="00550D44">
        <w:rPr>
          <w:rFonts w:cs="Arial"/>
          <w:szCs w:val="22"/>
          <w:lang w:eastAsia="en-AU" w:bidi="ar-SA"/>
        </w:rPr>
        <w:t xml:space="preserve"> </w:t>
      </w:r>
      <w:proofErr w:type="spellStart"/>
      <w:r w:rsidRPr="00550D44">
        <w:rPr>
          <w:rFonts w:cs="Arial"/>
          <w:szCs w:val="22"/>
          <w:lang w:eastAsia="en-AU" w:bidi="ar-SA"/>
        </w:rPr>
        <w:t>Corich</w:t>
      </w:r>
      <w:proofErr w:type="spellEnd"/>
      <w:r w:rsidRPr="00550D44">
        <w:rPr>
          <w:rFonts w:cs="Arial"/>
          <w:szCs w:val="22"/>
          <w:lang w:eastAsia="en-AU" w:bidi="ar-SA"/>
        </w:rPr>
        <w:t>, V</w:t>
      </w:r>
      <w:r>
        <w:rPr>
          <w:rFonts w:cs="Arial"/>
          <w:szCs w:val="22"/>
          <w:lang w:eastAsia="en-AU" w:bidi="ar-SA"/>
        </w:rPr>
        <w:t>,</w:t>
      </w:r>
      <w:r w:rsidRPr="00550D44">
        <w:rPr>
          <w:rFonts w:cs="Arial"/>
          <w:szCs w:val="22"/>
          <w:lang w:eastAsia="en-AU" w:bidi="ar-SA"/>
        </w:rPr>
        <w:t xml:space="preserve"> Giacomini A</w:t>
      </w:r>
      <w:r>
        <w:rPr>
          <w:rFonts w:cs="Arial"/>
          <w:szCs w:val="22"/>
          <w:lang w:eastAsia="en-AU" w:bidi="ar-SA"/>
        </w:rPr>
        <w:t xml:space="preserve"> (2016)</w:t>
      </w:r>
      <w:r w:rsidRPr="00550D44">
        <w:rPr>
          <w:rFonts w:cs="Arial"/>
          <w:szCs w:val="22"/>
          <w:lang w:eastAsia="en-AU" w:bidi="ar-SA"/>
        </w:rPr>
        <w:t xml:space="preserve"> Potential use of </w:t>
      </w:r>
      <w:proofErr w:type="spellStart"/>
      <w:r w:rsidRPr="00550D44">
        <w:rPr>
          <w:rFonts w:cs="Arial"/>
          <w:szCs w:val="22"/>
          <w:lang w:eastAsia="en-AU" w:bidi="ar-SA"/>
        </w:rPr>
        <w:t>scotta</w:t>
      </w:r>
      <w:proofErr w:type="spellEnd"/>
      <w:r w:rsidRPr="00550D44">
        <w:rPr>
          <w:rFonts w:cs="Arial"/>
          <w:szCs w:val="22"/>
          <w:lang w:eastAsia="en-AU" w:bidi="ar-SA"/>
        </w:rPr>
        <w:t>, the by-product of the ricotta cheese manufacturing process, for the production of fermented drinks. J. Dairy Res 83</w:t>
      </w:r>
      <w:r>
        <w:rPr>
          <w:rFonts w:cs="Arial"/>
          <w:szCs w:val="22"/>
          <w:lang w:eastAsia="en-AU" w:bidi="ar-SA"/>
        </w:rPr>
        <w:t>:</w:t>
      </w:r>
      <w:r w:rsidRPr="00550D44">
        <w:rPr>
          <w:rFonts w:cs="Arial"/>
          <w:szCs w:val="22"/>
          <w:lang w:eastAsia="en-AU" w:bidi="ar-SA"/>
        </w:rPr>
        <w:t>104.</w:t>
      </w:r>
      <w:r w:rsidRPr="00550D44">
        <w:rPr>
          <w:rFonts w:cs="Arial"/>
          <w:szCs w:val="22"/>
          <w:lang w:val="en-AU" w:eastAsia="en-AU" w:bidi="ar-SA"/>
        </w:rPr>
        <w:t> </w:t>
      </w:r>
    </w:p>
    <w:p w14:paraId="2E50663A" w14:textId="77777777" w:rsidR="0001282E" w:rsidRDefault="0001282E" w:rsidP="6475D722">
      <w:pPr>
        <w:widowControl/>
        <w:textAlignment w:val="baseline"/>
        <w:rPr>
          <w:rFonts w:eastAsia="Arial" w:cs="Arial"/>
          <w:szCs w:val="22"/>
        </w:rPr>
      </w:pPr>
    </w:p>
    <w:p w14:paraId="4182ADDE" w14:textId="6E78E0AE" w:rsidR="00384CD0" w:rsidRPr="00550D44" w:rsidRDefault="6475D722" w:rsidP="6475D722">
      <w:pPr>
        <w:widowControl/>
        <w:textAlignment w:val="baseline"/>
        <w:rPr>
          <w:rFonts w:eastAsia="Arial" w:cs="Arial"/>
          <w:szCs w:val="22"/>
        </w:rPr>
      </w:pPr>
      <w:r w:rsidRPr="00063ED5">
        <w:rPr>
          <w:rFonts w:eastAsia="Arial" w:cs="Arial"/>
          <w:szCs w:val="22"/>
        </w:rPr>
        <w:t xml:space="preserve">Marriage BJ, Buck RH, Goehring KC, Oliver JS, Williams JA (2015) Infants fed a lower calorie formula with 2'-FL show growth and 2'-FL uptake like breast-fed infants. J </w:t>
      </w:r>
      <w:proofErr w:type="spellStart"/>
      <w:r w:rsidRPr="00063ED5">
        <w:rPr>
          <w:rFonts w:eastAsia="Arial" w:cs="Arial"/>
          <w:szCs w:val="22"/>
        </w:rPr>
        <w:t>Pediatr</w:t>
      </w:r>
      <w:proofErr w:type="spellEnd"/>
      <w:r w:rsidRPr="00063ED5">
        <w:rPr>
          <w:rFonts w:eastAsia="Arial" w:cs="Arial"/>
          <w:szCs w:val="22"/>
        </w:rPr>
        <w:t xml:space="preserve"> Gastroenterol </w:t>
      </w:r>
      <w:proofErr w:type="spellStart"/>
      <w:r w:rsidRPr="00063ED5">
        <w:rPr>
          <w:rFonts w:eastAsia="Arial" w:cs="Arial"/>
          <w:szCs w:val="22"/>
        </w:rPr>
        <w:t>Nutr</w:t>
      </w:r>
      <w:proofErr w:type="spellEnd"/>
      <w:r w:rsidRPr="00063ED5">
        <w:rPr>
          <w:rFonts w:eastAsia="Arial" w:cs="Arial"/>
          <w:szCs w:val="22"/>
        </w:rPr>
        <w:t xml:space="preserve"> 61:649–658. </w:t>
      </w:r>
    </w:p>
    <w:p w14:paraId="61F6ABB7" w14:textId="77777777" w:rsidR="0001282E" w:rsidRDefault="0001282E" w:rsidP="0001282E">
      <w:pPr>
        <w:widowControl/>
        <w:textAlignment w:val="baseline"/>
        <w:rPr>
          <w:rFonts w:cs="Arial"/>
          <w:lang w:eastAsia="en-AU" w:bidi="ar-SA"/>
        </w:rPr>
      </w:pPr>
    </w:p>
    <w:p w14:paraId="5A1792DF" w14:textId="0F73A110" w:rsidR="0001282E" w:rsidRPr="00550D44" w:rsidRDefault="0001282E" w:rsidP="0001282E">
      <w:pPr>
        <w:widowControl/>
        <w:textAlignment w:val="baseline"/>
        <w:rPr>
          <w:rFonts w:cs="Arial"/>
          <w:lang w:val="en-AU" w:eastAsia="en-AU" w:bidi="ar-SA"/>
        </w:rPr>
      </w:pPr>
      <w:proofErr w:type="spellStart"/>
      <w:r w:rsidRPr="6475D722">
        <w:rPr>
          <w:rFonts w:cs="Arial"/>
          <w:lang w:eastAsia="en-AU" w:bidi="ar-SA"/>
        </w:rPr>
        <w:t>Mastromarino</w:t>
      </w:r>
      <w:proofErr w:type="spellEnd"/>
      <w:r w:rsidRPr="6475D722">
        <w:rPr>
          <w:rFonts w:cs="Arial"/>
          <w:lang w:eastAsia="en-AU" w:bidi="ar-SA"/>
        </w:rPr>
        <w:t xml:space="preserve"> P, Capobianco D</w:t>
      </w:r>
      <w:r>
        <w:rPr>
          <w:rFonts w:cs="Arial"/>
          <w:lang w:eastAsia="en-AU" w:bidi="ar-SA"/>
        </w:rPr>
        <w:t xml:space="preserve">, Campagna </w:t>
      </w:r>
      <w:r w:rsidRPr="6475D722">
        <w:rPr>
          <w:rFonts w:cs="Arial"/>
          <w:lang w:eastAsia="en-AU" w:bidi="ar-SA"/>
        </w:rPr>
        <w:t xml:space="preserve">G, </w:t>
      </w:r>
      <w:proofErr w:type="spellStart"/>
      <w:r w:rsidRPr="6475D722">
        <w:rPr>
          <w:rFonts w:cs="Arial"/>
          <w:lang w:eastAsia="en-AU" w:bidi="ar-SA"/>
        </w:rPr>
        <w:t>Laforgia</w:t>
      </w:r>
      <w:proofErr w:type="spellEnd"/>
      <w:r w:rsidRPr="6475D722">
        <w:rPr>
          <w:rFonts w:cs="Arial"/>
          <w:lang w:eastAsia="en-AU" w:bidi="ar-SA"/>
        </w:rPr>
        <w:t xml:space="preserve"> N, </w:t>
      </w:r>
      <w:proofErr w:type="spellStart"/>
      <w:r w:rsidRPr="6475D722">
        <w:rPr>
          <w:rFonts w:cs="Arial"/>
          <w:lang w:eastAsia="en-AU" w:bidi="ar-SA"/>
        </w:rPr>
        <w:t>Drimaco</w:t>
      </w:r>
      <w:proofErr w:type="spellEnd"/>
      <w:r w:rsidRPr="6475D722">
        <w:rPr>
          <w:rFonts w:cs="Arial"/>
          <w:lang w:eastAsia="en-AU" w:bidi="ar-SA"/>
        </w:rPr>
        <w:t xml:space="preserve"> P, </w:t>
      </w:r>
      <w:proofErr w:type="spellStart"/>
      <w:r w:rsidRPr="6475D722">
        <w:rPr>
          <w:rFonts w:cs="Arial"/>
          <w:lang w:eastAsia="en-AU" w:bidi="ar-SA"/>
        </w:rPr>
        <w:t>Dileone</w:t>
      </w:r>
      <w:proofErr w:type="spellEnd"/>
      <w:r w:rsidRPr="6475D722">
        <w:rPr>
          <w:rFonts w:cs="Arial"/>
          <w:lang w:eastAsia="en-AU" w:bidi="ar-SA"/>
        </w:rPr>
        <w:t xml:space="preserve"> A, </w:t>
      </w:r>
      <w:proofErr w:type="spellStart"/>
      <w:r w:rsidRPr="6475D722">
        <w:rPr>
          <w:rFonts w:cs="Arial"/>
          <w:lang w:eastAsia="en-AU" w:bidi="ar-SA"/>
        </w:rPr>
        <w:t>Baldassarre</w:t>
      </w:r>
      <w:proofErr w:type="spellEnd"/>
      <w:r w:rsidRPr="6475D722">
        <w:rPr>
          <w:rFonts w:cs="Arial"/>
          <w:lang w:eastAsia="en-AU" w:bidi="ar-SA"/>
        </w:rPr>
        <w:t xml:space="preserve"> ME (2014) Correlation between lactoferrin and beneficial microbiota in breast milk and infant’s </w:t>
      </w:r>
      <w:proofErr w:type="spellStart"/>
      <w:r w:rsidRPr="6475D722">
        <w:rPr>
          <w:rFonts w:cs="Arial"/>
          <w:lang w:eastAsia="en-AU" w:bidi="ar-SA"/>
        </w:rPr>
        <w:t>feces</w:t>
      </w:r>
      <w:proofErr w:type="spellEnd"/>
      <w:r w:rsidRPr="6475D722">
        <w:rPr>
          <w:rFonts w:cs="Arial"/>
          <w:lang w:eastAsia="en-AU" w:bidi="ar-SA"/>
        </w:rPr>
        <w:t>. </w:t>
      </w:r>
      <w:proofErr w:type="spellStart"/>
      <w:r w:rsidRPr="6475D722">
        <w:rPr>
          <w:rFonts w:cs="Arial"/>
          <w:lang w:eastAsia="en-AU" w:bidi="ar-SA"/>
        </w:rPr>
        <w:t>Biometals</w:t>
      </w:r>
      <w:proofErr w:type="spellEnd"/>
      <w:r w:rsidRPr="6475D722">
        <w:rPr>
          <w:rFonts w:cs="Arial"/>
          <w:lang w:eastAsia="en-AU" w:bidi="ar-SA"/>
        </w:rPr>
        <w:t>, 27(5)</w:t>
      </w:r>
      <w:r>
        <w:rPr>
          <w:rFonts w:cs="Arial"/>
          <w:lang w:eastAsia="en-AU" w:bidi="ar-SA"/>
        </w:rPr>
        <w:t>:</w:t>
      </w:r>
      <w:r w:rsidRPr="6475D722">
        <w:rPr>
          <w:rFonts w:cs="Arial"/>
          <w:lang w:eastAsia="en-AU" w:bidi="ar-SA"/>
        </w:rPr>
        <w:t>1077-1086.</w:t>
      </w:r>
      <w:r w:rsidRPr="6475D722">
        <w:rPr>
          <w:rFonts w:cs="Arial"/>
          <w:lang w:val="en-AU" w:eastAsia="en-AU" w:bidi="ar-SA"/>
        </w:rPr>
        <w:t> </w:t>
      </w:r>
    </w:p>
    <w:p w14:paraId="556A6D92" w14:textId="77777777" w:rsidR="0001282E" w:rsidRPr="00550D44" w:rsidRDefault="0001282E" w:rsidP="0001282E">
      <w:pPr>
        <w:widowControl/>
        <w:textAlignment w:val="baseline"/>
        <w:rPr>
          <w:rFonts w:cs="Arial"/>
          <w:szCs w:val="22"/>
          <w:lang w:val="en-AU" w:eastAsia="en-AU" w:bidi="ar-SA"/>
        </w:rPr>
      </w:pPr>
      <w:r w:rsidRPr="00550D44">
        <w:rPr>
          <w:rFonts w:cs="Arial"/>
          <w:szCs w:val="22"/>
          <w:lang w:val="en-AU" w:eastAsia="en-AU" w:bidi="ar-SA"/>
        </w:rPr>
        <w:t> </w:t>
      </w:r>
    </w:p>
    <w:p w14:paraId="26CE5D33" w14:textId="0DCDC16E" w:rsidR="00550D44" w:rsidRDefault="00550D44" w:rsidP="00550D44">
      <w:pPr>
        <w:rPr>
          <w:rFonts w:eastAsia="Arial" w:cs="Arial"/>
        </w:rPr>
      </w:pPr>
      <w:r w:rsidRPr="00E75DA7">
        <w:rPr>
          <w:rFonts w:eastAsia="Arial" w:cs="Arial"/>
        </w:rPr>
        <w:t xml:space="preserve">Miyazawa K, Mantel C, Lu L, Morrison DC, </w:t>
      </w:r>
      <w:proofErr w:type="spellStart"/>
      <w:r w:rsidRPr="00E75DA7">
        <w:rPr>
          <w:rFonts w:eastAsia="Arial" w:cs="Arial"/>
        </w:rPr>
        <w:t>Broxmeyer</w:t>
      </w:r>
      <w:proofErr w:type="spellEnd"/>
      <w:r w:rsidRPr="00E75DA7">
        <w:rPr>
          <w:rFonts w:eastAsia="Arial" w:cs="Arial"/>
        </w:rPr>
        <w:t xml:space="preserve"> HE</w:t>
      </w:r>
      <w:r>
        <w:rPr>
          <w:rFonts w:eastAsia="Arial" w:cs="Arial"/>
        </w:rPr>
        <w:t xml:space="preserve"> (1991)</w:t>
      </w:r>
      <w:r w:rsidRPr="00E75DA7">
        <w:rPr>
          <w:rFonts w:eastAsia="Arial" w:cs="Arial"/>
        </w:rPr>
        <w:t xml:space="preserve"> Lactoferrin-lipopolysaccharide interactions. Effect on lactoferrin binding to monocyte/macrophage-differentiated HL-60 cells. J Immunol. 146(2):723-</w:t>
      </w:r>
      <w:r>
        <w:rPr>
          <w:rFonts w:eastAsia="Arial" w:cs="Arial"/>
        </w:rPr>
        <w:t>72</w:t>
      </w:r>
      <w:r w:rsidRPr="00E75DA7">
        <w:rPr>
          <w:rFonts w:eastAsia="Arial" w:cs="Arial"/>
        </w:rPr>
        <w:t>9.</w:t>
      </w:r>
    </w:p>
    <w:p w14:paraId="439C23E4" w14:textId="5005A0AF" w:rsidR="002C098D" w:rsidRDefault="002C098D" w:rsidP="00550D44">
      <w:pPr>
        <w:rPr>
          <w:rFonts w:eastAsia="Arial" w:cs="Arial"/>
        </w:rPr>
      </w:pPr>
    </w:p>
    <w:p w14:paraId="02F248FF" w14:textId="0B6AF7E8" w:rsidR="002C098D" w:rsidRDefault="002C098D" w:rsidP="00550D44">
      <w:pPr>
        <w:rPr>
          <w:rFonts w:eastAsia="Arial" w:cs="Arial"/>
        </w:rPr>
      </w:pPr>
      <w:proofErr w:type="spellStart"/>
      <w:r w:rsidRPr="002C098D">
        <w:rPr>
          <w:rFonts w:eastAsia="Arial" w:cs="Arial"/>
        </w:rPr>
        <w:t>Molon-Noblot</w:t>
      </w:r>
      <w:proofErr w:type="spellEnd"/>
      <w:r w:rsidRPr="002C098D">
        <w:rPr>
          <w:rFonts w:eastAsia="Arial" w:cs="Arial"/>
        </w:rPr>
        <w:t xml:space="preserve"> S, Keenan KP</w:t>
      </w:r>
      <w:r>
        <w:rPr>
          <w:rFonts w:eastAsia="Arial" w:cs="Arial"/>
        </w:rPr>
        <w:t xml:space="preserve">, Coleman JB, Hoe CM, </w:t>
      </w:r>
      <w:proofErr w:type="spellStart"/>
      <w:r>
        <w:rPr>
          <w:rFonts w:eastAsia="Arial" w:cs="Arial"/>
        </w:rPr>
        <w:t>Laroque</w:t>
      </w:r>
      <w:proofErr w:type="spellEnd"/>
      <w:r>
        <w:rPr>
          <w:rFonts w:eastAsia="Arial" w:cs="Arial"/>
        </w:rPr>
        <w:t xml:space="preserve"> P (2001) </w:t>
      </w:r>
      <w:r w:rsidRPr="002C098D">
        <w:rPr>
          <w:rFonts w:eastAsia="Arial" w:cs="Arial"/>
        </w:rPr>
        <w:t>The effects of ad libitum overfeeding and moderate and marked dietary restriction on age-related spontaneous pancreatic islet pathology in Sprague-Dawley rats</w:t>
      </w:r>
      <w:r>
        <w:rPr>
          <w:rFonts w:eastAsia="Arial" w:cs="Arial"/>
        </w:rPr>
        <w:t xml:space="preserve">. </w:t>
      </w:r>
      <w:proofErr w:type="spellStart"/>
      <w:r>
        <w:rPr>
          <w:rFonts w:eastAsia="Arial" w:cs="Arial"/>
        </w:rPr>
        <w:t>Toxicol</w:t>
      </w:r>
      <w:proofErr w:type="spellEnd"/>
      <w:r>
        <w:rPr>
          <w:rFonts w:eastAsia="Arial" w:cs="Arial"/>
        </w:rPr>
        <w:t xml:space="preserve"> </w:t>
      </w:r>
      <w:proofErr w:type="spellStart"/>
      <w:r>
        <w:rPr>
          <w:rFonts w:eastAsia="Arial" w:cs="Arial"/>
        </w:rPr>
        <w:t>Pathol</w:t>
      </w:r>
      <w:proofErr w:type="spellEnd"/>
      <w:r>
        <w:rPr>
          <w:rFonts w:eastAsia="Arial" w:cs="Arial"/>
        </w:rPr>
        <w:t xml:space="preserve"> </w:t>
      </w:r>
      <w:r w:rsidRPr="002C098D">
        <w:rPr>
          <w:rFonts w:eastAsia="Arial" w:cs="Arial"/>
        </w:rPr>
        <w:t>29(3):353-62.</w:t>
      </w:r>
      <w:r>
        <w:rPr>
          <w:rFonts w:eastAsia="Arial" w:cs="Arial"/>
        </w:rPr>
        <w:t xml:space="preserve"> </w:t>
      </w:r>
    </w:p>
    <w:p w14:paraId="6EEBA75B" w14:textId="77777777" w:rsidR="00550D44" w:rsidRPr="00550D44" w:rsidRDefault="00550D44" w:rsidP="00384CD0">
      <w:pPr>
        <w:widowControl/>
        <w:textAlignment w:val="baseline"/>
        <w:rPr>
          <w:rFonts w:cs="Arial"/>
          <w:szCs w:val="22"/>
          <w:lang w:val="en-AU" w:eastAsia="en-AU" w:bidi="ar-SA"/>
        </w:rPr>
      </w:pPr>
    </w:p>
    <w:p w14:paraId="22524559" w14:textId="77777777" w:rsidR="00384CD0" w:rsidRPr="00550D44" w:rsidRDefault="00384CD0" w:rsidP="00384CD0">
      <w:pPr>
        <w:widowControl/>
        <w:textAlignment w:val="baseline"/>
        <w:rPr>
          <w:rFonts w:cs="Arial"/>
          <w:szCs w:val="22"/>
          <w:lang w:val="en-AU" w:eastAsia="en-AU" w:bidi="ar-SA"/>
        </w:rPr>
      </w:pPr>
      <w:r w:rsidRPr="00550D44">
        <w:rPr>
          <w:rFonts w:cs="Arial"/>
          <w:szCs w:val="22"/>
          <w:lang w:eastAsia="en-AU" w:bidi="ar-SA"/>
        </w:rPr>
        <w:t>Monitoring System (1985) Guidelines for the study of dietary intakes of chemical contaminants. WHO offset publication, no.87. World Health Organization, Geneva </w:t>
      </w:r>
      <w:r w:rsidRPr="00550D44">
        <w:rPr>
          <w:rFonts w:cs="Arial"/>
          <w:szCs w:val="22"/>
          <w:lang w:val="en-AU" w:eastAsia="en-AU" w:bidi="ar-SA"/>
        </w:rPr>
        <w:t> </w:t>
      </w:r>
    </w:p>
    <w:p w14:paraId="172B441D" w14:textId="77777777" w:rsidR="00BF5A0D" w:rsidRDefault="00BF5A0D" w:rsidP="00550D44">
      <w:pPr>
        <w:rPr>
          <w:rFonts w:eastAsia="Arial" w:cs="Arial"/>
        </w:rPr>
      </w:pPr>
    </w:p>
    <w:p w14:paraId="0CB2E061" w14:textId="77777777" w:rsidR="0001282E" w:rsidRDefault="0001282E" w:rsidP="0001282E">
      <w:pPr>
        <w:rPr>
          <w:rFonts w:eastAsia="Arial" w:cs="Arial"/>
        </w:rPr>
      </w:pPr>
      <w:r w:rsidRPr="108E6166">
        <w:rPr>
          <w:rFonts w:eastAsia="Arial" w:cs="Arial"/>
          <w:szCs w:val="22"/>
        </w:rPr>
        <w:t xml:space="preserve">Montagne P, </w:t>
      </w:r>
      <w:proofErr w:type="spellStart"/>
      <w:r w:rsidRPr="108E6166">
        <w:rPr>
          <w:rFonts w:eastAsia="Arial" w:cs="Arial"/>
          <w:szCs w:val="22"/>
        </w:rPr>
        <w:t>Cuilliere</w:t>
      </w:r>
      <w:proofErr w:type="spellEnd"/>
      <w:r w:rsidRPr="108E6166">
        <w:rPr>
          <w:rFonts w:eastAsia="Arial" w:cs="Arial"/>
          <w:szCs w:val="22"/>
        </w:rPr>
        <w:t xml:space="preserve"> ML, Mole C, Bene MC, Faure G (2001) Changes in lactoferrin and lysozyme levels in human milk during the first twelve weeks of lactation. In Bioactive components of human milk (pp. 241-247). Springer, Boston, MA.</w:t>
      </w:r>
    </w:p>
    <w:p w14:paraId="0ABEBBB4" w14:textId="77777777" w:rsidR="0001282E" w:rsidRDefault="0001282E" w:rsidP="00550D44">
      <w:pPr>
        <w:rPr>
          <w:rFonts w:eastAsia="Arial" w:cs="Arial"/>
        </w:rPr>
      </w:pPr>
    </w:p>
    <w:p w14:paraId="508490C8" w14:textId="26F7C7F5" w:rsidR="00BF5A0D" w:rsidRDefault="00BF5A0D" w:rsidP="00550D44">
      <w:pPr>
        <w:rPr>
          <w:rFonts w:eastAsia="Arial" w:cs="Arial"/>
        </w:rPr>
      </w:pPr>
      <w:r w:rsidRPr="00BF5A0D">
        <w:rPr>
          <w:rFonts w:eastAsia="Arial" w:cs="Arial"/>
        </w:rPr>
        <w:t xml:space="preserve">Mosquito S, Ochoa TJ, </w:t>
      </w:r>
      <w:proofErr w:type="spellStart"/>
      <w:r w:rsidRPr="00BF5A0D">
        <w:rPr>
          <w:rFonts w:eastAsia="Arial" w:cs="Arial"/>
        </w:rPr>
        <w:t>Cok</w:t>
      </w:r>
      <w:proofErr w:type="spellEnd"/>
      <w:r w:rsidRPr="00BF5A0D">
        <w:rPr>
          <w:rFonts w:eastAsia="Arial" w:cs="Arial"/>
        </w:rPr>
        <w:t xml:space="preserve"> J, Cleary TG (2010) Effect of bovine lactoferrin in </w:t>
      </w:r>
      <w:r w:rsidRPr="00897661">
        <w:rPr>
          <w:rFonts w:eastAsia="Arial" w:cs="Arial"/>
          <w:i/>
        </w:rPr>
        <w:t>Salmonella</w:t>
      </w:r>
      <w:r w:rsidRPr="00BF5A0D">
        <w:rPr>
          <w:rFonts w:eastAsia="Arial" w:cs="Arial"/>
        </w:rPr>
        <w:t xml:space="preserve"> ser. Typhimurium infection in mice. </w:t>
      </w:r>
      <w:proofErr w:type="spellStart"/>
      <w:r w:rsidRPr="00BF5A0D">
        <w:rPr>
          <w:rFonts w:eastAsia="Arial" w:cs="Arial"/>
        </w:rPr>
        <w:t>Biometals</w:t>
      </w:r>
      <w:proofErr w:type="spellEnd"/>
      <w:r w:rsidRPr="00BF5A0D">
        <w:rPr>
          <w:rFonts w:eastAsia="Arial" w:cs="Arial"/>
        </w:rPr>
        <w:t xml:space="preserve"> 23</w:t>
      </w:r>
      <w:r w:rsidR="004F435F">
        <w:rPr>
          <w:rFonts w:eastAsia="Arial" w:cs="Arial"/>
        </w:rPr>
        <w:t>:</w:t>
      </w:r>
      <w:r w:rsidRPr="00BF5A0D">
        <w:rPr>
          <w:rFonts w:eastAsia="Arial" w:cs="Arial"/>
        </w:rPr>
        <w:t>515-521.</w:t>
      </w:r>
    </w:p>
    <w:p w14:paraId="2130B205" w14:textId="09CBA6BC" w:rsidR="108E6166" w:rsidRDefault="108E6166" w:rsidP="108E6166">
      <w:pPr>
        <w:rPr>
          <w:szCs w:val="22"/>
        </w:rPr>
      </w:pPr>
    </w:p>
    <w:p w14:paraId="6492A39E" w14:textId="006EC50A" w:rsidR="00550D44" w:rsidRDefault="00550D44" w:rsidP="00550D44">
      <w:pPr>
        <w:rPr>
          <w:rFonts w:cs="Arial"/>
        </w:rPr>
      </w:pPr>
      <w:r>
        <w:rPr>
          <w:rFonts w:cs="Arial"/>
        </w:rPr>
        <w:t xml:space="preserve">Murphy K, Travers P, </w:t>
      </w:r>
      <w:proofErr w:type="spellStart"/>
      <w:r>
        <w:rPr>
          <w:rFonts w:cs="Arial"/>
        </w:rPr>
        <w:t>Walport</w:t>
      </w:r>
      <w:proofErr w:type="spellEnd"/>
      <w:r>
        <w:rPr>
          <w:rFonts w:cs="Arial"/>
        </w:rPr>
        <w:t xml:space="preserve"> M, Janeway C (2008)</w:t>
      </w:r>
      <w:r w:rsidRPr="007634AD">
        <w:rPr>
          <w:rFonts w:cs="Arial"/>
        </w:rPr>
        <w:t xml:space="preserve"> </w:t>
      </w:r>
      <w:r w:rsidRPr="007634AD">
        <w:rPr>
          <w:rFonts w:cs="Arial"/>
          <w:i/>
        </w:rPr>
        <w:t>Janeway's immunobiology</w:t>
      </w:r>
      <w:r w:rsidRPr="007634AD">
        <w:rPr>
          <w:rFonts w:cs="Arial"/>
        </w:rPr>
        <w:t>. New York: Garland Science.</w:t>
      </w:r>
    </w:p>
    <w:p w14:paraId="7B467DA7" w14:textId="77777777" w:rsidR="00EE6653" w:rsidRDefault="00EE6653" w:rsidP="00550D44">
      <w:pPr>
        <w:rPr>
          <w:rFonts w:cs="Arial"/>
        </w:rPr>
      </w:pPr>
    </w:p>
    <w:p w14:paraId="74BE012B" w14:textId="6EDA41CF" w:rsidR="00EE6653" w:rsidRDefault="003C4883" w:rsidP="00550D44">
      <w:pPr>
        <w:rPr>
          <w:rFonts w:cs="Arial"/>
        </w:rPr>
      </w:pPr>
      <w:r w:rsidRPr="003C4883">
        <w:rPr>
          <w:rFonts w:cs="Arial"/>
        </w:rPr>
        <w:t xml:space="preserve">Natale M, Bisson C, Monti G, </w:t>
      </w:r>
      <w:proofErr w:type="spellStart"/>
      <w:r w:rsidRPr="003C4883">
        <w:rPr>
          <w:rFonts w:cs="Arial"/>
        </w:rPr>
        <w:t>Peltran</w:t>
      </w:r>
      <w:proofErr w:type="spellEnd"/>
      <w:r w:rsidRPr="003C4883">
        <w:rPr>
          <w:rFonts w:cs="Arial"/>
        </w:rPr>
        <w:t xml:space="preserve"> A, </w:t>
      </w:r>
      <w:proofErr w:type="spellStart"/>
      <w:r w:rsidRPr="003C4883">
        <w:rPr>
          <w:rFonts w:cs="Arial"/>
        </w:rPr>
        <w:t>Garoffo</w:t>
      </w:r>
      <w:proofErr w:type="spellEnd"/>
      <w:r w:rsidRPr="003C4883">
        <w:rPr>
          <w:rFonts w:cs="Arial"/>
        </w:rPr>
        <w:t xml:space="preserve"> LP, </w:t>
      </w:r>
      <w:proofErr w:type="spellStart"/>
      <w:r w:rsidRPr="003C4883">
        <w:rPr>
          <w:rFonts w:cs="Arial"/>
        </w:rPr>
        <w:t>Valentini</w:t>
      </w:r>
      <w:proofErr w:type="spellEnd"/>
      <w:r w:rsidRPr="003C4883">
        <w:rPr>
          <w:rFonts w:cs="Arial"/>
        </w:rPr>
        <w:t xml:space="preserve"> S, </w:t>
      </w:r>
      <w:proofErr w:type="spellStart"/>
      <w:r w:rsidRPr="003C4883">
        <w:rPr>
          <w:rFonts w:cs="Arial"/>
        </w:rPr>
        <w:t>Fabris</w:t>
      </w:r>
      <w:proofErr w:type="spellEnd"/>
      <w:r w:rsidRPr="003C4883">
        <w:rPr>
          <w:rFonts w:cs="Arial"/>
        </w:rPr>
        <w:t xml:space="preserve"> </w:t>
      </w:r>
      <w:r>
        <w:rPr>
          <w:rFonts w:cs="Arial"/>
        </w:rPr>
        <w:t xml:space="preserve">C, </w:t>
      </w:r>
      <w:proofErr w:type="spellStart"/>
      <w:r>
        <w:rPr>
          <w:rFonts w:cs="Arial"/>
        </w:rPr>
        <w:t>Bertino</w:t>
      </w:r>
      <w:proofErr w:type="spellEnd"/>
      <w:r>
        <w:rPr>
          <w:rFonts w:cs="Arial"/>
        </w:rPr>
        <w:t xml:space="preserve"> E, </w:t>
      </w:r>
      <w:proofErr w:type="spellStart"/>
      <w:r>
        <w:rPr>
          <w:rFonts w:cs="Arial"/>
        </w:rPr>
        <w:t>Coscia</w:t>
      </w:r>
      <w:proofErr w:type="spellEnd"/>
      <w:r>
        <w:rPr>
          <w:rFonts w:cs="Arial"/>
        </w:rPr>
        <w:t xml:space="preserve"> A, Conti A (2004) </w:t>
      </w:r>
      <w:r w:rsidRPr="003C4883">
        <w:rPr>
          <w:rFonts w:cs="Arial"/>
        </w:rPr>
        <w:t>Cow's milk allergens identification by two-dimensional immunoblotting and mass spectrometry</w:t>
      </w:r>
      <w:r>
        <w:rPr>
          <w:rFonts w:cs="Arial"/>
        </w:rPr>
        <w:t xml:space="preserve">. Mol </w:t>
      </w:r>
      <w:proofErr w:type="spellStart"/>
      <w:r>
        <w:rPr>
          <w:rFonts w:cs="Arial"/>
        </w:rPr>
        <w:t>Nutr</w:t>
      </w:r>
      <w:proofErr w:type="spellEnd"/>
      <w:r>
        <w:rPr>
          <w:rFonts w:cs="Arial"/>
        </w:rPr>
        <w:t xml:space="preserve"> Food Res </w:t>
      </w:r>
      <w:r w:rsidRPr="003C4883">
        <w:rPr>
          <w:rFonts w:cs="Arial"/>
        </w:rPr>
        <w:t>48(5):363-9.</w:t>
      </w:r>
    </w:p>
    <w:p w14:paraId="30FEBCBB" w14:textId="77777777" w:rsidR="000007FC" w:rsidRDefault="000007FC" w:rsidP="00550D44">
      <w:pPr>
        <w:rPr>
          <w:rFonts w:cs="Arial"/>
        </w:rPr>
      </w:pPr>
    </w:p>
    <w:p w14:paraId="1FCC93E7" w14:textId="36898988" w:rsidR="000007FC" w:rsidRDefault="000007FC" w:rsidP="00550D44">
      <w:pPr>
        <w:rPr>
          <w:rFonts w:cs="Arial"/>
        </w:rPr>
      </w:pPr>
      <w:r>
        <w:rPr>
          <w:rFonts w:cs="Arial"/>
        </w:rPr>
        <w:t>National Health and Medical Research Council (NHMRC) (201</w:t>
      </w:r>
      <w:r w:rsidR="00574E96">
        <w:rPr>
          <w:rFonts w:cs="Arial"/>
        </w:rPr>
        <w:t>2</w:t>
      </w:r>
      <w:r>
        <w:rPr>
          <w:rFonts w:cs="Arial"/>
        </w:rPr>
        <w:t xml:space="preserve">) Infant feeding guidelines. </w:t>
      </w:r>
      <w:r w:rsidR="00574E96">
        <w:rPr>
          <w:rFonts w:cs="Arial"/>
        </w:rPr>
        <w:t xml:space="preserve">National Health and Medical Research Council, </w:t>
      </w:r>
      <w:r>
        <w:rPr>
          <w:rFonts w:cs="Arial"/>
        </w:rPr>
        <w:t>Canberra</w:t>
      </w:r>
      <w:r w:rsidR="00574E96">
        <w:rPr>
          <w:rFonts w:cs="Arial"/>
        </w:rPr>
        <w:t>.</w:t>
      </w:r>
      <w:r w:rsidR="00574E96" w:rsidRPr="00574E96">
        <w:t xml:space="preserve"> </w:t>
      </w:r>
      <w:r w:rsidR="00574E96" w:rsidRPr="00574E96">
        <w:rPr>
          <w:rFonts w:cs="Arial"/>
        </w:rPr>
        <w:t>https://www.nhmrc.gov.au/about-us/publications/infant-feeding-guidelines-information-health-workers</w:t>
      </w:r>
    </w:p>
    <w:p w14:paraId="493B1DE1" w14:textId="77777777" w:rsidR="00384CD0" w:rsidRPr="00550D44" w:rsidRDefault="00384CD0" w:rsidP="00384CD0">
      <w:pPr>
        <w:widowControl/>
        <w:textAlignment w:val="baseline"/>
        <w:rPr>
          <w:rFonts w:cs="Arial"/>
          <w:szCs w:val="22"/>
          <w:lang w:val="en-AU" w:eastAsia="en-AU" w:bidi="ar-SA"/>
        </w:rPr>
      </w:pPr>
    </w:p>
    <w:p w14:paraId="7BF62391" w14:textId="288AE3F4" w:rsidR="00384CD0" w:rsidRDefault="00384CD0" w:rsidP="00384CD0">
      <w:pPr>
        <w:widowControl/>
        <w:textAlignment w:val="baseline"/>
        <w:rPr>
          <w:rFonts w:cs="Arial"/>
          <w:szCs w:val="22"/>
          <w:lang w:val="en-AU" w:eastAsia="en-AU" w:bidi="ar-SA"/>
        </w:rPr>
      </w:pPr>
      <w:r w:rsidRPr="00550D44">
        <w:rPr>
          <w:rFonts w:cs="Arial"/>
          <w:szCs w:val="22"/>
          <w:lang w:eastAsia="en-AU" w:bidi="ar-SA"/>
        </w:rPr>
        <w:t xml:space="preserve">Nisbet C, </w:t>
      </w:r>
      <w:proofErr w:type="spellStart"/>
      <w:r w:rsidRPr="00550D44">
        <w:rPr>
          <w:rFonts w:cs="Arial"/>
          <w:szCs w:val="22"/>
          <w:lang w:eastAsia="en-AU" w:bidi="ar-SA"/>
        </w:rPr>
        <w:t>Yarım</w:t>
      </w:r>
      <w:proofErr w:type="spellEnd"/>
      <w:r w:rsidRPr="00550D44">
        <w:rPr>
          <w:rFonts w:cs="Arial"/>
          <w:szCs w:val="22"/>
          <w:lang w:eastAsia="en-AU" w:bidi="ar-SA"/>
        </w:rPr>
        <w:t xml:space="preserve"> GF, </w:t>
      </w:r>
      <w:proofErr w:type="spellStart"/>
      <w:r w:rsidRPr="00550D44">
        <w:rPr>
          <w:rFonts w:cs="Arial"/>
          <w:szCs w:val="22"/>
          <w:lang w:eastAsia="en-AU" w:bidi="ar-SA"/>
        </w:rPr>
        <w:t>Çiftcİ,G</w:t>
      </w:r>
      <w:proofErr w:type="spellEnd"/>
      <w:r w:rsidRPr="00550D44">
        <w:rPr>
          <w:rFonts w:cs="Arial"/>
          <w:szCs w:val="22"/>
          <w:lang w:eastAsia="en-AU" w:bidi="ar-SA"/>
        </w:rPr>
        <w:t xml:space="preserve">, </w:t>
      </w:r>
      <w:proofErr w:type="spellStart"/>
      <w:r w:rsidRPr="00550D44">
        <w:rPr>
          <w:rFonts w:cs="Arial"/>
          <w:szCs w:val="22"/>
          <w:lang w:eastAsia="en-AU" w:bidi="ar-SA"/>
        </w:rPr>
        <w:t>Gültİken</w:t>
      </w:r>
      <w:proofErr w:type="spellEnd"/>
      <w:r w:rsidRPr="00550D44">
        <w:rPr>
          <w:rFonts w:cs="Arial"/>
          <w:szCs w:val="22"/>
          <w:lang w:eastAsia="en-AU" w:bidi="ar-SA"/>
        </w:rPr>
        <w:t xml:space="preserve"> N, </w:t>
      </w:r>
      <w:proofErr w:type="spellStart"/>
      <w:r w:rsidRPr="00550D44">
        <w:rPr>
          <w:rFonts w:cs="Arial"/>
          <w:szCs w:val="22"/>
          <w:lang w:eastAsia="en-AU" w:bidi="ar-SA"/>
        </w:rPr>
        <w:t>Çenesİz</w:t>
      </w:r>
      <w:proofErr w:type="spellEnd"/>
      <w:r w:rsidRPr="00550D44">
        <w:rPr>
          <w:rFonts w:cs="Arial"/>
          <w:szCs w:val="22"/>
          <w:lang w:eastAsia="en-AU" w:bidi="ar-SA"/>
        </w:rPr>
        <w:t xml:space="preserve"> S (2013) Investigation of blood and milk lactoferrin concentrations in lactating ewes with subclinical mastitis. </w:t>
      </w:r>
      <w:proofErr w:type="spellStart"/>
      <w:r w:rsidRPr="00550D44">
        <w:rPr>
          <w:rFonts w:cs="Arial"/>
          <w:szCs w:val="22"/>
          <w:lang w:eastAsia="en-AU" w:bidi="ar-SA"/>
        </w:rPr>
        <w:t>Etlik</w:t>
      </w:r>
      <w:proofErr w:type="spellEnd"/>
      <w:r w:rsidRPr="00550D44">
        <w:rPr>
          <w:rFonts w:cs="Arial"/>
          <w:szCs w:val="22"/>
          <w:lang w:eastAsia="en-AU" w:bidi="ar-SA"/>
        </w:rPr>
        <w:t xml:space="preserve"> </w:t>
      </w:r>
      <w:proofErr w:type="spellStart"/>
      <w:r w:rsidRPr="00550D44">
        <w:rPr>
          <w:rFonts w:cs="Arial"/>
          <w:szCs w:val="22"/>
          <w:lang w:eastAsia="en-AU" w:bidi="ar-SA"/>
        </w:rPr>
        <w:t>Veteriner</w:t>
      </w:r>
      <w:proofErr w:type="spellEnd"/>
      <w:r w:rsidRPr="00550D44">
        <w:rPr>
          <w:rFonts w:cs="Arial"/>
          <w:szCs w:val="22"/>
          <w:lang w:eastAsia="en-AU" w:bidi="ar-SA"/>
        </w:rPr>
        <w:t xml:space="preserve"> </w:t>
      </w:r>
      <w:proofErr w:type="spellStart"/>
      <w:r w:rsidRPr="00550D44">
        <w:rPr>
          <w:rFonts w:cs="Arial"/>
          <w:szCs w:val="22"/>
          <w:lang w:eastAsia="en-AU" w:bidi="ar-SA"/>
        </w:rPr>
        <w:t>Mikrobiyoloji</w:t>
      </w:r>
      <w:proofErr w:type="spellEnd"/>
      <w:r w:rsidRPr="00550D44">
        <w:rPr>
          <w:rFonts w:cs="Arial"/>
          <w:szCs w:val="22"/>
          <w:lang w:eastAsia="en-AU" w:bidi="ar-SA"/>
        </w:rPr>
        <w:t xml:space="preserve"> </w:t>
      </w:r>
      <w:proofErr w:type="spellStart"/>
      <w:r w:rsidRPr="00550D44">
        <w:rPr>
          <w:rFonts w:cs="Arial"/>
          <w:szCs w:val="22"/>
          <w:lang w:eastAsia="en-AU" w:bidi="ar-SA"/>
        </w:rPr>
        <w:t>Dergisi</w:t>
      </w:r>
      <w:proofErr w:type="spellEnd"/>
      <w:r w:rsidRPr="00550D44">
        <w:rPr>
          <w:rFonts w:cs="Arial"/>
          <w:szCs w:val="22"/>
          <w:lang w:eastAsia="en-AU" w:bidi="ar-SA"/>
        </w:rPr>
        <w:t>, 24(2</w:t>
      </w:r>
      <w:r w:rsidR="004F435F" w:rsidRPr="00550D44">
        <w:rPr>
          <w:rFonts w:cs="Arial"/>
          <w:szCs w:val="22"/>
          <w:lang w:eastAsia="en-AU" w:bidi="ar-SA"/>
        </w:rPr>
        <w:t>)</w:t>
      </w:r>
      <w:r w:rsidR="004F435F">
        <w:rPr>
          <w:rFonts w:cs="Arial"/>
          <w:szCs w:val="22"/>
          <w:lang w:eastAsia="en-AU" w:bidi="ar-SA"/>
        </w:rPr>
        <w:t>:</w:t>
      </w:r>
      <w:r w:rsidRPr="00550D44">
        <w:rPr>
          <w:rFonts w:cs="Arial"/>
          <w:szCs w:val="22"/>
          <w:lang w:eastAsia="en-AU" w:bidi="ar-SA"/>
        </w:rPr>
        <w:t>37-40.</w:t>
      </w:r>
      <w:r w:rsidRPr="00550D44">
        <w:rPr>
          <w:rFonts w:cs="Arial"/>
          <w:szCs w:val="22"/>
          <w:lang w:val="en-AU" w:eastAsia="en-AU" w:bidi="ar-SA"/>
        </w:rPr>
        <w:t> </w:t>
      </w:r>
    </w:p>
    <w:p w14:paraId="703BC432" w14:textId="7AD03BC0" w:rsidR="00472786" w:rsidRDefault="00472786" w:rsidP="00384CD0">
      <w:pPr>
        <w:widowControl/>
        <w:textAlignment w:val="baseline"/>
        <w:rPr>
          <w:rFonts w:cs="Arial"/>
          <w:szCs w:val="22"/>
          <w:lang w:val="en-AU" w:eastAsia="en-AU" w:bidi="ar-SA"/>
        </w:rPr>
      </w:pPr>
    </w:p>
    <w:p w14:paraId="03C30604" w14:textId="078E67C5" w:rsidR="00472786" w:rsidRDefault="00472786" w:rsidP="00384CD0">
      <w:pPr>
        <w:widowControl/>
        <w:textAlignment w:val="baseline"/>
        <w:rPr>
          <w:rFonts w:cs="Arial"/>
          <w:szCs w:val="22"/>
          <w:lang w:val="en-AU" w:eastAsia="en-AU" w:bidi="ar-SA"/>
        </w:rPr>
      </w:pPr>
      <w:r w:rsidRPr="00472786">
        <w:rPr>
          <w:rFonts w:cs="Arial"/>
          <w:szCs w:val="22"/>
          <w:lang w:val="en-AU" w:eastAsia="en-AU" w:bidi="ar-SA"/>
        </w:rPr>
        <w:t xml:space="preserve">Ochoa TJ, </w:t>
      </w:r>
      <w:proofErr w:type="spellStart"/>
      <w:r w:rsidRPr="00472786">
        <w:rPr>
          <w:rFonts w:cs="Arial"/>
          <w:szCs w:val="22"/>
          <w:lang w:val="en-AU" w:eastAsia="en-AU" w:bidi="ar-SA"/>
        </w:rPr>
        <w:t>Zegarra</w:t>
      </w:r>
      <w:proofErr w:type="spellEnd"/>
      <w:r w:rsidRPr="00472786">
        <w:rPr>
          <w:rFonts w:cs="Arial"/>
          <w:szCs w:val="22"/>
          <w:lang w:val="en-AU" w:eastAsia="en-AU" w:bidi="ar-SA"/>
        </w:rPr>
        <w:t xml:space="preserve"> J, </w:t>
      </w:r>
      <w:proofErr w:type="spellStart"/>
      <w:r w:rsidRPr="00472786">
        <w:rPr>
          <w:rFonts w:cs="Arial"/>
          <w:szCs w:val="22"/>
          <w:lang w:val="en-AU" w:eastAsia="en-AU" w:bidi="ar-SA"/>
        </w:rPr>
        <w:t>Bellomo</w:t>
      </w:r>
      <w:proofErr w:type="spellEnd"/>
      <w:r w:rsidRPr="00472786">
        <w:rPr>
          <w:rFonts w:cs="Arial"/>
          <w:szCs w:val="22"/>
          <w:lang w:val="en-AU" w:eastAsia="en-AU" w:bidi="ar-SA"/>
        </w:rPr>
        <w:t xml:space="preserve"> S, </w:t>
      </w:r>
      <w:proofErr w:type="spellStart"/>
      <w:r w:rsidRPr="00472786">
        <w:rPr>
          <w:rFonts w:cs="Arial"/>
          <w:szCs w:val="22"/>
          <w:lang w:val="en-AU" w:eastAsia="en-AU" w:bidi="ar-SA"/>
        </w:rPr>
        <w:t>Carcamo</w:t>
      </w:r>
      <w:proofErr w:type="spellEnd"/>
      <w:r w:rsidRPr="00472786">
        <w:rPr>
          <w:rFonts w:cs="Arial"/>
          <w:szCs w:val="22"/>
          <w:lang w:val="en-AU" w:eastAsia="en-AU" w:bidi="ar-SA"/>
        </w:rPr>
        <w:t xml:space="preserve"> CP, Cam L, </w:t>
      </w:r>
      <w:proofErr w:type="spellStart"/>
      <w:r w:rsidRPr="00472786">
        <w:rPr>
          <w:rFonts w:cs="Arial"/>
          <w:szCs w:val="22"/>
          <w:lang w:val="en-AU" w:eastAsia="en-AU" w:bidi="ar-SA"/>
        </w:rPr>
        <w:t>Castañeda</w:t>
      </w:r>
      <w:proofErr w:type="spellEnd"/>
      <w:r w:rsidRPr="00472786">
        <w:rPr>
          <w:rFonts w:cs="Arial"/>
          <w:szCs w:val="22"/>
          <w:lang w:val="en-AU" w:eastAsia="en-AU" w:bidi="ar-SA"/>
        </w:rPr>
        <w:t xml:space="preserve"> A, Villavicencio A, Gonzales J, Rueda MS, Turin CG, </w:t>
      </w:r>
      <w:proofErr w:type="spellStart"/>
      <w:r w:rsidRPr="00472786">
        <w:rPr>
          <w:rFonts w:cs="Arial"/>
          <w:szCs w:val="22"/>
          <w:lang w:val="en-AU" w:eastAsia="en-AU" w:bidi="ar-SA"/>
        </w:rPr>
        <w:t>Zea</w:t>
      </w:r>
      <w:proofErr w:type="spellEnd"/>
      <w:r w:rsidRPr="00472786">
        <w:rPr>
          <w:rFonts w:cs="Arial"/>
          <w:szCs w:val="22"/>
          <w:lang w:val="en-AU" w:eastAsia="en-AU" w:bidi="ar-SA"/>
        </w:rPr>
        <w:t>-Vera A, Guillen D, Campos M, Ewing-C</w:t>
      </w:r>
      <w:r>
        <w:rPr>
          <w:rFonts w:cs="Arial"/>
          <w:szCs w:val="22"/>
          <w:lang w:val="en-AU" w:eastAsia="en-AU" w:bidi="ar-SA"/>
        </w:rPr>
        <w:t xml:space="preserve">obbs L; NEOLACTO Research Group (2020) </w:t>
      </w:r>
      <w:r w:rsidRPr="00472786">
        <w:rPr>
          <w:rFonts w:cs="Arial"/>
          <w:szCs w:val="22"/>
          <w:lang w:val="en-AU" w:eastAsia="en-AU" w:bidi="ar-SA"/>
        </w:rPr>
        <w:t>Randomized Controlled Trial of Bovine Lactoferrin for Prevention of Sepsis and Neurodevelopment Impairment in Infants Weighing Less Than 2000 Grams</w:t>
      </w:r>
      <w:r>
        <w:rPr>
          <w:rFonts w:cs="Arial"/>
          <w:szCs w:val="22"/>
          <w:lang w:val="en-AU" w:eastAsia="en-AU" w:bidi="ar-SA"/>
        </w:rPr>
        <w:t xml:space="preserve">. J </w:t>
      </w:r>
      <w:proofErr w:type="spellStart"/>
      <w:r>
        <w:rPr>
          <w:rFonts w:cs="Arial"/>
          <w:szCs w:val="22"/>
          <w:lang w:val="en-AU" w:eastAsia="en-AU" w:bidi="ar-SA"/>
        </w:rPr>
        <w:t>Pediatr</w:t>
      </w:r>
      <w:proofErr w:type="spellEnd"/>
      <w:r>
        <w:rPr>
          <w:rFonts w:cs="Arial"/>
          <w:szCs w:val="22"/>
          <w:lang w:val="en-AU" w:eastAsia="en-AU" w:bidi="ar-SA"/>
        </w:rPr>
        <w:t xml:space="preserve"> </w:t>
      </w:r>
      <w:r w:rsidRPr="00472786">
        <w:rPr>
          <w:rFonts w:cs="Arial"/>
          <w:szCs w:val="22"/>
          <w:lang w:val="en-AU" w:eastAsia="en-AU" w:bidi="ar-SA"/>
        </w:rPr>
        <w:t>219:118-125.e5</w:t>
      </w:r>
      <w:r>
        <w:rPr>
          <w:rFonts w:cs="Arial"/>
          <w:szCs w:val="22"/>
          <w:lang w:val="en-AU" w:eastAsia="en-AU" w:bidi="ar-SA"/>
        </w:rPr>
        <w:t xml:space="preserve">. </w:t>
      </w:r>
    </w:p>
    <w:p w14:paraId="43A259FC" w14:textId="77777777" w:rsidR="00472786" w:rsidRDefault="00472786" w:rsidP="00384CD0">
      <w:pPr>
        <w:widowControl/>
        <w:textAlignment w:val="baseline"/>
        <w:rPr>
          <w:rFonts w:cs="Arial"/>
          <w:szCs w:val="22"/>
          <w:lang w:val="en-AU" w:eastAsia="en-AU" w:bidi="ar-SA"/>
        </w:rPr>
      </w:pPr>
    </w:p>
    <w:p w14:paraId="21912E23" w14:textId="53998579" w:rsidR="00472786" w:rsidRDefault="00472786" w:rsidP="00384CD0">
      <w:pPr>
        <w:widowControl/>
        <w:textAlignment w:val="baseline"/>
        <w:rPr>
          <w:rFonts w:cs="Arial"/>
          <w:szCs w:val="22"/>
          <w:lang w:val="en-AU" w:eastAsia="en-AU" w:bidi="ar-SA"/>
        </w:rPr>
      </w:pPr>
      <w:r w:rsidRPr="00472786">
        <w:rPr>
          <w:rFonts w:cs="Arial"/>
          <w:szCs w:val="22"/>
          <w:lang w:val="en-AU" w:eastAsia="en-AU" w:bidi="ar-SA"/>
        </w:rPr>
        <w:t xml:space="preserve">Ochoa TJ, </w:t>
      </w:r>
      <w:proofErr w:type="spellStart"/>
      <w:r w:rsidRPr="00472786">
        <w:rPr>
          <w:rFonts w:cs="Arial"/>
          <w:szCs w:val="22"/>
          <w:lang w:val="en-AU" w:eastAsia="en-AU" w:bidi="ar-SA"/>
        </w:rPr>
        <w:t>Zegarra</w:t>
      </w:r>
      <w:proofErr w:type="spellEnd"/>
      <w:r w:rsidRPr="00472786">
        <w:rPr>
          <w:rFonts w:cs="Arial"/>
          <w:szCs w:val="22"/>
          <w:lang w:val="en-AU" w:eastAsia="en-AU" w:bidi="ar-SA"/>
        </w:rPr>
        <w:t xml:space="preserve"> J, Cam L, Llanos R, Pezo A, Cruz K, </w:t>
      </w:r>
      <w:proofErr w:type="spellStart"/>
      <w:r w:rsidRPr="00472786">
        <w:rPr>
          <w:rFonts w:cs="Arial"/>
          <w:szCs w:val="22"/>
          <w:lang w:val="en-AU" w:eastAsia="en-AU" w:bidi="ar-SA"/>
        </w:rPr>
        <w:t>Zea</w:t>
      </w:r>
      <w:proofErr w:type="spellEnd"/>
      <w:r w:rsidRPr="00472786">
        <w:rPr>
          <w:rFonts w:cs="Arial"/>
          <w:szCs w:val="22"/>
          <w:lang w:val="en-AU" w:eastAsia="en-AU" w:bidi="ar-SA"/>
        </w:rPr>
        <w:t xml:space="preserve">-Vera A, </w:t>
      </w:r>
      <w:proofErr w:type="spellStart"/>
      <w:r w:rsidRPr="00472786">
        <w:rPr>
          <w:rFonts w:cs="Arial"/>
          <w:szCs w:val="22"/>
          <w:lang w:val="en-AU" w:eastAsia="en-AU" w:bidi="ar-SA"/>
        </w:rPr>
        <w:t>Cárcamo</w:t>
      </w:r>
      <w:proofErr w:type="spellEnd"/>
      <w:r w:rsidRPr="00472786">
        <w:rPr>
          <w:rFonts w:cs="Arial"/>
          <w:szCs w:val="22"/>
          <w:lang w:val="en-AU" w:eastAsia="en-AU" w:bidi="ar-SA"/>
        </w:rPr>
        <w:t xml:space="preserve"> C, Campos M, </w:t>
      </w:r>
      <w:proofErr w:type="spellStart"/>
      <w:r w:rsidRPr="00472786">
        <w:rPr>
          <w:rFonts w:cs="Arial"/>
          <w:szCs w:val="22"/>
          <w:lang w:val="en-AU" w:eastAsia="en-AU" w:bidi="ar-SA"/>
        </w:rPr>
        <w:t>Bel</w:t>
      </w:r>
      <w:r>
        <w:rPr>
          <w:rFonts w:cs="Arial"/>
          <w:szCs w:val="22"/>
          <w:lang w:val="en-AU" w:eastAsia="en-AU" w:bidi="ar-SA"/>
        </w:rPr>
        <w:t>lomo</w:t>
      </w:r>
      <w:proofErr w:type="spellEnd"/>
      <w:r>
        <w:rPr>
          <w:rFonts w:cs="Arial"/>
          <w:szCs w:val="22"/>
          <w:lang w:val="en-AU" w:eastAsia="en-AU" w:bidi="ar-SA"/>
        </w:rPr>
        <w:t xml:space="preserve"> S; NEOLACTO Research Group (2015) </w:t>
      </w:r>
      <w:r w:rsidRPr="00472786">
        <w:rPr>
          <w:rFonts w:cs="Arial"/>
          <w:szCs w:val="22"/>
          <w:lang w:val="en-AU" w:eastAsia="en-AU" w:bidi="ar-SA"/>
        </w:rPr>
        <w:t xml:space="preserve">Randomized controlled trial of lactoferrin for prevention of sepsis in </w:t>
      </w:r>
      <w:proofErr w:type="spellStart"/>
      <w:r w:rsidRPr="00472786">
        <w:rPr>
          <w:rFonts w:cs="Arial"/>
          <w:szCs w:val="22"/>
          <w:lang w:val="en-AU" w:eastAsia="en-AU" w:bidi="ar-SA"/>
        </w:rPr>
        <w:t>peruvian</w:t>
      </w:r>
      <w:proofErr w:type="spellEnd"/>
      <w:r w:rsidRPr="00472786">
        <w:rPr>
          <w:rFonts w:cs="Arial"/>
          <w:szCs w:val="22"/>
          <w:lang w:val="en-AU" w:eastAsia="en-AU" w:bidi="ar-SA"/>
        </w:rPr>
        <w:t xml:space="preserve"> neonates less than 2500 g</w:t>
      </w:r>
      <w:r>
        <w:rPr>
          <w:rFonts w:cs="Arial"/>
          <w:szCs w:val="22"/>
          <w:lang w:val="en-AU" w:eastAsia="en-AU" w:bidi="ar-SA"/>
        </w:rPr>
        <w:t xml:space="preserve">. </w:t>
      </w:r>
      <w:proofErr w:type="spellStart"/>
      <w:r>
        <w:rPr>
          <w:rFonts w:cs="Arial"/>
          <w:szCs w:val="22"/>
          <w:lang w:val="en-AU" w:eastAsia="en-AU" w:bidi="ar-SA"/>
        </w:rPr>
        <w:t>Pediatr</w:t>
      </w:r>
      <w:proofErr w:type="spellEnd"/>
      <w:r>
        <w:rPr>
          <w:rFonts w:cs="Arial"/>
          <w:szCs w:val="22"/>
          <w:lang w:val="en-AU" w:eastAsia="en-AU" w:bidi="ar-SA"/>
        </w:rPr>
        <w:t xml:space="preserve"> Infect Dis J </w:t>
      </w:r>
      <w:r w:rsidRPr="00472786">
        <w:rPr>
          <w:rFonts w:cs="Arial"/>
          <w:szCs w:val="22"/>
          <w:lang w:val="en-AU" w:eastAsia="en-AU" w:bidi="ar-SA"/>
        </w:rPr>
        <w:t>34(6):571-6.</w:t>
      </w:r>
    </w:p>
    <w:p w14:paraId="3E08687B" w14:textId="74A2DD5C" w:rsidR="002C098D" w:rsidRDefault="002C098D" w:rsidP="00384CD0">
      <w:pPr>
        <w:widowControl/>
        <w:textAlignment w:val="baseline"/>
        <w:rPr>
          <w:rFonts w:cs="Arial"/>
          <w:szCs w:val="22"/>
          <w:lang w:val="en-AU" w:eastAsia="en-AU" w:bidi="ar-SA"/>
        </w:rPr>
      </w:pPr>
    </w:p>
    <w:p w14:paraId="7F41891B" w14:textId="7357D51D" w:rsidR="002C098D" w:rsidRPr="00550D44" w:rsidRDefault="002C098D" w:rsidP="00384CD0">
      <w:pPr>
        <w:widowControl/>
        <w:textAlignment w:val="baseline"/>
        <w:rPr>
          <w:rFonts w:cs="Arial"/>
          <w:szCs w:val="22"/>
          <w:lang w:val="en-AU" w:eastAsia="en-AU" w:bidi="ar-SA"/>
        </w:rPr>
      </w:pPr>
      <w:proofErr w:type="spellStart"/>
      <w:r>
        <w:rPr>
          <w:rFonts w:cs="Arial"/>
          <w:szCs w:val="22"/>
          <w:lang w:val="en-AU" w:eastAsia="en-AU" w:bidi="ar-SA"/>
        </w:rPr>
        <w:t>Pammi</w:t>
      </w:r>
      <w:proofErr w:type="spellEnd"/>
      <w:r>
        <w:rPr>
          <w:rFonts w:cs="Arial"/>
          <w:szCs w:val="22"/>
          <w:lang w:val="en-AU" w:eastAsia="en-AU" w:bidi="ar-SA"/>
        </w:rPr>
        <w:t xml:space="preserve"> M</w:t>
      </w:r>
      <w:r w:rsidR="004F435F">
        <w:rPr>
          <w:rFonts w:cs="Arial"/>
          <w:szCs w:val="22"/>
          <w:lang w:val="en-AU" w:eastAsia="en-AU" w:bidi="ar-SA"/>
        </w:rPr>
        <w:t>,</w:t>
      </w:r>
      <w:r>
        <w:rPr>
          <w:rFonts w:cs="Arial"/>
          <w:szCs w:val="22"/>
          <w:lang w:val="en-AU" w:eastAsia="en-AU" w:bidi="ar-SA"/>
        </w:rPr>
        <w:t xml:space="preserve"> Gautham KS</w:t>
      </w:r>
      <w:r w:rsidR="00FE2EE5">
        <w:rPr>
          <w:rFonts w:cs="Arial"/>
          <w:szCs w:val="22"/>
          <w:lang w:val="en-AU" w:eastAsia="en-AU" w:bidi="ar-SA"/>
        </w:rPr>
        <w:t xml:space="preserve"> (2020)</w:t>
      </w:r>
      <w:r>
        <w:rPr>
          <w:rFonts w:cs="Arial"/>
          <w:szCs w:val="22"/>
          <w:lang w:val="en-AU" w:eastAsia="en-AU" w:bidi="ar-SA"/>
        </w:rPr>
        <w:t xml:space="preserve"> </w:t>
      </w:r>
      <w:r w:rsidRPr="002C098D">
        <w:rPr>
          <w:rFonts w:cs="Arial"/>
          <w:szCs w:val="22"/>
          <w:lang w:val="en-AU" w:eastAsia="en-AU" w:bidi="ar-SA"/>
        </w:rPr>
        <w:t>Enteral lactoferrin supplementation for prevention of sepsis and necrotizing enterocolitis in preterm infants</w:t>
      </w:r>
      <w:r>
        <w:rPr>
          <w:rFonts w:cs="Arial"/>
          <w:szCs w:val="22"/>
          <w:lang w:val="en-AU" w:eastAsia="en-AU" w:bidi="ar-SA"/>
        </w:rPr>
        <w:t xml:space="preserve">. </w:t>
      </w:r>
      <w:r w:rsidR="00FE2EE5">
        <w:rPr>
          <w:rFonts w:cs="Arial"/>
          <w:szCs w:val="22"/>
          <w:lang w:val="en-AU" w:eastAsia="en-AU" w:bidi="ar-SA"/>
        </w:rPr>
        <w:t xml:space="preserve">Cochrane Database Syst Rev 3: Art No. CD007137. </w:t>
      </w:r>
    </w:p>
    <w:p w14:paraId="2CBF61EB" w14:textId="77777777" w:rsidR="00384CD0" w:rsidRPr="00550D44" w:rsidRDefault="00384CD0" w:rsidP="00384CD0">
      <w:pPr>
        <w:widowControl/>
        <w:textAlignment w:val="baseline"/>
        <w:rPr>
          <w:rFonts w:cs="Arial"/>
          <w:szCs w:val="22"/>
          <w:lang w:val="en-AU" w:eastAsia="en-AU" w:bidi="ar-SA"/>
        </w:rPr>
      </w:pPr>
      <w:r w:rsidRPr="00550D44">
        <w:rPr>
          <w:rFonts w:cs="Arial"/>
          <w:szCs w:val="22"/>
          <w:lang w:val="en-AU" w:eastAsia="en-AU" w:bidi="ar-SA"/>
        </w:rPr>
        <w:t> </w:t>
      </w:r>
    </w:p>
    <w:p w14:paraId="451C521B" w14:textId="77777777" w:rsidR="00384CD0" w:rsidRPr="00550D44" w:rsidRDefault="00384CD0" w:rsidP="00384CD0">
      <w:pPr>
        <w:widowControl/>
        <w:textAlignment w:val="baseline"/>
        <w:rPr>
          <w:rFonts w:cs="Arial"/>
          <w:szCs w:val="22"/>
          <w:lang w:val="en-AU" w:eastAsia="en-AU" w:bidi="ar-SA"/>
        </w:rPr>
      </w:pPr>
      <w:r w:rsidRPr="00550D44">
        <w:rPr>
          <w:rFonts w:cs="Arial"/>
          <w:szCs w:val="22"/>
          <w:lang w:val="en-AU" w:eastAsia="en-AU" w:bidi="ar-SA"/>
        </w:rPr>
        <w:t xml:space="preserve">Pan American Health Organization (2003) Guiding Principles for Complementary Feeding of the Breastfed Child. </w:t>
      </w:r>
      <w:hyperlink r:id="rId26" w:tgtFrame="_blank" w:history="1">
        <w:r w:rsidRPr="00550D44">
          <w:rPr>
            <w:rFonts w:cs="Arial"/>
            <w:color w:val="0000FF"/>
            <w:szCs w:val="22"/>
            <w:u w:val="single"/>
            <w:lang w:val="en-AU" w:eastAsia="en-AU" w:bidi="ar-SA"/>
          </w:rPr>
          <w:t>http://www.who.int/nutrition/publications/guiding_principles_compfeeding_breastfed.pdf</w:t>
        </w:r>
      </w:hyperlink>
      <w:r w:rsidRPr="00550D44">
        <w:rPr>
          <w:rFonts w:cs="Arial"/>
          <w:szCs w:val="22"/>
          <w:lang w:val="en-AU" w:eastAsia="en-AU" w:bidi="ar-SA"/>
        </w:rPr>
        <w:t> </w:t>
      </w:r>
    </w:p>
    <w:p w14:paraId="00AB5BFE" w14:textId="77777777" w:rsidR="00FF6CFF" w:rsidRDefault="00FF6CFF" w:rsidP="00384CD0">
      <w:pPr>
        <w:widowControl/>
        <w:textAlignment w:val="baseline"/>
        <w:rPr>
          <w:rFonts w:cs="Arial"/>
          <w:szCs w:val="22"/>
          <w:lang w:val="en-AU" w:eastAsia="en-AU" w:bidi="ar-SA"/>
        </w:rPr>
      </w:pPr>
    </w:p>
    <w:p w14:paraId="21B31D96" w14:textId="46867017" w:rsidR="00FF6CFF" w:rsidRPr="00FF6CFF" w:rsidRDefault="004F435F" w:rsidP="00FF6CFF">
      <w:pPr>
        <w:widowControl/>
        <w:textAlignment w:val="baseline"/>
        <w:rPr>
          <w:rFonts w:cs="Arial"/>
          <w:szCs w:val="22"/>
          <w:lang w:val="en-AU" w:eastAsia="en-AU" w:bidi="ar-SA"/>
        </w:rPr>
      </w:pPr>
      <w:proofErr w:type="spellStart"/>
      <w:r w:rsidRPr="004F435F">
        <w:rPr>
          <w:rFonts w:cs="Arial"/>
          <w:szCs w:val="22"/>
          <w:lang w:val="en-AU" w:eastAsia="en-AU" w:bidi="ar-SA"/>
        </w:rPr>
        <w:t>Pietrantoni</w:t>
      </w:r>
      <w:proofErr w:type="spellEnd"/>
      <w:r w:rsidRPr="004F435F">
        <w:rPr>
          <w:rFonts w:cs="Arial"/>
          <w:szCs w:val="22"/>
          <w:lang w:val="en-AU" w:eastAsia="en-AU" w:bidi="ar-SA"/>
        </w:rPr>
        <w:t xml:space="preserve"> A, Di </w:t>
      </w:r>
      <w:proofErr w:type="spellStart"/>
      <w:r w:rsidRPr="004F435F">
        <w:rPr>
          <w:rFonts w:cs="Arial"/>
          <w:szCs w:val="22"/>
          <w:lang w:val="en-AU" w:eastAsia="en-AU" w:bidi="ar-SA"/>
        </w:rPr>
        <w:t>Biase</w:t>
      </w:r>
      <w:proofErr w:type="spellEnd"/>
      <w:r w:rsidRPr="004F435F">
        <w:rPr>
          <w:rFonts w:cs="Arial"/>
          <w:szCs w:val="22"/>
          <w:lang w:val="en-AU" w:eastAsia="en-AU" w:bidi="ar-SA"/>
        </w:rPr>
        <w:t xml:space="preserve"> AM, </w:t>
      </w:r>
      <w:proofErr w:type="spellStart"/>
      <w:r w:rsidRPr="004F435F">
        <w:rPr>
          <w:rFonts w:cs="Arial"/>
          <w:szCs w:val="22"/>
          <w:lang w:val="en-AU" w:eastAsia="en-AU" w:bidi="ar-SA"/>
        </w:rPr>
        <w:t>Tinari</w:t>
      </w:r>
      <w:proofErr w:type="spellEnd"/>
      <w:r w:rsidRPr="004F435F">
        <w:rPr>
          <w:rFonts w:cs="Arial"/>
          <w:szCs w:val="22"/>
          <w:lang w:val="en-AU" w:eastAsia="en-AU" w:bidi="ar-SA"/>
        </w:rPr>
        <w:t xml:space="preserve"> A, Marchetti M, </w:t>
      </w:r>
      <w:proofErr w:type="spellStart"/>
      <w:r w:rsidRPr="004F435F">
        <w:rPr>
          <w:rFonts w:cs="Arial"/>
          <w:szCs w:val="22"/>
          <w:lang w:val="en-AU" w:eastAsia="en-AU" w:bidi="ar-SA"/>
        </w:rPr>
        <w:t>Valenti</w:t>
      </w:r>
      <w:proofErr w:type="spellEnd"/>
      <w:r w:rsidRPr="004F435F">
        <w:rPr>
          <w:rFonts w:cs="Arial"/>
          <w:szCs w:val="22"/>
          <w:lang w:val="en-AU" w:eastAsia="en-AU" w:bidi="ar-SA"/>
        </w:rPr>
        <w:t xml:space="preserve"> P, </w:t>
      </w:r>
      <w:proofErr w:type="spellStart"/>
      <w:r w:rsidRPr="004F435F">
        <w:rPr>
          <w:rFonts w:cs="Arial"/>
          <w:szCs w:val="22"/>
          <w:lang w:val="en-AU" w:eastAsia="en-AU" w:bidi="ar-SA"/>
        </w:rPr>
        <w:t>Seganti</w:t>
      </w:r>
      <w:proofErr w:type="spellEnd"/>
      <w:r w:rsidRPr="004F435F">
        <w:rPr>
          <w:rFonts w:cs="Arial"/>
          <w:szCs w:val="22"/>
          <w:lang w:val="en-AU" w:eastAsia="en-AU" w:bidi="ar-SA"/>
        </w:rPr>
        <w:t xml:space="preserve"> L, </w:t>
      </w:r>
      <w:proofErr w:type="spellStart"/>
      <w:r w:rsidRPr="004F435F">
        <w:rPr>
          <w:rFonts w:cs="Arial"/>
          <w:szCs w:val="22"/>
          <w:lang w:val="en-AU" w:eastAsia="en-AU" w:bidi="ar-SA"/>
        </w:rPr>
        <w:t>Superti</w:t>
      </w:r>
      <w:proofErr w:type="spellEnd"/>
      <w:r w:rsidRPr="004F435F">
        <w:rPr>
          <w:rFonts w:cs="Arial"/>
          <w:szCs w:val="22"/>
          <w:lang w:val="en-AU" w:eastAsia="en-AU" w:bidi="ar-SA"/>
        </w:rPr>
        <w:t xml:space="preserve"> F</w:t>
      </w:r>
      <w:r w:rsidR="00FF6CFF" w:rsidRPr="00FF6CFF">
        <w:rPr>
          <w:rFonts w:cs="Arial"/>
          <w:szCs w:val="22"/>
          <w:lang w:val="en-AU" w:eastAsia="en-AU" w:bidi="ar-SA"/>
        </w:rPr>
        <w:t xml:space="preserve"> (2003) Bovine lactoferrin inhibits adenovirus infections by interacting with viral structural polypeptides. </w:t>
      </w:r>
      <w:proofErr w:type="spellStart"/>
      <w:r w:rsidR="00FF6CFF" w:rsidRPr="00FF6CFF">
        <w:rPr>
          <w:rFonts w:cs="Arial"/>
          <w:szCs w:val="22"/>
          <w:lang w:val="en-AU" w:eastAsia="en-AU" w:bidi="ar-SA"/>
        </w:rPr>
        <w:t>Antimicrob</w:t>
      </w:r>
      <w:proofErr w:type="spellEnd"/>
      <w:r w:rsidR="00FF6CFF" w:rsidRPr="00FF6CFF">
        <w:rPr>
          <w:rFonts w:cs="Arial"/>
          <w:szCs w:val="22"/>
          <w:lang w:val="en-AU" w:eastAsia="en-AU" w:bidi="ar-SA"/>
        </w:rPr>
        <w:t xml:space="preserve"> Agents </w:t>
      </w:r>
      <w:proofErr w:type="spellStart"/>
      <w:r w:rsidR="00FF6CFF" w:rsidRPr="00FF6CFF">
        <w:rPr>
          <w:rFonts w:cs="Arial"/>
          <w:szCs w:val="22"/>
          <w:lang w:val="en-AU" w:eastAsia="en-AU" w:bidi="ar-SA"/>
        </w:rPr>
        <w:t>Chemother</w:t>
      </w:r>
      <w:proofErr w:type="spellEnd"/>
      <w:r w:rsidR="00FF6CFF" w:rsidRPr="00FF6CFF">
        <w:rPr>
          <w:rFonts w:cs="Arial"/>
          <w:szCs w:val="22"/>
          <w:lang w:val="en-AU" w:eastAsia="en-AU" w:bidi="ar-SA"/>
        </w:rPr>
        <w:t xml:space="preserve"> 47(8</w:t>
      </w:r>
      <w:r w:rsidRPr="00FF6CFF">
        <w:rPr>
          <w:rFonts w:cs="Arial"/>
          <w:szCs w:val="22"/>
          <w:lang w:val="en-AU" w:eastAsia="en-AU" w:bidi="ar-SA"/>
        </w:rPr>
        <w:t>)</w:t>
      </w:r>
      <w:r>
        <w:rPr>
          <w:rFonts w:cs="Arial"/>
          <w:szCs w:val="22"/>
          <w:lang w:val="en-AU" w:eastAsia="en-AU" w:bidi="ar-SA"/>
        </w:rPr>
        <w:t>:</w:t>
      </w:r>
      <w:r w:rsidR="00FF6CFF" w:rsidRPr="00FF6CFF">
        <w:rPr>
          <w:rFonts w:cs="Arial"/>
          <w:szCs w:val="22"/>
          <w:lang w:val="en-AU" w:eastAsia="en-AU" w:bidi="ar-SA"/>
        </w:rPr>
        <w:t>2688-2691.</w:t>
      </w:r>
    </w:p>
    <w:p w14:paraId="6F82D503" w14:textId="77777777" w:rsidR="00FF6CFF" w:rsidRDefault="00FF6CFF" w:rsidP="00FF6CFF">
      <w:pPr>
        <w:widowControl/>
        <w:textAlignment w:val="baseline"/>
        <w:rPr>
          <w:rFonts w:cs="Arial"/>
          <w:szCs w:val="22"/>
          <w:lang w:val="en-AU" w:eastAsia="en-AU" w:bidi="ar-SA"/>
        </w:rPr>
      </w:pPr>
    </w:p>
    <w:p w14:paraId="2091821A" w14:textId="5A9C2673" w:rsidR="00FF6CFF" w:rsidRPr="00550D44" w:rsidRDefault="00FF6CFF" w:rsidP="00FF6CFF">
      <w:pPr>
        <w:widowControl/>
        <w:textAlignment w:val="baseline"/>
        <w:rPr>
          <w:rFonts w:cs="Arial"/>
          <w:szCs w:val="22"/>
          <w:lang w:val="en-AU" w:eastAsia="en-AU" w:bidi="ar-SA"/>
        </w:rPr>
      </w:pPr>
      <w:r w:rsidRPr="00550D44">
        <w:rPr>
          <w:rFonts w:cs="Arial"/>
          <w:szCs w:val="22"/>
          <w:lang w:eastAsia="en-AU" w:bidi="ar-SA"/>
        </w:rPr>
        <w:t xml:space="preserve">Pires AF, </w:t>
      </w:r>
      <w:proofErr w:type="spellStart"/>
      <w:r w:rsidRPr="00550D44">
        <w:rPr>
          <w:rFonts w:cs="Arial"/>
          <w:szCs w:val="22"/>
          <w:lang w:eastAsia="en-AU" w:bidi="ar-SA"/>
        </w:rPr>
        <w:t>Marnotes</w:t>
      </w:r>
      <w:proofErr w:type="spellEnd"/>
      <w:r w:rsidRPr="00550D44">
        <w:rPr>
          <w:rFonts w:cs="Arial"/>
          <w:szCs w:val="22"/>
          <w:lang w:eastAsia="en-AU" w:bidi="ar-SA"/>
        </w:rPr>
        <w:t xml:space="preserve"> NG, Rubio OD, Garcia AC, Pereira CD (2021) Dairy by-products: A review on the </w:t>
      </w:r>
      <w:proofErr w:type="spellStart"/>
      <w:r w:rsidRPr="00550D44">
        <w:rPr>
          <w:rFonts w:cs="Arial"/>
          <w:szCs w:val="22"/>
          <w:lang w:eastAsia="en-AU" w:bidi="ar-SA"/>
        </w:rPr>
        <w:t>valorization</w:t>
      </w:r>
      <w:proofErr w:type="spellEnd"/>
      <w:r w:rsidRPr="00550D44">
        <w:rPr>
          <w:rFonts w:cs="Arial"/>
          <w:szCs w:val="22"/>
          <w:lang w:eastAsia="en-AU" w:bidi="ar-SA"/>
        </w:rPr>
        <w:t xml:space="preserve"> of whey and second cheese whey. Foods, 10(5</w:t>
      </w:r>
      <w:r w:rsidR="003C1512" w:rsidRPr="00550D44">
        <w:rPr>
          <w:rFonts w:cs="Arial"/>
          <w:szCs w:val="22"/>
          <w:lang w:eastAsia="en-AU" w:bidi="ar-SA"/>
        </w:rPr>
        <w:t>)</w:t>
      </w:r>
      <w:r w:rsidR="003C1512">
        <w:rPr>
          <w:rFonts w:cs="Arial"/>
          <w:szCs w:val="22"/>
          <w:lang w:eastAsia="en-AU" w:bidi="ar-SA"/>
        </w:rPr>
        <w:t>:</w:t>
      </w:r>
      <w:r w:rsidRPr="00550D44">
        <w:rPr>
          <w:rFonts w:cs="Arial"/>
          <w:szCs w:val="22"/>
          <w:lang w:eastAsia="en-AU" w:bidi="ar-SA"/>
        </w:rPr>
        <w:t>1067.</w:t>
      </w:r>
    </w:p>
    <w:p w14:paraId="31800055" w14:textId="77777777" w:rsidR="00FF6CFF" w:rsidRPr="00FF6CFF" w:rsidRDefault="00FF6CFF" w:rsidP="00FF6CFF">
      <w:pPr>
        <w:widowControl/>
        <w:textAlignment w:val="baseline"/>
        <w:rPr>
          <w:rFonts w:cs="Arial"/>
          <w:szCs w:val="22"/>
          <w:lang w:val="en-AU" w:eastAsia="en-AU" w:bidi="ar-SA"/>
        </w:rPr>
      </w:pPr>
    </w:p>
    <w:p w14:paraId="357DAA18" w14:textId="12DC5A5B" w:rsidR="00FF6CFF" w:rsidRDefault="00FF6CFF" w:rsidP="00FF6CFF">
      <w:pPr>
        <w:widowControl/>
        <w:textAlignment w:val="baseline"/>
        <w:rPr>
          <w:rFonts w:cs="Arial"/>
          <w:szCs w:val="22"/>
          <w:lang w:val="en-AU" w:eastAsia="en-AU" w:bidi="ar-SA"/>
        </w:rPr>
      </w:pPr>
      <w:proofErr w:type="spellStart"/>
      <w:r w:rsidRPr="00FF6CFF">
        <w:rPr>
          <w:rFonts w:cs="Arial"/>
          <w:szCs w:val="22"/>
          <w:lang w:val="en-AU" w:eastAsia="en-AU" w:bidi="ar-SA"/>
        </w:rPr>
        <w:t>Portelli</w:t>
      </w:r>
      <w:proofErr w:type="spellEnd"/>
      <w:r w:rsidRPr="00FF6CFF">
        <w:rPr>
          <w:rFonts w:cs="Arial"/>
          <w:szCs w:val="22"/>
          <w:lang w:val="en-AU" w:eastAsia="en-AU" w:bidi="ar-SA"/>
        </w:rPr>
        <w:t xml:space="preserve"> J, Gordon A, May T (1998) Effect of compounds with antibacterial activities in human milk on respiratory syncytial virus and cytomegalovirus in vitro. J Med </w:t>
      </w:r>
      <w:proofErr w:type="spellStart"/>
      <w:r w:rsidRPr="00FF6CFF">
        <w:rPr>
          <w:rFonts w:cs="Arial"/>
          <w:szCs w:val="22"/>
          <w:lang w:val="en-AU" w:eastAsia="en-AU" w:bidi="ar-SA"/>
        </w:rPr>
        <w:t>Microbiol</w:t>
      </w:r>
      <w:proofErr w:type="spellEnd"/>
      <w:r w:rsidRPr="00FF6CFF">
        <w:rPr>
          <w:rFonts w:cs="Arial"/>
          <w:szCs w:val="22"/>
          <w:lang w:val="en-AU" w:eastAsia="en-AU" w:bidi="ar-SA"/>
        </w:rPr>
        <w:t>, 47, 1015-1018.</w:t>
      </w:r>
    </w:p>
    <w:p w14:paraId="3A53A1F9" w14:textId="01C0025E" w:rsidR="00384CD0" w:rsidRPr="00746F49" w:rsidRDefault="00384CD0" w:rsidP="6475D722">
      <w:pPr>
        <w:widowControl/>
        <w:textAlignment w:val="baseline"/>
        <w:rPr>
          <w:rFonts w:cs="Arial"/>
          <w:szCs w:val="22"/>
          <w:lang w:val="en-AU" w:eastAsia="en-AU" w:bidi="ar-SA"/>
        </w:rPr>
      </w:pPr>
    </w:p>
    <w:p w14:paraId="19DABE58" w14:textId="5F40DDBC" w:rsidR="00384CD0" w:rsidRPr="00063ED5" w:rsidRDefault="6475D722" w:rsidP="6475D722">
      <w:pPr>
        <w:widowControl/>
        <w:textAlignment w:val="baseline"/>
        <w:rPr>
          <w:rFonts w:cs="Arial"/>
          <w:szCs w:val="22"/>
          <w:lang w:eastAsia="en-AU" w:bidi="ar-SA"/>
        </w:rPr>
      </w:pPr>
      <w:r w:rsidRPr="00063ED5">
        <w:rPr>
          <w:rFonts w:eastAsia="Arial" w:cs="Arial"/>
          <w:szCs w:val="22"/>
        </w:rPr>
        <w:t xml:space="preserve">Puccio G, </w:t>
      </w:r>
      <w:proofErr w:type="spellStart"/>
      <w:r w:rsidRPr="00063ED5">
        <w:rPr>
          <w:rFonts w:eastAsia="Arial" w:cs="Arial"/>
          <w:szCs w:val="22"/>
        </w:rPr>
        <w:t>Alliet</w:t>
      </w:r>
      <w:proofErr w:type="spellEnd"/>
      <w:r w:rsidRPr="00063ED5">
        <w:rPr>
          <w:rFonts w:eastAsia="Arial" w:cs="Arial"/>
          <w:szCs w:val="22"/>
        </w:rPr>
        <w:t xml:space="preserve"> P, </w:t>
      </w:r>
      <w:proofErr w:type="spellStart"/>
      <w:r w:rsidRPr="00063ED5">
        <w:rPr>
          <w:rFonts w:eastAsia="Arial" w:cs="Arial"/>
          <w:szCs w:val="22"/>
        </w:rPr>
        <w:t>Cajozzo</w:t>
      </w:r>
      <w:proofErr w:type="spellEnd"/>
      <w:r w:rsidRPr="00063ED5">
        <w:rPr>
          <w:rFonts w:eastAsia="Arial" w:cs="Arial"/>
          <w:szCs w:val="22"/>
        </w:rPr>
        <w:t xml:space="preserve"> C, Janssens E, </w:t>
      </w:r>
      <w:proofErr w:type="spellStart"/>
      <w:r w:rsidRPr="00063ED5">
        <w:rPr>
          <w:rFonts w:eastAsia="Arial" w:cs="Arial"/>
          <w:szCs w:val="22"/>
        </w:rPr>
        <w:t>Corsello</w:t>
      </w:r>
      <w:proofErr w:type="spellEnd"/>
      <w:r w:rsidRPr="00063ED5">
        <w:rPr>
          <w:rFonts w:eastAsia="Arial" w:cs="Arial"/>
          <w:szCs w:val="22"/>
        </w:rPr>
        <w:t xml:space="preserve"> G, Sprenger N, Wernimont S, </w:t>
      </w:r>
      <w:proofErr w:type="spellStart"/>
      <w:r w:rsidRPr="00063ED5">
        <w:rPr>
          <w:rFonts w:eastAsia="Arial" w:cs="Arial"/>
          <w:szCs w:val="22"/>
        </w:rPr>
        <w:t>Egli</w:t>
      </w:r>
      <w:proofErr w:type="spellEnd"/>
      <w:r w:rsidRPr="00063ED5">
        <w:rPr>
          <w:rFonts w:eastAsia="Arial" w:cs="Arial"/>
          <w:szCs w:val="22"/>
        </w:rPr>
        <w:t xml:space="preserve"> D, </w:t>
      </w:r>
      <w:proofErr w:type="spellStart"/>
      <w:r w:rsidRPr="00063ED5">
        <w:rPr>
          <w:rFonts w:eastAsia="Arial" w:cs="Arial"/>
          <w:szCs w:val="22"/>
        </w:rPr>
        <w:t>Gosoniu</w:t>
      </w:r>
      <w:proofErr w:type="spellEnd"/>
      <w:r w:rsidRPr="00063ED5">
        <w:rPr>
          <w:rFonts w:eastAsia="Arial" w:cs="Arial"/>
          <w:szCs w:val="22"/>
        </w:rPr>
        <w:t xml:space="preserve"> L, </w:t>
      </w:r>
      <w:proofErr w:type="spellStart"/>
      <w:r w:rsidRPr="00063ED5">
        <w:rPr>
          <w:rFonts w:eastAsia="Arial" w:cs="Arial"/>
          <w:szCs w:val="22"/>
        </w:rPr>
        <w:t>Steenhout</w:t>
      </w:r>
      <w:proofErr w:type="spellEnd"/>
      <w:r w:rsidRPr="00063ED5">
        <w:rPr>
          <w:rFonts w:eastAsia="Arial" w:cs="Arial"/>
          <w:szCs w:val="22"/>
        </w:rPr>
        <w:t xml:space="preserve"> P (2017) Effects of infant formula with human milk oligosaccharides on growth and morbidity: a randomized </w:t>
      </w:r>
      <w:proofErr w:type="spellStart"/>
      <w:r w:rsidRPr="00063ED5">
        <w:rPr>
          <w:rFonts w:eastAsia="Arial" w:cs="Arial"/>
          <w:szCs w:val="22"/>
        </w:rPr>
        <w:t>multicenter</w:t>
      </w:r>
      <w:proofErr w:type="spellEnd"/>
      <w:r w:rsidRPr="00063ED5">
        <w:rPr>
          <w:rFonts w:eastAsia="Arial" w:cs="Arial"/>
          <w:szCs w:val="22"/>
        </w:rPr>
        <w:t xml:space="preserve"> trial. J </w:t>
      </w:r>
      <w:proofErr w:type="spellStart"/>
      <w:r w:rsidRPr="00063ED5">
        <w:rPr>
          <w:rFonts w:eastAsia="Arial" w:cs="Arial"/>
          <w:szCs w:val="22"/>
        </w:rPr>
        <w:t>Pediatr</w:t>
      </w:r>
      <w:proofErr w:type="spellEnd"/>
      <w:r w:rsidRPr="00063ED5">
        <w:rPr>
          <w:rFonts w:eastAsia="Arial" w:cs="Arial"/>
          <w:szCs w:val="22"/>
        </w:rPr>
        <w:t xml:space="preserve"> Gastroenterol </w:t>
      </w:r>
      <w:proofErr w:type="spellStart"/>
      <w:r w:rsidRPr="00063ED5">
        <w:rPr>
          <w:rFonts w:eastAsia="Arial" w:cs="Arial"/>
          <w:szCs w:val="22"/>
        </w:rPr>
        <w:t>Nutr</w:t>
      </w:r>
      <w:proofErr w:type="spellEnd"/>
      <w:r w:rsidRPr="00063ED5">
        <w:rPr>
          <w:rFonts w:eastAsia="Arial" w:cs="Arial"/>
          <w:szCs w:val="22"/>
        </w:rPr>
        <w:t xml:space="preserve"> 64:624–631.</w:t>
      </w:r>
      <w:r w:rsidRPr="00063ED5">
        <w:rPr>
          <w:rFonts w:cs="Arial"/>
          <w:szCs w:val="22"/>
          <w:lang w:eastAsia="en-AU" w:bidi="ar-SA"/>
        </w:rPr>
        <w:t xml:space="preserve"> </w:t>
      </w:r>
    </w:p>
    <w:p w14:paraId="67BB8F24" w14:textId="639DB5F9" w:rsidR="00384CD0" w:rsidRPr="00063ED5" w:rsidRDefault="00384CD0" w:rsidP="6475D722">
      <w:pPr>
        <w:widowControl/>
        <w:textAlignment w:val="baseline"/>
        <w:rPr>
          <w:rFonts w:cs="Arial"/>
          <w:szCs w:val="22"/>
          <w:lang w:eastAsia="en-AU" w:bidi="ar-SA"/>
        </w:rPr>
      </w:pPr>
    </w:p>
    <w:p w14:paraId="35799C35" w14:textId="38116DB6" w:rsidR="00384CD0" w:rsidRPr="00550D44" w:rsidRDefault="003C1512" w:rsidP="6475D722">
      <w:pPr>
        <w:widowControl/>
        <w:textAlignment w:val="baseline"/>
        <w:rPr>
          <w:rFonts w:cs="Arial"/>
          <w:lang w:val="en-AU" w:eastAsia="en-AU" w:bidi="ar-SA"/>
        </w:rPr>
      </w:pPr>
      <w:r w:rsidRPr="003C1512">
        <w:rPr>
          <w:rFonts w:cs="Arial"/>
          <w:lang w:eastAsia="en-AU" w:bidi="ar-SA"/>
        </w:rPr>
        <w:t>Rai D, Adelman AS, Zhuang W, R</w:t>
      </w:r>
      <w:r>
        <w:rPr>
          <w:rFonts w:cs="Arial"/>
          <w:lang w:eastAsia="en-AU" w:bidi="ar-SA"/>
        </w:rPr>
        <w:t xml:space="preserve">ai GP, Boettcher J, </w:t>
      </w:r>
      <w:proofErr w:type="spellStart"/>
      <w:r>
        <w:rPr>
          <w:rFonts w:cs="Arial"/>
          <w:lang w:eastAsia="en-AU" w:bidi="ar-SA"/>
        </w:rPr>
        <w:t>Lönnerdal</w:t>
      </w:r>
      <w:proofErr w:type="spellEnd"/>
      <w:r>
        <w:rPr>
          <w:rFonts w:cs="Arial"/>
          <w:lang w:eastAsia="en-AU" w:bidi="ar-SA"/>
        </w:rPr>
        <w:t xml:space="preserve"> B</w:t>
      </w:r>
      <w:r w:rsidR="79203C22" w:rsidRPr="6475D722">
        <w:rPr>
          <w:rFonts w:cs="Arial"/>
          <w:lang w:eastAsia="en-AU" w:bidi="ar-SA"/>
        </w:rPr>
        <w:t xml:space="preserve"> (2014) Longitudinal changes in lactoferrin concentrations in human milk: a global systematic review. Crit </w:t>
      </w:r>
      <w:r>
        <w:rPr>
          <w:rFonts w:cs="Arial"/>
          <w:lang w:eastAsia="en-AU" w:bidi="ar-SA"/>
        </w:rPr>
        <w:t xml:space="preserve">Rev Food Sci </w:t>
      </w:r>
      <w:proofErr w:type="spellStart"/>
      <w:r>
        <w:rPr>
          <w:rFonts w:cs="Arial"/>
          <w:lang w:eastAsia="en-AU" w:bidi="ar-SA"/>
        </w:rPr>
        <w:t>Nutr</w:t>
      </w:r>
      <w:proofErr w:type="spellEnd"/>
      <w:r w:rsidR="79203C22" w:rsidRPr="6475D722">
        <w:rPr>
          <w:rFonts w:cs="Arial"/>
          <w:lang w:eastAsia="en-AU" w:bidi="ar-SA"/>
        </w:rPr>
        <w:t> 54(12</w:t>
      </w:r>
      <w:r w:rsidRPr="6475D722">
        <w:rPr>
          <w:rFonts w:cs="Arial"/>
          <w:lang w:eastAsia="en-AU" w:bidi="ar-SA"/>
        </w:rPr>
        <w:t>)</w:t>
      </w:r>
      <w:r>
        <w:rPr>
          <w:rFonts w:cs="Arial"/>
          <w:lang w:eastAsia="en-AU" w:bidi="ar-SA"/>
        </w:rPr>
        <w:t>:</w:t>
      </w:r>
      <w:r w:rsidR="79203C22" w:rsidRPr="6475D722">
        <w:rPr>
          <w:rFonts w:cs="Arial"/>
          <w:lang w:eastAsia="en-AU" w:bidi="ar-SA"/>
        </w:rPr>
        <w:t>1539-1547. </w:t>
      </w:r>
      <w:r w:rsidR="79203C22" w:rsidRPr="6475D722">
        <w:rPr>
          <w:rFonts w:cs="Arial"/>
          <w:lang w:val="en-AU" w:eastAsia="en-AU" w:bidi="ar-SA"/>
        </w:rPr>
        <w:t> </w:t>
      </w:r>
    </w:p>
    <w:p w14:paraId="156A736D" w14:textId="153AC465" w:rsidR="00384CD0" w:rsidRPr="00550D44" w:rsidRDefault="00384CD0" w:rsidP="00384CD0">
      <w:pPr>
        <w:widowControl/>
        <w:textAlignment w:val="baseline"/>
        <w:rPr>
          <w:rFonts w:cs="Arial"/>
          <w:szCs w:val="22"/>
          <w:lang w:val="en-AU" w:eastAsia="en-AU" w:bidi="ar-SA"/>
        </w:rPr>
      </w:pPr>
    </w:p>
    <w:p w14:paraId="2FDACBBB" w14:textId="4981D3E0" w:rsidR="00384CD0" w:rsidRDefault="00384CD0" w:rsidP="00384CD0">
      <w:pPr>
        <w:widowControl/>
        <w:textAlignment w:val="baseline"/>
        <w:rPr>
          <w:rFonts w:cs="Arial"/>
          <w:szCs w:val="22"/>
          <w:lang w:val="en-AU" w:eastAsia="en-AU" w:bidi="ar-SA"/>
        </w:rPr>
      </w:pPr>
      <w:proofErr w:type="spellStart"/>
      <w:r w:rsidRPr="00550D44">
        <w:rPr>
          <w:rFonts w:cs="Arial"/>
          <w:szCs w:val="22"/>
          <w:lang w:eastAsia="en-AU" w:bidi="ar-SA"/>
        </w:rPr>
        <w:t>Rainard</w:t>
      </w:r>
      <w:proofErr w:type="spellEnd"/>
      <w:r w:rsidRPr="00550D44">
        <w:rPr>
          <w:rFonts w:cs="Arial"/>
          <w:szCs w:val="22"/>
          <w:lang w:eastAsia="en-AU" w:bidi="ar-SA"/>
        </w:rPr>
        <w:t xml:space="preserve"> P, </w:t>
      </w:r>
      <w:proofErr w:type="spellStart"/>
      <w:r w:rsidRPr="00550D44">
        <w:rPr>
          <w:rFonts w:cs="Arial"/>
          <w:szCs w:val="22"/>
          <w:lang w:eastAsia="en-AU" w:bidi="ar-SA"/>
        </w:rPr>
        <w:t>Poutrel</w:t>
      </w:r>
      <w:proofErr w:type="spellEnd"/>
      <w:r w:rsidRPr="00550D44">
        <w:rPr>
          <w:rFonts w:cs="Arial"/>
          <w:szCs w:val="22"/>
          <w:lang w:eastAsia="en-AU" w:bidi="ar-SA"/>
        </w:rPr>
        <w:t xml:space="preserve"> B, </w:t>
      </w:r>
      <w:proofErr w:type="spellStart"/>
      <w:r w:rsidRPr="00550D44">
        <w:rPr>
          <w:rFonts w:cs="Arial"/>
          <w:szCs w:val="22"/>
          <w:lang w:eastAsia="en-AU" w:bidi="ar-SA"/>
        </w:rPr>
        <w:t>Caffin</w:t>
      </w:r>
      <w:proofErr w:type="spellEnd"/>
      <w:r w:rsidRPr="00550D44">
        <w:rPr>
          <w:rFonts w:cs="Arial"/>
          <w:szCs w:val="22"/>
          <w:lang w:eastAsia="en-AU" w:bidi="ar-SA"/>
        </w:rPr>
        <w:t xml:space="preserve"> JP (1982) Lactoferrin and transferrin in bovine milk in relation to certain physiological and pathological factors. In Annales de </w:t>
      </w:r>
      <w:proofErr w:type="spellStart"/>
      <w:r w:rsidRPr="00550D44">
        <w:rPr>
          <w:rFonts w:cs="Arial"/>
          <w:szCs w:val="22"/>
          <w:lang w:eastAsia="en-AU" w:bidi="ar-SA"/>
        </w:rPr>
        <w:t>Recherches</w:t>
      </w:r>
      <w:proofErr w:type="spellEnd"/>
      <w:r w:rsidRPr="00550D44">
        <w:rPr>
          <w:rFonts w:cs="Arial"/>
          <w:szCs w:val="22"/>
          <w:lang w:eastAsia="en-AU" w:bidi="ar-SA"/>
        </w:rPr>
        <w:t xml:space="preserve"> </w:t>
      </w:r>
      <w:proofErr w:type="spellStart"/>
      <w:r w:rsidRPr="00550D44">
        <w:rPr>
          <w:rFonts w:cs="Arial"/>
          <w:szCs w:val="22"/>
          <w:lang w:eastAsia="en-AU" w:bidi="ar-SA"/>
        </w:rPr>
        <w:t>Veterinaires</w:t>
      </w:r>
      <w:proofErr w:type="spellEnd"/>
      <w:r w:rsidRPr="00550D44">
        <w:rPr>
          <w:rFonts w:cs="Arial"/>
          <w:szCs w:val="22"/>
          <w:lang w:eastAsia="en-AU" w:bidi="ar-SA"/>
        </w:rPr>
        <w:t> 13</w:t>
      </w:r>
      <w:r w:rsidR="001F1801">
        <w:rPr>
          <w:rFonts w:cs="Arial"/>
          <w:szCs w:val="22"/>
          <w:lang w:eastAsia="en-AU" w:bidi="ar-SA"/>
        </w:rPr>
        <w:t>(</w:t>
      </w:r>
      <w:r w:rsidRPr="00550D44">
        <w:rPr>
          <w:rFonts w:cs="Arial"/>
          <w:szCs w:val="22"/>
          <w:lang w:eastAsia="en-AU" w:bidi="ar-SA"/>
        </w:rPr>
        <w:t>4</w:t>
      </w:r>
      <w:r w:rsidR="001F1801">
        <w:rPr>
          <w:rFonts w:cs="Arial"/>
          <w:szCs w:val="22"/>
          <w:lang w:eastAsia="en-AU" w:bidi="ar-SA"/>
        </w:rPr>
        <w:t>):</w:t>
      </w:r>
      <w:r w:rsidRPr="00550D44">
        <w:rPr>
          <w:rFonts w:cs="Arial"/>
          <w:szCs w:val="22"/>
          <w:lang w:eastAsia="en-AU" w:bidi="ar-SA"/>
        </w:rPr>
        <w:t>321-328.</w:t>
      </w:r>
      <w:r w:rsidRPr="00550D44">
        <w:rPr>
          <w:rFonts w:cs="Arial"/>
          <w:szCs w:val="22"/>
          <w:lang w:val="en-AU" w:eastAsia="en-AU" w:bidi="ar-SA"/>
        </w:rPr>
        <w:t> </w:t>
      </w:r>
    </w:p>
    <w:p w14:paraId="034DFD4E" w14:textId="484672E5" w:rsidR="00C31DAC" w:rsidRDefault="00C31DAC" w:rsidP="00384CD0">
      <w:pPr>
        <w:widowControl/>
        <w:textAlignment w:val="baseline"/>
        <w:rPr>
          <w:rFonts w:cs="Arial"/>
          <w:szCs w:val="22"/>
          <w:lang w:val="en-AU" w:eastAsia="en-AU" w:bidi="ar-SA"/>
        </w:rPr>
      </w:pPr>
    </w:p>
    <w:p w14:paraId="51B2963B" w14:textId="1C180B53" w:rsidR="00C31DAC" w:rsidRDefault="00C31DAC" w:rsidP="00384CD0">
      <w:pPr>
        <w:widowControl/>
        <w:textAlignment w:val="baseline"/>
        <w:rPr>
          <w:rFonts w:cs="Arial"/>
          <w:szCs w:val="22"/>
          <w:lang w:val="en-AU" w:eastAsia="en-AU" w:bidi="ar-SA"/>
        </w:rPr>
      </w:pPr>
      <w:r w:rsidRPr="00C31DAC">
        <w:rPr>
          <w:rFonts w:cs="Arial"/>
          <w:szCs w:val="22"/>
          <w:lang w:val="en-AU" w:eastAsia="en-AU" w:bidi="ar-SA"/>
        </w:rPr>
        <w:t>Reznikov EA, Comstock SS,</w:t>
      </w:r>
      <w:r>
        <w:rPr>
          <w:rFonts w:cs="Arial"/>
          <w:szCs w:val="22"/>
          <w:lang w:val="en-AU" w:eastAsia="en-AU" w:bidi="ar-SA"/>
        </w:rPr>
        <w:t xml:space="preserve"> Yi C, Contractor N, Donovan SM (2014) </w:t>
      </w:r>
      <w:r w:rsidRPr="00C31DAC">
        <w:rPr>
          <w:rFonts w:cs="Arial"/>
          <w:szCs w:val="22"/>
          <w:lang w:val="en-AU" w:eastAsia="en-AU" w:bidi="ar-SA"/>
        </w:rPr>
        <w:t>Dietary bovine lactoferrin increases intestinal cell proliferation in neonatal piglets</w:t>
      </w:r>
      <w:r>
        <w:rPr>
          <w:rFonts w:cs="Arial"/>
          <w:szCs w:val="22"/>
          <w:lang w:val="en-AU" w:eastAsia="en-AU" w:bidi="ar-SA"/>
        </w:rPr>
        <w:t xml:space="preserve">. J </w:t>
      </w:r>
      <w:proofErr w:type="spellStart"/>
      <w:r>
        <w:rPr>
          <w:rFonts w:cs="Arial"/>
          <w:szCs w:val="22"/>
          <w:lang w:val="en-AU" w:eastAsia="en-AU" w:bidi="ar-SA"/>
        </w:rPr>
        <w:t>Nutr</w:t>
      </w:r>
      <w:proofErr w:type="spellEnd"/>
      <w:r>
        <w:rPr>
          <w:rFonts w:cs="Arial"/>
          <w:szCs w:val="22"/>
          <w:lang w:val="en-AU" w:eastAsia="en-AU" w:bidi="ar-SA"/>
        </w:rPr>
        <w:t xml:space="preserve"> </w:t>
      </w:r>
      <w:r w:rsidRPr="00C31DAC">
        <w:rPr>
          <w:rFonts w:cs="Arial"/>
          <w:szCs w:val="22"/>
          <w:lang w:val="en-AU" w:eastAsia="en-AU" w:bidi="ar-SA"/>
        </w:rPr>
        <w:t>144(9):1401-8</w:t>
      </w:r>
      <w:r>
        <w:rPr>
          <w:rFonts w:cs="Arial"/>
          <w:szCs w:val="22"/>
          <w:lang w:val="en-AU" w:eastAsia="en-AU" w:bidi="ar-SA"/>
        </w:rPr>
        <w:t xml:space="preserve">. </w:t>
      </w:r>
    </w:p>
    <w:p w14:paraId="14434436" w14:textId="77777777" w:rsidR="00077173" w:rsidRDefault="00077173" w:rsidP="00384CD0">
      <w:pPr>
        <w:widowControl/>
        <w:textAlignment w:val="baseline"/>
        <w:rPr>
          <w:rFonts w:cs="Arial"/>
          <w:szCs w:val="22"/>
          <w:lang w:val="en-AU" w:eastAsia="en-AU" w:bidi="ar-SA"/>
        </w:rPr>
      </w:pPr>
    </w:p>
    <w:p w14:paraId="10731607" w14:textId="123FA550" w:rsidR="00077173" w:rsidRDefault="003C1512" w:rsidP="00384CD0">
      <w:pPr>
        <w:widowControl/>
        <w:textAlignment w:val="baseline"/>
        <w:rPr>
          <w:rFonts w:cs="Arial"/>
          <w:szCs w:val="22"/>
          <w:lang w:val="en-AU" w:eastAsia="en-AU" w:bidi="ar-SA"/>
        </w:rPr>
      </w:pPr>
      <w:r w:rsidRPr="003C1512">
        <w:rPr>
          <w:rFonts w:cs="Arial"/>
          <w:szCs w:val="22"/>
          <w:lang w:val="en-AU" w:eastAsia="en-AU" w:bidi="ar-SA"/>
        </w:rPr>
        <w:t xml:space="preserve">Reznikov EA, Comstock SS, </w:t>
      </w:r>
      <w:proofErr w:type="spellStart"/>
      <w:r w:rsidRPr="003C1512">
        <w:rPr>
          <w:rFonts w:cs="Arial"/>
          <w:szCs w:val="22"/>
          <w:lang w:val="en-AU" w:eastAsia="en-AU" w:bidi="ar-SA"/>
        </w:rPr>
        <w:t>Hoeflinger</w:t>
      </w:r>
      <w:proofErr w:type="spellEnd"/>
      <w:r w:rsidRPr="003C1512">
        <w:rPr>
          <w:rFonts w:cs="Arial"/>
          <w:szCs w:val="22"/>
          <w:lang w:val="en-AU" w:eastAsia="en-AU" w:bidi="ar-SA"/>
        </w:rPr>
        <w:t xml:space="preserve"> JL, Wang M, Miller MJ, Donovan SM.</w:t>
      </w:r>
      <w:r w:rsidR="00077173" w:rsidRPr="00077173">
        <w:rPr>
          <w:rFonts w:cs="Arial"/>
          <w:szCs w:val="22"/>
          <w:lang w:val="en-AU" w:eastAsia="en-AU" w:bidi="ar-SA"/>
        </w:rPr>
        <w:t xml:space="preserve"> (2018) Dietary bovine lactoferrin reduces </w:t>
      </w:r>
      <w:r w:rsidR="00077173" w:rsidRPr="00897661">
        <w:rPr>
          <w:rFonts w:cs="Arial"/>
          <w:i/>
          <w:szCs w:val="22"/>
          <w:lang w:val="en-AU" w:eastAsia="en-AU" w:bidi="ar-SA"/>
        </w:rPr>
        <w:t>Staphylococcus aureus</w:t>
      </w:r>
      <w:r w:rsidR="00077173" w:rsidRPr="00077173">
        <w:rPr>
          <w:rFonts w:cs="Arial"/>
          <w:szCs w:val="22"/>
          <w:lang w:val="en-AU" w:eastAsia="en-AU" w:bidi="ar-SA"/>
        </w:rPr>
        <w:t xml:space="preserve"> in the tissues and modulates the immune response in piglets systematicall</w:t>
      </w:r>
      <w:r>
        <w:rPr>
          <w:rFonts w:cs="Arial"/>
          <w:szCs w:val="22"/>
          <w:lang w:val="en-AU" w:eastAsia="en-AU" w:bidi="ar-SA"/>
        </w:rPr>
        <w:t>y</w:t>
      </w:r>
      <w:r w:rsidR="00077173" w:rsidRPr="00077173">
        <w:rPr>
          <w:rFonts w:cs="Arial"/>
          <w:szCs w:val="22"/>
          <w:lang w:val="en-AU" w:eastAsia="en-AU" w:bidi="ar-SA"/>
        </w:rPr>
        <w:t xml:space="preserve"> infected with S. aureus. </w:t>
      </w:r>
      <w:proofErr w:type="spellStart"/>
      <w:r w:rsidR="00077173" w:rsidRPr="00077173">
        <w:rPr>
          <w:rFonts w:cs="Arial"/>
          <w:szCs w:val="22"/>
          <w:lang w:val="en-AU" w:eastAsia="en-AU" w:bidi="ar-SA"/>
        </w:rPr>
        <w:t>Curr</w:t>
      </w:r>
      <w:proofErr w:type="spellEnd"/>
      <w:r w:rsidR="00077173" w:rsidRPr="00077173">
        <w:rPr>
          <w:rFonts w:cs="Arial"/>
          <w:szCs w:val="22"/>
          <w:lang w:val="en-AU" w:eastAsia="en-AU" w:bidi="ar-SA"/>
        </w:rPr>
        <w:t xml:space="preserve"> Dev </w:t>
      </w:r>
      <w:proofErr w:type="spellStart"/>
      <w:r w:rsidR="00077173" w:rsidRPr="00077173">
        <w:rPr>
          <w:rFonts w:cs="Arial"/>
          <w:szCs w:val="22"/>
          <w:lang w:val="en-AU" w:eastAsia="en-AU" w:bidi="ar-SA"/>
        </w:rPr>
        <w:t>Nutr</w:t>
      </w:r>
      <w:proofErr w:type="spellEnd"/>
      <w:r w:rsidR="00077173" w:rsidRPr="00077173">
        <w:rPr>
          <w:rFonts w:cs="Arial"/>
          <w:szCs w:val="22"/>
          <w:lang w:val="en-AU" w:eastAsia="en-AU" w:bidi="ar-SA"/>
        </w:rPr>
        <w:t xml:space="preserve"> 2(4</w:t>
      </w:r>
      <w:r w:rsidRPr="00077173">
        <w:rPr>
          <w:rFonts w:cs="Arial"/>
          <w:szCs w:val="22"/>
          <w:lang w:val="en-AU" w:eastAsia="en-AU" w:bidi="ar-SA"/>
        </w:rPr>
        <w:t>)</w:t>
      </w:r>
      <w:r>
        <w:rPr>
          <w:rFonts w:cs="Arial"/>
          <w:szCs w:val="22"/>
          <w:lang w:val="en-AU" w:eastAsia="en-AU" w:bidi="ar-SA"/>
        </w:rPr>
        <w:t>:</w:t>
      </w:r>
      <w:r w:rsidR="00077173" w:rsidRPr="00077173">
        <w:rPr>
          <w:rFonts w:cs="Arial"/>
          <w:szCs w:val="22"/>
          <w:lang w:val="en-AU" w:eastAsia="en-AU" w:bidi="ar-SA"/>
        </w:rPr>
        <w:t>nzy001.</w:t>
      </w:r>
    </w:p>
    <w:p w14:paraId="1601CC56" w14:textId="77777777" w:rsidR="00AD5219" w:rsidRPr="00AD5219" w:rsidRDefault="00AD5219" w:rsidP="00AD5219">
      <w:pPr>
        <w:widowControl/>
        <w:textAlignment w:val="baseline"/>
        <w:rPr>
          <w:rFonts w:cs="Arial"/>
          <w:szCs w:val="22"/>
          <w:lang w:val="en-AU" w:eastAsia="en-AU" w:bidi="ar-SA"/>
        </w:rPr>
      </w:pPr>
    </w:p>
    <w:p w14:paraId="75F31616" w14:textId="45B049F7" w:rsidR="00AD5219" w:rsidRPr="00AD5219" w:rsidRDefault="1BCF129A" w:rsidP="1BCF129A">
      <w:pPr>
        <w:widowControl/>
        <w:textAlignment w:val="baseline"/>
        <w:rPr>
          <w:szCs w:val="22"/>
          <w:lang w:val="en-US"/>
        </w:rPr>
      </w:pPr>
      <w:r w:rsidRPr="1BCF129A">
        <w:rPr>
          <w:rFonts w:eastAsia="Arial" w:cs="Arial"/>
          <w:color w:val="212121"/>
          <w:lang w:val="en-US"/>
        </w:rPr>
        <w:t>Schulz-</w:t>
      </w:r>
      <w:proofErr w:type="spellStart"/>
      <w:r w:rsidRPr="1BCF129A">
        <w:rPr>
          <w:rFonts w:eastAsia="Arial" w:cs="Arial"/>
          <w:color w:val="212121"/>
          <w:lang w:val="en-US"/>
        </w:rPr>
        <w:t>Lell</w:t>
      </w:r>
      <w:proofErr w:type="spellEnd"/>
      <w:r w:rsidRPr="1BCF129A">
        <w:rPr>
          <w:rFonts w:eastAsia="Arial" w:cs="Arial"/>
          <w:color w:val="212121"/>
          <w:lang w:val="en-US"/>
        </w:rPr>
        <w:t xml:space="preserve"> G, D</w:t>
      </w:r>
      <w:r w:rsidR="2F6C5033" w:rsidRPr="1BCF129A">
        <w:rPr>
          <w:rFonts w:eastAsia="Arial" w:cs="Arial"/>
          <w:color w:val="212121"/>
        </w:rPr>
        <w:t>ö</w:t>
      </w:r>
      <w:proofErr w:type="spellStart"/>
      <w:r w:rsidRPr="1BCF129A">
        <w:rPr>
          <w:rFonts w:eastAsia="Arial" w:cs="Arial"/>
          <w:color w:val="212121"/>
          <w:lang w:val="en-US"/>
        </w:rPr>
        <w:t>rner</w:t>
      </w:r>
      <w:proofErr w:type="spellEnd"/>
      <w:r w:rsidRPr="1BCF129A">
        <w:rPr>
          <w:rFonts w:eastAsia="Arial" w:cs="Arial"/>
          <w:color w:val="212121"/>
          <w:lang w:val="en-US"/>
        </w:rPr>
        <w:t xml:space="preserve"> K, </w:t>
      </w:r>
      <w:proofErr w:type="spellStart"/>
      <w:r w:rsidRPr="1BCF129A">
        <w:rPr>
          <w:rFonts w:eastAsia="Arial" w:cs="Arial"/>
          <w:color w:val="212121"/>
          <w:lang w:val="en-US"/>
        </w:rPr>
        <w:t>Oldigs</w:t>
      </w:r>
      <w:proofErr w:type="spellEnd"/>
      <w:r w:rsidRPr="1BCF129A">
        <w:rPr>
          <w:rFonts w:eastAsia="Arial" w:cs="Arial"/>
          <w:color w:val="212121"/>
          <w:lang w:val="en-US"/>
        </w:rPr>
        <w:t xml:space="preserve"> H-D, Sievers E, Schaub J (1991) Iron availability from an infant formula supplemented with bovine lactoferrin. Acta </w:t>
      </w:r>
      <w:proofErr w:type="spellStart"/>
      <w:r w:rsidRPr="1BCF129A">
        <w:rPr>
          <w:rFonts w:eastAsia="Arial" w:cs="Arial"/>
          <w:color w:val="212121"/>
          <w:lang w:val="en-US"/>
        </w:rPr>
        <w:t>Paediatr</w:t>
      </w:r>
      <w:proofErr w:type="spellEnd"/>
      <w:r w:rsidRPr="1BCF129A">
        <w:rPr>
          <w:rFonts w:eastAsia="Arial" w:cs="Arial"/>
          <w:color w:val="212121"/>
          <w:lang w:val="en-US"/>
        </w:rPr>
        <w:t xml:space="preserve"> </w:t>
      </w:r>
      <w:proofErr w:type="spellStart"/>
      <w:r w:rsidRPr="1BCF129A">
        <w:rPr>
          <w:rFonts w:eastAsia="Arial" w:cs="Arial"/>
          <w:color w:val="212121"/>
          <w:lang w:val="en-US"/>
        </w:rPr>
        <w:t>Scand</w:t>
      </w:r>
      <w:proofErr w:type="spellEnd"/>
      <w:r w:rsidRPr="1BCF129A">
        <w:rPr>
          <w:rFonts w:eastAsia="Arial" w:cs="Arial"/>
          <w:color w:val="212121"/>
          <w:lang w:val="en-US"/>
        </w:rPr>
        <w:t xml:space="preserve"> 80(2):155-158. </w:t>
      </w:r>
      <w:proofErr w:type="spellStart"/>
      <w:r w:rsidRPr="1BCF129A">
        <w:rPr>
          <w:rFonts w:eastAsia="Arial" w:cs="Arial"/>
          <w:color w:val="212121"/>
          <w:lang w:val="en-US"/>
        </w:rPr>
        <w:t>doi</w:t>
      </w:r>
      <w:proofErr w:type="spellEnd"/>
      <w:r w:rsidRPr="1BCF129A">
        <w:rPr>
          <w:rFonts w:eastAsia="Arial" w:cs="Arial"/>
          <w:color w:val="212121"/>
          <w:lang w:val="en-US"/>
        </w:rPr>
        <w:t>: 10.1111/j.1651-</w:t>
      </w:r>
      <w:r w:rsidRPr="1BCF129A">
        <w:rPr>
          <w:rFonts w:eastAsia="Arial" w:cs="Arial"/>
          <w:color w:val="212121"/>
          <w:szCs w:val="22"/>
          <w:lang w:val="en-US"/>
        </w:rPr>
        <w:t>2227.1991.tb11826.x</w:t>
      </w:r>
      <w:r w:rsidRPr="1BCF129A">
        <w:rPr>
          <w:rFonts w:eastAsia="Arial" w:cs="Arial"/>
          <w:color w:val="333333"/>
        </w:rPr>
        <w:t xml:space="preserve"> </w:t>
      </w:r>
    </w:p>
    <w:p w14:paraId="7B24A2B1" w14:textId="5169E12F" w:rsidR="00AD5219" w:rsidRPr="00AD5219" w:rsidRDefault="00AD5219" w:rsidP="1BCF129A">
      <w:pPr>
        <w:widowControl/>
        <w:textAlignment w:val="baseline"/>
        <w:rPr>
          <w:rFonts w:eastAsia="Arial" w:cs="Arial"/>
          <w:color w:val="333333"/>
        </w:rPr>
      </w:pPr>
    </w:p>
    <w:p w14:paraId="18EF7EDB" w14:textId="075420E7" w:rsidR="00AD5219" w:rsidRPr="00AD5219" w:rsidRDefault="2F6C5033" w:rsidP="00AD5219">
      <w:pPr>
        <w:widowControl/>
        <w:textAlignment w:val="baseline"/>
      </w:pPr>
      <w:r w:rsidRPr="1BCF129A">
        <w:rPr>
          <w:rFonts w:eastAsia="Arial" w:cs="Arial"/>
          <w:color w:val="333333"/>
        </w:rPr>
        <w:t xml:space="preserve">Shea BJ, Reeves BC, Wells G, </w:t>
      </w:r>
      <w:proofErr w:type="spellStart"/>
      <w:r w:rsidRPr="1BCF129A">
        <w:rPr>
          <w:rFonts w:eastAsia="Arial" w:cs="Arial"/>
          <w:color w:val="333333"/>
        </w:rPr>
        <w:t>Thuku</w:t>
      </w:r>
      <w:proofErr w:type="spellEnd"/>
      <w:r w:rsidRPr="1BCF129A">
        <w:rPr>
          <w:rFonts w:eastAsia="Arial" w:cs="Arial"/>
          <w:color w:val="333333"/>
        </w:rPr>
        <w:t xml:space="preserve"> M, Hamel C, Moran J, Moher D, </w:t>
      </w:r>
      <w:proofErr w:type="spellStart"/>
      <w:r w:rsidRPr="1BCF129A">
        <w:rPr>
          <w:rFonts w:eastAsia="Arial" w:cs="Arial"/>
          <w:color w:val="333333"/>
        </w:rPr>
        <w:t>Tugwell</w:t>
      </w:r>
      <w:proofErr w:type="spellEnd"/>
      <w:r w:rsidRPr="1BCF129A">
        <w:rPr>
          <w:rFonts w:eastAsia="Arial" w:cs="Arial"/>
          <w:color w:val="333333"/>
        </w:rPr>
        <w:t xml:space="preserve"> P, Welch V, </w:t>
      </w:r>
      <w:proofErr w:type="spellStart"/>
      <w:r w:rsidRPr="1BCF129A">
        <w:rPr>
          <w:rFonts w:eastAsia="Arial" w:cs="Arial"/>
          <w:color w:val="333333"/>
        </w:rPr>
        <w:t>Kristjansson</w:t>
      </w:r>
      <w:proofErr w:type="spellEnd"/>
      <w:r w:rsidRPr="1BCF129A">
        <w:rPr>
          <w:rFonts w:eastAsia="Arial" w:cs="Arial"/>
          <w:color w:val="333333"/>
        </w:rPr>
        <w:t xml:space="preserve"> E, Henry DA (2017) AMSTAR 2: a critical appraisal tool for systematic reviews that include randomised or non-randomised studies of healthcare interventions, or both. BMJ 358:j4008.</w:t>
      </w:r>
      <w:r w:rsidRPr="1BCF129A">
        <w:rPr>
          <w:rFonts w:eastAsia="Arial" w:cs="Arial"/>
        </w:rPr>
        <w:t xml:space="preserve"> </w:t>
      </w:r>
      <w:proofErr w:type="spellStart"/>
      <w:r w:rsidRPr="1BCF129A">
        <w:rPr>
          <w:rFonts w:eastAsia="Arial" w:cs="Arial"/>
        </w:rPr>
        <w:t>doi</w:t>
      </w:r>
      <w:proofErr w:type="spellEnd"/>
      <w:r w:rsidRPr="1BCF129A">
        <w:rPr>
          <w:rFonts w:eastAsia="Arial" w:cs="Arial"/>
        </w:rPr>
        <w:t>: 10.1136/bmj.j4008.</w:t>
      </w:r>
      <w:r w:rsidRPr="1BCF129A">
        <w:rPr>
          <w:rFonts w:eastAsia="Arial" w:cs="Arial"/>
          <w:lang w:val="en-AU"/>
        </w:rPr>
        <w:t xml:space="preserve"> </w:t>
      </w:r>
    </w:p>
    <w:p w14:paraId="72B57981" w14:textId="3BC4582D" w:rsidR="00AD5219" w:rsidRPr="00AD5219" w:rsidRDefault="00AD5219" w:rsidP="38221CDC">
      <w:pPr>
        <w:widowControl/>
        <w:textAlignment w:val="baseline"/>
        <w:rPr>
          <w:rFonts w:cs="Arial"/>
          <w:lang w:val="en-AU" w:eastAsia="en-AU" w:bidi="ar-SA"/>
        </w:rPr>
      </w:pPr>
    </w:p>
    <w:p w14:paraId="5E08C898" w14:textId="1FC22AC0" w:rsidR="00AD5219" w:rsidRDefault="003C1512" w:rsidP="00AD5219">
      <w:pPr>
        <w:widowControl/>
        <w:textAlignment w:val="baseline"/>
        <w:rPr>
          <w:rFonts w:cs="Arial"/>
          <w:lang w:val="en-AU" w:eastAsia="en-AU" w:bidi="ar-SA"/>
        </w:rPr>
      </w:pPr>
      <w:r w:rsidRPr="003C1512">
        <w:rPr>
          <w:rFonts w:cs="Arial"/>
          <w:lang w:val="en-AU" w:eastAsia="en-AU" w:bidi="ar-SA"/>
        </w:rPr>
        <w:t xml:space="preserve">Shin K, Wakabayashi H, Yamauchi K, </w:t>
      </w:r>
      <w:proofErr w:type="spellStart"/>
      <w:r w:rsidRPr="003C1512">
        <w:rPr>
          <w:rFonts w:cs="Arial"/>
          <w:lang w:val="en-AU" w:eastAsia="en-AU" w:bidi="ar-SA"/>
        </w:rPr>
        <w:t>Teraguchi</w:t>
      </w:r>
      <w:proofErr w:type="spellEnd"/>
      <w:r w:rsidRPr="003C1512">
        <w:rPr>
          <w:rFonts w:cs="Arial"/>
          <w:lang w:val="en-AU" w:eastAsia="en-AU" w:bidi="ar-SA"/>
        </w:rPr>
        <w:t xml:space="preserve"> S, Tamura Y, </w:t>
      </w:r>
      <w:proofErr w:type="spellStart"/>
      <w:r w:rsidRPr="003C1512">
        <w:rPr>
          <w:rFonts w:cs="Arial"/>
          <w:lang w:val="en-AU" w:eastAsia="en-AU" w:bidi="ar-SA"/>
        </w:rPr>
        <w:t>Kurokawa</w:t>
      </w:r>
      <w:proofErr w:type="spellEnd"/>
      <w:r w:rsidRPr="003C1512">
        <w:rPr>
          <w:rFonts w:cs="Arial"/>
          <w:lang w:val="en-AU" w:eastAsia="en-AU" w:bidi="ar-SA"/>
        </w:rPr>
        <w:t xml:space="preserve"> M, </w:t>
      </w:r>
      <w:proofErr w:type="spellStart"/>
      <w:r w:rsidRPr="003C1512">
        <w:rPr>
          <w:rFonts w:cs="Arial"/>
          <w:lang w:val="en-AU" w:eastAsia="en-AU" w:bidi="ar-SA"/>
        </w:rPr>
        <w:t>Shiraki</w:t>
      </w:r>
      <w:proofErr w:type="spellEnd"/>
      <w:r w:rsidRPr="003C1512">
        <w:rPr>
          <w:rFonts w:cs="Arial"/>
          <w:lang w:val="en-AU" w:eastAsia="en-AU" w:bidi="ar-SA"/>
        </w:rPr>
        <w:t xml:space="preserve"> K.</w:t>
      </w:r>
      <w:r w:rsidR="00AD5219" w:rsidRPr="38221CDC">
        <w:rPr>
          <w:rFonts w:cs="Arial"/>
          <w:lang w:val="en-AU" w:eastAsia="en-AU" w:bidi="ar-SA"/>
        </w:rPr>
        <w:t xml:space="preserve"> (2005) Effects of orally administered bovine lactoferrin and </w:t>
      </w:r>
      <w:proofErr w:type="spellStart"/>
      <w:r w:rsidR="00AD5219" w:rsidRPr="38221CDC">
        <w:rPr>
          <w:rFonts w:cs="Arial"/>
          <w:lang w:val="en-AU" w:eastAsia="en-AU" w:bidi="ar-SA"/>
        </w:rPr>
        <w:t>lactoperoxidase</w:t>
      </w:r>
      <w:proofErr w:type="spellEnd"/>
      <w:r w:rsidR="00AD5219" w:rsidRPr="38221CDC">
        <w:rPr>
          <w:rFonts w:cs="Arial"/>
          <w:lang w:val="en-AU" w:eastAsia="en-AU" w:bidi="ar-SA"/>
        </w:rPr>
        <w:t xml:space="preserve"> on influenza virus infection in mice. J Med </w:t>
      </w:r>
      <w:proofErr w:type="spellStart"/>
      <w:r w:rsidR="00AD5219" w:rsidRPr="38221CDC">
        <w:rPr>
          <w:rFonts w:cs="Arial"/>
          <w:lang w:val="en-AU" w:eastAsia="en-AU" w:bidi="ar-SA"/>
        </w:rPr>
        <w:t>Microbiol</w:t>
      </w:r>
      <w:proofErr w:type="spellEnd"/>
      <w:r w:rsidR="00AD5219" w:rsidRPr="38221CDC">
        <w:rPr>
          <w:rFonts w:cs="Arial"/>
          <w:lang w:val="en-AU" w:eastAsia="en-AU" w:bidi="ar-SA"/>
        </w:rPr>
        <w:t xml:space="preserve"> 54</w:t>
      </w:r>
      <w:r>
        <w:rPr>
          <w:rFonts w:cs="Arial"/>
          <w:lang w:val="en-AU" w:eastAsia="en-AU" w:bidi="ar-SA"/>
        </w:rPr>
        <w:t>:</w:t>
      </w:r>
      <w:r w:rsidR="00AD5219" w:rsidRPr="38221CDC">
        <w:rPr>
          <w:rFonts w:cs="Arial"/>
          <w:lang w:val="en-AU" w:eastAsia="en-AU" w:bidi="ar-SA"/>
        </w:rPr>
        <w:t xml:space="preserve">717-723. </w:t>
      </w:r>
    </w:p>
    <w:p w14:paraId="7585C8F0" w14:textId="473765E5" w:rsidR="002C098D" w:rsidRDefault="002C098D" w:rsidP="00AD5219">
      <w:pPr>
        <w:widowControl/>
        <w:textAlignment w:val="baseline"/>
        <w:rPr>
          <w:rFonts w:cs="Arial"/>
          <w:lang w:val="en-AU" w:eastAsia="en-AU" w:bidi="ar-SA"/>
        </w:rPr>
      </w:pPr>
    </w:p>
    <w:p w14:paraId="334CE180" w14:textId="6ADE0F4D" w:rsidR="002C098D" w:rsidRDefault="002C098D" w:rsidP="00AD5219">
      <w:pPr>
        <w:widowControl/>
        <w:textAlignment w:val="baseline"/>
        <w:rPr>
          <w:rFonts w:cs="Arial"/>
          <w:lang w:val="en-AU" w:eastAsia="en-AU" w:bidi="ar-SA"/>
        </w:rPr>
      </w:pPr>
      <w:proofErr w:type="spellStart"/>
      <w:r w:rsidRPr="002C098D">
        <w:rPr>
          <w:rFonts w:cs="Arial"/>
          <w:lang w:val="en-AU" w:eastAsia="en-AU" w:bidi="ar-SA"/>
        </w:rPr>
        <w:t>Shumake</w:t>
      </w:r>
      <w:proofErr w:type="spellEnd"/>
      <w:r w:rsidRPr="002C098D">
        <w:rPr>
          <w:rFonts w:cs="Arial"/>
          <w:lang w:val="en-AU" w:eastAsia="en-AU" w:bidi="ar-SA"/>
        </w:rPr>
        <w:t xml:space="preserve"> J,</w:t>
      </w:r>
      <w:r>
        <w:rPr>
          <w:rFonts w:cs="Arial"/>
          <w:lang w:val="en-AU" w:eastAsia="en-AU" w:bidi="ar-SA"/>
        </w:rPr>
        <w:t xml:space="preserve"> Barrett DW, Lane MA, </w:t>
      </w:r>
      <w:proofErr w:type="spellStart"/>
      <w:r>
        <w:rPr>
          <w:rFonts w:cs="Arial"/>
          <w:lang w:val="en-AU" w:eastAsia="en-AU" w:bidi="ar-SA"/>
        </w:rPr>
        <w:t>Wittke</w:t>
      </w:r>
      <w:proofErr w:type="spellEnd"/>
      <w:r>
        <w:rPr>
          <w:rFonts w:cs="Arial"/>
          <w:lang w:val="en-AU" w:eastAsia="en-AU" w:bidi="ar-SA"/>
        </w:rPr>
        <w:t xml:space="preserve"> AJ (2014) </w:t>
      </w:r>
      <w:proofErr w:type="spellStart"/>
      <w:r w:rsidRPr="002C098D">
        <w:rPr>
          <w:rFonts w:cs="Arial"/>
          <w:lang w:val="en-AU" w:eastAsia="en-AU" w:bidi="ar-SA"/>
        </w:rPr>
        <w:t>Behavioral</w:t>
      </w:r>
      <w:proofErr w:type="spellEnd"/>
      <w:r w:rsidRPr="002C098D">
        <w:rPr>
          <w:rFonts w:cs="Arial"/>
          <w:lang w:val="en-AU" w:eastAsia="en-AU" w:bidi="ar-SA"/>
        </w:rPr>
        <w:t xml:space="preserve"> effects of bovine lactoferrin administration during postnatal development of rats</w:t>
      </w:r>
      <w:r>
        <w:rPr>
          <w:rFonts w:cs="Arial"/>
          <w:lang w:val="en-AU" w:eastAsia="en-AU" w:bidi="ar-SA"/>
        </w:rPr>
        <w:t xml:space="preserve">. </w:t>
      </w:r>
      <w:proofErr w:type="spellStart"/>
      <w:r>
        <w:rPr>
          <w:rFonts w:cs="Arial"/>
          <w:lang w:val="en-AU" w:eastAsia="en-AU" w:bidi="ar-SA"/>
        </w:rPr>
        <w:t>Biometals</w:t>
      </w:r>
      <w:proofErr w:type="spellEnd"/>
      <w:r>
        <w:rPr>
          <w:rFonts w:cs="Arial"/>
          <w:lang w:val="en-AU" w:eastAsia="en-AU" w:bidi="ar-SA"/>
        </w:rPr>
        <w:t xml:space="preserve"> </w:t>
      </w:r>
      <w:r w:rsidRPr="002C098D">
        <w:rPr>
          <w:rFonts w:cs="Arial"/>
          <w:lang w:val="en-AU" w:eastAsia="en-AU" w:bidi="ar-SA"/>
        </w:rPr>
        <w:t>27(5):1039-55.</w:t>
      </w:r>
      <w:r>
        <w:rPr>
          <w:rFonts w:cs="Arial"/>
          <w:lang w:val="en-AU" w:eastAsia="en-AU" w:bidi="ar-SA"/>
        </w:rPr>
        <w:t xml:space="preserve"> </w:t>
      </w:r>
    </w:p>
    <w:p w14:paraId="0A558FC5" w14:textId="79B59D88" w:rsidR="00A8526B" w:rsidRDefault="00A8526B" w:rsidP="00A8526B">
      <w:pPr>
        <w:widowControl/>
        <w:textAlignment w:val="baseline"/>
        <w:rPr>
          <w:rFonts w:eastAsia="Arial" w:cs="Arial"/>
        </w:rPr>
      </w:pPr>
    </w:p>
    <w:p w14:paraId="0F79247A" w14:textId="2B76DDF4" w:rsidR="00A8526B" w:rsidRDefault="00A8526B" w:rsidP="00A8526B">
      <w:pPr>
        <w:rPr>
          <w:rFonts w:eastAsia="Arial" w:cs="Arial"/>
        </w:rPr>
      </w:pPr>
      <w:r w:rsidRPr="005F0199">
        <w:rPr>
          <w:rFonts w:eastAsia="Arial" w:cs="Arial"/>
        </w:rPr>
        <w:t xml:space="preserve">Soboleva SE, </w:t>
      </w:r>
      <w:proofErr w:type="spellStart"/>
      <w:r w:rsidRPr="005F0199">
        <w:rPr>
          <w:rFonts w:eastAsia="Arial" w:cs="Arial"/>
        </w:rPr>
        <w:t>Guschina</w:t>
      </w:r>
      <w:proofErr w:type="spellEnd"/>
      <w:r w:rsidRPr="005F0199">
        <w:rPr>
          <w:rFonts w:eastAsia="Arial" w:cs="Arial"/>
        </w:rPr>
        <w:t xml:space="preserve"> TA, </w:t>
      </w:r>
      <w:proofErr w:type="spellStart"/>
      <w:r w:rsidRPr="005F0199">
        <w:rPr>
          <w:rFonts w:eastAsia="Arial" w:cs="Arial"/>
        </w:rPr>
        <w:t>Nevinsky</w:t>
      </w:r>
      <w:proofErr w:type="spellEnd"/>
      <w:r w:rsidRPr="005F0199">
        <w:rPr>
          <w:rFonts w:eastAsia="Arial" w:cs="Arial"/>
        </w:rPr>
        <w:t xml:space="preserve"> GA</w:t>
      </w:r>
      <w:r>
        <w:rPr>
          <w:rFonts w:eastAsia="Arial" w:cs="Arial"/>
        </w:rPr>
        <w:t xml:space="preserve"> (2018)</w:t>
      </w:r>
      <w:r w:rsidRPr="005F0199">
        <w:rPr>
          <w:rFonts w:eastAsia="Arial" w:cs="Arial"/>
        </w:rPr>
        <w:t xml:space="preserve"> Human serum and milk albumins are metal-dependent DNases. IUBMB</w:t>
      </w:r>
      <w:r>
        <w:rPr>
          <w:rFonts w:eastAsia="Arial" w:cs="Arial"/>
        </w:rPr>
        <w:t xml:space="preserve"> Life </w:t>
      </w:r>
      <w:r w:rsidRPr="005F0199">
        <w:rPr>
          <w:rFonts w:eastAsia="Arial" w:cs="Arial"/>
        </w:rPr>
        <w:t xml:space="preserve">70(6):501-510. </w:t>
      </w:r>
      <w:r>
        <w:rPr>
          <w:rFonts w:eastAsia="Arial" w:cs="Arial"/>
        </w:rPr>
        <w:t>DOI</w:t>
      </w:r>
      <w:r w:rsidRPr="005F0199">
        <w:rPr>
          <w:rFonts w:eastAsia="Arial" w:cs="Arial"/>
        </w:rPr>
        <w:t>:10.1002/iub.1741.</w:t>
      </w:r>
    </w:p>
    <w:p w14:paraId="6BC444C9" w14:textId="77777777" w:rsidR="004C6A4D" w:rsidRDefault="004C6A4D" w:rsidP="00AD5219">
      <w:pPr>
        <w:widowControl/>
        <w:textAlignment w:val="baseline"/>
        <w:rPr>
          <w:rFonts w:cs="Arial"/>
          <w:lang w:val="en-AU" w:eastAsia="en-AU" w:bidi="ar-SA"/>
        </w:rPr>
      </w:pPr>
    </w:p>
    <w:p w14:paraId="78E8C0A8" w14:textId="6E4AEB0C" w:rsidR="004C6A4D" w:rsidRPr="00AD5219" w:rsidRDefault="000E452E" w:rsidP="00AD5219">
      <w:pPr>
        <w:widowControl/>
        <w:textAlignment w:val="baseline"/>
        <w:rPr>
          <w:rFonts w:cs="Arial"/>
          <w:lang w:val="en-AU" w:eastAsia="en-AU" w:bidi="ar-SA"/>
        </w:rPr>
      </w:pPr>
      <w:r w:rsidRPr="000E452E">
        <w:rPr>
          <w:rFonts w:cs="Arial"/>
          <w:lang w:val="en-AU" w:eastAsia="en-AU" w:bidi="ar-SA"/>
        </w:rPr>
        <w:t xml:space="preserve">Spik G, Brunet B, </w:t>
      </w:r>
      <w:proofErr w:type="spellStart"/>
      <w:r w:rsidRPr="000E452E">
        <w:rPr>
          <w:rFonts w:cs="Arial"/>
          <w:lang w:val="en-AU" w:eastAsia="en-AU" w:bidi="ar-SA"/>
        </w:rPr>
        <w:t>Mazurier-Deh</w:t>
      </w:r>
      <w:r>
        <w:rPr>
          <w:rFonts w:cs="Arial"/>
          <w:lang w:val="en-AU" w:eastAsia="en-AU" w:bidi="ar-SA"/>
        </w:rPr>
        <w:t>aine</w:t>
      </w:r>
      <w:proofErr w:type="spellEnd"/>
      <w:r>
        <w:rPr>
          <w:rFonts w:cs="Arial"/>
          <w:lang w:val="en-AU" w:eastAsia="en-AU" w:bidi="ar-SA"/>
        </w:rPr>
        <w:t xml:space="preserve"> C, Fontaine G, Montreuil J (1982) </w:t>
      </w:r>
      <w:r w:rsidR="006E130E" w:rsidRPr="006E130E">
        <w:rPr>
          <w:rFonts w:cs="Arial"/>
          <w:lang w:val="en-AU" w:eastAsia="en-AU" w:bidi="ar-SA"/>
        </w:rPr>
        <w:t xml:space="preserve">Characterization and properties of the human and bovine </w:t>
      </w:r>
      <w:proofErr w:type="spellStart"/>
      <w:r w:rsidR="006E130E" w:rsidRPr="006E130E">
        <w:rPr>
          <w:rFonts w:cs="Arial"/>
          <w:lang w:val="en-AU" w:eastAsia="en-AU" w:bidi="ar-SA"/>
        </w:rPr>
        <w:t>lactotransferrins</w:t>
      </w:r>
      <w:proofErr w:type="spellEnd"/>
      <w:r w:rsidR="006E130E" w:rsidRPr="006E130E">
        <w:rPr>
          <w:rFonts w:cs="Arial"/>
          <w:lang w:val="en-AU" w:eastAsia="en-AU" w:bidi="ar-SA"/>
        </w:rPr>
        <w:t xml:space="preserve"> extracted from the faeces of newborn infants</w:t>
      </w:r>
      <w:r w:rsidR="006E130E">
        <w:rPr>
          <w:rFonts w:cs="Arial"/>
          <w:lang w:val="en-AU" w:eastAsia="en-AU" w:bidi="ar-SA"/>
        </w:rPr>
        <w:t xml:space="preserve">. Acta </w:t>
      </w:r>
      <w:proofErr w:type="spellStart"/>
      <w:r w:rsidR="006E130E">
        <w:rPr>
          <w:rFonts w:cs="Arial"/>
          <w:lang w:val="en-AU" w:eastAsia="en-AU" w:bidi="ar-SA"/>
        </w:rPr>
        <w:t>Paediatr</w:t>
      </w:r>
      <w:proofErr w:type="spellEnd"/>
      <w:r w:rsidR="006E130E">
        <w:rPr>
          <w:rFonts w:cs="Arial"/>
          <w:lang w:val="en-AU" w:eastAsia="en-AU" w:bidi="ar-SA"/>
        </w:rPr>
        <w:t xml:space="preserve"> </w:t>
      </w:r>
      <w:proofErr w:type="spellStart"/>
      <w:r w:rsidR="006E130E">
        <w:rPr>
          <w:rFonts w:cs="Arial"/>
          <w:lang w:val="en-AU" w:eastAsia="en-AU" w:bidi="ar-SA"/>
        </w:rPr>
        <w:t>Scand</w:t>
      </w:r>
      <w:proofErr w:type="spellEnd"/>
      <w:r w:rsidR="006E130E">
        <w:rPr>
          <w:rFonts w:cs="Arial"/>
          <w:lang w:val="en-AU" w:eastAsia="en-AU" w:bidi="ar-SA"/>
        </w:rPr>
        <w:t xml:space="preserve"> </w:t>
      </w:r>
      <w:r w:rsidR="006E130E" w:rsidRPr="006E130E">
        <w:rPr>
          <w:rFonts w:cs="Arial"/>
          <w:lang w:val="en-AU" w:eastAsia="en-AU" w:bidi="ar-SA"/>
        </w:rPr>
        <w:t>71(6):979-85</w:t>
      </w:r>
      <w:r w:rsidR="006E130E">
        <w:rPr>
          <w:rFonts w:cs="Arial"/>
          <w:lang w:val="en-AU" w:eastAsia="en-AU" w:bidi="ar-SA"/>
        </w:rPr>
        <w:t xml:space="preserve">. </w:t>
      </w:r>
    </w:p>
    <w:p w14:paraId="120468C1" w14:textId="77777777" w:rsidR="00AD5219" w:rsidRPr="00AD5219" w:rsidRDefault="00AD5219" w:rsidP="00AD5219">
      <w:pPr>
        <w:widowControl/>
        <w:textAlignment w:val="baseline"/>
        <w:rPr>
          <w:rFonts w:cs="Arial"/>
          <w:szCs w:val="22"/>
          <w:lang w:val="en-AU" w:eastAsia="en-AU" w:bidi="ar-SA"/>
        </w:rPr>
      </w:pPr>
    </w:p>
    <w:p w14:paraId="4E337F6A" w14:textId="04B3AD17" w:rsidR="00AD5219" w:rsidRDefault="00F33BDA" w:rsidP="00AD5219">
      <w:pPr>
        <w:widowControl/>
        <w:textAlignment w:val="baseline"/>
        <w:rPr>
          <w:rFonts w:cs="Arial"/>
          <w:szCs w:val="22"/>
          <w:lang w:val="en-AU" w:eastAsia="en-AU" w:bidi="ar-SA"/>
        </w:rPr>
      </w:pPr>
      <w:proofErr w:type="spellStart"/>
      <w:r>
        <w:rPr>
          <w:rFonts w:cs="Arial"/>
          <w:szCs w:val="22"/>
          <w:lang w:val="en-AU" w:eastAsia="en-AU" w:bidi="ar-SA"/>
        </w:rPr>
        <w:t>Superti</w:t>
      </w:r>
      <w:proofErr w:type="spellEnd"/>
      <w:r>
        <w:rPr>
          <w:rFonts w:cs="Arial"/>
          <w:szCs w:val="22"/>
          <w:lang w:val="en-AU" w:eastAsia="en-AU" w:bidi="ar-SA"/>
        </w:rPr>
        <w:t xml:space="preserve"> F, </w:t>
      </w:r>
      <w:proofErr w:type="spellStart"/>
      <w:r>
        <w:rPr>
          <w:rFonts w:cs="Arial"/>
          <w:szCs w:val="22"/>
          <w:lang w:val="en-AU" w:eastAsia="en-AU" w:bidi="ar-SA"/>
        </w:rPr>
        <w:t>Ammendolia</w:t>
      </w:r>
      <w:proofErr w:type="spellEnd"/>
      <w:r>
        <w:rPr>
          <w:rFonts w:cs="Arial"/>
          <w:szCs w:val="22"/>
          <w:lang w:val="en-AU" w:eastAsia="en-AU" w:bidi="ar-SA"/>
        </w:rPr>
        <w:t xml:space="preserve"> MG, </w:t>
      </w:r>
      <w:proofErr w:type="spellStart"/>
      <w:r>
        <w:rPr>
          <w:rFonts w:cs="Arial"/>
          <w:szCs w:val="22"/>
          <w:lang w:val="en-AU" w:eastAsia="en-AU" w:bidi="ar-SA"/>
        </w:rPr>
        <w:t>Valenti</w:t>
      </w:r>
      <w:proofErr w:type="spellEnd"/>
      <w:r>
        <w:rPr>
          <w:rFonts w:cs="Arial"/>
          <w:szCs w:val="22"/>
          <w:lang w:val="en-AU" w:eastAsia="en-AU" w:bidi="ar-SA"/>
        </w:rPr>
        <w:t xml:space="preserve"> P</w:t>
      </w:r>
      <w:r w:rsidR="00AD5219" w:rsidRPr="00AD5219">
        <w:rPr>
          <w:rFonts w:cs="Arial"/>
          <w:szCs w:val="22"/>
          <w:lang w:val="en-AU" w:eastAsia="en-AU" w:bidi="ar-SA"/>
        </w:rPr>
        <w:t xml:space="preserve">, </w:t>
      </w:r>
      <w:proofErr w:type="spellStart"/>
      <w:r>
        <w:rPr>
          <w:rFonts w:cs="Arial"/>
          <w:szCs w:val="22"/>
          <w:lang w:val="en-AU" w:eastAsia="en-AU" w:bidi="ar-SA"/>
        </w:rPr>
        <w:t>Seganti</w:t>
      </w:r>
      <w:proofErr w:type="spellEnd"/>
      <w:r w:rsidR="00AD5219" w:rsidRPr="00AD5219">
        <w:rPr>
          <w:rFonts w:cs="Arial"/>
          <w:szCs w:val="22"/>
          <w:lang w:val="en-AU" w:eastAsia="en-AU" w:bidi="ar-SA"/>
        </w:rPr>
        <w:t xml:space="preserve"> L (1997). </w:t>
      </w:r>
      <w:proofErr w:type="spellStart"/>
      <w:r w:rsidR="00AD5219" w:rsidRPr="00AD5219">
        <w:rPr>
          <w:rFonts w:cs="Arial"/>
          <w:szCs w:val="22"/>
          <w:lang w:val="en-AU" w:eastAsia="en-AU" w:bidi="ar-SA"/>
        </w:rPr>
        <w:t>Antirotaviral</w:t>
      </w:r>
      <w:proofErr w:type="spellEnd"/>
      <w:r w:rsidR="00AD5219" w:rsidRPr="00AD5219">
        <w:rPr>
          <w:rFonts w:cs="Arial"/>
          <w:szCs w:val="22"/>
          <w:lang w:val="en-AU" w:eastAsia="en-AU" w:bidi="ar-SA"/>
        </w:rPr>
        <w:t xml:space="preserve"> activity of milk proteins: lactoferrin prevents rotavirus infection in the enterocyte-like cell line HT-29. Med </w:t>
      </w:r>
      <w:proofErr w:type="spellStart"/>
      <w:r w:rsidR="00AD5219" w:rsidRPr="00AD5219">
        <w:rPr>
          <w:rFonts w:cs="Arial"/>
          <w:szCs w:val="22"/>
          <w:lang w:val="en-AU" w:eastAsia="en-AU" w:bidi="ar-SA"/>
        </w:rPr>
        <w:t>Microbiol</w:t>
      </w:r>
      <w:proofErr w:type="spellEnd"/>
      <w:r w:rsidR="00AD5219" w:rsidRPr="00AD5219">
        <w:rPr>
          <w:rFonts w:cs="Arial"/>
          <w:szCs w:val="22"/>
          <w:lang w:val="en-AU" w:eastAsia="en-AU" w:bidi="ar-SA"/>
        </w:rPr>
        <w:t xml:space="preserve"> Immunol, 186, 83-91. </w:t>
      </w:r>
    </w:p>
    <w:p w14:paraId="75BB202C" w14:textId="77777777" w:rsidR="00AD5219" w:rsidRDefault="00AD5219" w:rsidP="00AD5219">
      <w:pPr>
        <w:widowControl/>
        <w:textAlignment w:val="baseline"/>
        <w:rPr>
          <w:rFonts w:cs="Arial"/>
          <w:szCs w:val="22"/>
          <w:lang w:val="en-AU" w:eastAsia="en-AU" w:bidi="ar-SA"/>
        </w:rPr>
      </w:pPr>
    </w:p>
    <w:p w14:paraId="5E9D4FBB" w14:textId="053BA686" w:rsidR="00AD5219" w:rsidRDefault="00AD5219" w:rsidP="00AD5219">
      <w:pPr>
        <w:rPr>
          <w:rFonts w:eastAsia="Arial" w:cs="Arial"/>
        </w:rPr>
      </w:pPr>
      <w:proofErr w:type="spellStart"/>
      <w:r w:rsidRPr="00AA5CDB">
        <w:rPr>
          <w:rFonts w:eastAsia="Arial" w:cs="Arial"/>
        </w:rPr>
        <w:t>Superti</w:t>
      </w:r>
      <w:proofErr w:type="spellEnd"/>
      <w:r w:rsidRPr="00AA5CDB">
        <w:rPr>
          <w:rFonts w:eastAsia="Arial" w:cs="Arial"/>
        </w:rPr>
        <w:t xml:space="preserve"> F, Siciliano R, </w:t>
      </w:r>
      <w:proofErr w:type="spellStart"/>
      <w:r w:rsidRPr="00AA5CDB">
        <w:rPr>
          <w:rFonts w:eastAsia="Arial" w:cs="Arial"/>
        </w:rPr>
        <w:t>Rega</w:t>
      </w:r>
      <w:proofErr w:type="spellEnd"/>
      <w:r w:rsidRPr="00AA5CDB">
        <w:rPr>
          <w:rFonts w:eastAsia="Arial" w:cs="Arial"/>
        </w:rPr>
        <w:t xml:space="preserve"> B, </w:t>
      </w:r>
      <w:proofErr w:type="spellStart"/>
      <w:r w:rsidRPr="00AA5CDB">
        <w:rPr>
          <w:rFonts w:eastAsia="Arial" w:cs="Arial"/>
        </w:rPr>
        <w:t>Giansanti</w:t>
      </w:r>
      <w:proofErr w:type="spellEnd"/>
      <w:r w:rsidRPr="00AA5CDB">
        <w:rPr>
          <w:rFonts w:eastAsia="Arial" w:cs="Arial"/>
        </w:rPr>
        <w:t xml:space="preserve"> F, </w:t>
      </w:r>
      <w:proofErr w:type="spellStart"/>
      <w:r w:rsidRPr="00AA5CDB">
        <w:rPr>
          <w:rFonts w:eastAsia="Arial" w:cs="Arial"/>
        </w:rPr>
        <w:t>Valenti</w:t>
      </w:r>
      <w:proofErr w:type="spellEnd"/>
      <w:r w:rsidRPr="00AA5CDB">
        <w:rPr>
          <w:rFonts w:eastAsia="Arial" w:cs="Arial"/>
        </w:rPr>
        <w:t xml:space="preserve"> P, </w:t>
      </w:r>
      <w:proofErr w:type="spellStart"/>
      <w:r w:rsidRPr="00AA5CDB">
        <w:rPr>
          <w:rFonts w:eastAsia="Arial" w:cs="Arial"/>
        </w:rPr>
        <w:t>Antonini</w:t>
      </w:r>
      <w:proofErr w:type="spellEnd"/>
      <w:r w:rsidRPr="00AA5CDB">
        <w:rPr>
          <w:rFonts w:eastAsia="Arial" w:cs="Arial"/>
        </w:rPr>
        <w:t xml:space="preserve"> G </w:t>
      </w:r>
      <w:r>
        <w:rPr>
          <w:rFonts w:eastAsia="Arial" w:cs="Arial"/>
        </w:rPr>
        <w:t xml:space="preserve">(2001) </w:t>
      </w:r>
      <w:r w:rsidRPr="00AA5CDB">
        <w:rPr>
          <w:rFonts w:eastAsia="Arial" w:cs="Arial"/>
        </w:rPr>
        <w:t xml:space="preserve">Involvement of bovine lactoferrin metal saturation, sialic acid and protein fragments in the inhibition of rotavirus infection. </w:t>
      </w:r>
      <w:proofErr w:type="spellStart"/>
      <w:r w:rsidRPr="00AA5CDB">
        <w:rPr>
          <w:rFonts w:eastAsia="Arial" w:cs="Arial"/>
        </w:rPr>
        <w:t>Biochim</w:t>
      </w:r>
      <w:proofErr w:type="spellEnd"/>
      <w:r w:rsidRPr="00AA5CDB">
        <w:rPr>
          <w:rFonts w:eastAsia="Arial" w:cs="Arial"/>
        </w:rPr>
        <w:t xml:space="preserve"> </w:t>
      </w:r>
      <w:proofErr w:type="spellStart"/>
      <w:r w:rsidRPr="00AA5CDB">
        <w:rPr>
          <w:rFonts w:eastAsia="Arial" w:cs="Arial"/>
        </w:rPr>
        <w:t>Biophys</w:t>
      </w:r>
      <w:proofErr w:type="spellEnd"/>
      <w:r w:rsidRPr="00AA5CDB">
        <w:rPr>
          <w:rFonts w:eastAsia="Arial" w:cs="Arial"/>
        </w:rPr>
        <w:t xml:space="preserve"> Acta. 2001 </w:t>
      </w:r>
      <w:r>
        <w:rPr>
          <w:rFonts w:eastAsia="Arial" w:cs="Arial"/>
        </w:rPr>
        <w:t>1528(2-3):107-15.</w:t>
      </w:r>
      <w:r>
        <w:rPr>
          <w:rFonts w:eastAsia="Arial" w:cs="Arial"/>
        </w:rPr>
        <w:br/>
        <w:t>DOI:</w:t>
      </w:r>
      <w:r w:rsidRPr="00AA5CDB">
        <w:rPr>
          <w:rFonts w:eastAsia="Arial" w:cs="Arial"/>
        </w:rPr>
        <w:t>10.1016/s0304-4165(01)00178-7. PMID: 11687297.</w:t>
      </w:r>
    </w:p>
    <w:p w14:paraId="28ABF467" w14:textId="77777777" w:rsidR="00AD5219" w:rsidRPr="00AD5219" w:rsidRDefault="00AD5219" w:rsidP="00AD5219">
      <w:pPr>
        <w:widowControl/>
        <w:textAlignment w:val="baseline"/>
        <w:rPr>
          <w:rFonts w:cs="Arial"/>
          <w:szCs w:val="22"/>
          <w:lang w:val="en-AU" w:eastAsia="en-AU" w:bidi="ar-SA"/>
        </w:rPr>
      </w:pPr>
    </w:p>
    <w:p w14:paraId="0C491DB3" w14:textId="3B86E8F1" w:rsidR="00077173" w:rsidRDefault="00AD5219" w:rsidP="00AD5219">
      <w:pPr>
        <w:widowControl/>
        <w:textAlignment w:val="baseline"/>
        <w:rPr>
          <w:rFonts w:cs="Arial"/>
          <w:szCs w:val="22"/>
          <w:lang w:val="en-AU" w:eastAsia="en-AU" w:bidi="ar-SA"/>
        </w:rPr>
      </w:pPr>
      <w:r w:rsidRPr="00AD5219">
        <w:rPr>
          <w:rFonts w:cs="Arial"/>
          <w:szCs w:val="22"/>
          <w:lang w:val="en-AU" w:eastAsia="en-AU" w:bidi="ar-SA"/>
        </w:rPr>
        <w:t xml:space="preserve">Suzuki YA, Lopez V, </w:t>
      </w:r>
      <w:proofErr w:type="spellStart"/>
      <w:r w:rsidRPr="00AD5219">
        <w:rPr>
          <w:rFonts w:cs="Arial"/>
          <w:szCs w:val="22"/>
          <w:lang w:val="en-AU" w:eastAsia="en-AU" w:bidi="ar-SA"/>
        </w:rPr>
        <w:t>Lönnerdal</w:t>
      </w:r>
      <w:proofErr w:type="spellEnd"/>
      <w:r w:rsidRPr="00AD5219">
        <w:rPr>
          <w:rFonts w:cs="Arial"/>
          <w:szCs w:val="22"/>
          <w:lang w:val="en-AU" w:eastAsia="en-AU" w:bidi="ar-SA"/>
        </w:rPr>
        <w:t xml:space="preserve"> B (2005) Mammalian lactoferrin receptors: structure and function. Cell Mol Life Sci 62(22</w:t>
      </w:r>
      <w:r w:rsidR="003C1512" w:rsidRPr="00AD5219">
        <w:rPr>
          <w:rFonts w:cs="Arial"/>
          <w:szCs w:val="22"/>
          <w:lang w:val="en-AU" w:eastAsia="en-AU" w:bidi="ar-SA"/>
        </w:rPr>
        <w:t>)</w:t>
      </w:r>
      <w:r w:rsidR="003C1512">
        <w:rPr>
          <w:rFonts w:cs="Arial"/>
          <w:szCs w:val="22"/>
          <w:lang w:val="en-AU" w:eastAsia="en-AU" w:bidi="ar-SA"/>
        </w:rPr>
        <w:t>:</w:t>
      </w:r>
      <w:r w:rsidRPr="00AD5219">
        <w:rPr>
          <w:rFonts w:cs="Arial"/>
          <w:szCs w:val="22"/>
          <w:lang w:val="en-AU" w:eastAsia="en-AU" w:bidi="ar-SA"/>
        </w:rPr>
        <w:t>2560-2575. doi:10.1007/s00018-005-5371-1</w:t>
      </w:r>
    </w:p>
    <w:p w14:paraId="3CB8E1F7" w14:textId="77777777" w:rsidR="00FB453F" w:rsidRDefault="00FB453F" w:rsidP="00384CD0">
      <w:pPr>
        <w:widowControl/>
        <w:textAlignment w:val="baseline"/>
        <w:rPr>
          <w:rFonts w:cs="Arial"/>
          <w:szCs w:val="22"/>
          <w:lang w:val="en-AU" w:eastAsia="en-AU" w:bidi="ar-SA"/>
        </w:rPr>
      </w:pPr>
    </w:p>
    <w:p w14:paraId="23A11F08" w14:textId="4806BD77" w:rsidR="00FB453F" w:rsidRDefault="00FB453F" w:rsidP="00FB453F">
      <w:pPr>
        <w:widowControl/>
        <w:textAlignment w:val="baseline"/>
        <w:rPr>
          <w:rFonts w:cs="Arial"/>
          <w:szCs w:val="22"/>
          <w:lang w:val="en-AU" w:eastAsia="en-AU" w:bidi="ar-SA"/>
        </w:rPr>
      </w:pPr>
      <w:r w:rsidRPr="00FB453F">
        <w:rPr>
          <w:rFonts w:cs="Arial"/>
          <w:szCs w:val="22"/>
          <w:lang w:val="en-AU" w:eastAsia="en-AU" w:bidi="ar-SA"/>
        </w:rPr>
        <w:t>Takakura N, Wakabayashi</w:t>
      </w:r>
      <w:r w:rsidR="00F33BDA">
        <w:rPr>
          <w:rFonts w:cs="Arial"/>
          <w:szCs w:val="22"/>
          <w:lang w:val="en-AU" w:eastAsia="en-AU" w:bidi="ar-SA"/>
        </w:rPr>
        <w:t xml:space="preserve"> H</w:t>
      </w:r>
      <w:r w:rsidRPr="00FB453F">
        <w:rPr>
          <w:rFonts w:cs="Arial"/>
          <w:szCs w:val="22"/>
          <w:lang w:val="en-AU" w:eastAsia="en-AU" w:bidi="ar-SA"/>
        </w:rPr>
        <w:t>, Yamauchi K, Takase</w:t>
      </w:r>
      <w:r w:rsidR="00F33BDA">
        <w:rPr>
          <w:rFonts w:cs="Arial"/>
          <w:szCs w:val="22"/>
          <w:lang w:val="en-AU" w:eastAsia="en-AU" w:bidi="ar-SA"/>
        </w:rPr>
        <w:t xml:space="preserve"> M</w:t>
      </w:r>
      <w:r w:rsidRPr="00FB453F">
        <w:rPr>
          <w:rFonts w:cs="Arial"/>
          <w:szCs w:val="22"/>
          <w:lang w:val="en-AU" w:eastAsia="en-AU" w:bidi="ar-SA"/>
        </w:rPr>
        <w:t xml:space="preserve"> (2006) Influences of orally administered lactoferrin on IFN-γ and IL-10 production by intestinal intraepithelial </w:t>
      </w:r>
      <w:proofErr w:type="spellStart"/>
      <w:r w:rsidRPr="00FB453F">
        <w:rPr>
          <w:rFonts w:cs="Arial"/>
          <w:szCs w:val="22"/>
          <w:lang w:val="en-AU" w:eastAsia="en-AU" w:bidi="ar-SA"/>
        </w:rPr>
        <w:t>lympocytes</w:t>
      </w:r>
      <w:proofErr w:type="spellEnd"/>
      <w:r w:rsidRPr="00FB453F">
        <w:rPr>
          <w:rFonts w:cs="Arial"/>
          <w:szCs w:val="22"/>
          <w:lang w:val="en-AU" w:eastAsia="en-AU" w:bidi="ar-SA"/>
        </w:rPr>
        <w:t xml:space="preserve"> and mesenteric lymph-node cells. </w:t>
      </w:r>
      <w:proofErr w:type="spellStart"/>
      <w:r w:rsidRPr="00FB453F">
        <w:rPr>
          <w:rFonts w:cs="Arial"/>
          <w:szCs w:val="22"/>
          <w:lang w:val="en-AU" w:eastAsia="en-AU" w:bidi="ar-SA"/>
        </w:rPr>
        <w:t>Biochem</w:t>
      </w:r>
      <w:proofErr w:type="spellEnd"/>
      <w:r w:rsidRPr="00FB453F">
        <w:rPr>
          <w:rFonts w:cs="Arial"/>
          <w:szCs w:val="22"/>
          <w:lang w:val="en-AU" w:eastAsia="en-AU" w:bidi="ar-SA"/>
        </w:rPr>
        <w:t xml:space="preserve"> Cell Biol, 84, 363-368. </w:t>
      </w:r>
    </w:p>
    <w:p w14:paraId="3EC8BC1D" w14:textId="2EB3BEA3" w:rsidR="00EA5F52" w:rsidRDefault="00EA5F52" w:rsidP="00FB453F">
      <w:pPr>
        <w:widowControl/>
        <w:textAlignment w:val="baseline"/>
        <w:rPr>
          <w:rFonts w:cs="Arial"/>
          <w:szCs w:val="22"/>
          <w:lang w:val="en-AU" w:eastAsia="en-AU" w:bidi="ar-SA"/>
        </w:rPr>
      </w:pPr>
    </w:p>
    <w:p w14:paraId="40A52DF5" w14:textId="40CA9B4A" w:rsidR="00F7440C" w:rsidRDefault="00EA5F52" w:rsidP="00FB453F">
      <w:pPr>
        <w:widowControl/>
        <w:textAlignment w:val="baseline"/>
        <w:rPr>
          <w:rFonts w:cs="Arial"/>
          <w:szCs w:val="22"/>
          <w:lang w:val="en-AU" w:eastAsia="en-AU" w:bidi="ar-SA"/>
        </w:rPr>
      </w:pPr>
      <w:r w:rsidRPr="00EA5F52">
        <w:rPr>
          <w:rFonts w:cs="Arial"/>
          <w:szCs w:val="22"/>
          <w:lang w:val="en-AU" w:eastAsia="en-AU" w:bidi="ar-SA"/>
        </w:rPr>
        <w:t>T</w:t>
      </w:r>
      <w:r>
        <w:rPr>
          <w:rFonts w:cs="Arial"/>
          <w:szCs w:val="22"/>
          <w:lang w:val="en-AU" w:eastAsia="en-AU" w:bidi="ar-SA"/>
        </w:rPr>
        <w:t xml:space="preserve">akeuchi T, Kitagawa H, Harada E (2004) </w:t>
      </w:r>
      <w:r w:rsidRPr="00EA5F52">
        <w:rPr>
          <w:rFonts w:cs="Arial"/>
          <w:szCs w:val="22"/>
          <w:lang w:val="en-AU" w:eastAsia="en-AU" w:bidi="ar-SA"/>
        </w:rPr>
        <w:t>Evidence of lactoferrin transportation into blood circulation from intestine via lymphatic pathway in adult rats</w:t>
      </w:r>
      <w:r>
        <w:rPr>
          <w:rFonts w:cs="Arial"/>
          <w:szCs w:val="22"/>
          <w:lang w:val="en-AU" w:eastAsia="en-AU" w:bidi="ar-SA"/>
        </w:rPr>
        <w:t xml:space="preserve">. Exp </w:t>
      </w:r>
      <w:proofErr w:type="spellStart"/>
      <w:r>
        <w:rPr>
          <w:rFonts w:cs="Arial"/>
          <w:szCs w:val="22"/>
          <w:lang w:val="en-AU" w:eastAsia="en-AU" w:bidi="ar-SA"/>
        </w:rPr>
        <w:t>Physiol</w:t>
      </w:r>
      <w:proofErr w:type="spellEnd"/>
      <w:r>
        <w:rPr>
          <w:rFonts w:cs="Arial"/>
          <w:szCs w:val="22"/>
          <w:lang w:val="en-AU" w:eastAsia="en-AU" w:bidi="ar-SA"/>
        </w:rPr>
        <w:t xml:space="preserve"> </w:t>
      </w:r>
      <w:r w:rsidRPr="00EA5F52">
        <w:rPr>
          <w:rFonts w:cs="Arial"/>
          <w:szCs w:val="22"/>
          <w:lang w:val="en-AU" w:eastAsia="en-AU" w:bidi="ar-SA"/>
        </w:rPr>
        <w:t>89(3):263-70.</w:t>
      </w:r>
    </w:p>
    <w:p w14:paraId="15DE97F7" w14:textId="5A15EFD2" w:rsidR="005976A2" w:rsidRDefault="005976A2" w:rsidP="00FB453F">
      <w:pPr>
        <w:widowControl/>
        <w:textAlignment w:val="baseline"/>
        <w:rPr>
          <w:rFonts w:cs="Arial"/>
          <w:szCs w:val="22"/>
          <w:lang w:val="en-AU" w:eastAsia="en-AU" w:bidi="ar-SA"/>
        </w:rPr>
      </w:pPr>
    </w:p>
    <w:p w14:paraId="169E3CCF" w14:textId="63FD9D74" w:rsidR="005976A2" w:rsidRDefault="005976A2" w:rsidP="00FB453F">
      <w:pPr>
        <w:widowControl/>
        <w:textAlignment w:val="baseline"/>
        <w:rPr>
          <w:rFonts w:cs="Arial"/>
          <w:szCs w:val="22"/>
          <w:lang w:val="en-AU" w:eastAsia="en-AU" w:bidi="ar-SA"/>
        </w:rPr>
      </w:pPr>
      <w:proofErr w:type="spellStart"/>
      <w:r w:rsidRPr="005976A2">
        <w:rPr>
          <w:rFonts w:cs="Arial"/>
          <w:szCs w:val="22"/>
          <w:lang w:val="en-AU" w:eastAsia="en-AU" w:bidi="ar-SA"/>
        </w:rPr>
        <w:t>Tamano</w:t>
      </w:r>
      <w:proofErr w:type="spellEnd"/>
      <w:r w:rsidRPr="005976A2">
        <w:rPr>
          <w:rFonts w:cs="Arial"/>
          <w:szCs w:val="22"/>
          <w:lang w:val="en-AU" w:eastAsia="en-AU" w:bidi="ar-SA"/>
        </w:rPr>
        <w:t xml:space="preserve"> S, </w:t>
      </w:r>
      <w:proofErr w:type="spellStart"/>
      <w:r w:rsidRPr="005976A2">
        <w:rPr>
          <w:rFonts w:cs="Arial"/>
          <w:szCs w:val="22"/>
          <w:lang w:val="en-AU" w:eastAsia="en-AU" w:bidi="ar-SA"/>
        </w:rPr>
        <w:t>Sekine</w:t>
      </w:r>
      <w:proofErr w:type="spellEnd"/>
      <w:r w:rsidRPr="005976A2">
        <w:rPr>
          <w:rFonts w:cs="Arial"/>
          <w:szCs w:val="22"/>
          <w:lang w:val="en-AU" w:eastAsia="en-AU" w:bidi="ar-SA"/>
        </w:rPr>
        <w:t xml:space="preserve"> K, Takase</w:t>
      </w:r>
      <w:r>
        <w:rPr>
          <w:rFonts w:cs="Arial"/>
          <w:szCs w:val="22"/>
          <w:lang w:val="en-AU" w:eastAsia="en-AU" w:bidi="ar-SA"/>
        </w:rPr>
        <w:t xml:space="preserve"> M, Yamauchi K, </w:t>
      </w:r>
      <w:proofErr w:type="spellStart"/>
      <w:r>
        <w:rPr>
          <w:rFonts w:cs="Arial"/>
          <w:szCs w:val="22"/>
          <w:lang w:val="en-AU" w:eastAsia="en-AU" w:bidi="ar-SA"/>
        </w:rPr>
        <w:t>Iigo</w:t>
      </w:r>
      <w:proofErr w:type="spellEnd"/>
      <w:r>
        <w:rPr>
          <w:rFonts w:cs="Arial"/>
          <w:szCs w:val="22"/>
          <w:lang w:val="en-AU" w:eastAsia="en-AU" w:bidi="ar-SA"/>
        </w:rPr>
        <w:t xml:space="preserve"> M, Tsuda H (2008) </w:t>
      </w:r>
      <w:r w:rsidRPr="005976A2">
        <w:rPr>
          <w:rFonts w:cs="Arial"/>
          <w:szCs w:val="22"/>
          <w:lang w:val="en-AU" w:eastAsia="en-AU" w:bidi="ar-SA"/>
        </w:rPr>
        <w:t xml:space="preserve">Lack of chronic oral toxicity of </w:t>
      </w:r>
      <w:proofErr w:type="spellStart"/>
      <w:r w:rsidRPr="005976A2">
        <w:rPr>
          <w:rFonts w:cs="Arial"/>
          <w:szCs w:val="22"/>
          <w:lang w:val="en-AU" w:eastAsia="en-AU" w:bidi="ar-SA"/>
        </w:rPr>
        <w:t>chemopreventive</w:t>
      </w:r>
      <w:proofErr w:type="spellEnd"/>
      <w:r w:rsidRPr="005976A2">
        <w:rPr>
          <w:rFonts w:cs="Arial"/>
          <w:szCs w:val="22"/>
          <w:lang w:val="en-AU" w:eastAsia="en-AU" w:bidi="ar-SA"/>
        </w:rPr>
        <w:t xml:space="preserve"> bovine lactoferrin in F344/</w:t>
      </w:r>
      <w:proofErr w:type="spellStart"/>
      <w:r w:rsidRPr="005976A2">
        <w:rPr>
          <w:rFonts w:cs="Arial"/>
          <w:szCs w:val="22"/>
          <w:lang w:val="en-AU" w:eastAsia="en-AU" w:bidi="ar-SA"/>
        </w:rPr>
        <w:t>DuCrj</w:t>
      </w:r>
      <w:proofErr w:type="spellEnd"/>
      <w:r w:rsidRPr="005976A2">
        <w:rPr>
          <w:rFonts w:cs="Arial"/>
          <w:szCs w:val="22"/>
          <w:lang w:val="en-AU" w:eastAsia="en-AU" w:bidi="ar-SA"/>
        </w:rPr>
        <w:t xml:space="preserve"> rats</w:t>
      </w:r>
      <w:r>
        <w:rPr>
          <w:rFonts w:cs="Arial"/>
          <w:szCs w:val="22"/>
          <w:lang w:val="en-AU" w:eastAsia="en-AU" w:bidi="ar-SA"/>
        </w:rPr>
        <w:t xml:space="preserve">. Asian Pac J Cancer </w:t>
      </w:r>
      <w:proofErr w:type="spellStart"/>
      <w:r>
        <w:rPr>
          <w:rFonts w:cs="Arial"/>
          <w:szCs w:val="22"/>
          <w:lang w:val="en-AU" w:eastAsia="en-AU" w:bidi="ar-SA"/>
        </w:rPr>
        <w:t>Prev</w:t>
      </w:r>
      <w:proofErr w:type="spellEnd"/>
      <w:r>
        <w:rPr>
          <w:rFonts w:cs="Arial"/>
          <w:szCs w:val="22"/>
          <w:lang w:val="en-AU" w:eastAsia="en-AU" w:bidi="ar-SA"/>
        </w:rPr>
        <w:t xml:space="preserve"> </w:t>
      </w:r>
      <w:r w:rsidRPr="005976A2">
        <w:rPr>
          <w:rFonts w:cs="Arial"/>
          <w:szCs w:val="22"/>
          <w:lang w:val="en-AU" w:eastAsia="en-AU" w:bidi="ar-SA"/>
        </w:rPr>
        <w:t>9(2):313-6.</w:t>
      </w:r>
    </w:p>
    <w:p w14:paraId="1967C096" w14:textId="3D22FBCF" w:rsidR="003C01CB" w:rsidRDefault="003C01CB" w:rsidP="00FB453F">
      <w:pPr>
        <w:widowControl/>
        <w:textAlignment w:val="baseline"/>
        <w:rPr>
          <w:rFonts w:cs="Arial"/>
          <w:szCs w:val="22"/>
          <w:lang w:val="en-AU" w:eastAsia="en-AU" w:bidi="ar-SA"/>
        </w:rPr>
      </w:pPr>
    </w:p>
    <w:p w14:paraId="0222FF35" w14:textId="3CFEFEB6" w:rsidR="003C01CB" w:rsidRPr="00FB453F" w:rsidRDefault="003C01CB" w:rsidP="00FB453F">
      <w:pPr>
        <w:widowControl/>
        <w:textAlignment w:val="baseline"/>
        <w:rPr>
          <w:rFonts w:cs="Arial"/>
          <w:szCs w:val="22"/>
          <w:lang w:val="en-AU" w:eastAsia="en-AU" w:bidi="ar-SA"/>
        </w:rPr>
      </w:pPr>
      <w:r w:rsidRPr="003C01CB">
        <w:rPr>
          <w:rFonts w:cs="Arial"/>
          <w:szCs w:val="22"/>
          <w:lang w:val="en-AU" w:eastAsia="en-AU" w:bidi="ar-SA"/>
        </w:rPr>
        <w:t>Tarnow-</w:t>
      </w:r>
      <w:proofErr w:type="spellStart"/>
      <w:r w:rsidRPr="003C01CB">
        <w:rPr>
          <w:rFonts w:cs="Arial"/>
          <w:szCs w:val="22"/>
          <w:lang w:val="en-AU" w:eastAsia="en-AU" w:bidi="ar-SA"/>
        </w:rPr>
        <w:t>Mordi</w:t>
      </w:r>
      <w:proofErr w:type="spellEnd"/>
      <w:r w:rsidRPr="003C01CB">
        <w:rPr>
          <w:rFonts w:cs="Arial"/>
          <w:szCs w:val="22"/>
          <w:lang w:val="en-AU" w:eastAsia="en-AU" w:bidi="ar-SA"/>
        </w:rPr>
        <w:t xml:space="preserve"> WO, Abdel-Latif ME, Martin A, </w:t>
      </w:r>
      <w:proofErr w:type="spellStart"/>
      <w:r w:rsidRPr="003C01CB">
        <w:rPr>
          <w:rFonts w:cs="Arial"/>
          <w:szCs w:val="22"/>
          <w:lang w:val="en-AU" w:eastAsia="en-AU" w:bidi="ar-SA"/>
        </w:rPr>
        <w:t>Pammi</w:t>
      </w:r>
      <w:proofErr w:type="spellEnd"/>
      <w:r w:rsidRPr="003C01CB">
        <w:rPr>
          <w:rFonts w:cs="Arial"/>
          <w:szCs w:val="22"/>
          <w:lang w:val="en-AU" w:eastAsia="en-AU" w:bidi="ar-SA"/>
        </w:rPr>
        <w:t xml:space="preserve"> M, Robledo K, Manzoni P, Osborn D, Lui K, Keech A, Hague W, Ghadge A, </w:t>
      </w:r>
      <w:proofErr w:type="spellStart"/>
      <w:r w:rsidRPr="003C01CB">
        <w:rPr>
          <w:rFonts w:cs="Arial"/>
          <w:szCs w:val="22"/>
          <w:lang w:val="en-AU" w:eastAsia="en-AU" w:bidi="ar-SA"/>
        </w:rPr>
        <w:t>Travadi</w:t>
      </w:r>
      <w:proofErr w:type="spellEnd"/>
      <w:r w:rsidRPr="003C01CB">
        <w:rPr>
          <w:rFonts w:cs="Arial"/>
          <w:szCs w:val="22"/>
          <w:lang w:val="en-AU" w:eastAsia="en-AU" w:bidi="ar-SA"/>
        </w:rPr>
        <w:t xml:space="preserve"> J, Brown R, Darlow BA, </w:t>
      </w:r>
      <w:proofErr w:type="spellStart"/>
      <w:r w:rsidRPr="003C01CB">
        <w:rPr>
          <w:rFonts w:cs="Arial"/>
          <w:szCs w:val="22"/>
          <w:lang w:val="en-AU" w:eastAsia="en-AU" w:bidi="ar-SA"/>
        </w:rPr>
        <w:t>Liley</w:t>
      </w:r>
      <w:proofErr w:type="spellEnd"/>
      <w:r w:rsidRPr="003C01CB">
        <w:rPr>
          <w:rFonts w:cs="Arial"/>
          <w:szCs w:val="22"/>
          <w:lang w:val="en-AU" w:eastAsia="en-AU" w:bidi="ar-SA"/>
        </w:rPr>
        <w:t xml:space="preserve"> H, Pritchard M, </w:t>
      </w:r>
      <w:proofErr w:type="spellStart"/>
      <w:r w:rsidRPr="003C01CB">
        <w:rPr>
          <w:rFonts w:cs="Arial"/>
          <w:szCs w:val="22"/>
          <w:lang w:val="en-AU" w:eastAsia="en-AU" w:bidi="ar-SA"/>
        </w:rPr>
        <w:t>Kochar</w:t>
      </w:r>
      <w:proofErr w:type="spellEnd"/>
      <w:r w:rsidRPr="003C01CB">
        <w:rPr>
          <w:rFonts w:cs="Arial"/>
          <w:szCs w:val="22"/>
          <w:lang w:val="en-AU" w:eastAsia="en-AU" w:bidi="ar-SA"/>
        </w:rPr>
        <w:t xml:space="preserve"> A, Isaacs D, Gordon A, </w:t>
      </w:r>
      <w:proofErr w:type="spellStart"/>
      <w:r w:rsidRPr="003C01CB">
        <w:rPr>
          <w:rFonts w:cs="Arial"/>
          <w:szCs w:val="22"/>
          <w:lang w:val="en-AU" w:eastAsia="en-AU" w:bidi="ar-SA"/>
        </w:rPr>
        <w:t>Askie</w:t>
      </w:r>
      <w:proofErr w:type="spellEnd"/>
      <w:r w:rsidRPr="003C01CB">
        <w:rPr>
          <w:rFonts w:cs="Arial"/>
          <w:szCs w:val="22"/>
          <w:lang w:val="en-AU" w:eastAsia="en-AU" w:bidi="ar-SA"/>
        </w:rPr>
        <w:t xml:space="preserve"> L, Cruz M, Schindler T, Dixon K, Deshpande G, Tracy M, Schofield D, Austin N, Sinn J, </w:t>
      </w:r>
      <w:proofErr w:type="spellStart"/>
      <w:r w:rsidRPr="003C01CB">
        <w:rPr>
          <w:rFonts w:cs="Arial"/>
          <w:szCs w:val="22"/>
          <w:lang w:val="en-AU" w:eastAsia="en-AU" w:bidi="ar-SA"/>
        </w:rPr>
        <w:t>Simes</w:t>
      </w:r>
      <w:proofErr w:type="spellEnd"/>
      <w:r w:rsidRPr="003C01CB">
        <w:rPr>
          <w:rFonts w:cs="Arial"/>
          <w:szCs w:val="22"/>
          <w:lang w:val="en-AU" w:eastAsia="en-AU" w:bidi="ar-SA"/>
        </w:rPr>
        <w:t xml:space="preserve"> RJ; LIFT collaborators</w:t>
      </w:r>
      <w:r>
        <w:rPr>
          <w:rFonts w:cs="Arial"/>
          <w:szCs w:val="22"/>
          <w:lang w:val="en-AU" w:eastAsia="en-AU" w:bidi="ar-SA"/>
        </w:rPr>
        <w:t xml:space="preserve"> (2020) </w:t>
      </w:r>
      <w:r w:rsidRPr="003C01CB">
        <w:rPr>
          <w:rFonts w:cs="Arial"/>
          <w:szCs w:val="22"/>
          <w:lang w:val="en-AU" w:eastAsia="en-AU" w:bidi="ar-SA"/>
        </w:rPr>
        <w:t>The effect of lactoferrin supplementation on death or major morbidity in very low birthweight infants (LIFT): a multicentre, double-blind, randomised controlled trial</w:t>
      </w:r>
      <w:r>
        <w:rPr>
          <w:rFonts w:cs="Arial"/>
          <w:szCs w:val="22"/>
          <w:lang w:val="en-AU" w:eastAsia="en-AU" w:bidi="ar-SA"/>
        </w:rPr>
        <w:t xml:space="preserve">. Lancet Child </w:t>
      </w:r>
      <w:proofErr w:type="spellStart"/>
      <w:r>
        <w:rPr>
          <w:rFonts w:cs="Arial"/>
          <w:szCs w:val="22"/>
          <w:lang w:val="en-AU" w:eastAsia="en-AU" w:bidi="ar-SA"/>
        </w:rPr>
        <w:t>Adolesc</w:t>
      </w:r>
      <w:proofErr w:type="spellEnd"/>
      <w:r>
        <w:rPr>
          <w:rFonts w:cs="Arial"/>
          <w:szCs w:val="22"/>
          <w:lang w:val="en-AU" w:eastAsia="en-AU" w:bidi="ar-SA"/>
        </w:rPr>
        <w:t xml:space="preserve"> Health </w:t>
      </w:r>
      <w:r w:rsidRPr="003C01CB">
        <w:rPr>
          <w:rFonts w:cs="Arial"/>
          <w:szCs w:val="22"/>
          <w:lang w:val="en-AU" w:eastAsia="en-AU" w:bidi="ar-SA"/>
        </w:rPr>
        <w:t>4(6):444-454.</w:t>
      </w:r>
    </w:p>
    <w:p w14:paraId="08C52F51" w14:textId="3F68724E" w:rsidR="003C4883" w:rsidRDefault="003C4883" w:rsidP="00FB453F">
      <w:pPr>
        <w:widowControl/>
        <w:textAlignment w:val="baseline"/>
        <w:rPr>
          <w:rFonts w:cs="Arial"/>
          <w:szCs w:val="22"/>
          <w:lang w:val="en-AU" w:eastAsia="en-AU" w:bidi="ar-SA"/>
        </w:rPr>
      </w:pPr>
    </w:p>
    <w:p w14:paraId="24F5E916" w14:textId="25794123" w:rsidR="003C4883" w:rsidRPr="00FB453F" w:rsidRDefault="003C4883" w:rsidP="00FB453F">
      <w:pPr>
        <w:widowControl/>
        <w:textAlignment w:val="baseline"/>
        <w:rPr>
          <w:rFonts w:cs="Arial"/>
          <w:szCs w:val="22"/>
          <w:lang w:val="en-AU" w:eastAsia="en-AU" w:bidi="ar-SA"/>
        </w:rPr>
      </w:pPr>
      <w:r w:rsidRPr="003C4883">
        <w:rPr>
          <w:rFonts w:cs="Arial"/>
          <w:szCs w:val="22"/>
          <w:lang w:val="en-AU" w:eastAsia="en-AU" w:bidi="ar-SA"/>
        </w:rPr>
        <w:t xml:space="preserve">Taylor S, Brock </w:t>
      </w:r>
      <w:r>
        <w:rPr>
          <w:rFonts w:cs="Arial"/>
          <w:szCs w:val="22"/>
          <w:lang w:val="en-AU" w:eastAsia="en-AU" w:bidi="ar-SA"/>
        </w:rPr>
        <w:t xml:space="preserve">J, Kruger C, Berner T, Murphy M (2004) </w:t>
      </w:r>
      <w:r w:rsidRPr="003C4883">
        <w:rPr>
          <w:rFonts w:cs="Arial"/>
          <w:szCs w:val="22"/>
          <w:lang w:val="en-AU" w:eastAsia="en-AU" w:bidi="ar-SA"/>
        </w:rPr>
        <w:t>Safety determination for the use of bovine milk-derived lactoferrin as a component of an antimicrobial beef carcass spray</w:t>
      </w:r>
      <w:r>
        <w:rPr>
          <w:rFonts w:cs="Arial"/>
          <w:szCs w:val="22"/>
          <w:lang w:val="en-AU" w:eastAsia="en-AU" w:bidi="ar-SA"/>
        </w:rPr>
        <w:t xml:space="preserve">. </w:t>
      </w:r>
      <w:proofErr w:type="spellStart"/>
      <w:r>
        <w:rPr>
          <w:rFonts w:cs="Arial"/>
          <w:szCs w:val="22"/>
          <w:lang w:val="en-AU" w:eastAsia="en-AU" w:bidi="ar-SA"/>
        </w:rPr>
        <w:t>Regul</w:t>
      </w:r>
      <w:proofErr w:type="spellEnd"/>
      <w:r>
        <w:rPr>
          <w:rFonts w:cs="Arial"/>
          <w:szCs w:val="22"/>
          <w:lang w:val="en-AU" w:eastAsia="en-AU" w:bidi="ar-SA"/>
        </w:rPr>
        <w:t xml:space="preserve"> </w:t>
      </w:r>
      <w:proofErr w:type="spellStart"/>
      <w:r>
        <w:rPr>
          <w:rFonts w:cs="Arial"/>
          <w:szCs w:val="22"/>
          <w:lang w:val="en-AU" w:eastAsia="en-AU" w:bidi="ar-SA"/>
        </w:rPr>
        <w:t>Toxicol</w:t>
      </w:r>
      <w:proofErr w:type="spellEnd"/>
      <w:r>
        <w:rPr>
          <w:rFonts w:cs="Arial"/>
          <w:szCs w:val="22"/>
          <w:lang w:val="en-AU" w:eastAsia="en-AU" w:bidi="ar-SA"/>
        </w:rPr>
        <w:t xml:space="preserve"> </w:t>
      </w:r>
      <w:proofErr w:type="spellStart"/>
      <w:r>
        <w:rPr>
          <w:rFonts w:cs="Arial"/>
          <w:szCs w:val="22"/>
          <w:lang w:val="en-AU" w:eastAsia="en-AU" w:bidi="ar-SA"/>
        </w:rPr>
        <w:t>Pharmacol</w:t>
      </w:r>
      <w:proofErr w:type="spellEnd"/>
      <w:r>
        <w:rPr>
          <w:rFonts w:cs="Arial"/>
          <w:szCs w:val="22"/>
          <w:lang w:val="en-AU" w:eastAsia="en-AU" w:bidi="ar-SA"/>
        </w:rPr>
        <w:t xml:space="preserve"> </w:t>
      </w:r>
      <w:r w:rsidRPr="003C4883">
        <w:rPr>
          <w:rFonts w:cs="Arial"/>
          <w:szCs w:val="22"/>
          <w:lang w:val="en-AU" w:eastAsia="en-AU" w:bidi="ar-SA"/>
        </w:rPr>
        <w:t>39(1):12-24.</w:t>
      </w:r>
    </w:p>
    <w:p w14:paraId="77302D46" w14:textId="77777777" w:rsidR="00FB453F" w:rsidRPr="00FB453F" w:rsidRDefault="00FB453F" w:rsidP="00FB453F">
      <w:pPr>
        <w:widowControl/>
        <w:textAlignment w:val="baseline"/>
        <w:rPr>
          <w:rFonts w:cs="Arial"/>
          <w:szCs w:val="22"/>
          <w:lang w:val="en-AU" w:eastAsia="en-AU" w:bidi="ar-SA"/>
        </w:rPr>
      </w:pPr>
    </w:p>
    <w:p w14:paraId="0E45DF8D" w14:textId="4F92E6F4" w:rsidR="00FB453F" w:rsidRPr="00FB453F" w:rsidRDefault="00FB453F" w:rsidP="00FB453F">
      <w:pPr>
        <w:widowControl/>
        <w:textAlignment w:val="baseline"/>
        <w:rPr>
          <w:rFonts w:cs="Arial"/>
          <w:szCs w:val="22"/>
          <w:lang w:val="en-AU" w:eastAsia="en-AU" w:bidi="ar-SA"/>
        </w:rPr>
      </w:pPr>
      <w:proofErr w:type="spellStart"/>
      <w:r w:rsidRPr="00FB453F">
        <w:rPr>
          <w:rFonts w:cs="Arial"/>
          <w:szCs w:val="22"/>
          <w:lang w:val="en-AU" w:eastAsia="en-AU" w:bidi="ar-SA"/>
        </w:rPr>
        <w:t>Teraguchi</w:t>
      </w:r>
      <w:proofErr w:type="spellEnd"/>
      <w:r w:rsidRPr="00FB453F">
        <w:rPr>
          <w:rFonts w:cs="Arial"/>
          <w:szCs w:val="22"/>
          <w:lang w:val="en-AU" w:eastAsia="en-AU" w:bidi="ar-SA"/>
        </w:rPr>
        <w:t xml:space="preserve"> S, Ozawa K, Yasuda S, </w:t>
      </w:r>
      <w:proofErr w:type="spellStart"/>
      <w:r w:rsidRPr="00FB453F">
        <w:rPr>
          <w:rFonts w:cs="Arial"/>
          <w:szCs w:val="22"/>
          <w:lang w:val="en-AU" w:eastAsia="en-AU" w:bidi="ar-SA"/>
        </w:rPr>
        <w:t>Fukuwatari</w:t>
      </w:r>
      <w:proofErr w:type="spellEnd"/>
      <w:r w:rsidRPr="00FB453F">
        <w:rPr>
          <w:rFonts w:cs="Arial"/>
          <w:szCs w:val="22"/>
          <w:lang w:val="en-AU" w:eastAsia="en-AU" w:bidi="ar-SA"/>
        </w:rPr>
        <w:t xml:space="preserve"> Y, Shimamura S (1993). Effects of orally administered bovine lactoferrin on faecal Enterobacteriaceae of SPF mice fed milk. </w:t>
      </w:r>
      <w:proofErr w:type="spellStart"/>
      <w:r w:rsidRPr="00FB453F">
        <w:rPr>
          <w:rFonts w:cs="Arial"/>
          <w:szCs w:val="22"/>
          <w:lang w:val="en-AU" w:eastAsia="en-AU" w:bidi="ar-SA"/>
        </w:rPr>
        <w:t>Biosci</w:t>
      </w:r>
      <w:proofErr w:type="spellEnd"/>
      <w:r w:rsidRPr="00FB453F">
        <w:rPr>
          <w:rFonts w:cs="Arial"/>
          <w:szCs w:val="22"/>
          <w:lang w:val="en-AU" w:eastAsia="en-AU" w:bidi="ar-SA"/>
        </w:rPr>
        <w:t xml:space="preserve"> Biotech </w:t>
      </w:r>
      <w:proofErr w:type="spellStart"/>
      <w:r w:rsidRPr="00FB453F">
        <w:rPr>
          <w:rFonts w:cs="Arial"/>
          <w:szCs w:val="22"/>
          <w:lang w:val="en-AU" w:eastAsia="en-AU" w:bidi="ar-SA"/>
        </w:rPr>
        <w:t>Biochem</w:t>
      </w:r>
      <w:proofErr w:type="spellEnd"/>
      <w:r w:rsidRPr="00FB453F">
        <w:rPr>
          <w:rFonts w:cs="Arial"/>
          <w:szCs w:val="22"/>
          <w:lang w:val="en-AU" w:eastAsia="en-AU" w:bidi="ar-SA"/>
        </w:rPr>
        <w:t xml:space="preserve"> 57(2</w:t>
      </w:r>
      <w:r w:rsidR="003C1512" w:rsidRPr="00FB453F">
        <w:rPr>
          <w:rFonts w:cs="Arial"/>
          <w:szCs w:val="22"/>
          <w:lang w:val="en-AU" w:eastAsia="en-AU" w:bidi="ar-SA"/>
        </w:rPr>
        <w:t>)</w:t>
      </w:r>
      <w:r w:rsidR="003C1512">
        <w:rPr>
          <w:rFonts w:cs="Arial"/>
          <w:szCs w:val="22"/>
          <w:lang w:val="en-AU" w:eastAsia="en-AU" w:bidi="ar-SA"/>
        </w:rPr>
        <w:t>:</w:t>
      </w:r>
      <w:r w:rsidRPr="00FB453F">
        <w:rPr>
          <w:rFonts w:cs="Arial"/>
          <w:szCs w:val="22"/>
          <w:lang w:val="en-AU" w:eastAsia="en-AU" w:bidi="ar-SA"/>
        </w:rPr>
        <w:t xml:space="preserve">360-361. </w:t>
      </w:r>
    </w:p>
    <w:p w14:paraId="299DE749" w14:textId="77777777" w:rsidR="00FB453F" w:rsidRPr="00FB453F" w:rsidRDefault="00FB453F" w:rsidP="00FB453F">
      <w:pPr>
        <w:widowControl/>
        <w:textAlignment w:val="baseline"/>
        <w:rPr>
          <w:rFonts w:cs="Arial"/>
          <w:szCs w:val="22"/>
          <w:lang w:val="en-AU" w:eastAsia="en-AU" w:bidi="ar-SA"/>
        </w:rPr>
      </w:pPr>
    </w:p>
    <w:p w14:paraId="2A3B671E" w14:textId="17FCCA73" w:rsidR="00FB453F" w:rsidRDefault="003C1512" w:rsidP="00FB453F">
      <w:pPr>
        <w:widowControl/>
        <w:textAlignment w:val="baseline"/>
        <w:rPr>
          <w:rFonts w:cs="Arial"/>
          <w:szCs w:val="22"/>
          <w:lang w:val="en-AU" w:eastAsia="en-AU" w:bidi="ar-SA"/>
        </w:rPr>
      </w:pPr>
      <w:proofErr w:type="spellStart"/>
      <w:r w:rsidRPr="003C1512">
        <w:rPr>
          <w:rFonts w:cs="Arial"/>
          <w:szCs w:val="22"/>
          <w:lang w:val="en-AU" w:eastAsia="en-AU" w:bidi="ar-SA"/>
        </w:rPr>
        <w:t>Teraguchi</w:t>
      </w:r>
      <w:proofErr w:type="spellEnd"/>
      <w:r w:rsidRPr="003C1512">
        <w:rPr>
          <w:rFonts w:cs="Arial"/>
          <w:szCs w:val="22"/>
          <w:lang w:val="en-AU" w:eastAsia="en-AU" w:bidi="ar-SA"/>
        </w:rPr>
        <w:t xml:space="preserve"> S, Shin K, Ozawa K, Nakamura S, </w:t>
      </w:r>
      <w:proofErr w:type="spellStart"/>
      <w:r w:rsidRPr="003C1512">
        <w:rPr>
          <w:rFonts w:cs="Arial"/>
          <w:szCs w:val="22"/>
          <w:lang w:val="en-AU" w:eastAsia="en-AU" w:bidi="ar-SA"/>
        </w:rPr>
        <w:t>Fukuwatari</w:t>
      </w:r>
      <w:proofErr w:type="spellEnd"/>
      <w:r w:rsidRPr="003C1512">
        <w:rPr>
          <w:rFonts w:cs="Arial"/>
          <w:szCs w:val="22"/>
          <w:lang w:val="en-AU" w:eastAsia="en-AU" w:bidi="ar-SA"/>
        </w:rPr>
        <w:t xml:space="preserve"> Y, </w:t>
      </w:r>
      <w:proofErr w:type="spellStart"/>
      <w:r w:rsidRPr="003C1512">
        <w:rPr>
          <w:rFonts w:cs="Arial"/>
          <w:szCs w:val="22"/>
          <w:lang w:val="en-AU" w:eastAsia="en-AU" w:bidi="ar-SA"/>
        </w:rPr>
        <w:t>Tsu</w:t>
      </w:r>
      <w:r>
        <w:rPr>
          <w:rFonts w:cs="Arial"/>
          <w:szCs w:val="22"/>
          <w:lang w:val="en-AU" w:eastAsia="en-AU" w:bidi="ar-SA"/>
        </w:rPr>
        <w:t>yuki</w:t>
      </w:r>
      <w:proofErr w:type="spellEnd"/>
      <w:r>
        <w:rPr>
          <w:rFonts w:cs="Arial"/>
          <w:szCs w:val="22"/>
          <w:lang w:val="en-AU" w:eastAsia="en-AU" w:bidi="ar-SA"/>
        </w:rPr>
        <w:t xml:space="preserve"> S, </w:t>
      </w:r>
      <w:proofErr w:type="spellStart"/>
      <w:r>
        <w:rPr>
          <w:rFonts w:cs="Arial"/>
          <w:szCs w:val="22"/>
          <w:lang w:val="en-AU" w:eastAsia="en-AU" w:bidi="ar-SA"/>
        </w:rPr>
        <w:t>Namihira</w:t>
      </w:r>
      <w:proofErr w:type="spellEnd"/>
      <w:r>
        <w:rPr>
          <w:rFonts w:cs="Arial"/>
          <w:szCs w:val="22"/>
          <w:lang w:val="en-AU" w:eastAsia="en-AU" w:bidi="ar-SA"/>
        </w:rPr>
        <w:t xml:space="preserve"> H, Shimamura S</w:t>
      </w:r>
      <w:r w:rsidR="00FB453F" w:rsidRPr="00FB453F">
        <w:rPr>
          <w:rFonts w:cs="Arial"/>
          <w:szCs w:val="22"/>
          <w:lang w:val="en-AU" w:eastAsia="en-AU" w:bidi="ar-SA"/>
        </w:rPr>
        <w:t xml:space="preserve"> (1995) Bacteriostatic effect of orally administered bovine lactoferrin on proliferation of Clostridium species in the gut of mice fed bovine milk. Appl Environ </w:t>
      </w:r>
      <w:proofErr w:type="spellStart"/>
      <w:r w:rsidR="00FB453F" w:rsidRPr="00FB453F">
        <w:rPr>
          <w:rFonts w:cs="Arial"/>
          <w:szCs w:val="22"/>
          <w:lang w:val="en-AU" w:eastAsia="en-AU" w:bidi="ar-SA"/>
        </w:rPr>
        <w:t>Microbiol</w:t>
      </w:r>
      <w:proofErr w:type="spellEnd"/>
      <w:r w:rsidR="00FB453F" w:rsidRPr="00FB453F">
        <w:rPr>
          <w:rFonts w:cs="Arial"/>
          <w:szCs w:val="22"/>
          <w:lang w:val="en-AU" w:eastAsia="en-AU" w:bidi="ar-SA"/>
        </w:rPr>
        <w:t xml:space="preserve"> 61(2</w:t>
      </w:r>
      <w:r w:rsidRPr="00FB453F">
        <w:rPr>
          <w:rFonts w:cs="Arial"/>
          <w:szCs w:val="22"/>
          <w:lang w:val="en-AU" w:eastAsia="en-AU" w:bidi="ar-SA"/>
        </w:rPr>
        <w:t>)</w:t>
      </w:r>
      <w:r>
        <w:rPr>
          <w:rFonts w:cs="Arial"/>
          <w:szCs w:val="22"/>
          <w:lang w:val="en-AU" w:eastAsia="en-AU" w:bidi="ar-SA"/>
        </w:rPr>
        <w:t>:</w:t>
      </w:r>
      <w:r w:rsidR="00FB453F" w:rsidRPr="00FB453F">
        <w:rPr>
          <w:rFonts w:cs="Arial"/>
          <w:szCs w:val="22"/>
          <w:lang w:val="en-AU" w:eastAsia="en-AU" w:bidi="ar-SA"/>
        </w:rPr>
        <w:t>501-506.</w:t>
      </w:r>
    </w:p>
    <w:p w14:paraId="4E452C29" w14:textId="77777777" w:rsidR="00FB453F" w:rsidRDefault="00FB453F" w:rsidP="00384CD0">
      <w:pPr>
        <w:widowControl/>
        <w:textAlignment w:val="baseline"/>
        <w:rPr>
          <w:rFonts w:cs="Arial"/>
          <w:szCs w:val="22"/>
          <w:lang w:val="en-AU" w:eastAsia="en-AU" w:bidi="ar-SA"/>
        </w:rPr>
      </w:pPr>
    </w:p>
    <w:p w14:paraId="1700EEA0" w14:textId="2E1C930B" w:rsidR="00550D44" w:rsidRDefault="38221CDC" w:rsidP="00550D44">
      <w:r w:rsidRPr="1BE6BE4F">
        <w:rPr>
          <w:rFonts w:eastAsia="Arial" w:cs="Arial"/>
          <w:color w:val="212121"/>
          <w:szCs w:val="22"/>
        </w:rPr>
        <w:t xml:space="preserve">Troost FJ, </w:t>
      </w:r>
      <w:proofErr w:type="spellStart"/>
      <w:r w:rsidRPr="1BE6BE4F">
        <w:rPr>
          <w:rFonts w:eastAsia="Arial" w:cs="Arial"/>
          <w:color w:val="212121"/>
          <w:szCs w:val="22"/>
        </w:rPr>
        <w:t>Steijns</w:t>
      </w:r>
      <w:proofErr w:type="spellEnd"/>
      <w:r w:rsidRPr="1BE6BE4F">
        <w:rPr>
          <w:rFonts w:eastAsia="Arial" w:cs="Arial"/>
          <w:color w:val="212121"/>
          <w:szCs w:val="22"/>
        </w:rPr>
        <w:t xml:space="preserve"> J, Saris WH, Brummer RJ (2001) Gastric digestion of bovine lactoferrin in vivo in adults. J </w:t>
      </w:r>
      <w:proofErr w:type="spellStart"/>
      <w:r w:rsidRPr="1BE6BE4F">
        <w:rPr>
          <w:rFonts w:eastAsia="Arial" w:cs="Arial"/>
          <w:color w:val="212121"/>
          <w:szCs w:val="22"/>
        </w:rPr>
        <w:t>Nutr</w:t>
      </w:r>
      <w:proofErr w:type="spellEnd"/>
      <w:r w:rsidRPr="1BE6BE4F">
        <w:rPr>
          <w:rFonts w:eastAsia="Arial" w:cs="Arial"/>
          <w:color w:val="212121"/>
          <w:szCs w:val="22"/>
        </w:rPr>
        <w:t xml:space="preserve"> 131(8):2101-2104. </w:t>
      </w:r>
      <w:proofErr w:type="spellStart"/>
      <w:r w:rsidRPr="1BE6BE4F">
        <w:rPr>
          <w:rFonts w:eastAsia="Arial" w:cs="Arial"/>
          <w:color w:val="212121"/>
          <w:szCs w:val="22"/>
        </w:rPr>
        <w:t>doi</w:t>
      </w:r>
      <w:proofErr w:type="spellEnd"/>
      <w:r w:rsidRPr="1BE6BE4F">
        <w:rPr>
          <w:rFonts w:eastAsia="Arial" w:cs="Arial"/>
          <w:color w:val="212121"/>
          <w:szCs w:val="22"/>
        </w:rPr>
        <w:t>: 10.1093/</w:t>
      </w:r>
      <w:proofErr w:type="spellStart"/>
      <w:r w:rsidRPr="1BE6BE4F">
        <w:rPr>
          <w:rFonts w:eastAsia="Arial" w:cs="Arial"/>
          <w:color w:val="212121"/>
          <w:szCs w:val="22"/>
        </w:rPr>
        <w:t>jn</w:t>
      </w:r>
      <w:proofErr w:type="spellEnd"/>
      <w:r w:rsidRPr="1BE6BE4F">
        <w:rPr>
          <w:rFonts w:eastAsia="Arial" w:cs="Arial"/>
          <w:color w:val="212121"/>
          <w:szCs w:val="22"/>
        </w:rPr>
        <w:t>/131.8.2101</w:t>
      </w:r>
      <w:r w:rsidRPr="1BE6BE4F">
        <w:rPr>
          <w:rFonts w:eastAsia="Arial" w:cs="Arial"/>
          <w:szCs w:val="22"/>
        </w:rPr>
        <w:t xml:space="preserve"> </w:t>
      </w:r>
    </w:p>
    <w:p w14:paraId="424470EB" w14:textId="12AB02CB" w:rsidR="00550D44" w:rsidRDefault="00550D44" w:rsidP="38221CDC">
      <w:pPr>
        <w:rPr>
          <w:rFonts w:cs="Arial"/>
        </w:rPr>
      </w:pPr>
    </w:p>
    <w:p w14:paraId="0798523B" w14:textId="2178B405" w:rsidR="00550D44" w:rsidRDefault="00550D44" w:rsidP="00550D44">
      <w:pPr>
        <w:rPr>
          <w:rFonts w:cs="Arial"/>
        </w:rPr>
      </w:pPr>
      <w:r w:rsidRPr="006658F3">
        <w:rPr>
          <w:rFonts w:cs="Arial"/>
        </w:rPr>
        <w:t>Tsuji</w:t>
      </w:r>
      <w:r>
        <w:rPr>
          <w:rFonts w:cs="Arial"/>
        </w:rPr>
        <w:t xml:space="preserve"> S, </w:t>
      </w:r>
      <w:r w:rsidRPr="006658F3">
        <w:rPr>
          <w:rFonts w:cs="Arial"/>
        </w:rPr>
        <w:t>Hirata</w:t>
      </w:r>
      <w:r>
        <w:rPr>
          <w:rFonts w:cs="Arial"/>
        </w:rPr>
        <w:t xml:space="preserve"> Y, </w:t>
      </w:r>
      <w:r w:rsidRPr="006658F3">
        <w:rPr>
          <w:rFonts w:cs="Arial"/>
        </w:rPr>
        <w:t>Mukai</w:t>
      </w:r>
      <w:r>
        <w:rPr>
          <w:rFonts w:cs="Arial"/>
        </w:rPr>
        <w:t xml:space="preserve"> F, </w:t>
      </w:r>
      <w:proofErr w:type="spellStart"/>
      <w:r w:rsidRPr="006658F3">
        <w:rPr>
          <w:rFonts w:cs="Arial"/>
        </w:rPr>
        <w:t>Ohtagaki</w:t>
      </w:r>
      <w:proofErr w:type="spellEnd"/>
      <w:r>
        <w:rPr>
          <w:rFonts w:cs="Arial"/>
        </w:rPr>
        <w:t xml:space="preserve"> S (1990) </w:t>
      </w:r>
      <w:r w:rsidRPr="006658F3">
        <w:rPr>
          <w:rFonts w:cs="Arial"/>
        </w:rPr>
        <w:t>Comparison of lactoferrin content in colostrum between different cattle breeds</w:t>
      </w:r>
      <w:r>
        <w:rPr>
          <w:rFonts w:cs="Arial"/>
        </w:rPr>
        <w:t>. J. Dairy Sci., 73:</w:t>
      </w:r>
      <w:r w:rsidRPr="006658F3">
        <w:rPr>
          <w:rFonts w:cs="Arial"/>
        </w:rPr>
        <w:t>125-128</w:t>
      </w:r>
      <w:r>
        <w:rPr>
          <w:rFonts w:cs="Arial"/>
        </w:rPr>
        <w:t>.</w:t>
      </w:r>
    </w:p>
    <w:p w14:paraId="7FBB63F3" w14:textId="77777777" w:rsidR="00550D44" w:rsidRPr="00550D44" w:rsidRDefault="00550D44" w:rsidP="00384CD0">
      <w:pPr>
        <w:widowControl/>
        <w:textAlignment w:val="baseline"/>
        <w:rPr>
          <w:rFonts w:cs="Arial"/>
          <w:szCs w:val="22"/>
          <w:lang w:val="en-AU" w:eastAsia="en-AU" w:bidi="ar-SA"/>
        </w:rPr>
      </w:pPr>
    </w:p>
    <w:p w14:paraId="1578F523" w14:textId="77777777" w:rsidR="00384CD0" w:rsidRPr="00550D44" w:rsidRDefault="00384CD0" w:rsidP="00384CD0">
      <w:pPr>
        <w:widowControl/>
        <w:textAlignment w:val="baseline"/>
        <w:rPr>
          <w:rFonts w:cs="Arial"/>
          <w:szCs w:val="22"/>
          <w:lang w:val="en-AU" w:eastAsia="en-AU" w:bidi="ar-SA"/>
        </w:rPr>
      </w:pPr>
      <w:r w:rsidRPr="00550D44">
        <w:rPr>
          <w:rFonts w:cs="Arial"/>
          <w:szCs w:val="22"/>
          <w:lang w:eastAsia="en-AU" w:bidi="ar-SA"/>
        </w:rPr>
        <w:t>United Nations University; World Health Organization; Food and Agriculture Organization of the United Nations (2004) Human energy requirements: Report of a joint FAO/WHO/UNU expert consultation : Rome, 17-24 October 2001. FAO food and nutrition technical report series,  1813-3923, vol 1. United Nations University, Rome.</w:t>
      </w:r>
      <w:r w:rsidRPr="00550D44">
        <w:rPr>
          <w:rFonts w:cs="Arial"/>
          <w:szCs w:val="22"/>
          <w:lang w:val="en-AU" w:eastAsia="en-AU" w:bidi="ar-SA"/>
        </w:rPr>
        <w:t> </w:t>
      </w:r>
    </w:p>
    <w:p w14:paraId="5C60F849" w14:textId="259043CF" w:rsidR="00384CD0" w:rsidRDefault="00384CD0" w:rsidP="00384CD0">
      <w:pPr>
        <w:widowControl/>
        <w:textAlignment w:val="baseline"/>
        <w:rPr>
          <w:rFonts w:cs="Arial"/>
          <w:szCs w:val="22"/>
          <w:lang w:val="en-AU" w:eastAsia="en-AU" w:bidi="ar-SA"/>
        </w:rPr>
      </w:pPr>
    </w:p>
    <w:p w14:paraId="6915E3AA" w14:textId="27BD25C8" w:rsidR="00550D44" w:rsidRDefault="00550D44" w:rsidP="00550D44">
      <w:pPr>
        <w:rPr>
          <w:rFonts w:cs="Arial"/>
        </w:rPr>
      </w:pPr>
      <w:r w:rsidRPr="00914DFC">
        <w:rPr>
          <w:rFonts w:cs="Arial"/>
        </w:rPr>
        <w:t xml:space="preserve">van der </w:t>
      </w:r>
      <w:proofErr w:type="spellStart"/>
      <w:r w:rsidRPr="00914DFC">
        <w:rPr>
          <w:rFonts w:cs="Arial"/>
        </w:rPr>
        <w:t>Kraan</w:t>
      </w:r>
      <w:proofErr w:type="spellEnd"/>
      <w:r w:rsidRPr="00914DFC">
        <w:rPr>
          <w:rFonts w:cs="Arial"/>
        </w:rPr>
        <w:t xml:space="preserve"> MI, </w:t>
      </w:r>
      <w:proofErr w:type="spellStart"/>
      <w:r w:rsidRPr="00914DFC">
        <w:rPr>
          <w:rFonts w:cs="Arial"/>
        </w:rPr>
        <w:t>Nazmi</w:t>
      </w:r>
      <w:proofErr w:type="spellEnd"/>
      <w:r w:rsidRPr="00914DFC">
        <w:rPr>
          <w:rFonts w:cs="Arial"/>
        </w:rPr>
        <w:t xml:space="preserve"> K, </w:t>
      </w:r>
      <w:proofErr w:type="spellStart"/>
      <w:r w:rsidRPr="00914DFC">
        <w:rPr>
          <w:rFonts w:cs="Arial"/>
        </w:rPr>
        <w:t>Teeken</w:t>
      </w:r>
      <w:proofErr w:type="spellEnd"/>
      <w:r w:rsidRPr="00914DFC">
        <w:rPr>
          <w:rFonts w:cs="Arial"/>
        </w:rPr>
        <w:t xml:space="preserve"> A, </w:t>
      </w:r>
      <w:proofErr w:type="spellStart"/>
      <w:r w:rsidRPr="00914DFC">
        <w:rPr>
          <w:rFonts w:cs="Arial"/>
        </w:rPr>
        <w:t>Groenink</w:t>
      </w:r>
      <w:proofErr w:type="spellEnd"/>
      <w:r w:rsidRPr="00914DFC">
        <w:rPr>
          <w:rFonts w:cs="Arial"/>
        </w:rPr>
        <w:t xml:space="preserve"> J, van 't Hof W, </w:t>
      </w:r>
      <w:proofErr w:type="spellStart"/>
      <w:r w:rsidRPr="00914DFC">
        <w:rPr>
          <w:rFonts w:cs="Arial"/>
        </w:rPr>
        <w:t>Veerman</w:t>
      </w:r>
      <w:proofErr w:type="spellEnd"/>
      <w:r w:rsidRPr="00914DFC">
        <w:rPr>
          <w:rFonts w:cs="Arial"/>
        </w:rPr>
        <w:t xml:space="preserve"> EC, </w:t>
      </w:r>
      <w:proofErr w:type="spellStart"/>
      <w:r w:rsidRPr="00914DFC">
        <w:rPr>
          <w:rFonts w:cs="Arial"/>
        </w:rPr>
        <w:t>Bolscher</w:t>
      </w:r>
      <w:proofErr w:type="spellEnd"/>
      <w:r w:rsidRPr="00914DFC">
        <w:rPr>
          <w:rFonts w:cs="Arial"/>
        </w:rPr>
        <w:t xml:space="preserve"> JG, </w:t>
      </w:r>
      <w:proofErr w:type="spellStart"/>
      <w:r w:rsidRPr="00914DFC">
        <w:rPr>
          <w:rFonts w:cs="Arial"/>
        </w:rPr>
        <w:t>Nieuw</w:t>
      </w:r>
      <w:proofErr w:type="spellEnd"/>
      <w:r w:rsidRPr="00914DFC">
        <w:rPr>
          <w:rFonts w:cs="Arial"/>
        </w:rPr>
        <w:t xml:space="preserve"> </w:t>
      </w:r>
      <w:proofErr w:type="spellStart"/>
      <w:r w:rsidRPr="00914DFC">
        <w:rPr>
          <w:rFonts w:cs="Arial"/>
        </w:rPr>
        <w:t>Amerongen</w:t>
      </w:r>
      <w:proofErr w:type="spellEnd"/>
      <w:r w:rsidRPr="00914DFC">
        <w:rPr>
          <w:rFonts w:cs="Arial"/>
        </w:rPr>
        <w:t xml:space="preserve"> AV</w:t>
      </w:r>
      <w:r>
        <w:rPr>
          <w:rFonts w:cs="Arial"/>
        </w:rPr>
        <w:t xml:space="preserve"> (2005)</w:t>
      </w:r>
      <w:r w:rsidRPr="00914DFC">
        <w:rPr>
          <w:rFonts w:cs="Arial"/>
        </w:rPr>
        <w:t xml:space="preserve"> </w:t>
      </w:r>
      <w:proofErr w:type="spellStart"/>
      <w:r w:rsidRPr="00914DFC">
        <w:rPr>
          <w:rFonts w:cs="Arial"/>
        </w:rPr>
        <w:t>Lactoferrampin</w:t>
      </w:r>
      <w:proofErr w:type="spellEnd"/>
      <w:r w:rsidRPr="00914DFC">
        <w:rPr>
          <w:rFonts w:cs="Arial"/>
        </w:rPr>
        <w:t xml:space="preserve">, an antimicrobial peptide of bovine lactoferrin, exerts its candidacidal activity by a cluster of positively charged residues at the C-terminus in combination with a helix-facilitating N-terminal part. </w:t>
      </w:r>
      <w:proofErr w:type="spellStart"/>
      <w:r w:rsidRPr="00914DFC">
        <w:rPr>
          <w:rFonts w:cs="Arial"/>
        </w:rPr>
        <w:t>Biol</w:t>
      </w:r>
      <w:proofErr w:type="spellEnd"/>
      <w:r w:rsidRPr="00914DFC">
        <w:rPr>
          <w:rFonts w:cs="Arial"/>
        </w:rPr>
        <w:t xml:space="preserve"> Chem. 386(2):</w:t>
      </w:r>
      <w:r>
        <w:rPr>
          <w:rFonts w:cs="Arial"/>
        </w:rPr>
        <w:t>137-42.</w:t>
      </w:r>
      <w:r>
        <w:rPr>
          <w:rFonts w:cs="Arial"/>
        </w:rPr>
        <w:br/>
        <w:t>DOI:10.1515/BC.2005.017</w:t>
      </w:r>
      <w:r w:rsidRPr="00914DFC">
        <w:rPr>
          <w:rFonts w:cs="Arial"/>
        </w:rPr>
        <w:t>.</w:t>
      </w:r>
    </w:p>
    <w:p w14:paraId="076DE0BD" w14:textId="77777777" w:rsidR="00550D44" w:rsidRPr="00550D44" w:rsidRDefault="00550D44" w:rsidP="00384CD0">
      <w:pPr>
        <w:widowControl/>
        <w:textAlignment w:val="baseline"/>
        <w:rPr>
          <w:rFonts w:cs="Arial"/>
          <w:szCs w:val="22"/>
          <w:lang w:val="en-AU" w:eastAsia="en-AU" w:bidi="ar-SA"/>
        </w:rPr>
      </w:pPr>
    </w:p>
    <w:p w14:paraId="0F21E7AF" w14:textId="2A59FB45" w:rsidR="00384CD0" w:rsidRPr="00550D44" w:rsidRDefault="00384CD0" w:rsidP="00384CD0">
      <w:pPr>
        <w:widowControl/>
        <w:textAlignment w:val="baseline"/>
        <w:rPr>
          <w:rFonts w:cs="Arial"/>
          <w:szCs w:val="22"/>
          <w:lang w:val="en-AU" w:eastAsia="en-AU" w:bidi="ar-SA"/>
        </w:rPr>
      </w:pPr>
      <w:r w:rsidRPr="00550D44">
        <w:rPr>
          <w:rFonts w:cs="Arial"/>
          <w:szCs w:val="22"/>
          <w:lang w:eastAsia="en-AU" w:bidi="ar-SA"/>
        </w:rPr>
        <w:t>Villavicencio A, Rueda MS, Turin CG, Ochoa TJ (2017) Factors affecting lactoferrin concentration in human milk: how much do we know? </w:t>
      </w:r>
      <w:proofErr w:type="spellStart"/>
      <w:r w:rsidRPr="00550D44">
        <w:rPr>
          <w:rFonts w:cs="Arial"/>
          <w:szCs w:val="22"/>
          <w:lang w:eastAsia="en-AU" w:bidi="ar-SA"/>
        </w:rPr>
        <w:t>Biochem</w:t>
      </w:r>
      <w:proofErr w:type="spellEnd"/>
      <w:r w:rsidRPr="00550D44">
        <w:rPr>
          <w:rFonts w:cs="Arial"/>
          <w:szCs w:val="22"/>
          <w:lang w:eastAsia="en-AU" w:bidi="ar-SA"/>
        </w:rPr>
        <w:t xml:space="preserve"> Cell </w:t>
      </w:r>
      <w:proofErr w:type="spellStart"/>
      <w:r w:rsidRPr="00550D44">
        <w:rPr>
          <w:rFonts w:cs="Arial"/>
          <w:szCs w:val="22"/>
          <w:lang w:eastAsia="en-AU" w:bidi="ar-SA"/>
        </w:rPr>
        <w:t>Biol</w:t>
      </w:r>
      <w:proofErr w:type="spellEnd"/>
      <w:r w:rsidRPr="00550D44">
        <w:rPr>
          <w:rFonts w:cs="Arial"/>
          <w:szCs w:val="22"/>
          <w:lang w:eastAsia="en-AU" w:bidi="ar-SA"/>
        </w:rPr>
        <w:t> 95(1</w:t>
      </w:r>
      <w:r w:rsidR="00C474FD" w:rsidRPr="00550D44">
        <w:rPr>
          <w:rFonts w:cs="Arial"/>
          <w:szCs w:val="22"/>
          <w:lang w:eastAsia="en-AU" w:bidi="ar-SA"/>
        </w:rPr>
        <w:t>)</w:t>
      </w:r>
      <w:r w:rsidR="00C474FD">
        <w:rPr>
          <w:rFonts w:cs="Arial"/>
          <w:szCs w:val="22"/>
          <w:lang w:eastAsia="en-AU" w:bidi="ar-SA"/>
        </w:rPr>
        <w:t>:</w:t>
      </w:r>
      <w:r w:rsidRPr="00550D44">
        <w:rPr>
          <w:rFonts w:cs="Arial"/>
          <w:szCs w:val="22"/>
          <w:lang w:eastAsia="en-AU" w:bidi="ar-SA"/>
        </w:rPr>
        <w:t>12-21.</w:t>
      </w:r>
      <w:r w:rsidRPr="00550D44">
        <w:rPr>
          <w:rFonts w:cs="Arial"/>
          <w:szCs w:val="22"/>
          <w:lang w:val="en-AU" w:eastAsia="en-AU" w:bidi="ar-SA"/>
        </w:rPr>
        <w:t> </w:t>
      </w:r>
    </w:p>
    <w:p w14:paraId="657AE432" w14:textId="77777777" w:rsidR="00D33E0F" w:rsidRDefault="00D33E0F" w:rsidP="00384CD0">
      <w:pPr>
        <w:widowControl/>
        <w:textAlignment w:val="baseline"/>
        <w:rPr>
          <w:rFonts w:cs="Arial"/>
          <w:szCs w:val="22"/>
          <w:lang w:val="en-AU" w:eastAsia="en-AU" w:bidi="ar-SA"/>
        </w:rPr>
      </w:pPr>
    </w:p>
    <w:p w14:paraId="53BE795E" w14:textId="5ADFB8CA" w:rsidR="00D33E0F" w:rsidRDefault="00D33E0F" w:rsidP="00D33E0F">
      <w:pPr>
        <w:widowControl/>
        <w:textAlignment w:val="baseline"/>
        <w:rPr>
          <w:rFonts w:cs="Arial"/>
          <w:szCs w:val="22"/>
          <w:lang w:val="en-AU" w:eastAsia="en-AU" w:bidi="ar-SA"/>
        </w:rPr>
      </w:pPr>
      <w:r w:rsidRPr="00D33E0F">
        <w:rPr>
          <w:rFonts w:cs="Arial"/>
          <w:szCs w:val="22"/>
          <w:lang w:val="en-AU" w:eastAsia="en-AU" w:bidi="ar-SA"/>
        </w:rPr>
        <w:t xml:space="preserve">Vogel HJ (2012) Lactoferrin, a bird's eye view. </w:t>
      </w:r>
      <w:proofErr w:type="spellStart"/>
      <w:r w:rsidRPr="00D33E0F">
        <w:rPr>
          <w:rFonts w:cs="Arial"/>
          <w:szCs w:val="22"/>
          <w:lang w:val="en-AU" w:eastAsia="en-AU" w:bidi="ar-SA"/>
        </w:rPr>
        <w:t>Biochem</w:t>
      </w:r>
      <w:proofErr w:type="spellEnd"/>
      <w:r w:rsidRPr="00D33E0F">
        <w:rPr>
          <w:rFonts w:cs="Arial"/>
          <w:szCs w:val="22"/>
          <w:lang w:val="en-AU" w:eastAsia="en-AU" w:bidi="ar-SA"/>
        </w:rPr>
        <w:t xml:space="preserve"> Cell Biol, 90(3</w:t>
      </w:r>
      <w:r w:rsidR="00C474FD" w:rsidRPr="00D33E0F">
        <w:rPr>
          <w:rFonts w:cs="Arial"/>
          <w:szCs w:val="22"/>
          <w:lang w:val="en-AU" w:eastAsia="en-AU" w:bidi="ar-SA"/>
        </w:rPr>
        <w:t>)</w:t>
      </w:r>
      <w:r w:rsidR="00C474FD">
        <w:rPr>
          <w:rFonts w:cs="Arial"/>
          <w:szCs w:val="22"/>
          <w:lang w:val="en-AU" w:eastAsia="en-AU" w:bidi="ar-SA"/>
        </w:rPr>
        <w:t>:</w:t>
      </w:r>
      <w:r w:rsidRPr="00D33E0F">
        <w:rPr>
          <w:rFonts w:cs="Arial"/>
          <w:szCs w:val="22"/>
          <w:lang w:val="en-AU" w:eastAsia="en-AU" w:bidi="ar-SA"/>
        </w:rPr>
        <w:t xml:space="preserve">233-244. doi:10.1139/o2012-016 </w:t>
      </w:r>
    </w:p>
    <w:p w14:paraId="0E81DE98" w14:textId="77777777" w:rsidR="002B2B6E" w:rsidRPr="00D33E0F" w:rsidRDefault="002B2B6E" w:rsidP="00D33E0F">
      <w:pPr>
        <w:widowControl/>
        <w:textAlignment w:val="baseline"/>
        <w:rPr>
          <w:rFonts w:cs="Arial"/>
          <w:szCs w:val="22"/>
          <w:lang w:val="en-AU" w:eastAsia="en-AU" w:bidi="ar-SA"/>
        </w:rPr>
      </w:pPr>
    </w:p>
    <w:p w14:paraId="78A550E2" w14:textId="011655B9" w:rsidR="002B2B6E" w:rsidRPr="00550D44" w:rsidRDefault="002B2B6E" w:rsidP="002B2B6E">
      <w:pPr>
        <w:rPr>
          <w:rFonts w:cs="Arial"/>
          <w:szCs w:val="22"/>
          <w:lang w:bidi="ar-SA"/>
        </w:rPr>
      </w:pPr>
      <w:r w:rsidRPr="009A0650">
        <w:rPr>
          <w:rFonts w:cs="Arial"/>
          <w:szCs w:val="22"/>
          <w:lang w:eastAsia="en-AU" w:bidi="ar-SA"/>
        </w:rPr>
        <w:t xml:space="preserve">Wang J, Shi H, Zhang T, Huang J, Li Z, Ma G, Zhang X (2018) The lactoferrin content variation and its related factors in milk of </w:t>
      </w:r>
      <w:proofErr w:type="spellStart"/>
      <w:r w:rsidRPr="00063ED5">
        <w:rPr>
          <w:rFonts w:cs="Arial"/>
          <w:i/>
          <w:iCs/>
          <w:szCs w:val="22"/>
          <w:lang w:eastAsia="en-AU" w:bidi="ar-SA"/>
        </w:rPr>
        <w:t>Xinong</w:t>
      </w:r>
      <w:proofErr w:type="spellEnd"/>
      <w:r w:rsidRPr="00063ED5">
        <w:rPr>
          <w:rFonts w:cs="Arial"/>
          <w:i/>
          <w:iCs/>
          <w:szCs w:val="22"/>
          <w:lang w:eastAsia="en-AU" w:bidi="ar-SA"/>
        </w:rPr>
        <w:t xml:space="preserve"> Saanen</w:t>
      </w:r>
      <w:r w:rsidRPr="009A0650">
        <w:rPr>
          <w:rFonts w:cs="Arial"/>
          <w:szCs w:val="22"/>
          <w:lang w:eastAsia="en-AU" w:bidi="ar-SA"/>
        </w:rPr>
        <w:t xml:space="preserve"> goats. J </w:t>
      </w:r>
      <w:proofErr w:type="spellStart"/>
      <w:r w:rsidRPr="009A0650">
        <w:rPr>
          <w:rFonts w:cs="Arial"/>
          <w:szCs w:val="22"/>
          <w:lang w:eastAsia="en-AU" w:bidi="ar-SA"/>
        </w:rPr>
        <w:t>Appl</w:t>
      </w:r>
      <w:proofErr w:type="spellEnd"/>
      <w:r w:rsidRPr="009A0650">
        <w:rPr>
          <w:rFonts w:cs="Arial"/>
          <w:szCs w:val="22"/>
          <w:lang w:eastAsia="en-AU" w:bidi="ar-SA"/>
        </w:rPr>
        <w:t xml:space="preserve"> Animal Res 46(1</w:t>
      </w:r>
      <w:r w:rsidR="00C474FD" w:rsidRPr="009A0650">
        <w:rPr>
          <w:rFonts w:cs="Arial"/>
          <w:szCs w:val="22"/>
          <w:lang w:eastAsia="en-AU" w:bidi="ar-SA"/>
        </w:rPr>
        <w:t>)</w:t>
      </w:r>
      <w:r w:rsidR="00C474FD">
        <w:rPr>
          <w:rFonts w:cs="Arial"/>
          <w:szCs w:val="22"/>
          <w:lang w:eastAsia="en-AU" w:bidi="ar-SA"/>
        </w:rPr>
        <w:t>:</w:t>
      </w:r>
      <w:r w:rsidRPr="009A0650">
        <w:rPr>
          <w:rFonts w:cs="Arial"/>
          <w:szCs w:val="22"/>
          <w:lang w:eastAsia="en-AU" w:bidi="ar-SA"/>
        </w:rPr>
        <w:t>1032-1035.</w:t>
      </w:r>
    </w:p>
    <w:p w14:paraId="5CA664E5" w14:textId="65CD85F5" w:rsidR="003930E5" w:rsidRDefault="003930E5" w:rsidP="002B2B6E">
      <w:pPr>
        <w:rPr>
          <w:rFonts w:cs="Arial"/>
          <w:szCs w:val="22"/>
          <w:lang w:bidi="ar-SA"/>
        </w:rPr>
      </w:pPr>
    </w:p>
    <w:p w14:paraId="1898EB96" w14:textId="23B0EACD" w:rsidR="003930E5" w:rsidRPr="003930E5" w:rsidRDefault="003930E5" w:rsidP="002B2B6E">
      <w:pPr>
        <w:rPr>
          <w:rFonts w:cs="Arial"/>
          <w:szCs w:val="22"/>
          <w:lang w:bidi="ar-SA"/>
        </w:rPr>
      </w:pPr>
      <w:r w:rsidRPr="003930E5">
        <w:rPr>
          <w:szCs w:val="22"/>
        </w:rPr>
        <w:t xml:space="preserve">Wang B, </w:t>
      </w:r>
      <w:proofErr w:type="spellStart"/>
      <w:r w:rsidRPr="003930E5">
        <w:rPr>
          <w:szCs w:val="22"/>
        </w:rPr>
        <w:t>Timilsena</w:t>
      </w:r>
      <w:proofErr w:type="spellEnd"/>
      <w:r w:rsidRPr="003930E5">
        <w:rPr>
          <w:szCs w:val="22"/>
        </w:rPr>
        <w:t xml:space="preserve"> YP, Blanch E, Adhikari B (2017) Characteristics of bovine lactoferrin powders produced through spray and freeze drying processes. Int J </w:t>
      </w:r>
      <w:proofErr w:type="spellStart"/>
      <w:r w:rsidRPr="003930E5">
        <w:rPr>
          <w:szCs w:val="22"/>
        </w:rPr>
        <w:t>Biol</w:t>
      </w:r>
      <w:proofErr w:type="spellEnd"/>
      <w:r w:rsidRPr="003930E5">
        <w:rPr>
          <w:szCs w:val="22"/>
        </w:rPr>
        <w:t xml:space="preserve"> </w:t>
      </w:r>
      <w:proofErr w:type="spellStart"/>
      <w:r w:rsidRPr="003930E5">
        <w:rPr>
          <w:szCs w:val="22"/>
        </w:rPr>
        <w:t>Macromol</w:t>
      </w:r>
      <w:proofErr w:type="spellEnd"/>
      <w:r w:rsidRPr="003930E5">
        <w:rPr>
          <w:szCs w:val="22"/>
        </w:rPr>
        <w:t>, 95</w:t>
      </w:r>
      <w:r w:rsidR="00C474FD">
        <w:rPr>
          <w:szCs w:val="22"/>
        </w:rPr>
        <w:t>:</w:t>
      </w:r>
      <w:r w:rsidRPr="003930E5">
        <w:rPr>
          <w:szCs w:val="22"/>
        </w:rPr>
        <w:t>985-994</w:t>
      </w:r>
      <w:r>
        <w:rPr>
          <w:szCs w:val="22"/>
        </w:rPr>
        <w:t>.</w:t>
      </w:r>
    </w:p>
    <w:p w14:paraId="726BDC5A" w14:textId="77777777" w:rsidR="00D33E0F" w:rsidRDefault="00D33E0F" w:rsidP="00D33E0F">
      <w:pPr>
        <w:widowControl/>
        <w:textAlignment w:val="baseline"/>
        <w:rPr>
          <w:rFonts w:cs="Arial"/>
          <w:szCs w:val="22"/>
          <w:lang w:val="en-AU" w:eastAsia="en-AU" w:bidi="ar-SA"/>
        </w:rPr>
      </w:pPr>
    </w:p>
    <w:p w14:paraId="0CDACB73" w14:textId="77777777" w:rsidR="00D33E0F" w:rsidRPr="00550D44" w:rsidRDefault="00D33E0F" w:rsidP="00D33E0F">
      <w:pPr>
        <w:widowControl/>
        <w:textAlignment w:val="baseline"/>
        <w:rPr>
          <w:rFonts w:cs="Arial"/>
          <w:szCs w:val="22"/>
          <w:lang w:val="en-AU" w:eastAsia="en-AU" w:bidi="ar-SA"/>
        </w:rPr>
      </w:pPr>
      <w:r w:rsidRPr="00550D44">
        <w:rPr>
          <w:rFonts w:cs="Arial"/>
          <w:szCs w:val="22"/>
          <w:lang w:eastAsia="en-AU" w:bidi="ar-SA"/>
        </w:rPr>
        <w:t>World Health Organization (2006) WHO child growth standards: Length/height-for-age, weight-for-age, weight-for-length, weight-for-height and body mass index-for-age : methods and development /  World Health Organization. World Health Organization, Geneva</w:t>
      </w:r>
      <w:r w:rsidRPr="00550D44">
        <w:rPr>
          <w:rFonts w:cs="Arial"/>
          <w:szCs w:val="22"/>
          <w:lang w:val="en-AU" w:eastAsia="en-AU" w:bidi="ar-SA"/>
        </w:rPr>
        <w:t> </w:t>
      </w:r>
    </w:p>
    <w:p w14:paraId="40BBA9E8" w14:textId="77777777" w:rsidR="00D33E0F" w:rsidRDefault="00D33E0F" w:rsidP="00D33E0F">
      <w:pPr>
        <w:widowControl/>
        <w:textAlignment w:val="baseline"/>
        <w:rPr>
          <w:rFonts w:cs="Arial"/>
          <w:szCs w:val="22"/>
          <w:lang w:val="en-AU" w:eastAsia="en-AU" w:bidi="ar-SA"/>
        </w:rPr>
      </w:pPr>
      <w:r w:rsidRPr="00550D44">
        <w:rPr>
          <w:rFonts w:cs="Arial"/>
          <w:szCs w:val="22"/>
          <w:lang w:eastAsia="en-AU" w:bidi="ar-SA"/>
        </w:rPr>
        <w:t>World Health Organization; United Nations Environment Programme; Global Environmental </w:t>
      </w:r>
      <w:r w:rsidRPr="00550D44">
        <w:rPr>
          <w:rFonts w:cs="Arial"/>
          <w:szCs w:val="22"/>
          <w:lang w:val="en-AU" w:eastAsia="en-AU" w:bidi="ar-SA"/>
        </w:rPr>
        <w:t> </w:t>
      </w:r>
    </w:p>
    <w:p w14:paraId="6CE9BA40" w14:textId="7E715765" w:rsidR="002C098D" w:rsidRDefault="002C098D" w:rsidP="00D33E0F">
      <w:pPr>
        <w:widowControl/>
        <w:textAlignment w:val="baseline"/>
        <w:rPr>
          <w:rFonts w:cs="Arial"/>
          <w:szCs w:val="22"/>
          <w:lang w:val="en-AU" w:eastAsia="en-AU" w:bidi="ar-SA"/>
        </w:rPr>
      </w:pPr>
    </w:p>
    <w:p w14:paraId="5D32C3BD" w14:textId="48948C79" w:rsidR="002C098D" w:rsidRPr="00550D44" w:rsidRDefault="00162792" w:rsidP="00D33E0F">
      <w:pPr>
        <w:widowControl/>
        <w:textAlignment w:val="baseline"/>
        <w:rPr>
          <w:rFonts w:cs="Arial"/>
          <w:szCs w:val="22"/>
          <w:lang w:val="en-AU" w:eastAsia="en-AU" w:bidi="ar-SA"/>
        </w:rPr>
      </w:pPr>
      <w:r w:rsidRPr="00550D44">
        <w:rPr>
          <w:rFonts w:cs="Arial"/>
          <w:szCs w:val="22"/>
          <w:lang w:eastAsia="en-AU" w:bidi="ar-SA"/>
        </w:rPr>
        <w:t>World Health Organization</w:t>
      </w:r>
      <w:r w:rsidR="002C098D">
        <w:rPr>
          <w:rFonts w:cs="Arial"/>
          <w:szCs w:val="22"/>
          <w:lang w:val="en-AU" w:eastAsia="en-AU" w:bidi="ar-SA"/>
        </w:rPr>
        <w:t xml:space="preserve"> (2016) </w:t>
      </w:r>
      <w:r w:rsidR="002C098D" w:rsidRPr="002C098D">
        <w:rPr>
          <w:rFonts w:cs="Arial"/>
          <w:szCs w:val="22"/>
          <w:lang w:val="en-AU" w:eastAsia="en-AU" w:bidi="ar-SA"/>
        </w:rPr>
        <w:t>Guidance document for WHO monographers and reviewers evaluating food additives (‎‎‎excluding enzyme preparations and flavouring agents)‎‎‎, version 1.0</w:t>
      </w:r>
      <w:r w:rsidR="002C098D">
        <w:rPr>
          <w:rFonts w:cs="Arial"/>
          <w:szCs w:val="22"/>
          <w:lang w:val="en-AU" w:eastAsia="en-AU" w:bidi="ar-SA"/>
        </w:rPr>
        <w:t xml:space="preserve">. World Health Organization, Geneva. </w:t>
      </w:r>
    </w:p>
    <w:p w14:paraId="56498D60" w14:textId="77777777" w:rsidR="00D33E0F" w:rsidRPr="00D33E0F" w:rsidRDefault="00D33E0F" w:rsidP="00D33E0F">
      <w:pPr>
        <w:widowControl/>
        <w:textAlignment w:val="baseline"/>
        <w:rPr>
          <w:rFonts w:cs="Arial"/>
          <w:szCs w:val="22"/>
          <w:lang w:val="en-AU" w:eastAsia="en-AU" w:bidi="ar-SA"/>
        </w:rPr>
      </w:pPr>
    </w:p>
    <w:p w14:paraId="19211D8D" w14:textId="61E9B581" w:rsidR="00D33E0F" w:rsidRDefault="00D33E0F" w:rsidP="00D33E0F">
      <w:pPr>
        <w:widowControl/>
        <w:textAlignment w:val="baseline"/>
        <w:rPr>
          <w:rFonts w:cs="Arial"/>
          <w:szCs w:val="22"/>
          <w:lang w:val="en-AU" w:eastAsia="en-AU" w:bidi="ar-SA"/>
        </w:rPr>
      </w:pPr>
      <w:r w:rsidRPr="00D33E0F">
        <w:rPr>
          <w:rFonts w:cs="Arial"/>
          <w:szCs w:val="22"/>
          <w:lang w:val="en-AU" w:eastAsia="en-AU" w:bidi="ar-SA"/>
        </w:rPr>
        <w:t xml:space="preserve">Yamamoto H, </w:t>
      </w:r>
      <w:proofErr w:type="spellStart"/>
      <w:r w:rsidRPr="00D33E0F">
        <w:rPr>
          <w:rFonts w:cs="Arial"/>
          <w:szCs w:val="22"/>
          <w:lang w:val="en-AU" w:eastAsia="en-AU" w:bidi="ar-SA"/>
        </w:rPr>
        <w:t>Ura</w:t>
      </w:r>
      <w:proofErr w:type="spellEnd"/>
      <w:r w:rsidRPr="00D33E0F">
        <w:rPr>
          <w:rFonts w:cs="Arial"/>
          <w:szCs w:val="22"/>
          <w:lang w:val="en-AU" w:eastAsia="en-AU" w:bidi="ar-SA"/>
        </w:rPr>
        <w:t xml:space="preserve"> Y, </w:t>
      </w:r>
      <w:proofErr w:type="spellStart"/>
      <w:r w:rsidRPr="00D33E0F">
        <w:rPr>
          <w:rFonts w:cs="Arial"/>
          <w:szCs w:val="22"/>
          <w:lang w:val="en-AU" w:eastAsia="en-AU" w:bidi="ar-SA"/>
        </w:rPr>
        <w:t>Tanemura</w:t>
      </w:r>
      <w:proofErr w:type="spellEnd"/>
      <w:r w:rsidRPr="00D33E0F">
        <w:rPr>
          <w:rFonts w:cs="Arial"/>
          <w:szCs w:val="22"/>
          <w:lang w:val="en-AU" w:eastAsia="en-AU" w:bidi="ar-SA"/>
        </w:rPr>
        <w:t xml:space="preserve"> M,</w:t>
      </w:r>
      <w:r w:rsidR="003A103C">
        <w:rPr>
          <w:rFonts w:cs="Arial"/>
          <w:szCs w:val="22"/>
          <w:lang w:val="en-AU" w:eastAsia="en-AU" w:bidi="ar-SA"/>
        </w:rPr>
        <w:t xml:space="preserve"> </w:t>
      </w:r>
      <w:r w:rsidR="00CD1CAE">
        <w:rPr>
          <w:rFonts w:cs="Arial"/>
          <w:szCs w:val="22"/>
          <w:lang w:val="en-AU" w:eastAsia="en-AU" w:bidi="ar-SA"/>
        </w:rPr>
        <w:t xml:space="preserve">Koyama A, Takano S, </w:t>
      </w:r>
      <w:proofErr w:type="spellStart"/>
      <w:r w:rsidR="00CD1CAE">
        <w:rPr>
          <w:rFonts w:cs="Arial"/>
          <w:szCs w:val="22"/>
          <w:lang w:val="en-AU" w:eastAsia="en-AU" w:bidi="ar-SA"/>
        </w:rPr>
        <w:t>Uematsu</w:t>
      </w:r>
      <w:proofErr w:type="spellEnd"/>
      <w:r w:rsidR="00CD1CAE">
        <w:rPr>
          <w:rFonts w:cs="Arial"/>
          <w:szCs w:val="22"/>
          <w:lang w:val="en-AU" w:eastAsia="en-AU" w:bidi="ar-SA"/>
        </w:rPr>
        <w:t xml:space="preserve"> J, Kawano M, </w:t>
      </w:r>
      <w:proofErr w:type="spellStart"/>
      <w:r w:rsidR="00CD1CAE">
        <w:rPr>
          <w:rFonts w:cs="Arial"/>
          <w:szCs w:val="22"/>
          <w:lang w:val="en-AU" w:eastAsia="en-AU" w:bidi="ar-SA"/>
        </w:rPr>
        <w:t>Tsurudome</w:t>
      </w:r>
      <w:proofErr w:type="spellEnd"/>
      <w:r w:rsidR="00CD1CAE">
        <w:rPr>
          <w:rFonts w:cs="Arial"/>
          <w:szCs w:val="22"/>
          <w:lang w:val="en-AU" w:eastAsia="en-AU" w:bidi="ar-SA"/>
        </w:rPr>
        <w:t xml:space="preserve"> M, O’Brien M, </w:t>
      </w:r>
      <w:proofErr w:type="spellStart"/>
      <w:r w:rsidR="00CD1CAE">
        <w:rPr>
          <w:rFonts w:cs="Arial"/>
          <w:szCs w:val="22"/>
          <w:lang w:val="en-AU" w:eastAsia="en-AU" w:bidi="ar-SA"/>
        </w:rPr>
        <w:t>Komada</w:t>
      </w:r>
      <w:proofErr w:type="spellEnd"/>
      <w:r w:rsidR="00CD1CAE">
        <w:rPr>
          <w:rFonts w:cs="Arial"/>
          <w:szCs w:val="22"/>
          <w:lang w:val="en-AU" w:eastAsia="en-AU" w:bidi="ar-SA"/>
        </w:rPr>
        <w:t xml:space="preserve"> H</w:t>
      </w:r>
      <w:r w:rsidRPr="00D33E0F">
        <w:rPr>
          <w:rFonts w:cs="Arial"/>
          <w:szCs w:val="22"/>
          <w:lang w:val="en-AU" w:eastAsia="en-AU" w:bidi="ar-SA"/>
        </w:rPr>
        <w:t xml:space="preserve"> (2010) Inhibitory effect of bovine lactoferrin on human parainfluenza virus type 2 infection. J</w:t>
      </w:r>
      <w:r w:rsidR="00180774">
        <w:rPr>
          <w:rFonts w:cs="Arial"/>
          <w:szCs w:val="22"/>
          <w:lang w:val="en-AU" w:eastAsia="en-AU" w:bidi="ar-SA"/>
        </w:rPr>
        <w:t xml:space="preserve"> Health Sci</w:t>
      </w:r>
      <w:r w:rsidRPr="00D33E0F">
        <w:rPr>
          <w:rFonts w:cs="Arial"/>
          <w:szCs w:val="22"/>
          <w:lang w:val="en-AU" w:eastAsia="en-AU" w:bidi="ar-SA"/>
        </w:rPr>
        <w:t xml:space="preserve"> 56(5)</w:t>
      </w:r>
      <w:r w:rsidR="00180774">
        <w:rPr>
          <w:rFonts w:cs="Arial"/>
          <w:szCs w:val="22"/>
          <w:lang w:val="en-AU" w:eastAsia="en-AU" w:bidi="ar-SA"/>
        </w:rPr>
        <w:t>:</w:t>
      </w:r>
      <w:r w:rsidRPr="00D33E0F">
        <w:rPr>
          <w:rFonts w:cs="Arial"/>
          <w:szCs w:val="22"/>
          <w:lang w:val="en-AU" w:eastAsia="en-AU" w:bidi="ar-SA"/>
        </w:rPr>
        <w:t>613-617.</w:t>
      </w:r>
    </w:p>
    <w:p w14:paraId="50498CDF" w14:textId="7E05BEC0" w:rsidR="00F7440C" w:rsidRDefault="00F7440C" w:rsidP="00D33E0F">
      <w:pPr>
        <w:widowControl/>
        <w:textAlignment w:val="baseline"/>
        <w:rPr>
          <w:rFonts w:cs="Arial"/>
          <w:szCs w:val="22"/>
          <w:lang w:val="en-AU" w:eastAsia="en-AU" w:bidi="ar-SA"/>
        </w:rPr>
      </w:pPr>
    </w:p>
    <w:p w14:paraId="3D73C2F6" w14:textId="64FA43C1" w:rsidR="00F7440C" w:rsidRDefault="00F7440C" w:rsidP="00D33E0F">
      <w:pPr>
        <w:widowControl/>
        <w:textAlignment w:val="baseline"/>
        <w:rPr>
          <w:rFonts w:cs="Arial"/>
          <w:szCs w:val="22"/>
          <w:lang w:val="en-AU" w:eastAsia="en-AU" w:bidi="ar-SA"/>
        </w:rPr>
      </w:pPr>
      <w:r w:rsidRPr="00F7440C">
        <w:rPr>
          <w:rFonts w:cs="Arial"/>
          <w:szCs w:val="22"/>
          <w:lang w:val="en-AU" w:eastAsia="en-AU" w:bidi="ar-SA"/>
        </w:rPr>
        <w:t xml:space="preserve">Yamauchi K, </w:t>
      </w:r>
      <w:proofErr w:type="spellStart"/>
      <w:r w:rsidRPr="00F7440C">
        <w:rPr>
          <w:rFonts w:cs="Arial"/>
          <w:szCs w:val="22"/>
          <w:lang w:val="en-AU" w:eastAsia="en-AU" w:bidi="ar-SA"/>
        </w:rPr>
        <w:t>Toida</w:t>
      </w:r>
      <w:proofErr w:type="spellEnd"/>
      <w:r w:rsidRPr="00F7440C">
        <w:rPr>
          <w:rFonts w:cs="Arial"/>
          <w:szCs w:val="22"/>
          <w:lang w:val="en-AU" w:eastAsia="en-AU" w:bidi="ar-SA"/>
        </w:rPr>
        <w:t xml:space="preserve"> T, Nishimura S, Nagano E, </w:t>
      </w:r>
      <w:proofErr w:type="spellStart"/>
      <w:r w:rsidRPr="00F7440C">
        <w:rPr>
          <w:rFonts w:cs="Arial"/>
          <w:szCs w:val="22"/>
          <w:lang w:val="en-AU" w:eastAsia="en-AU" w:bidi="ar-SA"/>
        </w:rPr>
        <w:t>Kusuoka</w:t>
      </w:r>
      <w:proofErr w:type="spellEnd"/>
      <w:r w:rsidRPr="00F7440C">
        <w:rPr>
          <w:rFonts w:cs="Arial"/>
          <w:szCs w:val="22"/>
          <w:lang w:val="en-AU" w:eastAsia="en-AU" w:bidi="ar-SA"/>
        </w:rPr>
        <w:t xml:space="preserve"> O, </w:t>
      </w:r>
      <w:proofErr w:type="spellStart"/>
      <w:r w:rsidRPr="00F7440C">
        <w:rPr>
          <w:rFonts w:cs="Arial"/>
          <w:szCs w:val="22"/>
          <w:lang w:val="en-AU" w:eastAsia="en-AU" w:bidi="ar-SA"/>
        </w:rPr>
        <w:t>Teraguchi</w:t>
      </w:r>
      <w:proofErr w:type="spellEnd"/>
      <w:r w:rsidRPr="00F7440C">
        <w:rPr>
          <w:rFonts w:cs="Arial"/>
          <w:szCs w:val="22"/>
          <w:lang w:val="en-AU" w:eastAsia="en-AU" w:bidi="ar-SA"/>
        </w:rPr>
        <w:t xml:space="preserve"> S, </w:t>
      </w:r>
      <w:proofErr w:type="spellStart"/>
      <w:r w:rsidRPr="00F7440C">
        <w:rPr>
          <w:rFonts w:cs="Arial"/>
          <w:szCs w:val="22"/>
          <w:lang w:val="en-AU" w:eastAsia="en-AU" w:bidi="ar-SA"/>
        </w:rPr>
        <w:t>Ha</w:t>
      </w:r>
      <w:r>
        <w:rPr>
          <w:rFonts w:cs="Arial"/>
          <w:szCs w:val="22"/>
          <w:lang w:val="en-AU" w:eastAsia="en-AU" w:bidi="ar-SA"/>
        </w:rPr>
        <w:t>yasawa</w:t>
      </w:r>
      <w:proofErr w:type="spellEnd"/>
      <w:r>
        <w:rPr>
          <w:rFonts w:cs="Arial"/>
          <w:szCs w:val="22"/>
          <w:lang w:val="en-AU" w:eastAsia="en-AU" w:bidi="ar-SA"/>
        </w:rPr>
        <w:t xml:space="preserve"> H, Shimamura S, Tomita M (2000a) </w:t>
      </w:r>
      <w:r w:rsidRPr="00F7440C">
        <w:rPr>
          <w:rFonts w:cs="Arial"/>
          <w:szCs w:val="22"/>
          <w:lang w:val="en-AU" w:eastAsia="en-AU" w:bidi="ar-SA"/>
        </w:rPr>
        <w:t>13-Week oral repeated administration toxicity study of bovine lactoferrin in rats</w:t>
      </w:r>
      <w:r>
        <w:rPr>
          <w:rFonts w:cs="Arial"/>
          <w:szCs w:val="22"/>
          <w:lang w:val="en-AU" w:eastAsia="en-AU" w:bidi="ar-SA"/>
        </w:rPr>
        <w:t xml:space="preserve">. Food Chem </w:t>
      </w:r>
      <w:proofErr w:type="spellStart"/>
      <w:r>
        <w:rPr>
          <w:rFonts w:cs="Arial"/>
          <w:szCs w:val="22"/>
          <w:lang w:val="en-AU" w:eastAsia="en-AU" w:bidi="ar-SA"/>
        </w:rPr>
        <w:t>Toxicol</w:t>
      </w:r>
      <w:proofErr w:type="spellEnd"/>
      <w:r>
        <w:rPr>
          <w:rFonts w:cs="Arial"/>
          <w:szCs w:val="22"/>
          <w:lang w:val="en-AU" w:eastAsia="en-AU" w:bidi="ar-SA"/>
        </w:rPr>
        <w:t xml:space="preserve"> </w:t>
      </w:r>
      <w:r w:rsidRPr="00F7440C">
        <w:rPr>
          <w:rFonts w:cs="Arial"/>
          <w:szCs w:val="22"/>
          <w:lang w:val="en-AU" w:eastAsia="en-AU" w:bidi="ar-SA"/>
        </w:rPr>
        <w:t>38(6):503-12</w:t>
      </w:r>
      <w:r>
        <w:rPr>
          <w:rFonts w:cs="Arial"/>
          <w:szCs w:val="22"/>
          <w:lang w:val="en-AU" w:eastAsia="en-AU" w:bidi="ar-SA"/>
        </w:rPr>
        <w:t xml:space="preserve">. </w:t>
      </w:r>
    </w:p>
    <w:p w14:paraId="70062F9B" w14:textId="601DFEFD" w:rsidR="00F7440C" w:rsidRDefault="00F7440C" w:rsidP="00D33E0F">
      <w:pPr>
        <w:widowControl/>
        <w:textAlignment w:val="baseline"/>
        <w:rPr>
          <w:rFonts w:cs="Arial"/>
          <w:szCs w:val="22"/>
          <w:lang w:val="en-AU" w:eastAsia="en-AU" w:bidi="ar-SA"/>
        </w:rPr>
      </w:pPr>
    </w:p>
    <w:p w14:paraId="79CC173C" w14:textId="765DA16E" w:rsidR="00F7440C" w:rsidRPr="00D33E0F" w:rsidRDefault="00F7440C" w:rsidP="00D33E0F">
      <w:pPr>
        <w:widowControl/>
        <w:textAlignment w:val="baseline"/>
        <w:rPr>
          <w:rFonts w:cs="Arial"/>
          <w:szCs w:val="22"/>
          <w:lang w:val="en-AU" w:eastAsia="en-AU" w:bidi="ar-SA"/>
        </w:rPr>
      </w:pPr>
      <w:r w:rsidRPr="00F7440C">
        <w:rPr>
          <w:rFonts w:cs="Arial"/>
          <w:szCs w:val="22"/>
          <w:lang w:val="en-AU" w:eastAsia="en-AU" w:bidi="ar-SA"/>
        </w:rPr>
        <w:t xml:space="preserve">Yamauchi K, </w:t>
      </w:r>
      <w:proofErr w:type="spellStart"/>
      <w:r w:rsidRPr="00F7440C">
        <w:rPr>
          <w:rFonts w:cs="Arial"/>
          <w:szCs w:val="22"/>
          <w:lang w:val="en-AU" w:eastAsia="en-AU" w:bidi="ar-SA"/>
        </w:rPr>
        <w:t>Toida</w:t>
      </w:r>
      <w:proofErr w:type="spellEnd"/>
      <w:r w:rsidRPr="00F7440C">
        <w:rPr>
          <w:rFonts w:cs="Arial"/>
          <w:szCs w:val="22"/>
          <w:lang w:val="en-AU" w:eastAsia="en-AU" w:bidi="ar-SA"/>
        </w:rPr>
        <w:t xml:space="preserve"> T, Kawai A, Nishi</w:t>
      </w:r>
      <w:r>
        <w:rPr>
          <w:rFonts w:cs="Arial"/>
          <w:szCs w:val="22"/>
          <w:lang w:val="en-AU" w:eastAsia="en-AU" w:bidi="ar-SA"/>
        </w:rPr>
        <w:t xml:space="preserve">mura S, </w:t>
      </w:r>
      <w:proofErr w:type="spellStart"/>
      <w:r>
        <w:rPr>
          <w:rFonts w:cs="Arial"/>
          <w:szCs w:val="22"/>
          <w:lang w:val="en-AU" w:eastAsia="en-AU" w:bidi="ar-SA"/>
        </w:rPr>
        <w:t>Teraguchi</w:t>
      </w:r>
      <w:proofErr w:type="spellEnd"/>
      <w:r>
        <w:rPr>
          <w:rFonts w:cs="Arial"/>
          <w:szCs w:val="22"/>
          <w:lang w:val="en-AU" w:eastAsia="en-AU" w:bidi="ar-SA"/>
        </w:rPr>
        <w:t xml:space="preserve"> S, </w:t>
      </w:r>
      <w:proofErr w:type="spellStart"/>
      <w:r>
        <w:rPr>
          <w:rFonts w:cs="Arial"/>
          <w:szCs w:val="22"/>
          <w:lang w:val="en-AU" w:eastAsia="en-AU" w:bidi="ar-SA"/>
        </w:rPr>
        <w:t>Hayasawa</w:t>
      </w:r>
      <w:proofErr w:type="spellEnd"/>
      <w:r>
        <w:rPr>
          <w:rFonts w:cs="Arial"/>
          <w:szCs w:val="22"/>
          <w:lang w:val="en-AU" w:eastAsia="en-AU" w:bidi="ar-SA"/>
        </w:rPr>
        <w:t xml:space="preserve"> H (2000b) </w:t>
      </w:r>
      <w:r w:rsidRPr="00F7440C">
        <w:rPr>
          <w:rFonts w:cs="Arial"/>
          <w:szCs w:val="22"/>
          <w:lang w:val="en-AU" w:eastAsia="en-AU" w:bidi="ar-SA"/>
        </w:rPr>
        <w:t>Mutagenicity of bovine lactoferrin in reverse mutation test</w:t>
      </w:r>
      <w:r>
        <w:rPr>
          <w:rFonts w:cs="Arial"/>
          <w:szCs w:val="22"/>
          <w:lang w:val="en-AU" w:eastAsia="en-AU" w:bidi="ar-SA"/>
        </w:rPr>
        <w:t xml:space="preserve">. J </w:t>
      </w:r>
      <w:proofErr w:type="spellStart"/>
      <w:r>
        <w:rPr>
          <w:rFonts w:cs="Arial"/>
          <w:szCs w:val="22"/>
          <w:lang w:val="en-AU" w:eastAsia="en-AU" w:bidi="ar-SA"/>
        </w:rPr>
        <w:t>Toxicol</w:t>
      </w:r>
      <w:proofErr w:type="spellEnd"/>
      <w:r>
        <w:rPr>
          <w:rFonts w:cs="Arial"/>
          <w:szCs w:val="22"/>
          <w:lang w:val="en-AU" w:eastAsia="en-AU" w:bidi="ar-SA"/>
        </w:rPr>
        <w:t xml:space="preserve"> Sci </w:t>
      </w:r>
      <w:r w:rsidRPr="00F7440C">
        <w:rPr>
          <w:rFonts w:cs="Arial"/>
          <w:szCs w:val="22"/>
          <w:lang w:val="en-AU" w:eastAsia="en-AU" w:bidi="ar-SA"/>
        </w:rPr>
        <w:t>25(2):63-6</w:t>
      </w:r>
      <w:r>
        <w:rPr>
          <w:rFonts w:cs="Arial"/>
          <w:szCs w:val="22"/>
          <w:lang w:val="en-AU" w:eastAsia="en-AU" w:bidi="ar-SA"/>
        </w:rPr>
        <w:t xml:space="preserve">. </w:t>
      </w:r>
    </w:p>
    <w:p w14:paraId="26777454" w14:textId="77777777" w:rsidR="00D33E0F" w:rsidRPr="00D33E0F" w:rsidRDefault="00D33E0F" w:rsidP="00D33E0F">
      <w:pPr>
        <w:widowControl/>
        <w:textAlignment w:val="baseline"/>
        <w:rPr>
          <w:rFonts w:cs="Arial"/>
          <w:szCs w:val="22"/>
          <w:lang w:val="en-AU" w:eastAsia="en-AU" w:bidi="ar-SA"/>
        </w:rPr>
      </w:pPr>
    </w:p>
    <w:p w14:paraId="5C205322" w14:textId="1207E4ED" w:rsidR="00D33E0F" w:rsidRDefault="0011080E" w:rsidP="00D33E0F">
      <w:pPr>
        <w:widowControl/>
        <w:textAlignment w:val="baseline"/>
        <w:rPr>
          <w:rFonts w:cs="Arial"/>
          <w:szCs w:val="22"/>
          <w:lang w:val="en-AU" w:eastAsia="en-AU" w:bidi="ar-SA"/>
        </w:rPr>
      </w:pPr>
      <w:proofErr w:type="spellStart"/>
      <w:r w:rsidRPr="0011080E">
        <w:rPr>
          <w:rFonts w:cs="Arial"/>
          <w:szCs w:val="22"/>
          <w:lang w:val="en-AU" w:eastAsia="en-AU" w:bidi="ar-SA"/>
        </w:rPr>
        <w:t>Ynga</w:t>
      </w:r>
      <w:proofErr w:type="spellEnd"/>
      <w:r w:rsidRPr="0011080E">
        <w:rPr>
          <w:rFonts w:cs="Arial"/>
          <w:szCs w:val="22"/>
          <w:lang w:val="en-AU" w:eastAsia="en-AU" w:bidi="ar-SA"/>
        </w:rPr>
        <w:t xml:space="preserve">-Durand M, Tapia-Pastrana G, </w:t>
      </w:r>
      <w:proofErr w:type="spellStart"/>
      <w:r w:rsidRPr="0011080E">
        <w:rPr>
          <w:rFonts w:cs="Arial"/>
          <w:szCs w:val="22"/>
          <w:lang w:val="en-AU" w:eastAsia="en-AU" w:bidi="ar-SA"/>
        </w:rPr>
        <w:t>Rebollar-Ruíz</w:t>
      </w:r>
      <w:proofErr w:type="spellEnd"/>
      <w:r w:rsidRPr="0011080E">
        <w:rPr>
          <w:rFonts w:cs="Arial"/>
          <w:szCs w:val="22"/>
          <w:lang w:val="en-AU" w:eastAsia="en-AU" w:bidi="ar-SA"/>
        </w:rPr>
        <w:t xml:space="preserve"> XA, </w:t>
      </w:r>
      <w:proofErr w:type="spellStart"/>
      <w:r w:rsidRPr="0011080E">
        <w:rPr>
          <w:rFonts w:cs="Arial"/>
          <w:szCs w:val="22"/>
          <w:lang w:val="en-AU" w:eastAsia="en-AU" w:bidi="ar-SA"/>
        </w:rPr>
        <w:t>Yépez</w:t>
      </w:r>
      <w:proofErr w:type="spellEnd"/>
      <w:r w:rsidRPr="0011080E">
        <w:rPr>
          <w:rFonts w:cs="Arial"/>
          <w:szCs w:val="22"/>
          <w:lang w:val="en-AU" w:eastAsia="en-AU" w:bidi="ar-SA"/>
        </w:rPr>
        <w:t>-Ortega M, Nieto-</w:t>
      </w:r>
      <w:proofErr w:type="spellStart"/>
      <w:r w:rsidRPr="0011080E">
        <w:rPr>
          <w:rFonts w:cs="Arial"/>
          <w:szCs w:val="22"/>
          <w:lang w:val="en-AU" w:eastAsia="en-AU" w:bidi="ar-SA"/>
        </w:rPr>
        <w:t>Yañez</w:t>
      </w:r>
      <w:proofErr w:type="spellEnd"/>
      <w:r w:rsidRPr="0011080E">
        <w:rPr>
          <w:rFonts w:cs="Arial"/>
          <w:szCs w:val="22"/>
          <w:lang w:val="en-AU" w:eastAsia="en-AU" w:bidi="ar-SA"/>
        </w:rPr>
        <w:t xml:space="preserve"> O, </w:t>
      </w:r>
      <w:proofErr w:type="spellStart"/>
      <w:r w:rsidRPr="0011080E">
        <w:rPr>
          <w:rFonts w:cs="Arial"/>
          <w:szCs w:val="22"/>
          <w:lang w:val="en-AU" w:eastAsia="en-AU" w:bidi="ar-SA"/>
        </w:rPr>
        <w:t>Arciniega</w:t>
      </w:r>
      <w:proofErr w:type="spellEnd"/>
      <w:r>
        <w:rPr>
          <w:rFonts w:cs="Arial"/>
          <w:szCs w:val="22"/>
          <w:lang w:val="en-AU" w:eastAsia="en-AU" w:bidi="ar-SA"/>
        </w:rPr>
        <w:t xml:space="preserve">-Martínez IM, </w:t>
      </w:r>
      <w:proofErr w:type="spellStart"/>
      <w:r>
        <w:rPr>
          <w:rFonts w:cs="Arial"/>
          <w:szCs w:val="22"/>
          <w:lang w:val="en-AU" w:eastAsia="en-AU" w:bidi="ar-SA"/>
        </w:rPr>
        <w:t>Reséndiz-Albor</w:t>
      </w:r>
      <w:proofErr w:type="spellEnd"/>
      <w:r>
        <w:rPr>
          <w:rFonts w:cs="Arial"/>
          <w:szCs w:val="22"/>
          <w:lang w:val="en-AU" w:eastAsia="en-AU" w:bidi="ar-SA"/>
        </w:rPr>
        <w:t xml:space="preserve"> AA (2021)</w:t>
      </w:r>
      <w:r w:rsidR="00D33E0F" w:rsidRPr="00D33E0F">
        <w:rPr>
          <w:rFonts w:cs="Arial"/>
          <w:szCs w:val="22"/>
          <w:lang w:val="en-AU" w:eastAsia="en-AU" w:bidi="ar-SA"/>
        </w:rPr>
        <w:t xml:space="preserve"> Temporal dynamics of T helper populations in the proximal small intestine after oral bovine lactoferrin administr</w:t>
      </w:r>
      <w:r>
        <w:rPr>
          <w:rFonts w:cs="Arial"/>
          <w:szCs w:val="22"/>
          <w:lang w:val="en-AU" w:eastAsia="en-AU" w:bidi="ar-SA"/>
        </w:rPr>
        <w:t>ation in BALB/c mice. Nutrients</w:t>
      </w:r>
      <w:r w:rsidR="00D33E0F" w:rsidRPr="00D33E0F">
        <w:rPr>
          <w:rFonts w:cs="Arial"/>
          <w:szCs w:val="22"/>
          <w:lang w:val="en-AU" w:eastAsia="en-AU" w:bidi="ar-SA"/>
        </w:rPr>
        <w:t xml:space="preserve"> 13</w:t>
      </w:r>
      <w:r>
        <w:rPr>
          <w:rFonts w:cs="Arial"/>
          <w:szCs w:val="22"/>
          <w:lang w:val="en-AU" w:eastAsia="en-AU" w:bidi="ar-SA"/>
        </w:rPr>
        <w:t>(8):</w:t>
      </w:r>
      <w:r w:rsidR="00D33E0F" w:rsidRPr="00D33E0F">
        <w:rPr>
          <w:rFonts w:cs="Arial"/>
          <w:szCs w:val="22"/>
          <w:lang w:val="en-AU" w:eastAsia="en-AU" w:bidi="ar-SA"/>
        </w:rPr>
        <w:t>2852.</w:t>
      </w:r>
    </w:p>
    <w:p w14:paraId="52920F88" w14:textId="77777777" w:rsidR="00D33E0F" w:rsidRDefault="00D33E0F" w:rsidP="00384CD0">
      <w:pPr>
        <w:widowControl/>
        <w:textAlignment w:val="baseline"/>
        <w:rPr>
          <w:rFonts w:cs="Arial"/>
          <w:szCs w:val="22"/>
          <w:lang w:val="en-AU" w:eastAsia="en-AU" w:bidi="ar-SA"/>
        </w:rPr>
      </w:pPr>
    </w:p>
    <w:p w14:paraId="486AAB53" w14:textId="51DD1E60" w:rsidR="00A8526B" w:rsidRPr="00A8526B" w:rsidRDefault="00A8526B" w:rsidP="00A8526B">
      <w:pPr>
        <w:widowControl/>
        <w:textAlignment w:val="baseline"/>
        <w:rPr>
          <w:rFonts w:cs="Arial"/>
          <w:szCs w:val="22"/>
          <w:lang w:val="en-AU" w:eastAsia="en-AU" w:bidi="ar-SA"/>
        </w:rPr>
      </w:pPr>
      <w:r w:rsidRPr="00A8526B">
        <w:rPr>
          <w:rFonts w:cs="Arial"/>
          <w:szCs w:val="22"/>
          <w:lang w:val="en-AU" w:eastAsia="en-AU" w:bidi="ar-SA"/>
        </w:rPr>
        <w:t>Zhao XY, Hutchens TW</w:t>
      </w:r>
      <w:r>
        <w:rPr>
          <w:rFonts w:cs="Arial"/>
          <w:szCs w:val="22"/>
          <w:lang w:val="en-AU" w:eastAsia="en-AU" w:bidi="ar-SA"/>
        </w:rPr>
        <w:t xml:space="preserve"> (1994)</w:t>
      </w:r>
      <w:r w:rsidRPr="00A8526B">
        <w:rPr>
          <w:rFonts w:cs="Arial"/>
          <w:szCs w:val="22"/>
          <w:lang w:val="en-AU" w:eastAsia="en-AU" w:bidi="ar-SA"/>
        </w:rPr>
        <w:t xml:space="preserve"> Proposed mechanisms for the involvement of lactoferrin in the hydrolysis of </w:t>
      </w:r>
      <w:r>
        <w:rPr>
          <w:rFonts w:cs="Arial"/>
          <w:szCs w:val="22"/>
          <w:lang w:val="en-AU" w:eastAsia="en-AU" w:bidi="ar-SA"/>
        </w:rPr>
        <w:t>nucleic acids. Adv Exp Med Biol</w:t>
      </w:r>
      <w:r w:rsidRPr="00A8526B">
        <w:rPr>
          <w:rFonts w:cs="Arial"/>
          <w:szCs w:val="22"/>
          <w:lang w:val="en-AU" w:eastAsia="en-AU" w:bidi="ar-SA"/>
        </w:rPr>
        <w:t xml:space="preserve"> </w:t>
      </w:r>
      <w:r>
        <w:rPr>
          <w:rFonts w:cs="Arial"/>
          <w:szCs w:val="22"/>
          <w:lang w:val="en-AU" w:eastAsia="en-AU" w:bidi="ar-SA"/>
        </w:rPr>
        <w:t>357:271-8.</w:t>
      </w:r>
      <w:r>
        <w:rPr>
          <w:rFonts w:cs="Arial"/>
          <w:szCs w:val="22"/>
          <w:lang w:val="en-AU" w:eastAsia="en-AU" w:bidi="ar-SA"/>
        </w:rPr>
        <w:br/>
        <w:t>DOI:</w:t>
      </w:r>
      <w:r w:rsidRPr="00A8526B">
        <w:rPr>
          <w:rFonts w:cs="Arial"/>
          <w:szCs w:val="22"/>
          <w:lang w:val="en-AU" w:eastAsia="en-AU" w:bidi="ar-SA"/>
        </w:rPr>
        <w:t>10.1007/978-1-4615-25</w:t>
      </w:r>
      <w:r>
        <w:rPr>
          <w:rFonts w:cs="Arial"/>
          <w:szCs w:val="22"/>
          <w:lang w:val="en-AU" w:eastAsia="en-AU" w:bidi="ar-SA"/>
        </w:rPr>
        <w:t>48-6_30.</w:t>
      </w:r>
    </w:p>
    <w:p w14:paraId="042573E0" w14:textId="5CDEC674" w:rsidR="00A951CB" w:rsidRPr="00550D44" w:rsidRDefault="00AE018E">
      <w:pPr>
        <w:widowControl/>
        <w:rPr>
          <w:rFonts w:cs="Arial"/>
          <w:szCs w:val="22"/>
        </w:rPr>
      </w:pPr>
      <w:r>
        <w:rPr>
          <w:rFonts w:cs="Arial"/>
          <w:szCs w:val="22"/>
        </w:rPr>
        <w:br w:type="page"/>
      </w:r>
    </w:p>
    <w:p w14:paraId="0917850C" w14:textId="68A1AB4B" w:rsidR="003A62AC" w:rsidRPr="001F2DA4" w:rsidRDefault="003A62AC" w:rsidP="00DC7E8D">
      <w:pPr>
        <w:pStyle w:val="Heading1"/>
      </w:pPr>
      <w:bookmarkStart w:id="135" w:name="_Toc111626735"/>
      <w:bookmarkStart w:id="136" w:name="_Toc112915038"/>
      <w:bookmarkStart w:id="137" w:name="_Toc113523085"/>
      <w:r w:rsidRPr="001F2DA4">
        <w:t xml:space="preserve">Appendix </w:t>
      </w:r>
      <w:r w:rsidR="00DC7E8D" w:rsidRPr="001F2DA4">
        <w:t>1</w:t>
      </w:r>
      <w:r w:rsidRPr="001F2DA4">
        <w:t>:  How the infant model diets were constructed </w:t>
      </w:r>
      <w:bookmarkEnd w:id="135"/>
      <w:bookmarkEnd w:id="136"/>
      <w:bookmarkEnd w:id="137"/>
      <w:r w:rsidRPr="001F2DA4">
        <w:t> </w:t>
      </w:r>
    </w:p>
    <w:p w14:paraId="6657D5B4" w14:textId="77777777" w:rsidR="003A62AC" w:rsidRPr="002161E7" w:rsidRDefault="003A62AC" w:rsidP="003A62AC">
      <w:pPr>
        <w:widowControl/>
        <w:ind w:left="840" w:hanging="840"/>
        <w:textAlignment w:val="baseline"/>
        <w:rPr>
          <w:rFonts w:cs="Arial"/>
          <w:szCs w:val="22"/>
          <w:lang w:val="en-AU" w:eastAsia="en-AU" w:bidi="ar-SA"/>
        </w:rPr>
      </w:pPr>
      <w:r w:rsidRPr="003A62AC">
        <w:rPr>
          <w:rFonts w:cs="Arial"/>
          <w:szCs w:val="22"/>
          <w:lang w:val="en-AU" w:eastAsia="en-AU" w:bidi="ar-SA"/>
        </w:rPr>
        <w:t> </w:t>
      </w:r>
    </w:p>
    <w:p w14:paraId="52AE4B02" w14:textId="77777777" w:rsidR="003A62AC" w:rsidRPr="003A62AC" w:rsidRDefault="003A62AC" w:rsidP="003A62AC">
      <w:pPr>
        <w:widowControl/>
        <w:ind w:left="840" w:hanging="840"/>
        <w:textAlignment w:val="baseline"/>
        <w:rPr>
          <w:rFonts w:ascii="Segoe UI" w:hAnsi="Segoe UI" w:cs="Segoe UI"/>
          <w:sz w:val="18"/>
          <w:szCs w:val="18"/>
          <w:lang w:val="en-AU" w:eastAsia="en-AU" w:bidi="ar-SA"/>
        </w:rPr>
      </w:pPr>
      <w:r w:rsidRPr="003A62AC">
        <w:rPr>
          <w:rFonts w:cs="Arial"/>
          <w:b/>
          <w:bCs/>
          <w:i/>
          <w:iCs/>
          <w:szCs w:val="22"/>
          <w:lang w:eastAsia="en-AU" w:bidi="ar-SA"/>
        </w:rPr>
        <w:t>Children aged 3 and 9 months </w:t>
      </w:r>
      <w:r w:rsidRPr="003A62AC">
        <w:rPr>
          <w:rFonts w:cs="Arial"/>
          <w:szCs w:val="22"/>
          <w:lang w:val="en-AU" w:eastAsia="en-AU" w:bidi="ar-SA"/>
        </w:rPr>
        <w:t> </w:t>
      </w:r>
    </w:p>
    <w:p w14:paraId="038065CB" w14:textId="51D3ACEE" w:rsidR="003A62AC" w:rsidRPr="002161E7" w:rsidRDefault="003A62AC" w:rsidP="003A62AC">
      <w:pPr>
        <w:widowControl/>
        <w:textAlignment w:val="baseline"/>
        <w:rPr>
          <w:rFonts w:cs="Arial"/>
          <w:szCs w:val="22"/>
          <w:lang w:val="en-AU" w:eastAsia="en-AU" w:bidi="ar-SA"/>
        </w:rPr>
      </w:pPr>
      <w:r w:rsidRPr="003A62AC">
        <w:rPr>
          <w:rFonts w:cs="Arial"/>
          <w:szCs w:val="22"/>
          <w:lang w:eastAsia="en-AU" w:bidi="ar-SA"/>
        </w:rPr>
        <w:t xml:space="preserve">As there are no data available from the 2011-12 Australian National Nutrition and Physical Activity Survey or the 2002 New Zealand National Children’s Nutrition Survey for children less than two years of age, model diets were constructed to estimate the </w:t>
      </w:r>
      <w:proofErr w:type="spellStart"/>
      <w:r w:rsidRPr="003A62AC">
        <w:rPr>
          <w:rFonts w:cs="Arial"/>
          <w:szCs w:val="22"/>
          <w:lang w:eastAsia="en-AU" w:bidi="ar-SA"/>
        </w:rPr>
        <w:t>bLf</w:t>
      </w:r>
      <w:proofErr w:type="spellEnd"/>
      <w:r w:rsidRPr="003A62AC">
        <w:rPr>
          <w:rFonts w:cs="Arial"/>
          <w:szCs w:val="22"/>
          <w:lang w:eastAsia="en-AU" w:bidi="ar-SA"/>
        </w:rPr>
        <w:t xml:space="preserve"> and </w:t>
      </w:r>
      <w:proofErr w:type="spellStart"/>
      <w:r w:rsidRPr="003A62AC">
        <w:rPr>
          <w:rFonts w:cs="Arial"/>
          <w:szCs w:val="22"/>
          <w:lang w:eastAsia="en-AU" w:bidi="ar-SA"/>
        </w:rPr>
        <w:t>hLf</w:t>
      </w:r>
      <w:proofErr w:type="spellEnd"/>
      <w:r w:rsidRPr="003A62AC">
        <w:rPr>
          <w:rFonts w:cs="Arial"/>
          <w:szCs w:val="22"/>
          <w:lang w:eastAsia="en-AU" w:bidi="ar-SA"/>
        </w:rPr>
        <w:t xml:space="preserve"> intakes for children aged 3 months and 9 months. The same model diets were used for Australia and New Zealand. </w:t>
      </w:r>
    </w:p>
    <w:p w14:paraId="6FCDDCF5" w14:textId="4EAA6A09" w:rsidR="003A62AC" w:rsidRPr="002161E7" w:rsidRDefault="003A62AC" w:rsidP="003A62AC">
      <w:pPr>
        <w:widowControl/>
        <w:textAlignment w:val="baseline"/>
        <w:rPr>
          <w:rFonts w:cs="Arial"/>
          <w:szCs w:val="22"/>
          <w:lang w:val="en-AU" w:eastAsia="en-AU" w:bidi="ar-SA"/>
        </w:rPr>
      </w:pPr>
      <w:r w:rsidRPr="003A62AC">
        <w:rPr>
          <w:rFonts w:cs="Arial"/>
          <w:szCs w:val="22"/>
          <w:lang w:eastAsia="en-AU" w:bidi="ar-SA"/>
        </w:rPr>
        <w:t> </w:t>
      </w:r>
    </w:p>
    <w:p w14:paraId="47A29665" w14:textId="30B234F9" w:rsidR="003A62AC" w:rsidRPr="002161E7" w:rsidRDefault="003A62AC" w:rsidP="003A62AC">
      <w:pPr>
        <w:widowControl/>
        <w:textAlignment w:val="baseline"/>
        <w:rPr>
          <w:rFonts w:cs="Arial"/>
          <w:lang w:val="en-AU" w:eastAsia="en-AU" w:bidi="ar-SA"/>
        </w:rPr>
      </w:pPr>
      <w:r w:rsidRPr="00B43EA6">
        <w:rPr>
          <w:rFonts w:cs="Arial"/>
          <w:lang w:eastAsia="en-AU" w:bidi="ar-SA"/>
        </w:rPr>
        <w:t xml:space="preserve">As the </w:t>
      </w:r>
      <w:r w:rsidR="43870203" w:rsidRPr="00B43EA6">
        <w:rPr>
          <w:rFonts w:cs="Arial"/>
          <w:lang w:eastAsia="en-AU" w:bidi="ar-SA"/>
        </w:rPr>
        <w:t>3 month</w:t>
      </w:r>
      <w:r w:rsidRPr="00B43EA6">
        <w:rPr>
          <w:rFonts w:cs="Arial"/>
          <w:lang w:eastAsia="en-AU" w:bidi="ar-SA"/>
        </w:rPr>
        <w:t xml:space="preserve"> and </w:t>
      </w:r>
      <w:r w:rsidR="43870203" w:rsidRPr="00B43EA6">
        <w:rPr>
          <w:rFonts w:cs="Arial"/>
          <w:lang w:eastAsia="en-AU" w:bidi="ar-SA"/>
        </w:rPr>
        <w:t>9 month</w:t>
      </w:r>
      <w:r w:rsidRPr="00B43EA6">
        <w:rPr>
          <w:rFonts w:cs="Arial"/>
          <w:lang w:eastAsia="en-AU" w:bidi="ar-SA"/>
        </w:rPr>
        <w:t xml:space="preserve"> old infant model diets are based on mean food consumption amounts only, a distribution of food consumption was not available, and hence, a distribution of the intake of </w:t>
      </w:r>
      <w:proofErr w:type="spellStart"/>
      <w:r w:rsidRPr="00B43EA6">
        <w:rPr>
          <w:rFonts w:cs="Arial"/>
          <w:lang w:eastAsia="en-AU" w:bidi="ar-SA"/>
        </w:rPr>
        <w:t>bLf</w:t>
      </w:r>
      <w:proofErr w:type="spellEnd"/>
      <w:r w:rsidRPr="00B43EA6">
        <w:rPr>
          <w:rFonts w:cs="Arial"/>
          <w:lang w:eastAsia="en-AU" w:bidi="ar-SA"/>
        </w:rPr>
        <w:t xml:space="preserve"> and/or </w:t>
      </w:r>
      <w:proofErr w:type="spellStart"/>
      <w:r w:rsidRPr="00B43EA6">
        <w:rPr>
          <w:rFonts w:cs="Arial"/>
          <w:lang w:eastAsia="en-AU" w:bidi="ar-SA"/>
        </w:rPr>
        <w:t>hLf</w:t>
      </w:r>
      <w:proofErr w:type="spellEnd"/>
      <w:r w:rsidRPr="00B43EA6">
        <w:rPr>
          <w:rFonts w:cs="Arial"/>
          <w:lang w:eastAsia="en-AU" w:bidi="ar-SA"/>
        </w:rPr>
        <w:t xml:space="preserve"> was not able to be produced. Therefore, the 90</w:t>
      </w:r>
      <w:r w:rsidRPr="00B43EA6">
        <w:rPr>
          <w:rFonts w:cs="Arial"/>
          <w:vertAlign w:val="superscript"/>
          <w:lang w:eastAsia="en-AU" w:bidi="ar-SA"/>
        </w:rPr>
        <w:t xml:space="preserve">th </w:t>
      </w:r>
      <w:r w:rsidRPr="00B43EA6">
        <w:rPr>
          <w:rFonts w:cs="Arial"/>
          <w:lang w:eastAsia="en-AU" w:bidi="ar-SA"/>
        </w:rPr>
        <w:t>percentile dietary intakes were estimated using the calculation shown in Equation 1. </w:t>
      </w:r>
    </w:p>
    <w:p w14:paraId="4370700A" w14:textId="08CF7437" w:rsidR="003A62AC" w:rsidRPr="002161E7" w:rsidRDefault="003A62AC" w:rsidP="003A62AC">
      <w:pPr>
        <w:widowControl/>
        <w:textAlignment w:val="baseline"/>
        <w:rPr>
          <w:rFonts w:cs="Arial"/>
          <w:szCs w:val="22"/>
          <w:lang w:val="en-AU" w:eastAsia="en-AU" w:bidi="ar-SA"/>
        </w:rPr>
      </w:pPr>
      <w:r w:rsidRPr="003A62AC">
        <w:rPr>
          <w:rFonts w:cs="Arial"/>
          <w:szCs w:val="22"/>
          <w:lang w:eastAsia="en-AU" w:bidi="ar-SA"/>
        </w:rPr>
        <w:t> </w:t>
      </w:r>
    </w:p>
    <w:p w14:paraId="4B87172F" w14:textId="0BB58F3C" w:rsidR="003A62AC" w:rsidRPr="003A62AC" w:rsidRDefault="003A62AC" w:rsidP="003A62AC">
      <w:pPr>
        <w:widowControl/>
        <w:ind w:left="1275" w:hanging="1275"/>
        <w:textAlignment w:val="baseline"/>
        <w:rPr>
          <w:rFonts w:ascii="Segoe UI" w:hAnsi="Segoe UI" w:cs="Segoe UI"/>
          <w:sz w:val="18"/>
          <w:szCs w:val="18"/>
          <w:lang w:val="en-AU" w:eastAsia="en-AU" w:bidi="ar-SA"/>
        </w:rPr>
      </w:pPr>
      <w:r w:rsidRPr="00B43EA6">
        <w:rPr>
          <w:rFonts w:cs="Arial"/>
          <w:b/>
          <w:i/>
          <w:lang w:eastAsia="en-AU" w:bidi="ar-SA"/>
        </w:rPr>
        <w:t>Equation 1:</w:t>
      </w:r>
      <w:r w:rsidRPr="00B43EA6">
        <w:rPr>
          <w:rFonts w:ascii="Calibri" w:hAnsi="Calibri" w:cs="Calibri"/>
          <w:lang w:eastAsia="en-AU" w:bidi="ar-SA"/>
        </w:rPr>
        <w:t xml:space="preserve"> </w:t>
      </w:r>
      <w:r w:rsidRPr="00B43EA6">
        <w:rPr>
          <w:rFonts w:cs="Arial"/>
          <w:b/>
          <w:i/>
          <w:lang w:eastAsia="en-AU" w:bidi="ar-SA"/>
        </w:rPr>
        <w:t>90</w:t>
      </w:r>
      <w:r w:rsidRPr="003A62AC">
        <w:rPr>
          <w:rFonts w:cs="Arial"/>
          <w:b/>
          <w:bCs/>
          <w:i/>
          <w:iCs/>
          <w:sz w:val="13"/>
          <w:szCs w:val="13"/>
          <w:vertAlign w:val="superscript"/>
          <w:lang w:eastAsia="en-AU" w:bidi="ar-SA"/>
        </w:rPr>
        <w:t>th</w:t>
      </w:r>
      <w:r w:rsidRPr="00B43EA6">
        <w:rPr>
          <w:rFonts w:cs="Arial"/>
          <w:b/>
          <w:i/>
          <w:lang w:eastAsia="en-AU" w:bidi="ar-SA"/>
        </w:rPr>
        <w:t xml:space="preserve"> percentile dietary exposure calculation for the </w:t>
      </w:r>
      <w:r w:rsidR="43870203" w:rsidRPr="00B43EA6">
        <w:rPr>
          <w:rFonts w:cs="Arial"/>
          <w:b/>
          <w:bCs/>
          <w:i/>
          <w:iCs/>
          <w:lang w:eastAsia="en-AU" w:bidi="ar-SA"/>
        </w:rPr>
        <w:t>3 month</w:t>
      </w:r>
      <w:r w:rsidRPr="00B43EA6">
        <w:rPr>
          <w:rFonts w:cs="Arial"/>
          <w:b/>
          <w:i/>
          <w:lang w:eastAsia="en-AU" w:bidi="ar-SA"/>
        </w:rPr>
        <w:t xml:space="preserve"> and </w:t>
      </w:r>
      <w:r w:rsidR="43870203" w:rsidRPr="00B43EA6">
        <w:rPr>
          <w:rFonts w:cs="Arial"/>
          <w:b/>
          <w:bCs/>
          <w:i/>
          <w:iCs/>
          <w:lang w:eastAsia="en-AU" w:bidi="ar-SA"/>
        </w:rPr>
        <w:t>9 month</w:t>
      </w:r>
      <w:r w:rsidRPr="00B43EA6">
        <w:rPr>
          <w:rFonts w:cs="Arial"/>
          <w:b/>
          <w:i/>
          <w:lang w:eastAsia="en-AU" w:bidi="ar-SA"/>
        </w:rPr>
        <w:t xml:space="preserve">  old infant model </w:t>
      </w:r>
      <w:r w:rsidR="43870203" w:rsidRPr="00B43EA6">
        <w:rPr>
          <w:rFonts w:cs="Arial"/>
          <w:b/>
          <w:bCs/>
          <w:i/>
          <w:iCs/>
          <w:lang w:eastAsia="en-AU" w:bidi="ar-SA"/>
        </w:rPr>
        <w:t>diets </w:t>
      </w:r>
      <w:r w:rsidRPr="00B43EA6">
        <w:rPr>
          <w:rFonts w:cs="Arial"/>
          <w:lang w:val="en-AU" w:eastAsia="en-AU" w:bidi="ar-SA"/>
        </w:rPr>
        <w:t> </w:t>
      </w:r>
    </w:p>
    <w:p w14:paraId="189140F7" w14:textId="0A1D2102" w:rsidR="003A62AC" w:rsidRPr="003A62AC" w:rsidRDefault="003A62AC" w:rsidP="003A62AC">
      <w:pPr>
        <w:widowControl/>
        <w:textAlignment w:val="baseline"/>
        <w:rPr>
          <w:rFonts w:ascii="Segoe UI" w:hAnsi="Segoe UI" w:cs="Segoe UI"/>
          <w:sz w:val="18"/>
          <w:szCs w:val="18"/>
          <w:lang w:val="en-AU" w:eastAsia="en-AU" w:bidi="ar-SA"/>
        </w:rPr>
      </w:pPr>
      <w:r w:rsidRPr="003A62AC">
        <w:rPr>
          <w:noProof/>
          <w:color w:val="2B579A"/>
          <w:shd w:val="clear" w:color="auto" w:fill="E6E6E6"/>
          <w:lang w:eastAsia="en-GB" w:bidi="ar-SA"/>
        </w:rPr>
        <w:drawing>
          <wp:inline distT="0" distB="0" distL="0" distR="0" wp14:anchorId="41377F32" wp14:editId="4052126A">
            <wp:extent cx="4848225" cy="504825"/>
            <wp:effectExtent l="0" t="0" r="9525" b="9525"/>
            <wp:docPr id="2" name="Picture 1" descr="90th percentile exposure equals the mean exposure, multiplied by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90th percentile exposure equals the mean exposure, multiplied by tw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48225" cy="504825"/>
                    </a:xfrm>
                    <a:prstGeom prst="rect">
                      <a:avLst/>
                    </a:prstGeom>
                    <a:noFill/>
                    <a:ln>
                      <a:noFill/>
                    </a:ln>
                  </pic:spPr>
                </pic:pic>
              </a:graphicData>
            </a:graphic>
          </wp:inline>
        </w:drawing>
      </w:r>
      <w:r w:rsidRPr="003A62AC">
        <w:rPr>
          <w:rFonts w:cs="Arial"/>
          <w:szCs w:val="22"/>
          <w:lang w:eastAsia="en-AU" w:bidi="ar-SA"/>
        </w:rPr>
        <w:t> </w:t>
      </w:r>
      <w:r w:rsidRPr="003A62AC">
        <w:rPr>
          <w:rFonts w:cs="Arial"/>
          <w:szCs w:val="22"/>
          <w:lang w:val="en-AU" w:eastAsia="en-AU" w:bidi="ar-SA"/>
        </w:rPr>
        <w:t> </w:t>
      </w:r>
    </w:p>
    <w:p w14:paraId="177603DF" w14:textId="77777777" w:rsidR="003A62AC" w:rsidRPr="003A62AC" w:rsidRDefault="003A62AC" w:rsidP="003A62AC">
      <w:pPr>
        <w:widowControl/>
        <w:textAlignment w:val="baseline"/>
        <w:rPr>
          <w:rFonts w:ascii="Segoe UI" w:hAnsi="Segoe UI" w:cs="Segoe UI"/>
          <w:sz w:val="18"/>
          <w:szCs w:val="18"/>
          <w:lang w:val="en-AU" w:eastAsia="en-AU" w:bidi="ar-SA"/>
        </w:rPr>
      </w:pPr>
      <w:r w:rsidRPr="003A62AC">
        <w:rPr>
          <w:rFonts w:cs="Arial"/>
          <w:sz w:val="18"/>
          <w:szCs w:val="18"/>
          <w:lang w:eastAsia="en-AU" w:bidi="ar-SA"/>
        </w:rPr>
        <w:t>* (World Health Organization et al.,1985) </w:t>
      </w:r>
      <w:r w:rsidRPr="003A62AC">
        <w:rPr>
          <w:rFonts w:cs="Arial"/>
          <w:sz w:val="18"/>
          <w:szCs w:val="18"/>
          <w:lang w:val="en-AU" w:eastAsia="en-AU" w:bidi="ar-SA"/>
        </w:rPr>
        <w:t> </w:t>
      </w:r>
    </w:p>
    <w:p w14:paraId="257F4812" w14:textId="33472506" w:rsidR="003A62AC" w:rsidRPr="002161E7" w:rsidRDefault="003A62AC" w:rsidP="003A62AC">
      <w:pPr>
        <w:widowControl/>
        <w:textAlignment w:val="baseline"/>
        <w:rPr>
          <w:rFonts w:cs="Arial"/>
          <w:szCs w:val="22"/>
          <w:lang w:eastAsia="en-AU" w:bidi="ar-SA"/>
        </w:rPr>
      </w:pPr>
      <w:r w:rsidRPr="003A62AC">
        <w:rPr>
          <w:rFonts w:cs="Arial"/>
          <w:szCs w:val="22"/>
          <w:lang w:eastAsia="en-AU" w:bidi="ar-SA"/>
        </w:rPr>
        <w:t> </w:t>
      </w:r>
    </w:p>
    <w:p w14:paraId="1EFCAE03" w14:textId="38103B65" w:rsidR="003A62AC" w:rsidRPr="002161E7" w:rsidRDefault="003A62AC" w:rsidP="003A62AC">
      <w:pPr>
        <w:widowControl/>
        <w:textAlignment w:val="baseline"/>
        <w:rPr>
          <w:rFonts w:cs="Arial"/>
          <w:lang w:eastAsia="en-AU" w:bidi="ar-SA"/>
        </w:rPr>
      </w:pPr>
      <w:r w:rsidRPr="00B43EA6">
        <w:rPr>
          <w:rFonts w:cs="Arial"/>
          <w:lang w:eastAsia="en-AU" w:bidi="ar-SA"/>
        </w:rPr>
        <w:t xml:space="preserve">The energy content of human milk and infant formula is required for the calculation of the dietary intake of </w:t>
      </w:r>
      <w:proofErr w:type="spellStart"/>
      <w:r w:rsidRPr="00B43EA6">
        <w:rPr>
          <w:rFonts w:cs="Arial"/>
          <w:lang w:eastAsia="en-AU" w:bidi="ar-SA"/>
        </w:rPr>
        <w:t>hLf</w:t>
      </w:r>
      <w:proofErr w:type="spellEnd"/>
      <w:r w:rsidRPr="00B43EA6">
        <w:rPr>
          <w:rFonts w:cs="Arial"/>
          <w:lang w:eastAsia="en-AU" w:bidi="ar-SA"/>
        </w:rPr>
        <w:t xml:space="preserve"> and </w:t>
      </w:r>
      <w:proofErr w:type="spellStart"/>
      <w:r w:rsidRPr="00B43EA6">
        <w:rPr>
          <w:rFonts w:cs="Arial"/>
          <w:lang w:eastAsia="en-AU" w:bidi="ar-SA"/>
        </w:rPr>
        <w:t>bLf</w:t>
      </w:r>
      <w:proofErr w:type="spellEnd"/>
      <w:r w:rsidRPr="00B43EA6">
        <w:rPr>
          <w:rFonts w:cs="Arial"/>
          <w:lang w:eastAsia="en-AU" w:bidi="ar-SA"/>
        </w:rPr>
        <w:t xml:space="preserve"> in the model diets for 3 month and 9 month old infants. AUSNUT 2011-13 (the nutrient dataset for the 2011-12 National Nutrition and Physical Activity Survey (NNPAS)) is the latest </w:t>
      </w:r>
      <w:r w:rsidR="002161E7" w:rsidRPr="00B43EA6">
        <w:rPr>
          <w:rFonts w:cs="Arial"/>
          <w:lang w:eastAsia="en-AU" w:bidi="ar-SA"/>
        </w:rPr>
        <w:t xml:space="preserve">survey specific </w:t>
      </w:r>
      <w:r w:rsidRPr="00B43EA6">
        <w:rPr>
          <w:rFonts w:cs="Arial"/>
          <w:lang w:eastAsia="en-AU" w:bidi="ar-SA"/>
        </w:rPr>
        <w:t xml:space="preserve">nutrient data set published for Australian foods. In this dataset, the energy content of </w:t>
      </w:r>
      <w:r w:rsidRPr="00B43EA6">
        <w:rPr>
          <w:rFonts w:cs="Arial"/>
          <w:i/>
          <w:lang w:eastAsia="en-AU" w:bidi="ar-SA"/>
        </w:rPr>
        <w:t>Milk, human/breast, mature, fluid</w:t>
      </w:r>
      <w:r w:rsidRPr="00B43EA6">
        <w:rPr>
          <w:rFonts w:cs="Arial"/>
          <w:lang w:eastAsia="en-AU" w:bidi="ar-SA"/>
        </w:rPr>
        <w:t xml:space="preserve"> is 286 kJ/100 g and for </w:t>
      </w:r>
      <w:r w:rsidRPr="00B43EA6">
        <w:rPr>
          <w:rFonts w:cs="Arial"/>
          <w:i/>
          <w:lang w:eastAsia="en-AU" w:bidi="ar-SA"/>
        </w:rPr>
        <w:t>Infant formula, 6-12 months, prepared with water</w:t>
      </w:r>
      <w:r w:rsidRPr="00B43EA6">
        <w:rPr>
          <w:rFonts w:cs="Arial"/>
          <w:lang w:eastAsia="en-AU" w:bidi="ar-SA"/>
        </w:rPr>
        <w:t xml:space="preserve"> is 264 kJ/100 g (FSANZ, 2016). This assessment examined a range of infant formula and follow-on formula products currently available </w:t>
      </w:r>
      <w:r w:rsidR="002161E7" w:rsidRPr="00B43EA6">
        <w:rPr>
          <w:rFonts w:cs="Arial"/>
          <w:lang w:eastAsia="en-AU" w:bidi="ar-SA"/>
        </w:rPr>
        <w:t>on the market</w:t>
      </w:r>
      <w:r w:rsidRPr="00B43EA6">
        <w:rPr>
          <w:rFonts w:cs="Arial"/>
          <w:lang w:eastAsia="en-AU" w:bidi="ar-SA"/>
        </w:rPr>
        <w:t xml:space="preserve"> and found the energy content to be in the range of 252-295 kJ/100g. A set of model diets were developed using the AUSNUT energy contents for human milk and infant formula in the calculation of the dietary intake of </w:t>
      </w:r>
      <w:proofErr w:type="spellStart"/>
      <w:r w:rsidRPr="00B43EA6">
        <w:rPr>
          <w:rFonts w:cs="Arial"/>
          <w:lang w:eastAsia="en-AU" w:bidi="ar-SA"/>
        </w:rPr>
        <w:t>hLf</w:t>
      </w:r>
      <w:proofErr w:type="spellEnd"/>
      <w:r w:rsidRPr="00B43EA6">
        <w:rPr>
          <w:rFonts w:cs="Arial"/>
          <w:lang w:eastAsia="en-AU" w:bidi="ar-SA"/>
        </w:rPr>
        <w:t xml:space="preserve"> and </w:t>
      </w:r>
      <w:proofErr w:type="spellStart"/>
      <w:r w:rsidRPr="00B43EA6">
        <w:rPr>
          <w:rFonts w:cs="Arial"/>
          <w:lang w:eastAsia="en-AU" w:bidi="ar-SA"/>
        </w:rPr>
        <w:t>bLf</w:t>
      </w:r>
      <w:proofErr w:type="spellEnd"/>
      <w:r w:rsidRPr="00B43EA6">
        <w:rPr>
          <w:rFonts w:cs="Arial"/>
          <w:lang w:eastAsia="en-AU" w:bidi="ar-SA"/>
        </w:rPr>
        <w:t xml:space="preserve"> for 3 month and 9 month old infants.</w:t>
      </w:r>
    </w:p>
    <w:p w14:paraId="5EAC69E7" w14:textId="69B4EAB1" w:rsidR="003A62AC" w:rsidRPr="002161E7" w:rsidRDefault="003A62AC" w:rsidP="003A62AC">
      <w:pPr>
        <w:widowControl/>
        <w:textAlignment w:val="baseline"/>
        <w:rPr>
          <w:rFonts w:cs="Arial"/>
          <w:szCs w:val="22"/>
          <w:lang w:eastAsia="en-AU" w:bidi="ar-SA"/>
        </w:rPr>
      </w:pPr>
      <w:r w:rsidRPr="003A62AC">
        <w:rPr>
          <w:rFonts w:cs="Arial"/>
          <w:szCs w:val="22"/>
          <w:lang w:eastAsia="en-AU" w:bidi="ar-SA"/>
        </w:rPr>
        <w:t> </w:t>
      </w:r>
    </w:p>
    <w:p w14:paraId="1767A155" w14:textId="7A351759" w:rsidR="003A62AC" w:rsidRPr="002161E7" w:rsidRDefault="003A62AC" w:rsidP="003A62AC">
      <w:pPr>
        <w:widowControl/>
        <w:textAlignment w:val="baseline"/>
        <w:rPr>
          <w:rFonts w:cs="Arial"/>
          <w:lang w:eastAsia="en-AU" w:bidi="ar-SA"/>
        </w:rPr>
      </w:pPr>
      <w:r w:rsidRPr="00B43EA6">
        <w:rPr>
          <w:rFonts w:cs="Arial"/>
          <w:lang w:eastAsia="en-AU" w:bidi="ar-SA"/>
        </w:rPr>
        <w:t>A set of model diets was not established for infants consuming infant formula products for special dietary uses as the energy and/or fluid requirements can vary depending on the medical conditions of the infant. Additionally, the energy content of the various infant formula products for special dietary uses can be variable. The</w:t>
      </w:r>
      <w:r w:rsidR="002161E7" w:rsidRPr="00B43EA6">
        <w:rPr>
          <w:rFonts w:cs="Arial"/>
          <w:lang w:eastAsia="en-AU" w:bidi="ar-SA"/>
        </w:rPr>
        <w:t xml:space="preserve"> </w:t>
      </w:r>
      <w:r w:rsidRPr="00B43EA6">
        <w:rPr>
          <w:rFonts w:cs="Arial"/>
          <w:lang w:eastAsia="en-AU" w:bidi="ar-SA"/>
        </w:rPr>
        <w:t xml:space="preserve">assessment of A1155 included an examination of products, including formulas for premature infants, formulas for use by infants with inborn errors of metabolism, and formulas for use by infants with severe food allergies, which found the range of energy contents was 269 – </w:t>
      </w:r>
      <w:r w:rsidR="43870203" w:rsidRPr="00B43EA6">
        <w:rPr>
          <w:rFonts w:cs="Arial"/>
          <w:lang w:eastAsia="en-AU" w:bidi="ar-SA"/>
        </w:rPr>
        <w:t>415 kJ</w:t>
      </w:r>
      <w:r w:rsidRPr="00B43EA6">
        <w:rPr>
          <w:rFonts w:cs="Arial"/>
          <w:lang w:eastAsia="en-AU" w:bidi="ar-SA"/>
        </w:rPr>
        <w:t>/</w:t>
      </w:r>
      <w:r w:rsidR="43870203" w:rsidRPr="00B43EA6">
        <w:rPr>
          <w:rFonts w:cs="Arial"/>
          <w:lang w:eastAsia="en-AU" w:bidi="ar-SA"/>
        </w:rPr>
        <w:t>100 g.</w:t>
      </w:r>
      <w:r w:rsidRPr="00B43EA6">
        <w:rPr>
          <w:rFonts w:cs="Arial"/>
          <w:lang w:eastAsia="en-AU" w:bidi="ar-SA"/>
        </w:rPr>
        <w:t xml:space="preserve"> If an infant consuming infant formula products for special dietary uses has similar energy requirements to those used in the model infant diets and their specific formula has a similar energy content to that used in the model diets, then their intake of </w:t>
      </w:r>
      <w:proofErr w:type="spellStart"/>
      <w:r w:rsidRPr="00B43EA6">
        <w:rPr>
          <w:rFonts w:cs="Arial"/>
          <w:lang w:eastAsia="en-AU" w:bidi="ar-SA"/>
        </w:rPr>
        <w:t>bLf</w:t>
      </w:r>
      <w:proofErr w:type="spellEnd"/>
      <w:r w:rsidRPr="00B43EA6">
        <w:rPr>
          <w:rFonts w:cs="Arial"/>
          <w:lang w:eastAsia="en-AU" w:bidi="ar-SA"/>
        </w:rPr>
        <w:t xml:space="preserve"> is anticipated to be similar to that outlined in the assessment </w:t>
      </w:r>
      <w:r w:rsidR="356952A8" w:rsidRPr="00B43EA6">
        <w:rPr>
          <w:rFonts w:cs="Arial"/>
          <w:lang w:eastAsia="en-AU" w:bidi="ar-SA"/>
        </w:rPr>
        <w:t>for</w:t>
      </w:r>
      <w:r w:rsidR="002161E7" w:rsidRPr="00B43EA6">
        <w:rPr>
          <w:rFonts w:cs="Arial"/>
          <w:lang w:eastAsia="en-AU" w:bidi="ar-SA"/>
        </w:rPr>
        <w:t xml:space="preserve"> this application</w:t>
      </w:r>
      <w:r w:rsidRPr="00B43EA6">
        <w:rPr>
          <w:rFonts w:cs="Arial"/>
          <w:lang w:eastAsia="en-AU" w:bidi="ar-SA"/>
        </w:rPr>
        <w:t xml:space="preserve">. If an infant consuming infant formula products for special dietary uses has similar energy requirements to those used in the model infant diets and their specific formula has a higher energy content to that used in the model diets, then their intake of </w:t>
      </w:r>
      <w:proofErr w:type="spellStart"/>
      <w:r w:rsidRPr="00B43EA6">
        <w:rPr>
          <w:rFonts w:cs="Arial"/>
          <w:lang w:eastAsia="en-AU" w:bidi="ar-SA"/>
        </w:rPr>
        <w:t>bLf</w:t>
      </w:r>
      <w:proofErr w:type="spellEnd"/>
      <w:r w:rsidRPr="00B43EA6">
        <w:rPr>
          <w:rFonts w:cs="Arial"/>
          <w:lang w:eastAsia="en-AU" w:bidi="ar-SA"/>
        </w:rPr>
        <w:t xml:space="preserve"> is anticipated to be similar to or lower than that outlined in </w:t>
      </w:r>
      <w:r w:rsidR="43870203" w:rsidRPr="00B43EA6">
        <w:rPr>
          <w:rFonts w:cs="Arial"/>
          <w:lang w:eastAsia="en-AU" w:bidi="ar-SA"/>
        </w:rPr>
        <w:t>th</w:t>
      </w:r>
      <w:r w:rsidR="356952A8" w:rsidRPr="00B43EA6">
        <w:rPr>
          <w:rFonts w:cs="Arial"/>
          <w:lang w:eastAsia="en-AU" w:bidi="ar-SA"/>
        </w:rPr>
        <w:t>is</w:t>
      </w:r>
      <w:r w:rsidRPr="00B43EA6">
        <w:rPr>
          <w:rFonts w:cs="Arial"/>
          <w:lang w:eastAsia="en-AU" w:bidi="ar-SA"/>
        </w:rPr>
        <w:t xml:space="preserve"> assessment</w:t>
      </w:r>
      <w:r w:rsidR="43870203" w:rsidRPr="00B43EA6">
        <w:rPr>
          <w:rFonts w:cs="Arial"/>
          <w:lang w:eastAsia="en-AU" w:bidi="ar-SA"/>
        </w:rPr>
        <w:t>. </w:t>
      </w:r>
      <w:r w:rsidRPr="00B43EA6">
        <w:rPr>
          <w:rFonts w:cs="Arial"/>
          <w:lang w:eastAsia="en-AU" w:bidi="ar-SA"/>
        </w:rPr>
        <w:t> </w:t>
      </w:r>
    </w:p>
    <w:p w14:paraId="7DA4E842" w14:textId="77777777" w:rsidR="003A62AC" w:rsidRPr="002161E7" w:rsidRDefault="003A62AC" w:rsidP="003A62AC">
      <w:pPr>
        <w:widowControl/>
        <w:textAlignment w:val="baseline"/>
        <w:rPr>
          <w:rFonts w:cs="Arial"/>
          <w:szCs w:val="22"/>
          <w:lang w:eastAsia="en-AU" w:bidi="ar-SA"/>
        </w:rPr>
      </w:pPr>
      <w:r w:rsidRPr="002161E7">
        <w:rPr>
          <w:rFonts w:cs="Arial"/>
          <w:szCs w:val="22"/>
          <w:lang w:eastAsia="en-AU" w:bidi="ar-SA"/>
        </w:rPr>
        <w:t> </w:t>
      </w:r>
    </w:p>
    <w:p w14:paraId="3A6F1686" w14:textId="77777777" w:rsidR="003A62AC" w:rsidRPr="002161E7" w:rsidRDefault="003A62AC" w:rsidP="002161E7">
      <w:pPr>
        <w:keepNext/>
        <w:keepLines/>
        <w:widowControl/>
        <w:ind w:left="855" w:hanging="855"/>
        <w:textAlignment w:val="baseline"/>
        <w:rPr>
          <w:rFonts w:cs="Arial"/>
          <w:b/>
          <w:i/>
          <w:szCs w:val="22"/>
          <w:lang w:eastAsia="en-AU" w:bidi="ar-SA"/>
        </w:rPr>
      </w:pPr>
      <w:r w:rsidRPr="003A62AC">
        <w:rPr>
          <w:rFonts w:cs="Arial"/>
          <w:b/>
          <w:bCs/>
          <w:i/>
          <w:iCs/>
          <w:szCs w:val="22"/>
          <w:lang w:eastAsia="en-AU" w:bidi="ar-SA"/>
        </w:rPr>
        <w:t>Infants aged 3 months </w:t>
      </w:r>
      <w:r w:rsidRPr="002161E7">
        <w:rPr>
          <w:rFonts w:cs="Arial"/>
          <w:b/>
          <w:i/>
          <w:szCs w:val="22"/>
          <w:lang w:eastAsia="en-AU" w:bidi="ar-SA"/>
        </w:rPr>
        <w:t> </w:t>
      </w:r>
    </w:p>
    <w:p w14:paraId="52BFF7E8" w14:textId="43E11F0F" w:rsidR="003A62AC" w:rsidRPr="002161E7" w:rsidRDefault="003A62AC" w:rsidP="002161E7">
      <w:pPr>
        <w:keepNext/>
        <w:keepLines/>
        <w:widowControl/>
        <w:textAlignment w:val="baseline"/>
        <w:rPr>
          <w:rFonts w:cs="Arial"/>
          <w:szCs w:val="22"/>
          <w:lang w:eastAsia="en-AU" w:bidi="ar-SA"/>
        </w:rPr>
      </w:pPr>
      <w:r w:rsidRPr="003A62AC">
        <w:rPr>
          <w:rFonts w:cs="Arial"/>
          <w:szCs w:val="22"/>
          <w:lang w:eastAsia="en-AU" w:bidi="ar-SA"/>
        </w:rPr>
        <w:t>The recommended energy intake for a three-month-old boy (343</w:t>
      </w:r>
      <w:r w:rsidR="00A827AC">
        <w:rPr>
          <w:rFonts w:cs="Arial"/>
          <w:szCs w:val="22"/>
          <w:lang w:eastAsia="en-AU" w:bidi="ar-SA"/>
        </w:rPr>
        <w:t xml:space="preserve"> </w:t>
      </w:r>
      <w:r w:rsidRPr="003A62AC">
        <w:rPr>
          <w:rFonts w:cs="Arial"/>
          <w:szCs w:val="22"/>
          <w:lang w:eastAsia="en-AU" w:bidi="ar-SA"/>
        </w:rPr>
        <w:t xml:space="preserve">kJ/kg </w:t>
      </w:r>
      <w:proofErr w:type="spellStart"/>
      <w:r w:rsidRPr="003A62AC">
        <w:rPr>
          <w:rFonts w:cs="Arial"/>
          <w:szCs w:val="22"/>
          <w:lang w:eastAsia="en-AU" w:bidi="ar-SA"/>
        </w:rPr>
        <w:t>bw</w:t>
      </w:r>
      <w:proofErr w:type="spellEnd"/>
      <w:r w:rsidRPr="003A62AC">
        <w:rPr>
          <w:rFonts w:cs="Arial"/>
          <w:szCs w:val="22"/>
          <w:lang w:eastAsia="en-AU" w:bidi="ar-SA"/>
        </w:rPr>
        <w:t>/day) (United Nations University et al. 2004) and the 50</w:t>
      </w:r>
      <w:r w:rsidRPr="00A827AC">
        <w:rPr>
          <w:rFonts w:cs="Arial"/>
          <w:szCs w:val="22"/>
          <w:vertAlign w:val="superscript"/>
          <w:lang w:eastAsia="en-AU" w:bidi="ar-SA"/>
        </w:rPr>
        <w:t>th</w:t>
      </w:r>
      <w:r w:rsidRPr="003A62AC">
        <w:rPr>
          <w:rFonts w:cs="Arial"/>
          <w:szCs w:val="22"/>
          <w:lang w:eastAsia="en-AU" w:bidi="ar-SA"/>
        </w:rPr>
        <w:t xml:space="preserve"> percentile weight (6.4</w:t>
      </w:r>
      <w:r w:rsidR="00A827AC">
        <w:rPr>
          <w:rFonts w:cs="Arial"/>
          <w:szCs w:val="22"/>
          <w:lang w:eastAsia="en-AU" w:bidi="ar-SA"/>
        </w:rPr>
        <w:t xml:space="preserve"> </w:t>
      </w:r>
      <w:r w:rsidRPr="003A62AC">
        <w:rPr>
          <w:rFonts w:cs="Arial"/>
          <w:szCs w:val="22"/>
          <w:lang w:eastAsia="en-AU" w:bidi="ar-SA"/>
        </w:rPr>
        <w:t>kg) (World Health Organisation 2006) for the same age and sex were used as the basis for the model diet. Boys’ weights were used because boys tend to be heavier than girls at the same age and therefore have higher overall energy and food requirements. The entire energy requirement in the 3 month old infant diet is derived from infant formula or human milk, depending on the assessment. The body weight of 6.4 kg was used to estimate dietary intakes for 3 month old infants on a body weight basis. </w:t>
      </w:r>
    </w:p>
    <w:p w14:paraId="29966855" w14:textId="036017DB" w:rsidR="003A62AC" w:rsidRPr="002161E7" w:rsidRDefault="003A62AC" w:rsidP="003A62AC">
      <w:pPr>
        <w:widowControl/>
        <w:textAlignment w:val="baseline"/>
        <w:rPr>
          <w:rFonts w:cs="Arial"/>
          <w:szCs w:val="22"/>
          <w:lang w:eastAsia="en-AU" w:bidi="ar-SA"/>
        </w:rPr>
      </w:pPr>
    </w:p>
    <w:p w14:paraId="0A2D51AF" w14:textId="77777777" w:rsidR="003A62AC" w:rsidRPr="002161E7" w:rsidRDefault="003A62AC" w:rsidP="003A62AC">
      <w:pPr>
        <w:widowControl/>
        <w:ind w:left="855" w:hanging="855"/>
        <w:textAlignment w:val="baseline"/>
        <w:rPr>
          <w:rFonts w:cs="Arial"/>
          <w:b/>
          <w:i/>
          <w:szCs w:val="22"/>
          <w:lang w:eastAsia="en-AU" w:bidi="ar-SA"/>
        </w:rPr>
      </w:pPr>
      <w:r w:rsidRPr="003A62AC">
        <w:rPr>
          <w:rFonts w:cs="Arial"/>
          <w:b/>
          <w:bCs/>
          <w:i/>
          <w:iCs/>
          <w:szCs w:val="22"/>
          <w:lang w:eastAsia="en-AU" w:bidi="ar-SA"/>
        </w:rPr>
        <w:t>Infants aged 9 months </w:t>
      </w:r>
      <w:r w:rsidRPr="002161E7">
        <w:rPr>
          <w:rFonts w:cs="Arial"/>
          <w:b/>
          <w:i/>
          <w:szCs w:val="22"/>
          <w:lang w:eastAsia="en-AU" w:bidi="ar-SA"/>
        </w:rPr>
        <w:t> </w:t>
      </w:r>
    </w:p>
    <w:p w14:paraId="2CE9CC6B" w14:textId="77777777" w:rsidR="00A86053" w:rsidRDefault="003A62AC" w:rsidP="29A90341">
      <w:pPr>
        <w:widowControl/>
        <w:textAlignment w:val="baseline"/>
        <w:rPr>
          <w:rFonts w:cs="Arial"/>
          <w:lang w:eastAsia="en-AU" w:bidi="ar-SA"/>
        </w:rPr>
      </w:pPr>
      <w:r w:rsidRPr="29A90341">
        <w:rPr>
          <w:rFonts w:cs="Arial"/>
          <w:lang w:eastAsia="en-AU" w:bidi="ar-SA"/>
        </w:rPr>
        <w:t>By the age of 9 months, infants are consuming a mixed diet of solids and follow-on formula/ human milk. The model diet was constructed based on recommended energy intakes, mean body weight and the proportion of milk and solid foods in the diet for a 9 month old infant. The recommended energy intake for a 9 month old boy (330 kJ/kg </w:t>
      </w:r>
      <w:proofErr w:type="spellStart"/>
      <w:r w:rsidRPr="29A90341">
        <w:rPr>
          <w:rFonts w:cs="Arial"/>
          <w:lang w:eastAsia="en-AU" w:bidi="ar-SA"/>
        </w:rPr>
        <w:t>bw</w:t>
      </w:r>
      <w:proofErr w:type="spellEnd"/>
      <w:r w:rsidRPr="29A90341">
        <w:rPr>
          <w:rFonts w:cs="Arial"/>
          <w:lang w:eastAsia="en-AU" w:bidi="ar-SA"/>
        </w:rPr>
        <w:t>/day) (United Nations University et al. 2004) and the 50</w:t>
      </w:r>
      <w:r w:rsidRPr="00A827AC">
        <w:rPr>
          <w:rFonts w:cs="Arial"/>
          <w:szCs w:val="22"/>
          <w:vertAlign w:val="superscript"/>
          <w:lang w:eastAsia="en-AU" w:bidi="ar-SA"/>
        </w:rPr>
        <w:t>th</w:t>
      </w:r>
      <w:r w:rsidRPr="29A90341">
        <w:rPr>
          <w:rFonts w:cs="Arial"/>
          <w:lang w:eastAsia="en-AU" w:bidi="ar-SA"/>
        </w:rPr>
        <w:t xml:space="preserve"> percentile weight (8.9 kg) (World Health Organisation 2006) for the same age and sex was used as the basis for the model diet.</w:t>
      </w:r>
      <w:r w:rsidR="19FC36CD" w:rsidRPr="29A90341">
        <w:rPr>
          <w:rFonts w:cs="Arial"/>
          <w:lang w:eastAsia="en-AU" w:bidi="ar-SA"/>
        </w:rPr>
        <w:t xml:space="preserve"> The body weight of 8.9 kg was used to estimate dietary intakes for 9 month old infants on a body weight basis.</w:t>
      </w:r>
    </w:p>
    <w:p w14:paraId="6C40B663" w14:textId="77777777" w:rsidR="00A86053" w:rsidRDefault="00A86053" w:rsidP="29A90341">
      <w:pPr>
        <w:widowControl/>
        <w:textAlignment w:val="baseline"/>
        <w:rPr>
          <w:rFonts w:cs="Arial"/>
          <w:lang w:eastAsia="en-AU" w:bidi="ar-SA"/>
        </w:rPr>
      </w:pPr>
    </w:p>
    <w:p w14:paraId="07A36106" w14:textId="48CAE83C" w:rsidR="003A62AC" w:rsidRPr="00A86053" w:rsidRDefault="003A62AC" w:rsidP="29A90341">
      <w:pPr>
        <w:widowControl/>
        <w:textAlignment w:val="baseline"/>
        <w:rPr>
          <w:rFonts w:cs="Arial"/>
          <w:lang w:eastAsia="en-AU" w:bidi="ar-SA"/>
        </w:rPr>
      </w:pPr>
      <w:r w:rsidRPr="29A90341">
        <w:rPr>
          <w:rFonts w:cs="Arial"/>
          <w:lang w:eastAsia="en-AU" w:bidi="ar-SA"/>
        </w:rPr>
        <w:t xml:space="preserve">It was assumed that 50% of energy intake was derived from follow-on formula/human milk and 50% from solids and other fluids (Butte et al, 2004; Hitchcock 1986; Pan American Health Organization, 2003). As noted in the section discussing concentrations of </w:t>
      </w:r>
      <w:proofErr w:type="spellStart"/>
      <w:r w:rsidRPr="29A90341">
        <w:rPr>
          <w:rFonts w:cs="Arial"/>
          <w:lang w:eastAsia="en-AU" w:bidi="ar-SA"/>
        </w:rPr>
        <w:t>bLf</w:t>
      </w:r>
      <w:proofErr w:type="spellEnd"/>
      <w:r w:rsidRPr="29A90341">
        <w:rPr>
          <w:rFonts w:cs="Arial"/>
          <w:lang w:eastAsia="en-AU" w:bidi="ar-SA"/>
        </w:rPr>
        <w:t xml:space="preserve"> in other dairy based foods, the concentrations are minimal compared to human milk or infant formula if permitted at the proposed maximum </w:t>
      </w:r>
      <w:r w:rsidR="50C93B18" w:rsidRPr="7B6CE6C8">
        <w:rPr>
          <w:rFonts w:cs="Arial"/>
          <w:lang w:eastAsia="en-AU" w:bidi="ar-SA"/>
        </w:rPr>
        <w:t>p</w:t>
      </w:r>
      <w:r w:rsidR="2478F358" w:rsidRPr="7B6CE6C8">
        <w:rPr>
          <w:rFonts w:cs="Arial"/>
          <w:lang w:eastAsia="en-AU" w:bidi="ar-SA"/>
        </w:rPr>
        <w:t xml:space="preserve">ermitted </w:t>
      </w:r>
      <w:r w:rsidR="0A8B7C42" w:rsidRPr="00B43EA6">
        <w:rPr>
          <w:rFonts w:cs="Arial"/>
          <w:lang w:eastAsia="en-AU" w:bidi="ar-SA"/>
        </w:rPr>
        <w:t>amount</w:t>
      </w:r>
      <w:r w:rsidR="155B594B" w:rsidRPr="00B43EA6">
        <w:rPr>
          <w:rFonts w:cs="Arial"/>
          <w:lang w:eastAsia="en-AU" w:bidi="ar-SA"/>
        </w:rPr>
        <w:t>.</w:t>
      </w:r>
      <w:r w:rsidR="19FC36CD" w:rsidRPr="29A90341">
        <w:rPr>
          <w:rFonts w:cs="Arial"/>
          <w:lang w:eastAsia="en-AU" w:bidi="ar-SA"/>
        </w:rPr>
        <w:t xml:space="preserve"> An estimated intake of </w:t>
      </w:r>
      <w:proofErr w:type="spellStart"/>
      <w:r w:rsidR="19FC36CD" w:rsidRPr="29A90341">
        <w:rPr>
          <w:rFonts w:cs="Arial"/>
          <w:lang w:eastAsia="en-AU" w:bidi="ar-SA"/>
        </w:rPr>
        <w:t>bLf</w:t>
      </w:r>
      <w:proofErr w:type="spellEnd"/>
      <w:r w:rsidR="19FC36CD" w:rsidRPr="29A90341">
        <w:rPr>
          <w:rFonts w:cs="Arial"/>
          <w:lang w:eastAsia="en-AU" w:bidi="ar-SA"/>
        </w:rPr>
        <w:t xml:space="preserve"> from cows’ milk based on mean consumption as reported for 2-3 year old children in the risk assessment for A1555 was </w:t>
      </w:r>
      <w:r w:rsidR="0CC0415B" w:rsidRPr="29A90341">
        <w:rPr>
          <w:rFonts w:cs="Arial"/>
          <w:lang w:eastAsia="en-AU" w:bidi="ar-SA"/>
        </w:rPr>
        <w:t>used</w:t>
      </w:r>
      <w:r w:rsidR="54D9FDBA" w:rsidRPr="29A90341">
        <w:rPr>
          <w:rFonts w:cs="Arial"/>
          <w:lang w:eastAsia="en-AU" w:bidi="ar-SA"/>
        </w:rPr>
        <w:t xml:space="preserve"> </w:t>
      </w:r>
      <w:r w:rsidR="19FC36CD" w:rsidRPr="29A90341">
        <w:rPr>
          <w:rFonts w:cs="Arial"/>
          <w:lang w:eastAsia="en-AU" w:bidi="ar-SA"/>
        </w:rPr>
        <w:t>for 9 month old infants</w:t>
      </w:r>
      <w:r w:rsidRPr="29A90341">
        <w:rPr>
          <w:rFonts w:cs="Arial"/>
          <w:lang w:eastAsia="en-AU" w:bidi="ar-SA"/>
        </w:rPr>
        <w:t>.</w:t>
      </w:r>
    </w:p>
    <w:p w14:paraId="2AC2E707" w14:textId="5AACDA93" w:rsidR="00746F49" w:rsidRDefault="00746F49">
      <w:pPr>
        <w:widowControl/>
      </w:pPr>
      <w:r>
        <w:br w:type="page"/>
      </w:r>
    </w:p>
    <w:p w14:paraId="03C31204" w14:textId="437F860E" w:rsidR="00A951CB" w:rsidRDefault="00746F49" w:rsidP="00746F49">
      <w:pPr>
        <w:pStyle w:val="Heading1"/>
        <w:rPr>
          <w:rFonts w:eastAsia="Arial" w:cs="Arial"/>
          <w:color w:val="000000" w:themeColor="text1"/>
          <w:szCs w:val="36"/>
        </w:rPr>
      </w:pPr>
      <w:bookmarkStart w:id="138" w:name="_Toc112915039"/>
      <w:bookmarkStart w:id="139" w:name="_Toc113523086"/>
      <w:r w:rsidRPr="0682D99A">
        <w:rPr>
          <w:rFonts w:eastAsia="Arial" w:cs="Arial"/>
          <w:color w:val="000000" w:themeColor="text1"/>
          <w:szCs w:val="36"/>
        </w:rPr>
        <w:t xml:space="preserve">Appendix 2: Nutrition assessment </w:t>
      </w:r>
      <w:r w:rsidR="00510942" w:rsidRPr="0682D99A">
        <w:rPr>
          <w:rFonts w:eastAsia="Arial" w:cs="Arial"/>
          <w:color w:val="000000" w:themeColor="text1"/>
          <w:szCs w:val="36"/>
        </w:rPr>
        <w:t>literature screening</w:t>
      </w:r>
      <w:bookmarkEnd w:id="138"/>
      <w:bookmarkEnd w:id="139"/>
      <w:r w:rsidRPr="0682D99A">
        <w:rPr>
          <w:rFonts w:eastAsia="Arial" w:cs="Arial"/>
          <w:color w:val="000000" w:themeColor="text1"/>
          <w:szCs w:val="36"/>
        </w:rPr>
        <w:t xml:space="preserve"> </w:t>
      </w:r>
    </w:p>
    <w:p w14:paraId="7753E07E" w14:textId="738FC5CA" w:rsidR="00746F49" w:rsidRDefault="00AB1266" w:rsidP="00733CE2">
      <w:pPr>
        <w:pStyle w:val="Heading2"/>
        <w:rPr>
          <w:rFonts w:eastAsia="Arial"/>
        </w:rPr>
      </w:pPr>
      <w:bookmarkStart w:id="140" w:name="_Toc112915040"/>
      <w:bookmarkStart w:id="141" w:name="_Toc113523087"/>
      <w:r>
        <w:rPr>
          <w:rFonts w:eastAsia="Arial"/>
        </w:rPr>
        <w:t>A2.1</w:t>
      </w:r>
      <w:r>
        <w:rPr>
          <w:rFonts w:eastAsia="Arial"/>
        </w:rPr>
        <w:tab/>
      </w:r>
      <w:r w:rsidR="7B0873C3" w:rsidRPr="0682D99A">
        <w:rPr>
          <w:rFonts w:eastAsia="Arial"/>
        </w:rPr>
        <w:t>Effect</w:t>
      </w:r>
      <w:r w:rsidR="00746F49" w:rsidRPr="3F705C66">
        <w:rPr>
          <w:rFonts w:eastAsia="Arial"/>
        </w:rPr>
        <w:t xml:space="preserve"> on growth and development: comparison to human-milk fed infants</w:t>
      </w:r>
      <w:bookmarkEnd w:id="140"/>
      <w:bookmarkEnd w:id="141"/>
    </w:p>
    <w:p w14:paraId="32180BF0" w14:textId="7F04DCCB" w:rsidR="00746F49" w:rsidRDefault="00AB1266" w:rsidP="006406E3">
      <w:pPr>
        <w:pStyle w:val="Heading3"/>
        <w:rPr>
          <w:rFonts w:eastAsia="Arial"/>
        </w:rPr>
      </w:pPr>
      <w:bookmarkStart w:id="142" w:name="_Toc112915041"/>
      <w:bookmarkStart w:id="143" w:name="_Toc113523088"/>
      <w:r w:rsidRPr="0682D99A">
        <w:rPr>
          <w:rFonts w:eastAsia="Arial"/>
        </w:rPr>
        <w:t>A2.1.1</w:t>
      </w:r>
      <w:r>
        <w:rPr>
          <w:rFonts w:eastAsia="Arial"/>
        </w:rPr>
        <w:tab/>
      </w:r>
      <w:r>
        <w:rPr>
          <w:rFonts w:eastAsia="Arial"/>
        </w:rPr>
        <w:tab/>
      </w:r>
      <w:r w:rsidR="00746F49" w:rsidRPr="0682D99A">
        <w:rPr>
          <w:rFonts w:eastAsia="Arial"/>
        </w:rPr>
        <w:t>Methods</w:t>
      </w:r>
      <w:r w:rsidR="00510942" w:rsidRPr="0682D99A">
        <w:rPr>
          <w:rFonts w:eastAsia="Arial"/>
        </w:rPr>
        <w:t xml:space="preserve"> and results</w:t>
      </w:r>
      <w:bookmarkEnd w:id="142"/>
      <w:bookmarkEnd w:id="143"/>
    </w:p>
    <w:p w14:paraId="58C96D5D" w14:textId="1366745E" w:rsidR="00746F49" w:rsidRDefault="18053791" w:rsidP="00746F49">
      <w:pPr>
        <w:rPr>
          <w:rFonts w:eastAsia="Arial" w:cs="Arial"/>
          <w:color w:val="000000" w:themeColor="text1"/>
          <w:szCs w:val="22"/>
        </w:rPr>
      </w:pPr>
      <w:r w:rsidRPr="0682D99A">
        <w:rPr>
          <w:rFonts w:eastAsia="Arial" w:cs="Arial"/>
          <w:color w:val="000000" w:themeColor="text1"/>
          <w:szCs w:val="22"/>
          <w:lang w:val="en-AU"/>
        </w:rPr>
        <w:t>We reviewed the literature published since date of inception to June 2022. On 6th July 2022, we searched PubMed using ("</w:t>
      </w:r>
      <w:proofErr w:type="spellStart"/>
      <w:r w:rsidRPr="0682D99A">
        <w:rPr>
          <w:rFonts w:eastAsia="Arial" w:cs="Arial"/>
          <w:color w:val="000000" w:themeColor="text1"/>
          <w:szCs w:val="22"/>
          <w:lang w:val="en-AU"/>
        </w:rPr>
        <w:t>infan</w:t>
      </w:r>
      <w:proofErr w:type="spellEnd"/>
      <w:r w:rsidRPr="0682D99A">
        <w:rPr>
          <w:rFonts w:eastAsia="Arial" w:cs="Arial"/>
          <w:color w:val="000000" w:themeColor="text1"/>
          <w:szCs w:val="22"/>
          <w:lang w:val="en-AU"/>
        </w:rPr>
        <w:t>*"[All Fields] AND ("food, formulated"[</w:t>
      </w:r>
      <w:proofErr w:type="spellStart"/>
      <w:r w:rsidRPr="0682D99A">
        <w:rPr>
          <w:rFonts w:eastAsia="Arial" w:cs="Arial"/>
          <w:color w:val="000000" w:themeColor="text1"/>
          <w:szCs w:val="22"/>
          <w:lang w:val="en-AU"/>
        </w:rPr>
        <w:t>MeSH</w:t>
      </w:r>
      <w:proofErr w:type="spellEnd"/>
      <w:r w:rsidRPr="0682D99A">
        <w:rPr>
          <w:rFonts w:eastAsia="Arial" w:cs="Arial"/>
          <w:color w:val="000000" w:themeColor="text1"/>
          <w:szCs w:val="22"/>
          <w:lang w:val="en-AU"/>
        </w:rPr>
        <w:t xml:space="preserve"> Terms] OR ("food"[All Fields] AND "formulated"[All Fields]) OR "formulated food"[All Fields] OR "formula"[All Fields] OR "formula s"[All Fields] OR "formulae"[All Fields] OR "formulas"[All Fields]) AND ("lactoferrin"[</w:t>
      </w:r>
      <w:proofErr w:type="spellStart"/>
      <w:r w:rsidRPr="0682D99A">
        <w:rPr>
          <w:rFonts w:eastAsia="Arial" w:cs="Arial"/>
          <w:color w:val="000000" w:themeColor="text1"/>
          <w:szCs w:val="22"/>
          <w:lang w:val="en-AU"/>
        </w:rPr>
        <w:t>MeSH</w:t>
      </w:r>
      <w:proofErr w:type="spellEnd"/>
      <w:r w:rsidRPr="0682D99A">
        <w:rPr>
          <w:rFonts w:eastAsia="Arial" w:cs="Arial"/>
          <w:color w:val="000000" w:themeColor="text1"/>
          <w:szCs w:val="22"/>
          <w:lang w:val="en-AU"/>
        </w:rPr>
        <w:t xml:space="preserve"> Terms] OR "lactoferrin"[All Fields] OR "lactoferrins"[All Fields] OR "lactoferrin s"[All Fields])</w:t>
      </w:r>
      <w:r w:rsidRPr="0682D99A">
        <w:rPr>
          <w:rFonts w:eastAsia="Arial" w:cs="Arial"/>
          <w:color w:val="000000" w:themeColor="text1"/>
          <w:szCs w:val="22"/>
        </w:rPr>
        <w:t>) and filtered results by studies in humans, published in English, available in full text, and article type (clinical trial, controlled clinical trial, meta-analysis, randomised controlled trial, review, and systematic review). We identified primary research by screening individual publications against inclusion criteria (</w:t>
      </w:r>
      <w:r w:rsidRPr="0081757D">
        <w:rPr>
          <w:rFonts w:eastAsia="Arial" w:cs="Arial"/>
          <w:color w:val="000000" w:themeColor="text1"/>
          <w:szCs w:val="22"/>
        </w:rPr>
        <w:t xml:space="preserve">Table </w:t>
      </w:r>
      <w:r w:rsidR="7B0873C3" w:rsidRPr="0081757D">
        <w:rPr>
          <w:rFonts w:eastAsia="Arial" w:cs="Arial"/>
          <w:color w:val="000000" w:themeColor="text1"/>
          <w:szCs w:val="22"/>
        </w:rPr>
        <w:t>A.</w:t>
      </w:r>
      <w:r w:rsidR="0081757D" w:rsidRPr="0081757D">
        <w:rPr>
          <w:rFonts w:eastAsia="Arial" w:cs="Arial"/>
          <w:color w:val="000000" w:themeColor="text1"/>
          <w:szCs w:val="22"/>
        </w:rPr>
        <w:t>1</w:t>
      </w:r>
      <w:r w:rsidR="7B0873C3" w:rsidRPr="0682D99A">
        <w:rPr>
          <w:rFonts w:eastAsia="Arial" w:cs="Arial"/>
          <w:color w:val="000000" w:themeColor="text1"/>
          <w:szCs w:val="22"/>
        </w:rPr>
        <w:t xml:space="preserve">) and included moderate or high quality reviews of such primary research. </w:t>
      </w:r>
      <w:r w:rsidR="7B0873C3" w:rsidRPr="0682D99A">
        <w:rPr>
          <w:rFonts w:eastAsia="Arial" w:cs="Arial"/>
          <w:color w:val="000000" w:themeColor="text1"/>
          <w:szCs w:val="22"/>
          <w:lang w:val="en-AU"/>
        </w:rPr>
        <w:t xml:space="preserve">For time efficiency, we did not check studies' non-compliance with any of the compositional requirements of Standard 2.9.1 other than iron, or the pH of IFP (which may affect </w:t>
      </w:r>
      <w:proofErr w:type="spellStart"/>
      <w:r w:rsidR="7B0873C3" w:rsidRPr="0682D99A">
        <w:rPr>
          <w:rFonts w:eastAsia="Arial" w:cs="Arial"/>
          <w:color w:val="000000" w:themeColor="text1"/>
          <w:szCs w:val="22"/>
          <w:lang w:val="en-AU"/>
        </w:rPr>
        <w:t>bLf’s</w:t>
      </w:r>
      <w:proofErr w:type="spellEnd"/>
      <w:r w:rsidR="7B0873C3" w:rsidRPr="0682D99A">
        <w:rPr>
          <w:rFonts w:eastAsia="Arial" w:cs="Arial"/>
          <w:color w:val="000000" w:themeColor="text1"/>
          <w:szCs w:val="22"/>
          <w:lang w:val="en-AU"/>
        </w:rPr>
        <w:t xml:space="preserve"> ability to bind iron). As we did not exclude studies on this basis, included studies may have used non-compliant IFP</w:t>
      </w:r>
      <w:r w:rsidRPr="0682D99A">
        <w:rPr>
          <w:rFonts w:eastAsia="Arial" w:cs="Arial"/>
          <w:color w:val="000000" w:themeColor="text1"/>
          <w:szCs w:val="22"/>
          <w:lang w:val="en-AU"/>
        </w:rPr>
        <w:t>.</w:t>
      </w:r>
    </w:p>
    <w:p w14:paraId="7DDA8AC4" w14:textId="77EF96FD" w:rsidR="00746F49" w:rsidRDefault="00746F49" w:rsidP="00746F49">
      <w:pPr>
        <w:rPr>
          <w:rFonts w:eastAsia="Arial" w:cs="Arial"/>
          <w:color w:val="000000" w:themeColor="text1"/>
          <w:szCs w:val="22"/>
        </w:rPr>
      </w:pPr>
    </w:p>
    <w:p w14:paraId="1DBE4BCE" w14:textId="5DF471B0" w:rsidR="7B0873C3" w:rsidRPr="00DD66E6" w:rsidRDefault="7B0873C3" w:rsidP="0682D99A">
      <w:pPr>
        <w:spacing w:line="259" w:lineRule="auto"/>
        <w:rPr>
          <w:rFonts w:eastAsia="Arial" w:cs="Arial"/>
          <w:color w:val="333333"/>
          <w:szCs w:val="22"/>
        </w:rPr>
      </w:pPr>
      <w:proofErr w:type="spellStart"/>
      <w:r w:rsidRPr="0682D99A">
        <w:rPr>
          <w:rFonts w:eastAsia="Arial" w:cs="Arial"/>
          <w:color w:val="000000" w:themeColor="text1"/>
          <w:szCs w:val="22"/>
          <w:lang w:val="en-AU"/>
        </w:rPr>
        <w:t>Majka</w:t>
      </w:r>
      <w:proofErr w:type="spellEnd"/>
      <w:r w:rsidRPr="0682D99A">
        <w:rPr>
          <w:rFonts w:eastAsia="Arial" w:cs="Arial"/>
          <w:color w:val="000000" w:themeColor="text1"/>
          <w:szCs w:val="22"/>
          <w:lang w:val="en-AU"/>
        </w:rPr>
        <w:t xml:space="preserve"> et al. (2020) do not report the impact of varying iron saturation on lactoferrin’s ability to affect nutritional, growth and development outcomes in infants. it is possible that differences in the saturation of lactoferrin (with iron or other metals) affect nutrient bioavailability and potentially, infants’ nutritional status. For example, Troost et al. (2001) found that the amount of intact </w:t>
      </w:r>
      <w:proofErr w:type="spellStart"/>
      <w:r w:rsidRPr="0682D99A">
        <w:rPr>
          <w:rFonts w:eastAsia="Arial" w:cs="Arial"/>
          <w:color w:val="000000" w:themeColor="text1"/>
          <w:szCs w:val="22"/>
          <w:lang w:val="en-AU"/>
        </w:rPr>
        <w:t>bLf</w:t>
      </w:r>
      <w:proofErr w:type="spellEnd"/>
      <w:r w:rsidRPr="0682D99A">
        <w:rPr>
          <w:rFonts w:eastAsia="Arial" w:cs="Arial"/>
          <w:color w:val="000000" w:themeColor="text1"/>
          <w:szCs w:val="22"/>
          <w:lang w:val="en-AU"/>
        </w:rPr>
        <w:t xml:space="preserve"> entering the small intestine of adult humans (as a percentage of the amount </w:t>
      </w:r>
      <w:proofErr w:type="spellStart"/>
      <w:r w:rsidRPr="0682D99A">
        <w:rPr>
          <w:rFonts w:eastAsia="Arial" w:cs="Arial"/>
          <w:color w:val="000000" w:themeColor="text1"/>
          <w:szCs w:val="22"/>
          <w:lang w:val="en-AU"/>
        </w:rPr>
        <w:t>intragastrically</w:t>
      </w:r>
      <w:proofErr w:type="spellEnd"/>
      <w:r w:rsidRPr="0682D99A">
        <w:rPr>
          <w:rFonts w:eastAsia="Arial" w:cs="Arial"/>
          <w:color w:val="000000" w:themeColor="text1"/>
          <w:szCs w:val="22"/>
          <w:lang w:val="en-AU"/>
        </w:rPr>
        <w:t xml:space="preserve"> administered) was higher, with </w:t>
      </w:r>
      <w:proofErr w:type="spellStart"/>
      <w:r w:rsidRPr="0682D99A">
        <w:rPr>
          <w:rFonts w:eastAsia="Arial" w:cs="Arial"/>
          <w:color w:val="000000" w:themeColor="text1"/>
          <w:szCs w:val="22"/>
          <w:lang w:val="en-AU"/>
        </w:rPr>
        <w:t>bLf</w:t>
      </w:r>
      <w:proofErr w:type="spellEnd"/>
      <w:r w:rsidRPr="0682D99A">
        <w:rPr>
          <w:rFonts w:eastAsia="Arial" w:cs="Arial"/>
          <w:color w:val="000000" w:themeColor="text1"/>
          <w:szCs w:val="22"/>
          <w:lang w:val="en-AU"/>
        </w:rPr>
        <w:t xml:space="preserve"> of a higher iron saturation (79% versus 62% after consumption of the 100% and ~20% iron-saturated </w:t>
      </w:r>
      <w:proofErr w:type="spellStart"/>
      <w:r w:rsidRPr="0682D99A">
        <w:rPr>
          <w:rFonts w:eastAsia="Arial" w:cs="Arial"/>
          <w:color w:val="000000" w:themeColor="text1"/>
          <w:szCs w:val="22"/>
          <w:lang w:val="en-AU"/>
        </w:rPr>
        <w:t>bLf</w:t>
      </w:r>
      <w:proofErr w:type="spellEnd"/>
      <w:r w:rsidRPr="0682D99A">
        <w:rPr>
          <w:rFonts w:eastAsia="Arial" w:cs="Arial"/>
          <w:color w:val="000000" w:themeColor="text1"/>
          <w:szCs w:val="22"/>
          <w:lang w:val="en-AU"/>
        </w:rPr>
        <w:t>, respectively). The holo-</w:t>
      </w:r>
      <w:proofErr w:type="spellStart"/>
      <w:r w:rsidRPr="0682D99A">
        <w:rPr>
          <w:rFonts w:eastAsia="Arial" w:cs="Arial"/>
          <w:color w:val="000000" w:themeColor="text1"/>
          <w:szCs w:val="22"/>
          <w:lang w:val="en-AU"/>
        </w:rPr>
        <w:t>bLf</w:t>
      </w:r>
      <w:proofErr w:type="spellEnd"/>
      <w:r w:rsidRPr="0682D99A">
        <w:rPr>
          <w:rFonts w:eastAsia="Arial" w:cs="Arial"/>
          <w:color w:val="000000" w:themeColor="text1"/>
          <w:szCs w:val="22"/>
          <w:lang w:val="en-AU"/>
        </w:rPr>
        <w:t xml:space="preserve"> tended to be more resistant to degradation than the apo-</w:t>
      </w:r>
      <w:proofErr w:type="spellStart"/>
      <w:r w:rsidRPr="0682D99A">
        <w:rPr>
          <w:rFonts w:eastAsia="Arial" w:cs="Arial"/>
          <w:color w:val="000000" w:themeColor="text1"/>
          <w:szCs w:val="22"/>
          <w:lang w:val="en-AU"/>
        </w:rPr>
        <w:t>bLf</w:t>
      </w:r>
      <w:proofErr w:type="spellEnd"/>
      <w:r w:rsidRPr="0682D99A">
        <w:rPr>
          <w:rFonts w:eastAsia="Arial" w:cs="Arial"/>
          <w:color w:val="000000" w:themeColor="text1"/>
          <w:szCs w:val="22"/>
          <w:lang w:val="en-AU"/>
        </w:rPr>
        <w:t>, although this difference did not reach statistical significance (</w:t>
      </w:r>
      <w:r w:rsidRPr="0682D99A">
        <w:rPr>
          <w:rFonts w:eastAsia="Arial" w:cs="Arial"/>
          <w:i/>
          <w:iCs/>
          <w:color w:val="000000" w:themeColor="text1"/>
          <w:szCs w:val="22"/>
          <w:lang w:val="en-AU"/>
        </w:rPr>
        <w:t>P</w:t>
      </w:r>
      <w:r w:rsidRPr="0682D99A">
        <w:rPr>
          <w:rFonts w:eastAsia="Arial" w:cs="Arial"/>
          <w:color w:val="000000" w:themeColor="text1"/>
          <w:szCs w:val="22"/>
          <w:lang w:val="en-AU"/>
        </w:rPr>
        <w:t>=0.09).</w:t>
      </w:r>
      <w:r w:rsidRPr="0682D99A">
        <w:rPr>
          <w:rFonts w:eastAsia="Arial" w:cs="Arial"/>
          <w:color w:val="333333"/>
          <w:szCs w:val="22"/>
          <w:lang w:val="en-AU"/>
        </w:rPr>
        <w:t xml:space="preserve"> This supports the plausibility that the iron saturation or iron-binding capacity of </w:t>
      </w:r>
      <w:proofErr w:type="spellStart"/>
      <w:r w:rsidRPr="0682D99A">
        <w:rPr>
          <w:rFonts w:eastAsia="Arial" w:cs="Arial"/>
          <w:color w:val="333333"/>
          <w:szCs w:val="22"/>
          <w:lang w:val="en-AU"/>
        </w:rPr>
        <w:t>bLf</w:t>
      </w:r>
      <w:proofErr w:type="spellEnd"/>
      <w:r w:rsidRPr="0682D99A">
        <w:rPr>
          <w:rFonts w:eastAsia="Arial" w:cs="Arial"/>
          <w:color w:val="333333"/>
          <w:szCs w:val="22"/>
          <w:lang w:val="en-AU"/>
        </w:rPr>
        <w:t xml:space="preserve"> may affect nutrition-related outcomes. This informs the ‘intervention’ criteria below (</w:t>
      </w:r>
      <w:r w:rsidRPr="00DD66E6">
        <w:rPr>
          <w:rFonts w:eastAsia="Arial" w:cs="Arial"/>
          <w:color w:val="333333"/>
          <w:szCs w:val="22"/>
          <w:lang w:val="en-AU"/>
        </w:rPr>
        <w:t>Table A.</w:t>
      </w:r>
      <w:r w:rsidR="00DD66E6">
        <w:rPr>
          <w:rFonts w:eastAsia="Arial" w:cs="Arial"/>
          <w:color w:val="333333"/>
          <w:szCs w:val="22"/>
          <w:lang w:val="en-AU"/>
        </w:rPr>
        <w:t>1</w:t>
      </w:r>
      <w:r w:rsidRPr="00DD66E6">
        <w:rPr>
          <w:rFonts w:eastAsia="Arial" w:cs="Arial"/>
          <w:color w:val="333333"/>
          <w:szCs w:val="22"/>
          <w:lang w:val="en-AU"/>
        </w:rPr>
        <w:t>).</w:t>
      </w:r>
    </w:p>
    <w:p w14:paraId="1716D607" w14:textId="629ED4FA" w:rsidR="0682D99A" w:rsidRPr="00DD66E6" w:rsidRDefault="0682D99A" w:rsidP="0682D99A">
      <w:pPr>
        <w:rPr>
          <w:rFonts w:eastAsia="Arial" w:cs="Arial"/>
          <w:color w:val="000000" w:themeColor="text1"/>
          <w:szCs w:val="22"/>
        </w:rPr>
      </w:pPr>
    </w:p>
    <w:p w14:paraId="6C02E7B2" w14:textId="76B0A201" w:rsidR="7B0873C3" w:rsidRDefault="7B0873C3" w:rsidP="00DD66E6">
      <w:pPr>
        <w:pStyle w:val="FSTableTitle"/>
        <w:rPr>
          <w:rFonts w:eastAsia="Arial"/>
        </w:rPr>
      </w:pPr>
      <w:r w:rsidRPr="00DD66E6">
        <w:rPr>
          <w:rFonts w:eastAsia="Arial"/>
        </w:rPr>
        <w:t>Table A.</w:t>
      </w:r>
      <w:r w:rsidR="00DD66E6" w:rsidRPr="00DD66E6">
        <w:rPr>
          <w:rFonts w:eastAsia="Arial"/>
        </w:rPr>
        <w:t>1</w:t>
      </w:r>
      <w:r w:rsidRPr="00DD66E6">
        <w:rPr>
          <w:rFonts w:eastAsia="Arial"/>
        </w:rPr>
        <w:t xml:space="preserve"> PICOTS criteria for study selection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50"/>
        <w:gridCol w:w="7410"/>
      </w:tblGrid>
      <w:tr w:rsidR="0682D99A" w14:paraId="0B91EFC3" w14:textId="77777777" w:rsidTr="7378FA78">
        <w:trPr>
          <w:trHeight w:val="225"/>
        </w:trPr>
        <w:tc>
          <w:tcPr>
            <w:tcW w:w="1650" w:type="dxa"/>
            <w:shd w:val="clear" w:color="auto" w:fill="F2F2F2" w:themeFill="background1" w:themeFillShade="F2"/>
            <w:vAlign w:val="center"/>
          </w:tcPr>
          <w:p w14:paraId="142E91FD" w14:textId="20A23188" w:rsidR="0682D99A" w:rsidRDefault="0682D99A" w:rsidP="003858C2">
            <w:pPr>
              <w:pStyle w:val="FSTableText"/>
              <w:rPr>
                <w:rFonts w:eastAsia="Arial"/>
              </w:rPr>
            </w:pPr>
            <w:r w:rsidRPr="0682D99A">
              <w:rPr>
                <w:rFonts w:eastAsia="Arial"/>
              </w:rPr>
              <w:t>Population</w:t>
            </w:r>
          </w:p>
        </w:tc>
        <w:tc>
          <w:tcPr>
            <w:tcW w:w="7410" w:type="dxa"/>
            <w:vAlign w:val="center"/>
          </w:tcPr>
          <w:p w14:paraId="128273D2" w14:textId="61819FD6" w:rsidR="0682D99A" w:rsidRDefault="0682D99A" w:rsidP="003858C2">
            <w:pPr>
              <w:pStyle w:val="FSTableText"/>
              <w:rPr>
                <w:rFonts w:eastAsia="Arial"/>
                <w:sz w:val="16"/>
                <w:szCs w:val="16"/>
              </w:rPr>
            </w:pPr>
            <w:r w:rsidRPr="0682D99A">
              <w:rPr>
                <w:rFonts w:eastAsia="Arial"/>
                <w:lang w:val="en-AU"/>
              </w:rPr>
              <w:t>All apparently healthy term infants aged one month or less at enrolment, and followed up for up to 12 months.</w:t>
            </w:r>
            <w:r w:rsidRPr="0682D99A">
              <w:rPr>
                <w:rFonts w:eastAsia="Arial"/>
                <w:vertAlign w:val="superscript"/>
                <w:lang w:val="en-AU"/>
              </w:rPr>
              <w:t>1</w:t>
            </w:r>
          </w:p>
        </w:tc>
      </w:tr>
      <w:tr w:rsidR="0682D99A" w14:paraId="0D6BBDE3" w14:textId="77777777" w:rsidTr="7378FA78">
        <w:trPr>
          <w:trHeight w:val="405"/>
        </w:trPr>
        <w:tc>
          <w:tcPr>
            <w:tcW w:w="1650" w:type="dxa"/>
            <w:shd w:val="clear" w:color="auto" w:fill="F2F2F2" w:themeFill="background1" w:themeFillShade="F2"/>
            <w:vAlign w:val="center"/>
          </w:tcPr>
          <w:p w14:paraId="741431AD" w14:textId="4D6E5B79" w:rsidR="0682D99A" w:rsidRDefault="0682D99A" w:rsidP="003858C2">
            <w:pPr>
              <w:pStyle w:val="FSTableText"/>
              <w:rPr>
                <w:rFonts w:eastAsia="Arial"/>
              </w:rPr>
            </w:pPr>
            <w:r w:rsidRPr="0682D99A">
              <w:rPr>
                <w:rFonts w:eastAsia="Arial"/>
              </w:rPr>
              <w:t>Intervention</w:t>
            </w:r>
          </w:p>
        </w:tc>
        <w:tc>
          <w:tcPr>
            <w:tcW w:w="7410" w:type="dxa"/>
            <w:vAlign w:val="center"/>
          </w:tcPr>
          <w:p w14:paraId="42441638" w14:textId="43B3AA27" w:rsidR="0682D99A" w:rsidRDefault="0682D99A" w:rsidP="003858C2">
            <w:pPr>
              <w:pStyle w:val="FSTableText"/>
              <w:rPr>
                <w:rFonts w:eastAsia="Arial"/>
                <w:sz w:val="16"/>
                <w:szCs w:val="16"/>
              </w:rPr>
            </w:pPr>
            <w:r w:rsidRPr="0682D99A">
              <w:rPr>
                <w:rFonts w:eastAsia="Arial"/>
                <w:lang w:val="en-AU"/>
              </w:rPr>
              <w:t xml:space="preserve">Consumption of a </w:t>
            </w:r>
            <w:proofErr w:type="spellStart"/>
            <w:r w:rsidRPr="0682D99A">
              <w:rPr>
                <w:rFonts w:eastAsia="Arial"/>
                <w:lang w:val="en-AU"/>
              </w:rPr>
              <w:t>bLf</w:t>
            </w:r>
            <w:proofErr w:type="spellEnd"/>
            <w:r w:rsidRPr="0682D99A">
              <w:rPr>
                <w:rFonts w:eastAsia="Arial"/>
                <w:lang w:val="en-AU"/>
              </w:rPr>
              <w:t>-supplemented IFP (exclusively BMS fed at enrolment).</w:t>
            </w:r>
            <w:r w:rsidRPr="0682D99A">
              <w:rPr>
                <w:rFonts w:eastAsia="Arial"/>
                <w:vertAlign w:val="superscript"/>
                <w:lang w:val="en-AU"/>
              </w:rPr>
              <w:t>2,3</w:t>
            </w:r>
          </w:p>
        </w:tc>
      </w:tr>
      <w:tr w:rsidR="0682D99A" w14:paraId="44422A85" w14:textId="77777777" w:rsidTr="7378FA78">
        <w:trPr>
          <w:trHeight w:val="270"/>
        </w:trPr>
        <w:tc>
          <w:tcPr>
            <w:tcW w:w="1650" w:type="dxa"/>
            <w:shd w:val="clear" w:color="auto" w:fill="F2F2F2" w:themeFill="background1" w:themeFillShade="F2"/>
            <w:vAlign w:val="center"/>
          </w:tcPr>
          <w:p w14:paraId="69E414E3" w14:textId="76D2D751" w:rsidR="0682D99A" w:rsidRDefault="0682D99A" w:rsidP="003858C2">
            <w:pPr>
              <w:pStyle w:val="FSTableText"/>
              <w:rPr>
                <w:rFonts w:eastAsia="Arial"/>
              </w:rPr>
            </w:pPr>
            <w:r w:rsidRPr="0682D99A">
              <w:rPr>
                <w:rFonts w:eastAsia="Arial"/>
              </w:rPr>
              <w:t>Comparator</w:t>
            </w:r>
          </w:p>
        </w:tc>
        <w:tc>
          <w:tcPr>
            <w:tcW w:w="7410" w:type="dxa"/>
            <w:vAlign w:val="center"/>
          </w:tcPr>
          <w:p w14:paraId="625690CE" w14:textId="184ECF8E" w:rsidR="0682D99A" w:rsidRDefault="0682D99A" w:rsidP="003858C2">
            <w:pPr>
              <w:pStyle w:val="FSTableText"/>
              <w:rPr>
                <w:rFonts w:eastAsia="Arial"/>
                <w:sz w:val="16"/>
                <w:szCs w:val="16"/>
              </w:rPr>
            </w:pPr>
            <w:r w:rsidRPr="0682D99A">
              <w:rPr>
                <w:rFonts w:eastAsia="Arial"/>
                <w:lang w:val="en-AU"/>
              </w:rPr>
              <w:t>Exclusive consumption of human milk.</w:t>
            </w:r>
            <w:r w:rsidRPr="0682D99A">
              <w:rPr>
                <w:rFonts w:eastAsia="Arial"/>
                <w:vertAlign w:val="superscript"/>
              </w:rPr>
              <w:t>3</w:t>
            </w:r>
          </w:p>
        </w:tc>
      </w:tr>
      <w:tr w:rsidR="0682D99A" w14:paraId="0356C095" w14:textId="77777777" w:rsidTr="7378FA78">
        <w:trPr>
          <w:trHeight w:val="255"/>
        </w:trPr>
        <w:tc>
          <w:tcPr>
            <w:tcW w:w="1650" w:type="dxa"/>
            <w:shd w:val="clear" w:color="auto" w:fill="F2F2F2" w:themeFill="background1" w:themeFillShade="F2"/>
            <w:vAlign w:val="center"/>
          </w:tcPr>
          <w:p w14:paraId="08743785" w14:textId="5BDA53D3" w:rsidR="0682D99A" w:rsidRDefault="0682D99A" w:rsidP="003858C2">
            <w:pPr>
              <w:pStyle w:val="FSTableText"/>
              <w:rPr>
                <w:rFonts w:eastAsia="Arial"/>
              </w:rPr>
            </w:pPr>
            <w:r w:rsidRPr="0682D99A">
              <w:rPr>
                <w:rFonts w:eastAsia="Arial"/>
              </w:rPr>
              <w:t xml:space="preserve">Outcome </w:t>
            </w:r>
          </w:p>
        </w:tc>
        <w:tc>
          <w:tcPr>
            <w:tcW w:w="7410" w:type="dxa"/>
            <w:vAlign w:val="center"/>
          </w:tcPr>
          <w:p w14:paraId="23174496" w14:textId="1027D903" w:rsidR="0682D99A" w:rsidRDefault="21917BF8" w:rsidP="003858C2">
            <w:pPr>
              <w:pStyle w:val="FSTableText"/>
              <w:rPr>
                <w:rFonts w:eastAsia="Arial"/>
              </w:rPr>
            </w:pPr>
            <w:r w:rsidRPr="7378FA78">
              <w:rPr>
                <w:rFonts w:eastAsia="Arial"/>
                <w:lang w:val="en-AU"/>
              </w:rPr>
              <w:t>Any growth and development outcome</w:t>
            </w:r>
            <w:r w:rsidRPr="7378FA78">
              <w:rPr>
                <w:rFonts w:eastAsia="Arial"/>
                <w:vertAlign w:val="superscript"/>
                <w:lang w:val="en-AU"/>
              </w:rPr>
              <w:t>4</w:t>
            </w:r>
            <w:r w:rsidRPr="7378FA78">
              <w:rPr>
                <w:rFonts w:eastAsia="Arial"/>
                <w:lang w:val="en-AU"/>
              </w:rPr>
              <w:t xml:space="preserve"> (other than those considered in the toxicological and microbiological assessments; sections 3</w:t>
            </w:r>
            <w:r w:rsidR="00FD4FA2">
              <w:rPr>
                <w:rFonts w:eastAsia="Arial"/>
                <w:lang w:val="en-AU"/>
              </w:rPr>
              <w:t>.1</w:t>
            </w:r>
            <w:r w:rsidRPr="7378FA78">
              <w:rPr>
                <w:rFonts w:eastAsia="Arial"/>
                <w:lang w:val="en-AU"/>
              </w:rPr>
              <w:t xml:space="preserve"> and </w:t>
            </w:r>
            <w:r w:rsidR="00FD4FA2">
              <w:rPr>
                <w:rFonts w:eastAsia="Arial"/>
                <w:lang w:val="en-AU"/>
              </w:rPr>
              <w:t>3.2</w:t>
            </w:r>
            <w:r w:rsidRPr="7378FA78">
              <w:rPr>
                <w:rFonts w:eastAsia="Arial"/>
                <w:lang w:val="en-AU"/>
              </w:rPr>
              <w:t xml:space="preserve">, respectively). </w:t>
            </w:r>
          </w:p>
        </w:tc>
      </w:tr>
      <w:tr w:rsidR="0682D99A" w14:paraId="32855FEB" w14:textId="77777777" w:rsidTr="7378FA78">
        <w:tc>
          <w:tcPr>
            <w:tcW w:w="1650" w:type="dxa"/>
            <w:shd w:val="clear" w:color="auto" w:fill="F2F2F2" w:themeFill="background1" w:themeFillShade="F2"/>
            <w:vAlign w:val="center"/>
          </w:tcPr>
          <w:p w14:paraId="62EC0670" w14:textId="0ABF2D66" w:rsidR="0682D99A" w:rsidRDefault="0682D99A" w:rsidP="003858C2">
            <w:pPr>
              <w:pStyle w:val="FSTableText"/>
              <w:rPr>
                <w:rFonts w:eastAsia="Arial"/>
              </w:rPr>
            </w:pPr>
            <w:r w:rsidRPr="0682D99A">
              <w:rPr>
                <w:rFonts w:eastAsia="Arial"/>
              </w:rPr>
              <w:t>Time</w:t>
            </w:r>
          </w:p>
        </w:tc>
        <w:tc>
          <w:tcPr>
            <w:tcW w:w="7410" w:type="dxa"/>
            <w:vAlign w:val="center"/>
          </w:tcPr>
          <w:p w14:paraId="334F1E13" w14:textId="5AB6D63A" w:rsidR="0682D99A" w:rsidRDefault="0682D99A" w:rsidP="003858C2">
            <w:pPr>
              <w:pStyle w:val="FSTableText"/>
              <w:rPr>
                <w:rFonts w:eastAsia="Arial"/>
                <w:sz w:val="16"/>
                <w:szCs w:val="16"/>
              </w:rPr>
            </w:pPr>
            <w:r w:rsidRPr="0682D99A">
              <w:rPr>
                <w:rFonts w:eastAsia="Arial"/>
              </w:rPr>
              <w:t>Minimum three to four months duration for growth and development outcomes.</w:t>
            </w:r>
            <w:r w:rsidRPr="0682D99A">
              <w:rPr>
                <w:rFonts w:eastAsia="Arial"/>
                <w:vertAlign w:val="superscript"/>
                <w:lang w:val="en-AU"/>
              </w:rPr>
              <w:t>1,</w:t>
            </w:r>
            <w:r w:rsidRPr="0682D99A">
              <w:rPr>
                <w:rFonts w:eastAsia="Arial"/>
                <w:vertAlign w:val="superscript"/>
              </w:rPr>
              <w:t>5</w:t>
            </w:r>
          </w:p>
        </w:tc>
      </w:tr>
      <w:tr w:rsidR="0682D99A" w14:paraId="56A7CFCF" w14:textId="77777777" w:rsidTr="7378FA78">
        <w:tc>
          <w:tcPr>
            <w:tcW w:w="1650" w:type="dxa"/>
            <w:shd w:val="clear" w:color="auto" w:fill="F2F2F2" w:themeFill="background1" w:themeFillShade="F2"/>
            <w:vAlign w:val="center"/>
          </w:tcPr>
          <w:p w14:paraId="7DBD0479" w14:textId="35019D6C" w:rsidR="0682D99A" w:rsidRDefault="0682D99A" w:rsidP="003858C2">
            <w:pPr>
              <w:pStyle w:val="FSTableText"/>
              <w:rPr>
                <w:rFonts w:eastAsia="Arial"/>
              </w:rPr>
            </w:pPr>
            <w:r w:rsidRPr="0682D99A">
              <w:rPr>
                <w:rFonts w:eastAsia="Arial"/>
              </w:rPr>
              <w:t>Study design</w:t>
            </w:r>
          </w:p>
        </w:tc>
        <w:tc>
          <w:tcPr>
            <w:tcW w:w="7410" w:type="dxa"/>
            <w:vAlign w:val="center"/>
          </w:tcPr>
          <w:p w14:paraId="681A2090" w14:textId="6A725189" w:rsidR="0682D99A" w:rsidRDefault="0682D99A" w:rsidP="003858C2">
            <w:pPr>
              <w:pStyle w:val="FSTableText"/>
              <w:rPr>
                <w:rFonts w:eastAsia="Arial"/>
              </w:rPr>
            </w:pPr>
            <w:r w:rsidRPr="0682D99A">
              <w:rPr>
                <w:rFonts w:eastAsia="Arial"/>
              </w:rPr>
              <w:t>Controlled trials or moderate or high quality</w:t>
            </w:r>
            <w:r w:rsidRPr="0682D99A">
              <w:rPr>
                <w:rFonts w:eastAsia="Arial"/>
                <w:vertAlign w:val="superscript"/>
              </w:rPr>
              <w:t>6</w:t>
            </w:r>
            <w:r w:rsidRPr="0682D99A">
              <w:rPr>
                <w:rFonts w:eastAsia="Arial"/>
              </w:rPr>
              <w:t xml:space="preserve"> rapid or systematic reviews or meta-analyses of controlled trials.</w:t>
            </w:r>
          </w:p>
        </w:tc>
      </w:tr>
    </w:tbl>
    <w:p w14:paraId="7E58D8D0" w14:textId="1483608E" w:rsidR="00746F49" w:rsidRPr="00CD38A2" w:rsidRDefault="00746F49" w:rsidP="00746F49">
      <w:pPr>
        <w:rPr>
          <w:rFonts w:eastAsia="Arial" w:cs="Arial"/>
          <w:color w:val="000000" w:themeColor="text1"/>
          <w:sz w:val="16"/>
          <w:szCs w:val="16"/>
        </w:rPr>
      </w:pPr>
      <w:r w:rsidRPr="00CD38A2">
        <w:rPr>
          <w:rFonts w:eastAsia="Arial" w:cs="Arial"/>
          <w:color w:val="000000" w:themeColor="text1"/>
          <w:sz w:val="16"/>
          <w:szCs w:val="16"/>
        </w:rPr>
        <w:t>BMS, breast milk substitute.</w:t>
      </w:r>
    </w:p>
    <w:p w14:paraId="0C56FE71" w14:textId="63ED4855" w:rsidR="7B0873C3" w:rsidRPr="00CD38A2" w:rsidRDefault="7B0873C3" w:rsidP="0682D99A">
      <w:pPr>
        <w:rPr>
          <w:rFonts w:eastAsia="Arial" w:cs="Arial"/>
          <w:color w:val="000000" w:themeColor="text1"/>
          <w:sz w:val="16"/>
          <w:szCs w:val="16"/>
        </w:rPr>
      </w:pPr>
      <w:r w:rsidRPr="00CD38A2">
        <w:rPr>
          <w:rFonts w:eastAsia="Arial" w:cs="Arial"/>
          <w:color w:val="000000" w:themeColor="text1"/>
          <w:sz w:val="16"/>
          <w:szCs w:val="16"/>
          <w:vertAlign w:val="superscript"/>
        </w:rPr>
        <w:t>1</w:t>
      </w:r>
      <w:r w:rsidRPr="00CD38A2">
        <w:rPr>
          <w:rFonts w:eastAsia="Arial" w:cs="Arial"/>
          <w:color w:val="000000" w:themeColor="text1"/>
          <w:sz w:val="16"/>
          <w:szCs w:val="16"/>
        </w:rPr>
        <w:t xml:space="preserve">FSANZ’s Application </w:t>
      </w:r>
      <w:r w:rsidR="02A2F61B" w:rsidRPr="00CD38A2">
        <w:rPr>
          <w:rFonts w:eastAsia="Arial" w:cs="Arial"/>
          <w:color w:val="000000" w:themeColor="text1"/>
          <w:sz w:val="16"/>
          <w:szCs w:val="16"/>
        </w:rPr>
        <w:t>Handbook</w:t>
      </w:r>
      <w:r w:rsidRPr="00CD38A2">
        <w:rPr>
          <w:rFonts w:eastAsia="Arial" w:cs="Arial"/>
          <w:color w:val="000000" w:themeColor="text1"/>
          <w:sz w:val="16"/>
          <w:szCs w:val="16"/>
        </w:rPr>
        <w:t xml:space="preserve"> section 3.6.2 A.3.1 (b) (</w:t>
      </w:r>
      <w:proofErr w:type="spellStart"/>
      <w:r w:rsidRPr="00CD38A2">
        <w:rPr>
          <w:rFonts w:eastAsia="Arial" w:cs="Arial"/>
          <w:color w:val="000000" w:themeColor="text1"/>
          <w:sz w:val="16"/>
          <w:szCs w:val="16"/>
        </w:rPr>
        <w:t>i</w:t>
      </w:r>
      <w:proofErr w:type="spellEnd"/>
      <w:r w:rsidRPr="00CD38A2">
        <w:rPr>
          <w:rFonts w:eastAsia="Arial" w:cs="Arial"/>
          <w:color w:val="000000" w:themeColor="text1"/>
          <w:sz w:val="16"/>
          <w:szCs w:val="16"/>
        </w:rPr>
        <w:t xml:space="preserve">) requires participants are no older than one month when beginning participation in the study. Essential criteria for clinical trials of BMSs, determined by </w:t>
      </w:r>
      <w:proofErr w:type="spellStart"/>
      <w:r w:rsidRPr="00CD38A2">
        <w:rPr>
          <w:rFonts w:eastAsia="Arial" w:cs="Arial"/>
          <w:color w:val="000000" w:themeColor="text1"/>
          <w:sz w:val="16"/>
          <w:szCs w:val="16"/>
        </w:rPr>
        <w:t>Jarrold</w:t>
      </w:r>
      <w:proofErr w:type="spellEnd"/>
      <w:r w:rsidRPr="00CD38A2">
        <w:rPr>
          <w:rFonts w:eastAsia="Arial" w:cs="Arial"/>
          <w:color w:val="000000" w:themeColor="text1"/>
          <w:sz w:val="16"/>
          <w:szCs w:val="16"/>
        </w:rPr>
        <w:t xml:space="preserve"> et al. (2020) includes: (</w:t>
      </w:r>
      <w:proofErr w:type="spellStart"/>
      <w:r w:rsidRPr="00CD38A2">
        <w:rPr>
          <w:rFonts w:eastAsia="Arial" w:cs="Arial"/>
          <w:color w:val="000000" w:themeColor="text1"/>
          <w:sz w:val="16"/>
          <w:szCs w:val="16"/>
        </w:rPr>
        <w:t>i</w:t>
      </w:r>
      <w:proofErr w:type="spellEnd"/>
      <w:r w:rsidRPr="00CD38A2">
        <w:rPr>
          <w:rFonts w:eastAsia="Arial" w:cs="Arial"/>
          <w:color w:val="000000" w:themeColor="text1"/>
          <w:sz w:val="16"/>
          <w:szCs w:val="16"/>
        </w:rPr>
        <w:t xml:space="preserve">) the age range at enrolment is sufficiently narrow for treatment effects to be comparable across the trial population; and, (ii) the age at start and end of the intervention period is appropriate for the trial objectives. With regards to the latter, </w:t>
      </w:r>
      <w:proofErr w:type="spellStart"/>
      <w:r w:rsidRPr="00CD38A2">
        <w:rPr>
          <w:rFonts w:eastAsia="Arial" w:cs="Arial"/>
          <w:color w:val="000000" w:themeColor="text1"/>
          <w:sz w:val="16"/>
          <w:szCs w:val="16"/>
        </w:rPr>
        <w:t>Jarrold</w:t>
      </w:r>
      <w:proofErr w:type="spellEnd"/>
      <w:r w:rsidRPr="00CD38A2">
        <w:rPr>
          <w:rFonts w:eastAsia="Arial" w:cs="Arial"/>
          <w:color w:val="000000" w:themeColor="text1"/>
          <w:sz w:val="16"/>
          <w:szCs w:val="16"/>
        </w:rPr>
        <w:t xml:space="preserve"> et al. (2020) did not specify a particular age but noted that the US FDA requires that growth trials must enrol infants at age 14 days or younger, with an intervention period that lasts for 15 weeks or more.</w:t>
      </w:r>
    </w:p>
    <w:p w14:paraId="0BD00C3D" w14:textId="1DA98D46" w:rsidR="00746F49" w:rsidRPr="00CD38A2" w:rsidRDefault="00746F49" w:rsidP="00746F49">
      <w:pPr>
        <w:rPr>
          <w:rFonts w:eastAsia="Arial" w:cs="Arial"/>
          <w:color w:val="000000" w:themeColor="text1"/>
          <w:sz w:val="16"/>
          <w:szCs w:val="16"/>
        </w:rPr>
      </w:pPr>
      <w:r w:rsidRPr="00CD38A2">
        <w:rPr>
          <w:rFonts w:eastAsia="Arial" w:cs="Arial"/>
          <w:color w:val="000000" w:themeColor="text1"/>
          <w:sz w:val="16"/>
          <w:szCs w:val="16"/>
          <w:vertAlign w:val="superscript"/>
        </w:rPr>
        <w:t>2</w:t>
      </w:r>
      <w:r w:rsidRPr="00CD38A2">
        <w:rPr>
          <w:rFonts w:eastAsia="Arial" w:cs="Arial"/>
          <w:color w:val="000000" w:themeColor="text1"/>
          <w:sz w:val="16"/>
          <w:szCs w:val="16"/>
        </w:rPr>
        <w:t xml:space="preserve">FSANZ’s </w:t>
      </w:r>
      <w:r w:rsidR="7B0873C3" w:rsidRPr="00CD38A2">
        <w:rPr>
          <w:rFonts w:eastAsia="Arial" w:cs="Arial"/>
          <w:color w:val="000000" w:themeColor="text1"/>
          <w:sz w:val="16"/>
          <w:szCs w:val="16"/>
        </w:rPr>
        <w:t xml:space="preserve">Application </w:t>
      </w:r>
      <w:r w:rsidR="45E9FA2F" w:rsidRPr="00CD38A2">
        <w:rPr>
          <w:rFonts w:eastAsia="Arial" w:cs="Arial"/>
          <w:color w:val="000000" w:themeColor="text1"/>
          <w:sz w:val="16"/>
          <w:szCs w:val="16"/>
        </w:rPr>
        <w:t>Handbook</w:t>
      </w:r>
      <w:r w:rsidRPr="00CD38A2">
        <w:rPr>
          <w:rFonts w:eastAsia="Arial" w:cs="Arial"/>
          <w:color w:val="000000" w:themeColor="text1"/>
          <w:sz w:val="16"/>
          <w:szCs w:val="16"/>
        </w:rPr>
        <w:t xml:space="preserve"> section 3.6.2 A.3.1 (b) (</w:t>
      </w:r>
      <w:proofErr w:type="spellStart"/>
      <w:r w:rsidRPr="00CD38A2">
        <w:rPr>
          <w:rFonts w:eastAsia="Arial" w:cs="Arial"/>
          <w:color w:val="000000" w:themeColor="text1"/>
          <w:sz w:val="16"/>
          <w:szCs w:val="16"/>
        </w:rPr>
        <w:t>i</w:t>
      </w:r>
      <w:proofErr w:type="spellEnd"/>
      <w:r w:rsidRPr="00CD38A2">
        <w:rPr>
          <w:rFonts w:eastAsia="Arial" w:cs="Arial"/>
          <w:color w:val="000000" w:themeColor="text1"/>
          <w:sz w:val="16"/>
          <w:szCs w:val="16"/>
        </w:rPr>
        <w:t xml:space="preserve">) requires studies demonstrate the effects (if any) on growth and development of “infant formula products containing the substance at the proposed level”. The proposed maximum </w:t>
      </w:r>
      <w:r w:rsidR="7B0873C3" w:rsidRPr="00CD38A2">
        <w:rPr>
          <w:rFonts w:eastAsia="Arial" w:cs="Arial"/>
          <w:color w:val="000000" w:themeColor="text1"/>
          <w:sz w:val="16"/>
          <w:szCs w:val="16"/>
          <w:lang w:val="en-AU"/>
        </w:rPr>
        <w:t>permitted amount</w:t>
      </w:r>
      <w:r w:rsidRPr="00CD38A2">
        <w:rPr>
          <w:rFonts w:eastAsia="Arial" w:cs="Arial"/>
          <w:color w:val="000000" w:themeColor="text1"/>
          <w:sz w:val="16"/>
          <w:szCs w:val="16"/>
          <w:lang w:val="en-AU"/>
        </w:rPr>
        <w:t xml:space="preserve"> </w:t>
      </w:r>
      <w:proofErr w:type="spellStart"/>
      <w:r w:rsidRPr="00CD38A2">
        <w:rPr>
          <w:rFonts w:eastAsia="Arial" w:cs="Arial"/>
          <w:color w:val="000000" w:themeColor="text1"/>
          <w:sz w:val="16"/>
          <w:szCs w:val="16"/>
          <w:lang w:val="en-AU"/>
        </w:rPr>
        <w:t>i</w:t>
      </w:r>
      <w:proofErr w:type="spellEnd"/>
      <w:r w:rsidRPr="00CD38A2">
        <w:rPr>
          <w:rFonts w:eastAsia="Arial" w:cs="Arial"/>
          <w:color w:val="000000" w:themeColor="text1"/>
          <w:sz w:val="16"/>
          <w:szCs w:val="16"/>
        </w:rPr>
        <w:t xml:space="preserve">s 40 mg </w:t>
      </w:r>
      <w:proofErr w:type="spellStart"/>
      <w:r w:rsidRPr="00CD38A2">
        <w:rPr>
          <w:rFonts w:eastAsia="Arial" w:cs="Arial"/>
          <w:color w:val="000000" w:themeColor="text1"/>
          <w:sz w:val="16"/>
          <w:szCs w:val="16"/>
        </w:rPr>
        <w:t>bLf</w:t>
      </w:r>
      <w:proofErr w:type="spellEnd"/>
      <w:r w:rsidRPr="00CD38A2">
        <w:rPr>
          <w:rFonts w:eastAsia="Arial" w:cs="Arial"/>
          <w:color w:val="000000" w:themeColor="text1"/>
          <w:sz w:val="16"/>
          <w:szCs w:val="16"/>
        </w:rPr>
        <w:t xml:space="preserve">/100 kJ or ~1100 mg </w:t>
      </w:r>
      <w:proofErr w:type="spellStart"/>
      <w:r w:rsidRPr="00CD38A2">
        <w:rPr>
          <w:rFonts w:eastAsia="Arial" w:cs="Arial"/>
          <w:color w:val="000000" w:themeColor="text1"/>
          <w:sz w:val="16"/>
          <w:szCs w:val="16"/>
        </w:rPr>
        <w:t>bLf</w:t>
      </w:r>
      <w:proofErr w:type="spellEnd"/>
      <w:r w:rsidRPr="00CD38A2">
        <w:rPr>
          <w:rFonts w:eastAsia="Arial" w:cs="Arial"/>
          <w:color w:val="000000" w:themeColor="text1"/>
          <w:sz w:val="16"/>
          <w:szCs w:val="16"/>
        </w:rPr>
        <w:t xml:space="preserve">/L. As we anticipated insufficient data using the proposed level, we widened the inclusion criteria to include at the proposed maximum </w:t>
      </w:r>
      <w:r w:rsidR="7B0873C3" w:rsidRPr="00CD38A2">
        <w:rPr>
          <w:rFonts w:eastAsia="Arial" w:cs="Arial"/>
          <w:color w:val="000000" w:themeColor="text1"/>
          <w:sz w:val="16"/>
          <w:szCs w:val="16"/>
          <w:lang w:val="en-AU"/>
        </w:rPr>
        <w:t>permitted amount</w:t>
      </w:r>
      <w:r w:rsidRPr="00CD38A2">
        <w:rPr>
          <w:rFonts w:eastAsia="Arial" w:cs="Arial"/>
          <w:color w:val="000000" w:themeColor="text1"/>
          <w:sz w:val="16"/>
          <w:szCs w:val="16"/>
        </w:rPr>
        <w:t xml:space="preserve"> or higher, as if no adverse effects are demonstrated at a higher dose level it is likely that adverse effects would not be present at a lower dose level.</w:t>
      </w:r>
    </w:p>
    <w:p w14:paraId="51F5C3C8" w14:textId="32989C5F" w:rsidR="00746F49" w:rsidRPr="00CD38A2" w:rsidRDefault="18053791" w:rsidP="00746F49">
      <w:pPr>
        <w:rPr>
          <w:rFonts w:eastAsia="Arial" w:cs="Arial"/>
          <w:color w:val="000000" w:themeColor="text1"/>
          <w:sz w:val="16"/>
          <w:szCs w:val="16"/>
        </w:rPr>
      </w:pPr>
      <w:r w:rsidRPr="00CD38A2">
        <w:rPr>
          <w:rFonts w:eastAsia="Arial" w:cs="Arial"/>
          <w:color w:val="000000" w:themeColor="text1"/>
          <w:sz w:val="16"/>
          <w:szCs w:val="16"/>
        </w:rPr>
        <w:t xml:space="preserve">Essential criteria determined by </w:t>
      </w:r>
      <w:proofErr w:type="spellStart"/>
      <w:r w:rsidRPr="00CD38A2">
        <w:rPr>
          <w:rFonts w:eastAsia="Arial" w:cs="Arial"/>
          <w:color w:val="000000" w:themeColor="text1"/>
          <w:sz w:val="16"/>
          <w:szCs w:val="16"/>
        </w:rPr>
        <w:t>Jarrold</w:t>
      </w:r>
      <w:proofErr w:type="spellEnd"/>
      <w:r w:rsidRPr="00CD38A2">
        <w:rPr>
          <w:rFonts w:eastAsia="Arial" w:cs="Arial"/>
          <w:color w:val="000000" w:themeColor="text1"/>
          <w:sz w:val="16"/>
          <w:szCs w:val="16"/>
        </w:rPr>
        <w:t xml:space="preserve"> et al. (2020) includes: (</w:t>
      </w:r>
      <w:proofErr w:type="spellStart"/>
      <w:r w:rsidRPr="00CD38A2">
        <w:rPr>
          <w:rFonts w:eastAsia="Arial" w:cs="Arial"/>
          <w:color w:val="000000" w:themeColor="text1"/>
          <w:sz w:val="16"/>
          <w:szCs w:val="16"/>
        </w:rPr>
        <w:t>i</w:t>
      </w:r>
      <w:proofErr w:type="spellEnd"/>
      <w:r w:rsidRPr="00CD38A2">
        <w:rPr>
          <w:rFonts w:eastAsia="Arial" w:cs="Arial"/>
          <w:color w:val="000000" w:themeColor="text1"/>
          <w:sz w:val="16"/>
          <w:szCs w:val="16"/>
        </w:rPr>
        <w:t xml:space="preserve">) participants should be exclusively BMS fed at enrolment; and, (ii) the BMS group/s meet legally required compositional standards. </w:t>
      </w:r>
      <w:r w:rsidR="7B0873C3" w:rsidRPr="00CD38A2">
        <w:rPr>
          <w:rFonts w:eastAsia="Arial" w:cs="Arial"/>
          <w:color w:val="000000" w:themeColor="text1"/>
          <w:sz w:val="16"/>
          <w:szCs w:val="16"/>
        </w:rPr>
        <w:t xml:space="preserve">The latter, corresponds to (a) </w:t>
      </w:r>
      <w:r w:rsidR="7B0873C3" w:rsidRPr="00CD38A2">
        <w:rPr>
          <w:rFonts w:eastAsia="Arial" w:cs="Arial"/>
          <w:color w:val="000000" w:themeColor="text1"/>
          <w:sz w:val="16"/>
          <w:szCs w:val="16"/>
          <w:lang w:val="en-AU"/>
        </w:rPr>
        <w:t>IFP with an iron content of 0.2 to 0.5 mg/100 kJ (the minimum and maximum iron level that forms the compositional requirements of Standard 2.9.1 and Schedule 29 of the Food Standards Code); and, (b) the iron saturation is ~8.7% and ≤10.7% to comply with the mean iron content of the Application’s</w:t>
      </w:r>
      <w:r w:rsidRPr="00CD38A2">
        <w:rPr>
          <w:rFonts w:eastAsia="Arial" w:cs="Arial"/>
          <w:color w:val="000000" w:themeColor="text1"/>
          <w:sz w:val="16"/>
          <w:szCs w:val="16"/>
          <w:lang w:val="en-AU"/>
        </w:rPr>
        <w:t xml:space="preserve"> product and </w:t>
      </w:r>
      <w:r w:rsidR="749FFD45" w:rsidRPr="00CD38A2">
        <w:rPr>
          <w:rFonts w:eastAsia="Arial" w:cs="Arial"/>
          <w:color w:val="000000" w:themeColor="text1"/>
          <w:sz w:val="16"/>
          <w:szCs w:val="16"/>
          <w:lang w:val="en-AU"/>
        </w:rPr>
        <w:t xml:space="preserve">the </w:t>
      </w:r>
      <w:r w:rsidRPr="00CD38A2">
        <w:rPr>
          <w:rFonts w:eastAsia="Arial" w:cs="Arial"/>
          <w:color w:val="000000" w:themeColor="text1"/>
          <w:sz w:val="16"/>
          <w:szCs w:val="16"/>
          <w:lang w:val="en-AU"/>
        </w:rPr>
        <w:t>proposed maximum specification, respectively.</w:t>
      </w:r>
    </w:p>
    <w:p w14:paraId="492A173D" w14:textId="2CB3E637" w:rsidR="7B0873C3" w:rsidRPr="00CD38A2" w:rsidRDefault="7B0873C3" w:rsidP="0682D99A">
      <w:pPr>
        <w:rPr>
          <w:rFonts w:eastAsia="Arial" w:cs="Arial"/>
          <w:color w:val="000000" w:themeColor="text1"/>
          <w:sz w:val="16"/>
          <w:szCs w:val="16"/>
        </w:rPr>
      </w:pPr>
      <w:r w:rsidRPr="64946D53">
        <w:rPr>
          <w:rFonts w:eastAsia="Arial" w:cs="Arial"/>
          <w:color w:val="000000" w:themeColor="text1"/>
          <w:sz w:val="16"/>
          <w:szCs w:val="16"/>
          <w:vertAlign w:val="superscript"/>
        </w:rPr>
        <w:t>3</w:t>
      </w:r>
      <w:r w:rsidRPr="64946D53">
        <w:rPr>
          <w:rFonts w:eastAsia="Arial" w:cs="Arial"/>
          <w:color w:val="000000" w:themeColor="text1"/>
          <w:sz w:val="16"/>
          <w:szCs w:val="16"/>
        </w:rPr>
        <w:t xml:space="preserve">FSANZ’s Application </w:t>
      </w:r>
      <w:r w:rsidR="17F27E98" w:rsidRPr="64946D53">
        <w:rPr>
          <w:rFonts w:eastAsia="Arial" w:cs="Arial"/>
          <w:color w:val="000000" w:themeColor="text1"/>
          <w:sz w:val="16"/>
          <w:szCs w:val="16"/>
        </w:rPr>
        <w:t>Handbook</w:t>
      </w:r>
      <w:r w:rsidRPr="64946D53">
        <w:rPr>
          <w:rFonts w:eastAsia="Arial" w:cs="Arial"/>
          <w:color w:val="000000" w:themeColor="text1"/>
          <w:sz w:val="16"/>
          <w:szCs w:val="16"/>
        </w:rPr>
        <w:t xml:space="preserve"> section 3.6.2 A.3.1 (b) (iii) requires studies “must include a control group (i.e. an infant formula-fed group that is not exposed to the proposed compositional change), an exposure group (i.e. a formula-fed group that is exposed to the proposed compositional change), plus a breastfed reference group. If a breastfed reference group is not included, a rationale for its omission is required.” Section </w:t>
      </w:r>
      <w:r w:rsidR="14ADA9D7" w:rsidRPr="64946D53">
        <w:rPr>
          <w:rFonts w:eastAsia="Arial" w:cs="Arial"/>
          <w:color w:val="000000" w:themeColor="text1"/>
          <w:sz w:val="16"/>
          <w:szCs w:val="16"/>
        </w:rPr>
        <w:t>4</w:t>
      </w:r>
      <w:r w:rsidRPr="64946D53">
        <w:rPr>
          <w:rFonts w:eastAsia="Arial" w:cs="Arial"/>
          <w:color w:val="000000" w:themeColor="text1"/>
          <w:sz w:val="16"/>
          <w:szCs w:val="16"/>
        </w:rPr>
        <w:t xml:space="preserve">.2 of the current assessment addresses the comparison between </w:t>
      </w:r>
      <w:proofErr w:type="spellStart"/>
      <w:r w:rsidRPr="64946D53">
        <w:rPr>
          <w:rFonts w:eastAsia="Arial" w:cs="Arial"/>
          <w:color w:val="000000" w:themeColor="text1"/>
          <w:sz w:val="16"/>
          <w:szCs w:val="16"/>
        </w:rPr>
        <w:t>bLf</w:t>
      </w:r>
      <w:proofErr w:type="spellEnd"/>
      <w:r w:rsidRPr="64946D53">
        <w:rPr>
          <w:rFonts w:eastAsia="Arial" w:cs="Arial"/>
          <w:color w:val="000000" w:themeColor="text1"/>
          <w:sz w:val="16"/>
          <w:szCs w:val="16"/>
        </w:rPr>
        <w:t>-IFP exposure group with the “breastfed reference group” and the “control group”.</w:t>
      </w:r>
    </w:p>
    <w:p w14:paraId="13278972" w14:textId="1AE0EEDA" w:rsidR="7B0873C3" w:rsidRPr="00CD38A2" w:rsidRDefault="7B0873C3" w:rsidP="0682D99A">
      <w:pPr>
        <w:rPr>
          <w:rFonts w:eastAsia="Arial" w:cs="Arial"/>
          <w:color w:val="000000" w:themeColor="text1"/>
          <w:sz w:val="16"/>
          <w:szCs w:val="16"/>
        </w:rPr>
      </w:pPr>
      <w:r w:rsidRPr="00CD38A2">
        <w:rPr>
          <w:rFonts w:eastAsia="Arial" w:cs="Arial"/>
          <w:color w:val="000000" w:themeColor="text1"/>
          <w:sz w:val="16"/>
          <w:szCs w:val="16"/>
          <w:vertAlign w:val="superscript"/>
        </w:rPr>
        <w:t>4</w:t>
      </w:r>
      <w:r w:rsidRPr="00CD38A2">
        <w:rPr>
          <w:rFonts w:eastAsia="Arial" w:cs="Arial"/>
          <w:color w:val="000000" w:themeColor="text1"/>
          <w:sz w:val="16"/>
          <w:szCs w:val="16"/>
        </w:rPr>
        <w:t xml:space="preserve">FSANZ’s Application </w:t>
      </w:r>
      <w:r w:rsidR="02EC2136" w:rsidRPr="00CD38A2">
        <w:rPr>
          <w:rFonts w:eastAsia="Arial" w:cs="Arial"/>
          <w:color w:val="000000" w:themeColor="text1"/>
          <w:sz w:val="16"/>
          <w:szCs w:val="16"/>
        </w:rPr>
        <w:t>Handbook</w:t>
      </w:r>
      <w:r w:rsidRPr="00CD38A2">
        <w:rPr>
          <w:rFonts w:eastAsia="Arial" w:cs="Arial"/>
          <w:color w:val="000000" w:themeColor="text1"/>
          <w:sz w:val="16"/>
          <w:szCs w:val="16"/>
        </w:rPr>
        <w:t xml:space="preserve"> section 3.6.2 A.3.1 (b) (</w:t>
      </w:r>
      <w:proofErr w:type="spellStart"/>
      <w:r w:rsidRPr="00CD38A2">
        <w:rPr>
          <w:rFonts w:eastAsia="Arial" w:cs="Arial"/>
          <w:color w:val="000000" w:themeColor="text1"/>
          <w:sz w:val="16"/>
          <w:szCs w:val="16"/>
        </w:rPr>
        <w:t>i</w:t>
      </w:r>
      <w:proofErr w:type="spellEnd"/>
      <w:r w:rsidRPr="00CD38A2">
        <w:rPr>
          <w:rFonts w:eastAsia="Arial" w:cs="Arial"/>
          <w:color w:val="000000" w:themeColor="text1"/>
          <w:sz w:val="16"/>
          <w:szCs w:val="16"/>
        </w:rPr>
        <w:t>) requires studies measure “at least length and weight” and we widened the inclusion criteria to include any other growth and development outcome.</w:t>
      </w:r>
    </w:p>
    <w:p w14:paraId="72B35E89" w14:textId="7580DC6E" w:rsidR="00746F49" w:rsidRPr="00CD38A2" w:rsidRDefault="00746F49" w:rsidP="00746F49">
      <w:pPr>
        <w:rPr>
          <w:rFonts w:eastAsia="Arial" w:cs="Arial"/>
          <w:color w:val="000000" w:themeColor="text1"/>
          <w:sz w:val="16"/>
          <w:szCs w:val="16"/>
        </w:rPr>
      </w:pPr>
      <w:r w:rsidRPr="00CD38A2">
        <w:rPr>
          <w:rFonts w:eastAsia="Arial" w:cs="Arial"/>
          <w:color w:val="000000" w:themeColor="text1"/>
          <w:sz w:val="16"/>
          <w:szCs w:val="16"/>
          <w:vertAlign w:val="superscript"/>
        </w:rPr>
        <w:t>5</w:t>
      </w:r>
      <w:r w:rsidRPr="00CD38A2">
        <w:rPr>
          <w:rFonts w:eastAsia="Arial" w:cs="Arial"/>
          <w:color w:val="000000" w:themeColor="text1"/>
          <w:sz w:val="16"/>
          <w:szCs w:val="16"/>
        </w:rPr>
        <w:t xml:space="preserve">Based on FSANZ’s </w:t>
      </w:r>
      <w:r w:rsidR="7B0873C3" w:rsidRPr="00CD38A2">
        <w:rPr>
          <w:rFonts w:eastAsia="Arial" w:cs="Arial"/>
          <w:color w:val="000000" w:themeColor="text1"/>
          <w:sz w:val="16"/>
          <w:szCs w:val="16"/>
        </w:rPr>
        <w:t xml:space="preserve">Application </w:t>
      </w:r>
      <w:r w:rsidR="5066CEFC" w:rsidRPr="00CD38A2">
        <w:rPr>
          <w:rFonts w:eastAsia="Arial" w:cs="Arial"/>
          <w:color w:val="000000" w:themeColor="text1"/>
          <w:sz w:val="16"/>
          <w:szCs w:val="16"/>
        </w:rPr>
        <w:t>Handbook</w:t>
      </w:r>
      <w:r w:rsidRPr="00CD38A2">
        <w:rPr>
          <w:rFonts w:eastAsia="Arial" w:cs="Arial"/>
          <w:color w:val="000000" w:themeColor="text1"/>
          <w:sz w:val="16"/>
          <w:szCs w:val="16"/>
        </w:rPr>
        <w:t xml:space="preserve"> requirements section 3.6.2 A.3.1 (b) (</w:t>
      </w:r>
      <w:proofErr w:type="spellStart"/>
      <w:r w:rsidRPr="00CD38A2">
        <w:rPr>
          <w:rFonts w:eastAsia="Arial" w:cs="Arial"/>
          <w:color w:val="000000" w:themeColor="text1"/>
          <w:sz w:val="16"/>
          <w:szCs w:val="16"/>
        </w:rPr>
        <w:t>i</w:t>
      </w:r>
      <w:proofErr w:type="spellEnd"/>
      <w:r w:rsidRPr="00CD38A2">
        <w:rPr>
          <w:rFonts w:eastAsia="Arial" w:cs="Arial"/>
          <w:color w:val="000000" w:themeColor="text1"/>
          <w:sz w:val="16"/>
          <w:szCs w:val="16"/>
        </w:rPr>
        <w:t>).</w:t>
      </w:r>
    </w:p>
    <w:p w14:paraId="0CF861FC" w14:textId="3886CC32" w:rsidR="00746F49" w:rsidRPr="00CD38A2" w:rsidRDefault="00746F49" w:rsidP="00746F49">
      <w:pPr>
        <w:rPr>
          <w:rFonts w:eastAsia="Arial" w:cs="Arial"/>
          <w:color w:val="000000" w:themeColor="text1"/>
          <w:sz w:val="16"/>
          <w:szCs w:val="16"/>
        </w:rPr>
      </w:pPr>
      <w:r w:rsidRPr="00CD38A2">
        <w:rPr>
          <w:rFonts w:eastAsia="Arial" w:cs="Arial"/>
          <w:color w:val="000000" w:themeColor="text1"/>
          <w:sz w:val="16"/>
          <w:szCs w:val="16"/>
          <w:vertAlign w:val="superscript"/>
        </w:rPr>
        <w:t>6</w:t>
      </w:r>
      <w:r w:rsidRPr="00CD38A2">
        <w:rPr>
          <w:rFonts w:eastAsia="Arial" w:cs="Arial"/>
          <w:color w:val="000000" w:themeColor="text1"/>
          <w:sz w:val="16"/>
          <w:szCs w:val="16"/>
        </w:rPr>
        <w:t>Quality determined based on an assessment using AMSTAR 2, ROBIS, or similar instrument.</w:t>
      </w:r>
    </w:p>
    <w:p w14:paraId="16A6FF5A" w14:textId="71D73E33" w:rsidR="00746F49" w:rsidRDefault="00746F49" w:rsidP="00746F49">
      <w:pPr>
        <w:rPr>
          <w:rFonts w:eastAsia="Arial" w:cs="Arial"/>
          <w:color w:val="000000" w:themeColor="text1"/>
          <w:szCs w:val="22"/>
        </w:rPr>
      </w:pPr>
    </w:p>
    <w:p w14:paraId="61C5580A" w14:textId="243E9B03" w:rsidR="7B0873C3" w:rsidRDefault="7B0873C3" w:rsidP="0682D99A">
      <w:pPr>
        <w:rPr>
          <w:rFonts w:eastAsia="Arial" w:cs="Arial"/>
          <w:color w:val="000000" w:themeColor="text1"/>
          <w:szCs w:val="22"/>
        </w:rPr>
      </w:pPr>
      <w:r w:rsidRPr="0682D99A">
        <w:rPr>
          <w:rFonts w:eastAsia="Arial" w:cs="Arial"/>
          <w:color w:val="000000" w:themeColor="text1"/>
          <w:szCs w:val="22"/>
          <w:lang w:val="en-AU"/>
        </w:rPr>
        <w:t>The search retrieved 53 results. Screening of titles and abstracts led to two full text publications being retrieved (</w:t>
      </w:r>
      <w:proofErr w:type="spellStart"/>
      <w:r w:rsidRPr="0682D99A">
        <w:rPr>
          <w:rFonts w:eastAsia="Arial" w:cs="Arial"/>
          <w:color w:val="000000" w:themeColor="text1"/>
          <w:szCs w:val="22"/>
          <w:lang w:val="en-AU"/>
        </w:rPr>
        <w:t>Lönnerdal</w:t>
      </w:r>
      <w:proofErr w:type="spellEnd"/>
      <w:r w:rsidRPr="0682D99A">
        <w:rPr>
          <w:rFonts w:eastAsia="Arial" w:cs="Arial"/>
          <w:color w:val="000000" w:themeColor="text1"/>
          <w:szCs w:val="22"/>
          <w:lang w:val="en-AU"/>
        </w:rPr>
        <w:t xml:space="preserve"> &amp; </w:t>
      </w:r>
      <w:proofErr w:type="spellStart"/>
      <w:r w:rsidRPr="0682D99A">
        <w:rPr>
          <w:rFonts w:eastAsia="Arial" w:cs="Arial"/>
          <w:color w:val="000000" w:themeColor="text1"/>
          <w:szCs w:val="22"/>
          <w:lang w:val="en-AU"/>
        </w:rPr>
        <w:t>Hernell</w:t>
      </w:r>
      <w:proofErr w:type="spellEnd"/>
      <w:r w:rsidRPr="0682D99A">
        <w:rPr>
          <w:rFonts w:eastAsia="Arial" w:cs="Arial"/>
          <w:color w:val="000000" w:themeColor="text1"/>
          <w:szCs w:val="22"/>
          <w:lang w:val="en-AU"/>
        </w:rPr>
        <w:t xml:space="preserve"> 1994; </w:t>
      </w:r>
      <w:proofErr w:type="spellStart"/>
      <w:r w:rsidRPr="0682D99A">
        <w:rPr>
          <w:rFonts w:eastAsia="Arial" w:cs="Arial"/>
          <w:color w:val="000000" w:themeColor="text1"/>
          <w:szCs w:val="22"/>
        </w:rPr>
        <w:t>Björmsjö</w:t>
      </w:r>
      <w:proofErr w:type="spellEnd"/>
      <w:r w:rsidRPr="0682D99A">
        <w:rPr>
          <w:rFonts w:eastAsia="Arial" w:cs="Arial"/>
          <w:color w:val="000000" w:themeColor="text1"/>
          <w:sz w:val="20"/>
          <w:szCs w:val="20"/>
        </w:rPr>
        <w:t xml:space="preserve"> </w:t>
      </w:r>
      <w:r w:rsidRPr="0682D99A">
        <w:rPr>
          <w:rFonts w:eastAsia="Arial" w:cs="Arial"/>
          <w:color w:val="000000" w:themeColor="text1"/>
          <w:szCs w:val="22"/>
        </w:rPr>
        <w:t>et al. 2021).</w:t>
      </w:r>
      <w:r w:rsidRPr="0682D99A">
        <w:rPr>
          <w:rFonts w:eastAsia="Arial" w:cs="Arial"/>
          <w:color w:val="000000" w:themeColor="text1"/>
          <w:szCs w:val="22"/>
          <w:lang w:val="en-AU"/>
        </w:rPr>
        <w:t xml:space="preserve"> Screening of full texts led to their exclusion (</w:t>
      </w:r>
      <w:proofErr w:type="spellStart"/>
      <w:r w:rsidRPr="0682D99A">
        <w:rPr>
          <w:rFonts w:eastAsia="Arial" w:cs="Arial"/>
          <w:color w:val="000000" w:themeColor="text1"/>
          <w:szCs w:val="22"/>
          <w:lang w:val="en-AU"/>
        </w:rPr>
        <w:t>Lönnerdal</w:t>
      </w:r>
      <w:proofErr w:type="spellEnd"/>
      <w:r w:rsidRPr="0682D99A">
        <w:rPr>
          <w:rFonts w:eastAsia="Arial" w:cs="Arial"/>
          <w:color w:val="000000" w:themeColor="text1"/>
          <w:szCs w:val="22"/>
          <w:lang w:val="en-AU"/>
        </w:rPr>
        <w:t xml:space="preserve"> &amp; </w:t>
      </w:r>
      <w:proofErr w:type="spellStart"/>
      <w:r w:rsidRPr="0682D99A">
        <w:rPr>
          <w:rFonts w:eastAsia="Arial" w:cs="Arial"/>
          <w:color w:val="000000" w:themeColor="text1"/>
          <w:szCs w:val="22"/>
          <w:lang w:val="en-AU"/>
        </w:rPr>
        <w:t>Hernell</w:t>
      </w:r>
      <w:proofErr w:type="spellEnd"/>
      <w:r w:rsidRPr="0682D99A">
        <w:rPr>
          <w:rFonts w:eastAsia="Arial" w:cs="Arial"/>
          <w:color w:val="000000" w:themeColor="text1"/>
          <w:szCs w:val="22"/>
          <w:lang w:val="en-AU"/>
        </w:rPr>
        <w:t xml:space="preserve"> 1994; </w:t>
      </w:r>
      <w:proofErr w:type="spellStart"/>
      <w:r w:rsidRPr="0682D99A">
        <w:rPr>
          <w:rFonts w:eastAsia="Arial" w:cs="Arial"/>
          <w:color w:val="000000" w:themeColor="text1"/>
          <w:szCs w:val="22"/>
        </w:rPr>
        <w:t>Björmsjö</w:t>
      </w:r>
      <w:proofErr w:type="spellEnd"/>
      <w:r w:rsidRPr="0682D99A">
        <w:rPr>
          <w:rFonts w:eastAsia="Arial" w:cs="Arial"/>
          <w:color w:val="000000" w:themeColor="text1"/>
          <w:sz w:val="20"/>
          <w:szCs w:val="20"/>
        </w:rPr>
        <w:t xml:space="preserve"> </w:t>
      </w:r>
      <w:r w:rsidRPr="0682D99A">
        <w:rPr>
          <w:rFonts w:eastAsia="Arial" w:cs="Arial"/>
          <w:color w:val="000000" w:themeColor="text1"/>
          <w:szCs w:val="22"/>
        </w:rPr>
        <w:t xml:space="preserve">et al. 2021). </w:t>
      </w:r>
      <w:r w:rsidRPr="0682D99A">
        <w:rPr>
          <w:rFonts w:eastAsia="Arial" w:cs="Arial"/>
          <w:color w:val="000000" w:themeColor="text1"/>
          <w:szCs w:val="22"/>
          <w:lang w:val="en-AU"/>
        </w:rPr>
        <w:t>With respect to the outcomes, growth and development, the Application provided five publications (</w:t>
      </w:r>
      <w:proofErr w:type="spellStart"/>
      <w:r w:rsidRPr="0682D99A">
        <w:rPr>
          <w:rFonts w:eastAsia="Arial" w:cs="Arial"/>
          <w:color w:val="000000" w:themeColor="text1"/>
          <w:szCs w:val="22"/>
          <w:lang w:val="en-AU"/>
        </w:rPr>
        <w:t>Hernell</w:t>
      </w:r>
      <w:proofErr w:type="spellEnd"/>
      <w:r w:rsidRPr="0682D99A">
        <w:rPr>
          <w:rFonts w:eastAsia="Arial" w:cs="Arial"/>
          <w:color w:val="000000" w:themeColor="text1"/>
          <w:szCs w:val="22"/>
          <w:lang w:val="en-AU"/>
        </w:rPr>
        <w:t xml:space="preserve"> &amp; </w:t>
      </w:r>
      <w:proofErr w:type="spellStart"/>
      <w:r w:rsidRPr="0682D99A">
        <w:rPr>
          <w:rFonts w:eastAsia="Arial" w:cs="Arial"/>
          <w:color w:val="000000" w:themeColor="text1"/>
          <w:szCs w:val="22"/>
          <w:lang w:val="en-AU"/>
        </w:rPr>
        <w:t>Lönnerdal</w:t>
      </w:r>
      <w:proofErr w:type="spellEnd"/>
      <w:r w:rsidRPr="0682D99A">
        <w:rPr>
          <w:rFonts w:eastAsia="Arial" w:cs="Arial"/>
          <w:color w:val="000000" w:themeColor="text1"/>
          <w:szCs w:val="22"/>
          <w:lang w:val="en-AU"/>
        </w:rPr>
        <w:t xml:space="preserve"> 2002; King et al. 2007; Johnston et al. 2015; Li et al. 2019; </w:t>
      </w:r>
      <w:proofErr w:type="spellStart"/>
      <w:r w:rsidRPr="0682D99A">
        <w:rPr>
          <w:rFonts w:eastAsia="Arial" w:cs="Arial"/>
          <w:color w:val="000000" w:themeColor="text1"/>
          <w:szCs w:val="22"/>
        </w:rPr>
        <w:t>Björmsjö</w:t>
      </w:r>
      <w:proofErr w:type="spellEnd"/>
      <w:r w:rsidRPr="0682D99A">
        <w:rPr>
          <w:rFonts w:eastAsia="Arial" w:cs="Arial"/>
          <w:color w:val="000000" w:themeColor="text1"/>
          <w:sz w:val="20"/>
          <w:szCs w:val="20"/>
        </w:rPr>
        <w:t xml:space="preserve"> </w:t>
      </w:r>
      <w:r w:rsidRPr="0682D99A">
        <w:rPr>
          <w:rFonts w:eastAsia="Arial" w:cs="Arial"/>
          <w:color w:val="000000" w:themeColor="text1"/>
          <w:szCs w:val="22"/>
        </w:rPr>
        <w:t xml:space="preserve">et al. 2021) </w:t>
      </w:r>
      <w:r w:rsidRPr="0682D99A">
        <w:rPr>
          <w:rFonts w:eastAsia="Arial" w:cs="Arial"/>
          <w:color w:val="000000" w:themeColor="text1"/>
          <w:szCs w:val="22"/>
          <w:lang w:val="en-AU"/>
        </w:rPr>
        <w:t>of which all except one (</w:t>
      </w:r>
      <w:proofErr w:type="spellStart"/>
      <w:r w:rsidRPr="0682D99A">
        <w:rPr>
          <w:rFonts w:eastAsia="Arial" w:cs="Arial"/>
          <w:color w:val="000000" w:themeColor="text1"/>
          <w:szCs w:val="22"/>
          <w:lang w:val="en-AU"/>
        </w:rPr>
        <w:t>Hernell</w:t>
      </w:r>
      <w:proofErr w:type="spellEnd"/>
      <w:r w:rsidRPr="0682D99A">
        <w:rPr>
          <w:rFonts w:eastAsia="Arial" w:cs="Arial"/>
          <w:color w:val="000000" w:themeColor="text1"/>
          <w:szCs w:val="22"/>
          <w:lang w:val="en-AU"/>
        </w:rPr>
        <w:t xml:space="preserve"> &amp; </w:t>
      </w:r>
      <w:proofErr w:type="spellStart"/>
      <w:r w:rsidRPr="0682D99A">
        <w:rPr>
          <w:rFonts w:eastAsia="Arial" w:cs="Arial"/>
          <w:color w:val="000000" w:themeColor="text1"/>
          <w:szCs w:val="22"/>
          <w:lang w:val="en-AU"/>
        </w:rPr>
        <w:t>Lönnerdal</w:t>
      </w:r>
      <w:proofErr w:type="spellEnd"/>
      <w:r w:rsidRPr="0682D99A">
        <w:rPr>
          <w:rFonts w:eastAsia="Arial" w:cs="Arial"/>
          <w:color w:val="000000" w:themeColor="text1"/>
          <w:szCs w:val="22"/>
          <w:lang w:val="en-AU"/>
        </w:rPr>
        <w:t xml:space="preserve"> 2002) were captured in our search. Three studies provided by the Application did not include a human milk-fed sample of infants and their full text publications were, therefore, not retrieved (King et al. 2007; Johnston et al. 2015; Li et al. 2019). After screening the title and abstract of </w:t>
      </w:r>
      <w:proofErr w:type="spellStart"/>
      <w:r w:rsidRPr="0682D99A">
        <w:rPr>
          <w:rFonts w:eastAsia="Arial" w:cs="Arial"/>
          <w:color w:val="000000" w:themeColor="text1"/>
          <w:szCs w:val="22"/>
          <w:lang w:val="en-AU"/>
        </w:rPr>
        <w:t>Hernell</w:t>
      </w:r>
      <w:proofErr w:type="spellEnd"/>
      <w:r w:rsidRPr="0682D99A">
        <w:rPr>
          <w:rFonts w:eastAsia="Arial" w:cs="Arial"/>
          <w:color w:val="000000" w:themeColor="text1"/>
          <w:szCs w:val="22"/>
          <w:lang w:val="en-AU"/>
        </w:rPr>
        <w:t xml:space="preserve"> &amp; </w:t>
      </w:r>
      <w:proofErr w:type="spellStart"/>
      <w:r w:rsidRPr="0682D99A">
        <w:rPr>
          <w:rFonts w:eastAsia="Arial" w:cs="Arial"/>
          <w:color w:val="000000" w:themeColor="text1"/>
          <w:szCs w:val="22"/>
          <w:lang w:val="en-AU"/>
        </w:rPr>
        <w:t>Lönnerdal</w:t>
      </w:r>
      <w:proofErr w:type="spellEnd"/>
      <w:r w:rsidRPr="0682D99A">
        <w:rPr>
          <w:rFonts w:eastAsia="Arial" w:cs="Arial"/>
          <w:color w:val="000000" w:themeColor="text1"/>
          <w:szCs w:val="22"/>
          <w:lang w:val="en-AU"/>
        </w:rPr>
        <w:t xml:space="preserve"> (2002), we retrieved this full text publication. Screening of the full text led to its exclusion</w:t>
      </w:r>
      <w:r w:rsidRPr="0682D99A">
        <w:rPr>
          <w:rFonts w:eastAsia="Arial" w:cs="Arial"/>
          <w:color w:val="000000" w:themeColor="text1"/>
          <w:szCs w:val="22"/>
        </w:rPr>
        <w:t>.</w:t>
      </w:r>
    </w:p>
    <w:p w14:paraId="7AACAC49" w14:textId="1892F4E4" w:rsidR="00746F49" w:rsidRDefault="00746F49" w:rsidP="00690206">
      <w:pPr>
        <w:rPr>
          <w:rFonts w:eastAsia="Arial" w:cs="Arial"/>
          <w:color w:val="000000" w:themeColor="text1"/>
          <w:szCs w:val="22"/>
        </w:rPr>
      </w:pPr>
    </w:p>
    <w:p w14:paraId="4A9FE224" w14:textId="61330889" w:rsidR="00510942" w:rsidRDefault="005A3101" w:rsidP="00733CE2">
      <w:pPr>
        <w:pStyle w:val="Heading2"/>
        <w:rPr>
          <w:rFonts w:eastAsia="Arial"/>
        </w:rPr>
      </w:pPr>
      <w:bookmarkStart w:id="144" w:name="_Toc112915042"/>
      <w:bookmarkStart w:id="145" w:name="_Toc113523089"/>
      <w:r>
        <w:rPr>
          <w:rFonts w:eastAsia="Arial"/>
        </w:rPr>
        <w:t>A2.2</w:t>
      </w:r>
      <w:r>
        <w:rPr>
          <w:rFonts w:eastAsia="Arial"/>
        </w:rPr>
        <w:tab/>
      </w:r>
      <w:r w:rsidR="00510942" w:rsidRPr="1B0320C7">
        <w:rPr>
          <w:rFonts w:eastAsia="Arial"/>
        </w:rPr>
        <w:t>Effect on growth and development: comparison to infants consuming IFP</w:t>
      </w:r>
      <w:r w:rsidR="00510942">
        <w:rPr>
          <w:rFonts w:eastAsia="Arial"/>
        </w:rPr>
        <w:t xml:space="preserve"> without added </w:t>
      </w:r>
      <w:proofErr w:type="spellStart"/>
      <w:r w:rsidR="00510942">
        <w:rPr>
          <w:rFonts w:eastAsia="Arial"/>
        </w:rPr>
        <w:t>bLf</w:t>
      </w:r>
      <w:bookmarkEnd w:id="144"/>
      <w:bookmarkEnd w:id="145"/>
      <w:proofErr w:type="spellEnd"/>
    </w:p>
    <w:p w14:paraId="49AD24C3" w14:textId="004EE352" w:rsidR="00510942" w:rsidRDefault="005A3101" w:rsidP="006406E3">
      <w:pPr>
        <w:pStyle w:val="Heading3"/>
        <w:rPr>
          <w:rFonts w:eastAsia="Arial"/>
        </w:rPr>
      </w:pPr>
      <w:bookmarkStart w:id="146" w:name="_Toc112915043"/>
      <w:bookmarkStart w:id="147" w:name="_Toc113523090"/>
      <w:r w:rsidRPr="0682D99A">
        <w:rPr>
          <w:rFonts w:eastAsia="Arial"/>
        </w:rPr>
        <w:t>A2.2.1</w:t>
      </w:r>
      <w:r>
        <w:rPr>
          <w:rFonts w:eastAsia="Arial"/>
        </w:rPr>
        <w:tab/>
      </w:r>
      <w:r>
        <w:rPr>
          <w:rFonts w:eastAsia="Arial"/>
        </w:rPr>
        <w:tab/>
      </w:r>
      <w:r w:rsidR="00510942" w:rsidRPr="0682D99A">
        <w:rPr>
          <w:rFonts w:eastAsia="Arial"/>
        </w:rPr>
        <w:t>Methods and results</w:t>
      </w:r>
      <w:bookmarkEnd w:id="146"/>
      <w:bookmarkEnd w:id="147"/>
    </w:p>
    <w:p w14:paraId="79313A76" w14:textId="0F83D99D" w:rsidR="00510942" w:rsidRDefault="00510942" w:rsidP="02277185">
      <w:pPr>
        <w:rPr>
          <w:rFonts w:eastAsia="Arial" w:cs="Arial"/>
          <w:color w:val="000000" w:themeColor="text1"/>
          <w:szCs w:val="22"/>
        </w:rPr>
      </w:pPr>
      <w:r w:rsidRPr="0682D99A">
        <w:rPr>
          <w:rFonts w:eastAsia="Arial" w:cs="Arial"/>
          <w:color w:val="000000" w:themeColor="text1"/>
          <w:szCs w:val="22"/>
          <w:lang w:val="en-AU"/>
        </w:rPr>
        <w:t xml:space="preserve">We identified and screened the literature using the strategy and study selection criteria described in section </w:t>
      </w:r>
      <w:r w:rsidR="00AB1266" w:rsidRPr="0682D99A">
        <w:rPr>
          <w:rFonts w:eastAsia="Arial" w:cs="Arial"/>
          <w:color w:val="000000" w:themeColor="text1"/>
          <w:szCs w:val="22"/>
          <w:lang w:val="en-AU"/>
        </w:rPr>
        <w:t>A2.</w:t>
      </w:r>
      <w:r w:rsidR="7B0873C3" w:rsidRPr="0682D99A">
        <w:rPr>
          <w:rFonts w:eastAsia="Arial" w:cs="Arial"/>
          <w:color w:val="000000" w:themeColor="text1"/>
          <w:szCs w:val="22"/>
          <w:lang w:val="en-AU"/>
        </w:rPr>
        <w:t>1.</w:t>
      </w:r>
      <w:r w:rsidRPr="0682D99A">
        <w:rPr>
          <w:rFonts w:eastAsia="Arial" w:cs="Arial"/>
          <w:color w:val="000000" w:themeColor="text1"/>
          <w:szCs w:val="22"/>
          <w:lang w:val="en-AU"/>
        </w:rPr>
        <w:t xml:space="preserve"> </w:t>
      </w:r>
      <w:r w:rsidRPr="0682D99A">
        <w:rPr>
          <w:rFonts w:eastAsia="Arial" w:cs="Arial"/>
          <w:color w:val="000000" w:themeColor="text1"/>
          <w:szCs w:val="22"/>
        </w:rPr>
        <w:t xml:space="preserve">The only modification was the replacement of the comparator group listed in </w:t>
      </w:r>
      <w:r w:rsidRPr="001D72ED">
        <w:rPr>
          <w:rFonts w:eastAsia="Arial" w:cs="Arial"/>
          <w:color w:val="000000" w:themeColor="text1"/>
          <w:szCs w:val="22"/>
        </w:rPr>
        <w:t>Table A.</w:t>
      </w:r>
      <w:r w:rsidR="005918B9" w:rsidRPr="001D72ED">
        <w:rPr>
          <w:rFonts w:eastAsia="Arial" w:cs="Arial"/>
          <w:color w:val="000000" w:themeColor="text1"/>
          <w:szCs w:val="22"/>
        </w:rPr>
        <w:t>1</w:t>
      </w:r>
      <w:r w:rsidRPr="0682D99A">
        <w:rPr>
          <w:rFonts w:eastAsia="Arial" w:cs="Arial"/>
          <w:color w:val="000000" w:themeColor="text1"/>
          <w:szCs w:val="22"/>
        </w:rPr>
        <w:t xml:space="preserve"> with: </w:t>
      </w:r>
      <w:r w:rsidRPr="0682D99A">
        <w:rPr>
          <w:rFonts w:eastAsia="Arial" w:cs="Arial"/>
          <w:color w:val="000000" w:themeColor="text1"/>
          <w:szCs w:val="22"/>
          <w:lang w:val="en-AU"/>
        </w:rPr>
        <w:t xml:space="preserve">consumption of an IFP of the same composition to that of the intervention group’s IFP but without </w:t>
      </w:r>
      <w:proofErr w:type="spellStart"/>
      <w:r w:rsidRPr="0682D99A">
        <w:rPr>
          <w:rFonts w:eastAsia="Arial" w:cs="Arial"/>
          <w:color w:val="000000" w:themeColor="text1"/>
          <w:szCs w:val="22"/>
          <w:lang w:val="en-AU"/>
        </w:rPr>
        <w:t>bLf</w:t>
      </w:r>
      <w:proofErr w:type="spellEnd"/>
      <w:r w:rsidRPr="0682D99A">
        <w:rPr>
          <w:rFonts w:eastAsia="Arial" w:cs="Arial"/>
          <w:color w:val="000000" w:themeColor="text1"/>
          <w:szCs w:val="22"/>
          <w:lang w:val="en-AU"/>
        </w:rPr>
        <w:t>.</w:t>
      </w:r>
    </w:p>
    <w:p w14:paraId="4C935D95" w14:textId="0C6123E4" w:rsidR="00510942" w:rsidRDefault="00510942" w:rsidP="00510942">
      <w:pPr>
        <w:rPr>
          <w:rFonts w:eastAsia="Arial" w:cs="Arial"/>
          <w:color w:val="000000" w:themeColor="text1"/>
          <w:szCs w:val="22"/>
        </w:rPr>
      </w:pPr>
    </w:p>
    <w:p w14:paraId="621225D8" w14:textId="41017AEC" w:rsidR="005A3101" w:rsidRDefault="00510942" w:rsidP="00510942">
      <w:pPr>
        <w:spacing w:line="259" w:lineRule="auto"/>
        <w:rPr>
          <w:rFonts w:eastAsia="Arial" w:cs="Arial"/>
          <w:color w:val="000000" w:themeColor="text1"/>
          <w:szCs w:val="22"/>
        </w:rPr>
      </w:pPr>
      <w:r w:rsidRPr="1B0320C7">
        <w:rPr>
          <w:rFonts w:eastAsia="Arial" w:cs="Arial"/>
          <w:color w:val="000000" w:themeColor="text1"/>
          <w:szCs w:val="22"/>
          <w:lang w:val="en-AU"/>
        </w:rPr>
        <w:t>The search provided 53 results. Screening of titles and abstracts led to three full text publication</w:t>
      </w:r>
      <w:r w:rsidR="005A3101">
        <w:rPr>
          <w:rFonts w:eastAsia="Arial" w:cs="Arial"/>
          <w:color w:val="000000" w:themeColor="text1"/>
          <w:szCs w:val="22"/>
          <w:lang w:val="en-AU"/>
        </w:rPr>
        <w:t>s</w:t>
      </w:r>
      <w:r w:rsidRPr="1B0320C7">
        <w:rPr>
          <w:rFonts w:eastAsia="Arial" w:cs="Arial"/>
          <w:color w:val="000000" w:themeColor="text1"/>
          <w:szCs w:val="22"/>
          <w:lang w:val="en-AU"/>
        </w:rPr>
        <w:t xml:space="preserve"> being retrieved (</w:t>
      </w:r>
      <w:proofErr w:type="spellStart"/>
      <w:r w:rsidRPr="1B0320C7">
        <w:rPr>
          <w:rFonts w:eastAsia="Arial" w:cs="Arial"/>
          <w:color w:val="000000" w:themeColor="text1"/>
          <w:szCs w:val="22"/>
          <w:lang w:val="en-AU"/>
        </w:rPr>
        <w:t>Lönnerdal</w:t>
      </w:r>
      <w:proofErr w:type="spellEnd"/>
      <w:r w:rsidRPr="1B0320C7">
        <w:rPr>
          <w:rFonts w:eastAsia="Arial" w:cs="Arial"/>
          <w:color w:val="000000" w:themeColor="text1"/>
          <w:szCs w:val="22"/>
          <w:lang w:val="en-AU"/>
        </w:rPr>
        <w:t xml:space="preserve"> &amp; </w:t>
      </w:r>
      <w:proofErr w:type="spellStart"/>
      <w:r w:rsidRPr="1B0320C7">
        <w:rPr>
          <w:rFonts w:eastAsia="Arial" w:cs="Arial"/>
          <w:color w:val="000000" w:themeColor="text1"/>
          <w:szCs w:val="22"/>
          <w:lang w:val="en-AU"/>
        </w:rPr>
        <w:t>Hernell</w:t>
      </w:r>
      <w:proofErr w:type="spellEnd"/>
      <w:r w:rsidRPr="1B0320C7">
        <w:rPr>
          <w:rFonts w:eastAsia="Arial" w:cs="Arial"/>
          <w:color w:val="000000" w:themeColor="text1"/>
          <w:szCs w:val="22"/>
          <w:lang w:val="en-AU"/>
        </w:rPr>
        <w:t xml:space="preserve"> 1994; King et al. 2007; </w:t>
      </w:r>
      <w:proofErr w:type="spellStart"/>
      <w:r w:rsidRPr="1B0320C7">
        <w:rPr>
          <w:rFonts w:eastAsia="Arial" w:cs="Arial"/>
          <w:color w:val="000000" w:themeColor="text1"/>
          <w:szCs w:val="22"/>
        </w:rPr>
        <w:t>Björmsjö</w:t>
      </w:r>
      <w:proofErr w:type="spellEnd"/>
      <w:r w:rsidRPr="1B0320C7">
        <w:rPr>
          <w:rFonts w:eastAsia="Arial" w:cs="Arial"/>
          <w:color w:val="000000" w:themeColor="text1"/>
          <w:sz w:val="20"/>
          <w:szCs w:val="20"/>
        </w:rPr>
        <w:t xml:space="preserve"> </w:t>
      </w:r>
      <w:r w:rsidRPr="1B0320C7">
        <w:rPr>
          <w:rFonts w:eastAsia="Arial" w:cs="Arial"/>
          <w:color w:val="000000" w:themeColor="text1"/>
          <w:szCs w:val="22"/>
        </w:rPr>
        <w:t>et al. 2021).</w:t>
      </w:r>
      <w:r w:rsidRPr="1B0320C7">
        <w:rPr>
          <w:rFonts w:eastAsia="Arial" w:cs="Arial"/>
          <w:color w:val="000000" w:themeColor="text1"/>
          <w:szCs w:val="22"/>
          <w:lang w:val="en-AU"/>
        </w:rPr>
        <w:t xml:space="preserve"> Screening of full texts led to their exclusion (</w:t>
      </w:r>
      <w:proofErr w:type="spellStart"/>
      <w:r w:rsidRPr="1B0320C7">
        <w:rPr>
          <w:rFonts w:eastAsia="Arial" w:cs="Arial"/>
          <w:color w:val="000000" w:themeColor="text1"/>
          <w:szCs w:val="22"/>
          <w:lang w:val="en-AU"/>
        </w:rPr>
        <w:t>Lönnerdal</w:t>
      </w:r>
      <w:proofErr w:type="spellEnd"/>
      <w:r w:rsidRPr="1B0320C7">
        <w:rPr>
          <w:rFonts w:eastAsia="Arial" w:cs="Arial"/>
          <w:color w:val="000000" w:themeColor="text1"/>
          <w:szCs w:val="22"/>
          <w:lang w:val="en-AU"/>
        </w:rPr>
        <w:t xml:space="preserve"> &amp; </w:t>
      </w:r>
      <w:proofErr w:type="spellStart"/>
      <w:r w:rsidRPr="1B0320C7">
        <w:rPr>
          <w:rFonts w:eastAsia="Arial" w:cs="Arial"/>
          <w:color w:val="000000" w:themeColor="text1"/>
          <w:szCs w:val="22"/>
          <w:lang w:val="en-AU"/>
        </w:rPr>
        <w:t>Hernell</w:t>
      </w:r>
      <w:proofErr w:type="spellEnd"/>
      <w:r w:rsidRPr="1B0320C7">
        <w:rPr>
          <w:rFonts w:eastAsia="Arial" w:cs="Arial"/>
          <w:color w:val="000000" w:themeColor="text1"/>
          <w:szCs w:val="22"/>
          <w:lang w:val="en-AU"/>
        </w:rPr>
        <w:t xml:space="preserve"> 1994; King et al. 2007; </w:t>
      </w:r>
      <w:proofErr w:type="spellStart"/>
      <w:r w:rsidRPr="1B0320C7">
        <w:rPr>
          <w:rFonts w:eastAsia="Arial" w:cs="Arial"/>
          <w:color w:val="000000" w:themeColor="text1"/>
          <w:szCs w:val="22"/>
        </w:rPr>
        <w:t>Björmsjö</w:t>
      </w:r>
      <w:proofErr w:type="spellEnd"/>
      <w:r w:rsidRPr="1B0320C7">
        <w:rPr>
          <w:rFonts w:eastAsia="Arial" w:cs="Arial"/>
          <w:color w:val="000000" w:themeColor="text1"/>
          <w:sz w:val="20"/>
          <w:szCs w:val="20"/>
        </w:rPr>
        <w:t xml:space="preserve"> </w:t>
      </w:r>
      <w:r w:rsidRPr="1B0320C7">
        <w:rPr>
          <w:rFonts w:eastAsia="Arial" w:cs="Arial"/>
          <w:color w:val="000000" w:themeColor="text1"/>
          <w:szCs w:val="22"/>
        </w:rPr>
        <w:t xml:space="preserve">et al. 2021). </w:t>
      </w:r>
    </w:p>
    <w:p w14:paraId="207EB238" w14:textId="5296D722" w:rsidR="005A3101" w:rsidRDefault="005A3101" w:rsidP="00510942">
      <w:pPr>
        <w:spacing w:line="259" w:lineRule="auto"/>
        <w:rPr>
          <w:rFonts w:eastAsia="Arial" w:cs="Arial"/>
          <w:color w:val="000000" w:themeColor="text1"/>
          <w:szCs w:val="22"/>
        </w:rPr>
      </w:pPr>
    </w:p>
    <w:p w14:paraId="5BC2547B" w14:textId="14724AB1" w:rsidR="00510942" w:rsidRDefault="3A09B55C" w:rsidP="7706CE0F">
      <w:pPr>
        <w:spacing w:line="259" w:lineRule="auto"/>
        <w:rPr>
          <w:rFonts w:eastAsia="Arial" w:cs="Arial"/>
          <w:color w:val="000000" w:themeColor="text1"/>
          <w:szCs w:val="22"/>
        </w:rPr>
      </w:pPr>
      <w:r w:rsidRPr="0682D99A">
        <w:rPr>
          <w:rFonts w:eastAsia="Arial" w:cs="Arial"/>
          <w:color w:val="000000" w:themeColor="text1"/>
          <w:szCs w:val="22"/>
          <w:lang w:val="en-AU"/>
        </w:rPr>
        <w:t xml:space="preserve">With respect to the outcomes, growth and development, the </w:t>
      </w:r>
      <w:r w:rsidR="7B0873C3" w:rsidRPr="0682D99A">
        <w:rPr>
          <w:rFonts w:eastAsia="Arial" w:cs="Arial"/>
          <w:color w:val="000000" w:themeColor="text1"/>
          <w:szCs w:val="22"/>
          <w:lang w:val="en-AU"/>
        </w:rPr>
        <w:t>Application provided five publications (</w:t>
      </w:r>
      <w:proofErr w:type="spellStart"/>
      <w:r w:rsidR="7B0873C3" w:rsidRPr="0682D99A">
        <w:rPr>
          <w:rFonts w:eastAsia="Arial" w:cs="Arial"/>
          <w:color w:val="000000" w:themeColor="text1"/>
          <w:szCs w:val="22"/>
          <w:lang w:val="en-AU"/>
        </w:rPr>
        <w:t>Hernell</w:t>
      </w:r>
      <w:proofErr w:type="spellEnd"/>
      <w:r w:rsidR="7B0873C3" w:rsidRPr="0682D99A">
        <w:rPr>
          <w:rFonts w:eastAsia="Arial" w:cs="Arial"/>
          <w:color w:val="000000" w:themeColor="text1"/>
          <w:szCs w:val="22"/>
          <w:lang w:val="en-AU"/>
        </w:rPr>
        <w:t xml:space="preserve"> &amp; </w:t>
      </w:r>
      <w:proofErr w:type="spellStart"/>
      <w:r w:rsidR="7B0873C3" w:rsidRPr="0682D99A">
        <w:rPr>
          <w:rFonts w:eastAsia="Arial" w:cs="Arial"/>
          <w:color w:val="000000" w:themeColor="text1"/>
          <w:szCs w:val="22"/>
          <w:lang w:val="en-AU"/>
        </w:rPr>
        <w:t>Lönnerdal</w:t>
      </w:r>
      <w:proofErr w:type="spellEnd"/>
      <w:r w:rsidR="7B0873C3" w:rsidRPr="0682D99A">
        <w:rPr>
          <w:rFonts w:eastAsia="Arial" w:cs="Arial"/>
          <w:color w:val="000000" w:themeColor="text1"/>
          <w:szCs w:val="22"/>
          <w:lang w:val="en-AU"/>
        </w:rPr>
        <w:t xml:space="preserve"> 2002; King et al. 2007; Johnston et al. 2015; Li et al. 2019; </w:t>
      </w:r>
      <w:proofErr w:type="spellStart"/>
      <w:r w:rsidR="7B0873C3" w:rsidRPr="0682D99A">
        <w:rPr>
          <w:rFonts w:eastAsia="Arial" w:cs="Arial"/>
          <w:color w:val="000000" w:themeColor="text1"/>
          <w:szCs w:val="22"/>
        </w:rPr>
        <w:t>Björmsjö</w:t>
      </w:r>
      <w:proofErr w:type="spellEnd"/>
      <w:r w:rsidR="7B0873C3" w:rsidRPr="0682D99A">
        <w:rPr>
          <w:rFonts w:eastAsia="Arial" w:cs="Arial"/>
          <w:color w:val="000000" w:themeColor="text1"/>
          <w:sz w:val="20"/>
          <w:szCs w:val="20"/>
        </w:rPr>
        <w:t xml:space="preserve"> </w:t>
      </w:r>
      <w:r w:rsidR="7B0873C3" w:rsidRPr="0682D99A">
        <w:rPr>
          <w:rFonts w:eastAsia="Arial" w:cs="Arial"/>
          <w:color w:val="000000" w:themeColor="text1"/>
          <w:szCs w:val="22"/>
        </w:rPr>
        <w:t xml:space="preserve">et al. 2021) </w:t>
      </w:r>
      <w:r w:rsidR="7B0873C3" w:rsidRPr="0682D99A">
        <w:rPr>
          <w:rFonts w:eastAsia="Arial" w:cs="Arial"/>
          <w:color w:val="000000" w:themeColor="text1"/>
          <w:szCs w:val="22"/>
          <w:lang w:val="en-AU"/>
        </w:rPr>
        <w:t>of which all except one (</w:t>
      </w:r>
      <w:proofErr w:type="spellStart"/>
      <w:r w:rsidR="7B0873C3" w:rsidRPr="0682D99A">
        <w:rPr>
          <w:rFonts w:eastAsia="Arial" w:cs="Arial"/>
          <w:color w:val="000000" w:themeColor="text1"/>
          <w:szCs w:val="22"/>
          <w:lang w:val="en-AU"/>
        </w:rPr>
        <w:t>Hernell</w:t>
      </w:r>
      <w:proofErr w:type="spellEnd"/>
      <w:r w:rsidR="7B0873C3" w:rsidRPr="0682D99A">
        <w:rPr>
          <w:rFonts w:eastAsia="Arial" w:cs="Arial"/>
          <w:color w:val="000000" w:themeColor="text1"/>
          <w:szCs w:val="22"/>
          <w:lang w:val="en-AU"/>
        </w:rPr>
        <w:t xml:space="preserve"> &amp; </w:t>
      </w:r>
      <w:proofErr w:type="spellStart"/>
      <w:r w:rsidR="7B0873C3" w:rsidRPr="0682D99A">
        <w:rPr>
          <w:rFonts w:eastAsia="Arial" w:cs="Arial"/>
          <w:color w:val="000000" w:themeColor="text1"/>
          <w:szCs w:val="22"/>
          <w:lang w:val="en-AU"/>
        </w:rPr>
        <w:t>Lönnerdal</w:t>
      </w:r>
      <w:proofErr w:type="spellEnd"/>
      <w:r w:rsidR="7B0873C3" w:rsidRPr="0682D99A">
        <w:rPr>
          <w:rFonts w:eastAsia="Arial" w:cs="Arial"/>
          <w:color w:val="000000" w:themeColor="text1"/>
          <w:szCs w:val="22"/>
          <w:lang w:val="en-AU"/>
        </w:rPr>
        <w:t xml:space="preserve"> 2002) were captured in our search. </w:t>
      </w:r>
      <w:r w:rsidRPr="0682D99A">
        <w:rPr>
          <w:rFonts w:eastAsia="Arial" w:cs="Arial"/>
          <w:color w:val="000000" w:themeColor="text1"/>
          <w:szCs w:val="22"/>
          <w:lang w:val="en-AU"/>
        </w:rPr>
        <w:t xml:space="preserve">Two studies provided by the </w:t>
      </w:r>
      <w:r w:rsidR="7B0873C3" w:rsidRPr="0682D99A">
        <w:rPr>
          <w:rFonts w:eastAsia="Arial" w:cs="Arial"/>
          <w:color w:val="000000" w:themeColor="text1"/>
          <w:szCs w:val="22"/>
          <w:lang w:val="en-AU"/>
        </w:rPr>
        <w:t>Application</w:t>
      </w:r>
      <w:r w:rsidRPr="0682D99A">
        <w:rPr>
          <w:rFonts w:eastAsia="Arial" w:cs="Arial"/>
          <w:color w:val="000000" w:themeColor="text1"/>
          <w:szCs w:val="22"/>
          <w:lang w:val="en-AU"/>
        </w:rPr>
        <w:t xml:space="preserve"> did not use suitable </w:t>
      </w:r>
      <w:r w:rsidR="7B0873C3" w:rsidRPr="0682D99A">
        <w:rPr>
          <w:rFonts w:eastAsia="Arial" w:cs="Arial"/>
          <w:color w:val="000000" w:themeColor="text1"/>
          <w:szCs w:val="22"/>
          <w:lang w:val="en-AU"/>
        </w:rPr>
        <w:t>IFP</w:t>
      </w:r>
      <w:r w:rsidRPr="0682D99A">
        <w:rPr>
          <w:rFonts w:eastAsia="Arial" w:cs="Arial"/>
          <w:color w:val="000000" w:themeColor="text1"/>
          <w:szCs w:val="22"/>
          <w:lang w:val="en-AU"/>
        </w:rPr>
        <w:t xml:space="preserve"> in the intervention or comparator group and their full text publications were, therefore, not retrieved (Johnston et al. 2015; Li et al. 2019). After screening the titles and abstracts of Li et al. (2019) and Johnston et al. (2015), we did not retrieve </w:t>
      </w:r>
      <w:r w:rsidR="7B0873C3" w:rsidRPr="0682D99A">
        <w:rPr>
          <w:rFonts w:eastAsia="Arial" w:cs="Arial"/>
          <w:color w:val="000000" w:themeColor="text1"/>
          <w:szCs w:val="22"/>
          <w:lang w:val="en-AU"/>
        </w:rPr>
        <w:t xml:space="preserve">these </w:t>
      </w:r>
      <w:r w:rsidRPr="0682D99A">
        <w:rPr>
          <w:rFonts w:eastAsia="Arial" w:cs="Arial"/>
          <w:color w:val="000000" w:themeColor="text1"/>
          <w:szCs w:val="22"/>
          <w:lang w:val="en-AU"/>
        </w:rPr>
        <w:t xml:space="preserve">full text </w:t>
      </w:r>
      <w:r w:rsidR="7B0873C3" w:rsidRPr="0682D99A">
        <w:rPr>
          <w:rFonts w:eastAsia="Arial" w:cs="Arial"/>
          <w:color w:val="000000" w:themeColor="text1"/>
          <w:szCs w:val="22"/>
          <w:lang w:val="en-AU"/>
        </w:rPr>
        <w:t>publications</w:t>
      </w:r>
      <w:r w:rsidRPr="0682D99A">
        <w:rPr>
          <w:rFonts w:eastAsia="Arial" w:cs="Arial"/>
          <w:color w:val="000000" w:themeColor="text1"/>
          <w:szCs w:val="22"/>
          <w:lang w:val="en-AU"/>
        </w:rPr>
        <w:t xml:space="preserve"> as their intervention group’s IFP included both </w:t>
      </w:r>
      <w:proofErr w:type="spellStart"/>
      <w:r w:rsidRPr="0682D99A">
        <w:rPr>
          <w:rFonts w:eastAsia="Arial" w:cs="Arial"/>
          <w:color w:val="000000" w:themeColor="text1"/>
          <w:szCs w:val="22"/>
          <w:lang w:val="en-AU"/>
        </w:rPr>
        <w:t>bLf</w:t>
      </w:r>
      <w:proofErr w:type="spellEnd"/>
      <w:r w:rsidRPr="0682D99A">
        <w:rPr>
          <w:rFonts w:eastAsia="Arial" w:cs="Arial"/>
          <w:color w:val="000000" w:themeColor="text1"/>
          <w:szCs w:val="22"/>
          <w:lang w:val="en-AU"/>
        </w:rPr>
        <w:t xml:space="preserve"> as well as additional substances not contained in the comparator group’s IFP. The intervention group’s IFP tested by Li et al. (2019) contained </w:t>
      </w:r>
      <w:proofErr w:type="spellStart"/>
      <w:r w:rsidRPr="0682D99A">
        <w:rPr>
          <w:rFonts w:eastAsia="Arial" w:cs="Arial"/>
          <w:color w:val="000000" w:themeColor="text1"/>
          <w:szCs w:val="22"/>
          <w:lang w:val="en-AU"/>
        </w:rPr>
        <w:t>bLf</w:t>
      </w:r>
      <w:proofErr w:type="spellEnd"/>
      <w:r w:rsidRPr="0682D99A">
        <w:rPr>
          <w:rFonts w:eastAsia="Arial" w:cs="Arial"/>
          <w:color w:val="000000" w:themeColor="text1"/>
          <w:szCs w:val="22"/>
          <w:lang w:val="en-AU"/>
        </w:rPr>
        <w:t xml:space="preserve"> and bovine milk fat globule membrane. The intervention groups’ </w:t>
      </w:r>
      <w:r w:rsidR="7B0873C3" w:rsidRPr="0682D99A">
        <w:rPr>
          <w:rFonts w:eastAsia="Arial" w:cs="Arial"/>
          <w:color w:val="000000" w:themeColor="text1"/>
          <w:szCs w:val="22"/>
          <w:lang w:val="en-AU"/>
        </w:rPr>
        <w:t>IFP used by Johnston et al.</w:t>
      </w:r>
      <w:r w:rsidRPr="0682D99A">
        <w:rPr>
          <w:rFonts w:eastAsia="Arial" w:cs="Arial"/>
          <w:color w:val="000000" w:themeColor="text1"/>
          <w:szCs w:val="22"/>
          <w:lang w:val="en-AU"/>
        </w:rPr>
        <w:t xml:space="preserve"> (2015) contained </w:t>
      </w:r>
      <w:proofErr w:type="spellStart"/>
      <w:r w:rsidRPr="0682D99A">
        <w:rPr>
          <w:rFonts w:eastAsia="Arial" w:cs="Arial"/>
          <w:color w:val="000000" w:themeColor="text1"/>
          <w:szCs w:val="22"/>
          <w:lang w:val="en-AU"/>
        </w:rPr>
        <w:t>bLf</w:t>
      </w:r>
      <w:proofErr w:type="spellEnd"/>
      <w:r w:rsidRPr="0682D99A">
        <w:rPr>
          <w:rFonts w:eastAsia="Arial" w:cs="Arial"/>
          <w:color w:val="000000" w:themeColor="text1"/>
          <w:szCs w:val="22"/>
          <w:lang w:val="en-AU"/>
        </w:rPr>
        <w:t xml:space="preserve"> as well as a prebiotic blend of polydextrose and </w:t>
      </w:r>
      <w:proofErr w:type="spellStart"/>
      <w:r w:rsidRPr="0682D99A">
        <w:rPr>
          <w:rFonts w:eastAsia="Arial" w:cs="Arial"/>
          <w:color w:val="000000" w:themeColor="text1"/>
          <w:szCs w:val="22"/>
          <w:lang w:val="en-AU"/>
        </w:rPr>
        <w:t>galactooligosaccharides</w:t>
      </w:r>
      <w:proofErr w:type="spellEnd"/>
      <w:r w:rsidRPr="0682D99A">
        <w:rPr>
          <w:rFonts w:eastAsia="Arial" w:cs="Arial"/>
          <w:color w:val="000000" w:themeColor="text1"/>
          <w:szCs w:val="22"/>
          <w:lang w:val="en-AU"/>
        </w:rPr>
        <w:t xml:space="preserve">, and lowered levels of arachidonic acid. These additional dissimilarities with the comparator groups’ IFP precludes their findings from being used to attribute any potential effects to </w:t>
      </w:r>
      <w:proofErr w:type="spellStart"/>
      <w:r w:rsidRPr="0682D99A">
        <w:rPr>
          <w:rFonts w:eastAsia="Arial" w:cs="Arial"/>
          <w:color w:val="000000" w:themeColor="text1"/>
          <w:szCs w:val="22"/>
          <w:lang w:val="en-AU"/>
        </w:rPr>
        <w:t>bLf</w:t>
      </w:r>
      <w:proofErr w:type="spellEnd"/>
      <w:r w:rsidRPr="0682D99A">
        <w:rPr>
          <w:rFonts w:eastAsia="Arial" w:cs="Arial"/>
          <w:color w:val="000000" w:themeColor="text1"/>
          <w:szCs w:val="22"/>
          <w:lang w:val="en-AU"/>
        </w:rPr>
        <w:t xml:space="preserve"> alone and draw conclusions about the effect of </w:t>
      </w:r>
      <w:proofErr w:type="spellStart"/>
      <w:r w:rsidRPr="0682D99A">
        <w:rPr>
          <w:rFonts w:eastAsia="Arial" w:cs="Arial"/>
          <w:color w:val="000000" w:themeColor="text1"/>
          <w:szCs w:val="22"/>
          <w:lang w:val="en-AU"/>
        </w:rPr>
        <w:t>bLf</w:t>
      </w:r>
      <w:proofErr w:type="spellEnd"/>
      <w:r w:rsidRPr="0682D99A">
        <w:rPr>
          <w:rFonts w:eastAsia="Arial" w:cs="Arial"/>
          <w:color w:val="000000" w:themeColor="text1"/>
          <w:szCs w:val="22"/>
          <w:lang w:val="en-AU"/>
        </w:rPr>
        <w:t xml:space="preserve">. After screening the title and abstract of </w:t>
      </w:r>
      <w:proofErr w:type="spellStart"/>
      <w:r w:rsidRPr="0682D99A">
        <w:rPr>
          <w:rFonts w:eastAsia="Arial" w:cs="Arial"/>
          <w:color w:val="000000" w:themeColor="text1"/>
          <w:szCs w:val="22"/>
          <w:lang w:val="en-AU"/>
        </w:rPr>
        <w:t>Hernell</w:t>
      </w:r>
      <w:proofErr w:type="spellEnd"/>
      <w:r w:rsidRPr="0682D99A">
        <w:rPr>
          <w:rFonts w:eastAsia="Arial" w:cs="Arial"/>
          <w:color w:val="000000" w:themeColor="text1"/>
          <w:szCs w:val="22"/>
          <w:lang w:val="en-AU"/>
        </w:rPr>
        <w:t xml:space="preserve"> &amp; </w:t>
      </w:r>
      <w:proofErr w:type="spellStart"/>
      <w:r w:rsidRPr="0682D99A">
        <w:rPr>
          <w:rFonts w:eastAsia="Arial" w:cs="Arial"/>
          <w:color w:val="000000" w:themeColor="text1"/>
          <w:szCs w:val="22"/>
          <w:lang w:val="en-AU"/>
        </w:rPr>
        <w:t>Lönnerdal</w:t>
      </w:r>
      <w:proofErr w:type="spellEnd"/>
      <w:r w:rsidRPr="0682D99A">
        <w:rPr>
          <w:rFonts w:eastAsia="Arial" w:cs="Arial"/>
          <w:color w:val="000000" w:themeColor="text1"/>
          <w:szCs w:val="22"/>
          <w:lang w:val="en-AU"/>
        </w:rPr>
        <w:t xml:space="preserve"> (2002), we retrieved this full text publication. Screening of the full text led to its exclusion</w:t>
      </w:r>
      <w:r w:rsidR="7B0873C3" w:rsidRPr="0682D99A">
        <w:rPr>
          <w:rFonts w:eastAsia="Arial" w:cs="Arial"/>
          <w:color w:val="000000" w:themeColor="text1"/>
          <w:szCs w:val="22"/>
        </w:rPr>
        <w:t>.</w:t>
      </w:r>
      <w:r w:rsidRPr="0682D99A">
        <w:rPr>
          <w:rFonts w:eastAsia="Arial" w:cs="Arial"/>
          <w:b/>
          <w:color w:val="000000" w:themeColor="text1"/>
          <w:szCs w:val="22"/>
        </w:rPr>
        <w:t xml:space="preserve"> </w:t>
      </w:r>
    </w:p>
    <w:p w14:paraId="05EBB264" w14:textId="2581A842" w:rsidR="00510942" w:rsidRDefault="00510942" w:rsidP="00690206">
      <w:pPr>
        <w:rPr>
          <w:rFonts w:eastAsia="Arial" w:cs="Arial"/>
          <w:color w:val="000000" w:themeColor="text1"/>
          <w:szCs w:val="22"/>
        </w:rPr>
      </w:pPr>
    </w:p>
    <w:p w14:paraId="4406298E" w14:textId="07A067D4" w:rsidR="005A3101" w:rsidRDefault="005A3101" w:rsidP="00733CE2">
      <w:pPr>
        <w:pStyle w:val="Heading2"/>
        <w:rPr>
          <w:rFonts w:eastAsia="Arial"/>
        </w:rPr>
      </w:pPr>
      <w:bookmarkStart w:id="148" w:name="_Toc112915044"/>
      <w:bookmarkStart w:id="149" w:name="_Toc113523091"/>
      <w:r>
        <w:rPr>
          <w:rFonts w:eastAsia="Arial"/>
        </w:rPr>
        <w:t>A2.3</w:t>
      </w:r>
      <w:r>
        <w:rPr>
          <w:rFonts w:eastAsia="Arial"/>
        </w:rPr>
        <w:tab/>
      </w:r>
      <w:r w:rsidRPr="0FA3F79A">
        <w:rPr>
          <w:rFonts w:eastAsia="Arial"/>
        </w:rPr>
        <w:t>Bioavailability of bovine versus human lactoferrin</w:t>
      </w:r>
      <w:bookmarkEnd w:id="148"/>
      <w:bookmarkEnd w:id="149"/>
    </w:p>
    <w:p w14:paraId="196FC495" w14:textId="54C9B626" w:rsidR="005A3101" w:rsidRDefault="005A3101" w:rsidP="006406E3">
      <w:pPr>
        <w:pStyle w:val="Heading3"/>
        <w:rPr>
          <w:rFonts w:eastAsia="Arial"/>
        </w:rPr>
      </w:pPr>
      <w:bookmarkStart w:id="150" w:name="_Toc112915045"/>
      <w:bookmarkStart w:id="151" w:name="_Toc113523092"/>
      <w:r w:rsidRPr="0682D99A">
        <w:rPr>
          <w:rFonts w:eastAsia="Arial"/>
        </w:rPr>
        <w:t>A2.3.1</w:t>
      </w:r>
      <w:r>
        <w:rPr>
          <w:rFonts w:eastAsia="Arial"/>
        </w:rPr>
        <w:tab/>
      </w:r>
      <w:r>
        <w:rPr>
          <w:rFonts w:eastAsia="Arial"/>
        </w:rPr>
        <w:tab/>
      </w:r>
      <w:r w:rsidRPr="0682D99A">
        <w:rPr>
          <w:rFonts w:eastAsia="Arial"/>
        </w:rPr>
        <w:t>Methods and results</w:t>
      </w:r>
      <w:bookmarkEnd w:id="150"/>
      <w:bookmarkEnd w:id="151"/>
    </w:p>
    <w:p w14:paraId="18724F21" w14:textId="6BC0294E" w:rsidR="000D2ADD" w:rsidRDefault="005A3101" w:rsidP="005A3101">
      <w:pPr>
        <w:rPr>
          <w:rFonts w:eastAsia="Arial" w:cs="Arial"/>
          <w:color w:val="000000" w:themeColor="text1"/>
          <w:szCs w:val="22"/>
        </w:rPr>
      </w:pPr>
      <w:r w:rsidRPr="0FA3F79A">
        <w:rPr>
          <w:rFonts w:eastAsia="Arial" w:cs="Arial"/>
          <w:color w:val="000000" w:themeColor="text1"/>
          <w:szCs w:val="22"/>
          <w:lang w:val="en-AU"/>
        </w:rPr>
        <w:t xml:space="preserve">We reviewed the literature published since date of inception to June 2022. On 7th July 2022, we searched PubMed using </w:t>
      </w:r>
      <w:r w:rsidRPr="0FA3F79A">
        <w:rPr>
          <w:rFonts w:eastAsia="Arial" w:cs="Arial"/>
          <w:color w:val="212121"/>
          <w:szCs w:val="22"/>
          <w:lang w:val="en-AU"/>
        </w:rPr>
        <w:t>("</w:t>
      </w:r>
      <w:proofErr w:type="spellStart"/>
      <w:r w:rsidRPr="0FA3F79A">
        <w:rPr>
          <w:rFonts w:eastAsia="Arial" w:cs="Arial"/>
          <w:color w:val="212121"/>
          <w:szCs w:val="22"/>
          <w:lang w:val="en-AU"/>
        </w:rPr>
        <w:t>infan</w:t>
      </w:r>
      <w:proofErr w:type="spellEnd"/>
      <w:r w:rsidRPr="0FA3F79A">
        <w:rPr>
          <w:rFonts w:eastAsia="Arial" w:cs="Arial"/>
          <w:color w:val="212121"/>
          <w:szCs w:val="22"/>
          <w:lang w:val="en-AU"/>
        </w:rPr>
        <w:t>*"[All Fields] AND ("human milk"[All Fields] OR "breast*"[All Fields] OR "human lactoferrin"[All Fields]) AND "bovine lactoferrin"[All Fields] AND ("biological availability"[All Fields] OR "</w:t>
      </w:r>
      <w:proofErr w:type="spellStart"/>
      <w:r w:rsidRPr="0FA3F79A">
        <w:rPr>
          <w:rFonts w:eastAsia="Arial" w:cs="Arial"/>
          <w:color w:val="212121"/>
          <w:szCs w:val="22"/>
          <w:lang w:val="en-AU"/>
        </w:rPr>
        <w:t>bioavailab</w:t>
      </w:r>
      <w:proofErr w:type="spellEnd"/>
      <w:r w:rsidRPr="0FA3F79A">
        <w:rPr>
          <w:rFonts w:eastAsia="Arial" w:cs="Arial"/>
          <w:color w:val="212121"/>
          <w:szCs w:val="22"/>
          <w:lang w:val="en-AU"/>
        </w:rPr>
        <w:t>*"[All Fields] OR "</w:t>
      </w:r>
      <w:proofErr w:type="spellStart"/>
      <w:r w:rsidRPr="0FA3F79A">
        <w:rPr>
          <w:rFonts w:eastAsia="Arial" w:cs="Arial"/>
          <w:color w:val="212121"/>
          <w:szCs w:val="22"/>
          <w:lang w:val="en-AU"/>
        </w:rPr>
        <w:t>bioequival</w:t>
      </w:r>
      <w:proofErr w:type="spellEnd"/>
      <w:r w:rsidRPr="0FA3F79A">
        <w:rPr>
          <w:rFonts w:eastAsia="Arial" w:cs="Arial"/>
          <w:color w:val="212121"/>
          <w:szCs w:val="22"/>
          <w:lang w:val="en-AU"/>
        </w:rPr>
        <w:t>*"[All Fields] OR "</w:t>
      </w:r>
      <w:proofErr w:type="spellStart"/>
      <w:r w:rsidRPr="0FA3F79A">
        <w:rPr>
          <w:rFonts w:eastAsia="Arial" w:cs="Arial"/>
          <w:color w:val="212121"/>
          <w:szCs w:val="22"/>
          <w:lang w:val="en-AU"/>
        </w:rPr>
        <w:t>bioactiv</w:t>
      </w:r>
      <w:proofErr w:type="spellEnd"/>
      <w:r w:rsidRPr="0FA3F79A">
        <w:rPr>
          <w:rFonts w:eastAsia="Arial" w:cs="Arial"/>
          <w:color w:val="212121"/>
          <w:szCs w:val="22"/>
          <w:lang w:val="en-AU"/>
        </w:rPr>
        <w:t>*"[All Fields] OR "</w:t>
      </w:r>
      <w:proofErr w:type="spellStart"/>
      <w:r w:rsidRPr="0FA3F79A">
        <w:rPr>
          <w:rFonts w:eastAsia="Arial" w:cs="Arial"/>
          <w:color w:val="212121"/>
          <w:szCs w:val="22"/>
          <w:lang w:val="en-AU"/>
        </w:rPr>
        <w:t>equival</w:t>
      </w:r>
      <w:proofErr w:type="spellEnd"/>
      <w:r w:rsidRPr="0FA3F79A">
        <w:rPr>
          <w:rFonts w:eastAsia="Arial" w:cs="Arial"/>
          <w:color w:val="212121"/>
          <w:szCs w:val="22"/>
          <w:lang w:val="en-AU"/>
        </w:rPr>
        <w:t>*"[All Fields] OR "</w:t>
      </w:r>
      <w:proofErr w:type="spellStart"/>
      <w:r w:rsidRPr="0FA3F79A">
        <w:rPr>
          <w:rFonts w:eastAsia="Arial" w:cs="Arial"/>
          <w:color w:val="212121"/>
          <w:szCs w:val="22"/>
          <w:lang w:val="en-AU"/>
        </w:rPr>
        <w:t>absor</w:t>
      </w:r>
      <w:proofErr w:type="spellEnd"/>
      <w:r w:rsidRPr="0FA3F79A">
        <w:rPr>
          <w:rFonts w:eastAsia="Arial" w:cs="Arial"/>
          <w:color w:val="212121"/>
          <w:szCs w:val="22"/>
          <w:lang w:val="en-AU"/>
        </w:rPr>
        <w:t>*"[All Fields] OR "digest*"[All Fields] OR "</w:t>
      </w:r>
      <w:proofErr w:type="spellStart"/>
      <w:r w:rsidRPr="0FA3F79A">
        <w:rPr>
          <w:rFonts w:eastAsia="Arial" w:cs="Arial"/>
          <w:color w:val="212121"/>
          <w:szCs w:val="22"/>
          <w:lang w:val="en-AU"/>
        </w:rPr>
        <w:t>metabol</w:t>
      </w:r>
      <w:proofErr w:type="spellEnd"/>
      <w:r w:rsidRPr="0FA3F79A">
        <w:rPr>
          <w:rFonts w:eastAsia="Arial" w:cs="Arial"/>
          <w:color w:val="212121"/>
          <w:szCs w:val="22"/>
          <w:lang w:val="en-AU"/>
        </w:rPr>
        <w:t>*"[All Fields] OR "</w:t>
      </w:r>
      <w:proofErr w:type="spellStart"/>
      <w:r w:rsidRPr="0FA3F79A">
        <w:rPr>
          <w:rFonts w:eastAsia="Arial" w:cs="Arial"/>
          <w:color w:val="212121"/>
          <w:szCs w:val="22"/>
          <w:lang w:val="en-AU"/>
        </w:rPr>
        <w:t>excret</w:t>
      </w:r>
      <w:proofErr w:type="spellEnd"/>
      <w:r w:rsidRPr="0FA3F79A">
        <w:rPr>
          <w:rFonts w:eastAsia="Arial" w:cs="Arial"/>
          <w:color w:val="212121"/>
          <w:szCs w:val="22"/>
          <w:lang w:val="en-AU"/>
        </w:rPr>
        <w:t>*"[All Fields] OR "</w:t>
      </w:r>
      <w:proofErr w:type="spellStart"/>
      <w:r w:rsidRPr="0FA3F79A">
        <w:rPr>
          <w:rFonts w:eastAsia="Arial" w:cs="Arial"/>
          <w:color w:val="212121"/>
          <w:szCs w:val="22"/>
          <w:lang w:val="en-AU"/>
        </w:rPr>
        <w:t>stor</w:t>
      </w:r>
      <w:proofErr w:type="spellEnd"/>
      <w:r w:rsidRPr="0FA3F79A">
        <w:rPr>
          <w:rFonts w:eastAsia="Arial" w:cs="Arial"/>
          <w:color w:val="212121"/>
          <w:szCs w:val="22"/>
          <w:lang w:val="en-AU"/>
        </w:rPr>
        <w:t>*"[All Fields] OR "deliver*"[All Fields] OR "</w:t>
      </w:r>
      <w:proofErr w:type="spellStart"/>
      <w:r w:rsidRPr="0FA3F79A">
        <w:rPr>
          <w:rFonts w:eastAsia="Arial" w:cs="Arial"/>
          <w:color w:val="212121"/>
          <w:szCs w:val="22"/>
          <w:lang w:val="en-AU"/>
        </w:rPr>
        <w:t>assimil</w:t>
      </w:r>
      <w:proofErr w:type="spellEnd"/>
      <w:r w:rsidRPr="0FA3F79A">
        <w:rPr>
          <w:rFonts w:eastAsia="Arial" w:cs="Arial"/>
          <w:color w:val="212121"/>
          <w:szCs w:val="22"/>
          <w:lang w:val="en-AU"/>
        </w:rPr>
        <w:t>*"[All Fields] OR "</w:t>
      </w:r>
      <w:proofErr w:type="spellStart"/>
      <w:r w:rsidRPr="0FA3F79A">
        <w:rPr>
          <w:rFonts w:eastAsia="Arial" w:cs="Arial"/>
          <w:color w:val="212121"/>
          <w:szCs w:val="22"/>
          <w:lang w:val="en-AU"/>
        </w:rPr>
        <w:t>utili</w:t>
      </w:r>
      <w:proofErr w:type="spellEnd"/>
      <w:r w:rsidRPr="0FA3F79A">
        <w:rPr>
          <w:rFonts w:eastAsia="Arial" w:cs="Arial"/>
          <w:color w:val="212121"/>
          <w:szCs w:val="22"/>
          <w:lang w:val="en-AU"/>
        </w:rPr>
        <w:t>*"[All Fields] OR ("uptake"[All Fields] OR "uptakes"[All Fields] OR "</w:t>
      </w:r>
      <w:proofErr w:type="spellStart"/>
      <w:r w:rsidRPr="0FA3F79A">
        <w:rPr>
          <w:rFonts w:eastAsia="Arial" w:cs="Arial"/>
          <w:color w:val="212121"/>
          <w:szCs w:val="22"/>
          <w:lang w:val="en-AU"/>
        </w:rPr>
        <w:t>uptaking</w:t>
      </w:r>
      <w:proofErr w:type="spellEnd"/>
      <w:r w:rsidRPr="0FA3F79A">
        <w:rPr>
          <w:rFonts w:eastAsia="Arial" w:cs="Arial"/>
          <w:color w:val="212121"/>
          <w:szCs w:val="22"/>
          <w:lang w:val="en-AU"/>
        </w:rPr>
        <w:t>"[All Fields]) OR "</w:t>
      </w:r>
      <w:proofErr w:type="spellStart"/>
      <w:r w:rsidRPr="0FA3F79A">
        <w:rPr>
          <w:rFonts w:eastAsia="Arial" w:cs="Arial"/>
          <w:color w:val="212121"/>
          <w:szCs w:val="22"/>
          <w:lang w:val="en-AU"/>
        </w:rPr>
        <w:t>intestin</w:t>
      </w:r>
      <w:proofErr w:type="spellEnd"/>
      <w:r w:rsidRPr="0FA3F79A">
        <w:rPr>
          <w:rFonts w:eastAsia="Arial" w:cs="Arial"/>
          <w:color w:val="212121"/>
          <w:szCs w:val="22"/>
          <w:lang w:val="en-AU"/>
        </w:rPr>
        <w:t>*"[All Fields] OR "</w:t>
      </w:r>
      <w:proofErr w:type="spellStart"/>
      <w:r w:rsidRPr="0FA3F79A">
        <w:rPr>
          <w:rFonts w:eastAsia="Arial" w:cs="Arial"/>
          <w:color w:val="212121"/>
          <w:szCs w:val="22"/>
          <w:lang w:val="en-AU"/>
        </w:rPr>
        <w:t>structur</w:t>
      </w:r>
      <w:proofErr w:type="spellEnd"/>
      <w:r w:rsidRPr="0FA3F79A">
        <w:rPr>
          <w:rFonts w:eastAsia="Arial" w:cs="Arial"/>
          <w:color w:val="212121"/>
          <w:szCs w:val="22"/>
          <w:lang w:val="en-AU"/>
        </w:rPr>
        <w:t>*"[All Fields] OR "function*"[All Fields] OR "</w:t>
      </w:r>
      <w:proofErr w:type="spellStart"/>
      <w:r w:rsidRPr="0FA3F79A">
        <w:rPr>
          <w:rFonts w:eastAsia="Arial" w:cs="Arial"/>
          <w:color w:val="212121"/>
          <w:szCs w:val="22"/>
          <w:lang w:val="en-AU"/>
        </w:rPr>
        <w:t>activ</w:t>
      </w:r>
      <w:proofErr w:type="spellEnd"/>
      <w:r w:rsidRPr="0FA3F79A">
        <w:rPr>
          <w:rFonts w:eastAsia="Arial" w:cs="Arial"/>
          <w:color w:val="212121"/>
          <w:szCs w:val="22"/>
          <w:lang w:val="en-AU"/>
        </w:rPr>
        <w:t>*"[All Fields] OR "</w:t>
      </w:r>
      <w:proofErr w:type="spellStart"/>
      <w:r w:rsidRPr="0FA3F79A">
        <w:rPr>
          <w:rFonts w:eastAsia="Arial" w:cs="Arial"/>
          <w:color w:val="212121"/>
          <w:szCs w:val="22"/>
          <w:lang w:val="en-AU"/>
        </w:rPr>
        <w:t>saturat</w:t>
      </w:r>
      <w:proofErr w:type="spellEnd"/>
      <w:r w:rsidRPr="0FA3F79A">
        <w:rPr>
          <w:rFonts w:eastAsia="Arial" w:cs="Arial"/>
          <w:color w:val="212121"/>
          <w:szCs w:val="22"/>
          <w:lang w:val="en-AU"/>
        </w:rPr>
        <w:t>*"[All Fields] OR "</w:t>
      </w:r>
      <w:proofErr w:type="spellStart"/>
      <w:r w:rsidRPr="0FA3F79A">
        <w:rPr>
          <w:rFonts w:eastAsia="Arial" w:cs="Arial"/>
          <w:color w:val="212121"/>
          <w:szCs w:val="22"/>
          <w:lang w:val="en-AU"/>
        </w:rPr>
        <w:t>replet</w:t>
      </w:r>
      <w:proofErr w:type="spellEnd"/>
      <w:r w:rsidRPr="0FA3F79A">
        <w:rPr>
          <w:rFonts w:eastAsia="Arial" w:cs="Arial"/>
          <w:color w:val="212121"/>
          <w:szCs w:val="22"/>
          <w:lang w:val="en-AU"/>
        </w:rPr>
        <w:t>*"[All Fields] OR "</w:t>
      </w:r>
      <w:proofErr w:type="spellStart"/>
      <w:r w:rsidRPr="0FA3F79A">
        <w:rPr>
          <w:rFonts w:eastAsia="Arial" w:cs="Arial"/>
          <w:color w:val="212121"/>
          <w:szCs w:val="22"/>
          <w:lang w:val="en-AU"/>
        </w:rPr>
        <w:t>deplet</w:t>
      </w:r>
      <w:proofErr w:type="spellEnd"/>
      <w:r w:rsidRPr="0FA3F79A">
        <w:rPr>
          <w:rFonts w:eastAsia="Arial" w:cs="Arial"/>
          <w:color w:val="212121"/>
          <w:szCs w:val="22"/>
          <w:lang w:val="en-AU"/>
        </w:rPr>
        <w:t>*"[All Fields] OR "apo"[All Fields] OR "</w:t>
      </w:r>
      <w:proofErr w:type="spellStart"/>
      <w:r w:rsidRPr="0FA3F79A">
        <w:rPr>
          <w:rFonts w:eastAsia="Arial" w:cs="Arial"/>
          <w:color w:val="212121"/>
          <w:szCs w:val="22"/>
          <w:lang w:val="en-AU"/>
        </w:rPr>
        <w:t>holo</w:t>
      </w:r>
      <w:proofErr w:type="spellEnd"/>
      <w:r w:rsidRPr="0FA3F79A">
        <w:rPr>
          <w:rFonts w:eastAsia="Arial" w:cs="Arial"/>
          <w:color w:val="212121"/>
          <w:szCs w:val="22"/>
          <w:lang w:val="en-AU"/>
        </w:rPr>
        <w:t>*"[All Fields] OR "metal*"[All Fields] OR ("nutrient s"[All Fields] OR "nutrients"[</w:t>
      </w:r>
      <w:proofErr w:type="spellStart"/>
      <w:r w:rsidRPr="0FA3F79A">
        <w:rPr>
          <w:rFonts w:eastAsia="Arial" w:cs="Arial"/>
          <w:color w:val="212121"/>
          <w:szCs w:val="22"/>
          <w:lang w:val="en-AU"/>
        </w:rPr>
        <w:t>MeSH</w:t>
      </w:r>
      <w:proofErr w:type="spellEnd"/>
      <w:r w:rsidRPr="0FA3F79A">
        <w:rPr>
          <w:rFonts w:eastAsia="Arial" w:cs="Arial"/>
          <w:color w:val="212121"/>
          <w:szCs w:val="22"/>
          <w:lang w:val="en-AU"/>
        </w:rPr>
        <w:t xml:space="preserve"> Terms] OR "nutrients"[All Fields] OR "nutrient"[All Fields]) OR "trace element"[All Fields] OR "mineral"[All Fields] OR "vitamin"[All Fields] OR "</w:t>
      </w:r>
      <w:proofErr w:type="spellStart"/>
      <w:r w:rsidRPr="0FA3F79A">
        <w:rPr>
          <w:rFonts w:eastAsia="Arial" w:cs="Arial"/>
          <w:color w:val="212121"/>
          <w:szCs w:val="22"/>
          <w:lang w:val="en-AU"/>
        </w:rPr>
        <w:t>deficien</w:t>
      </w:r>
      <w:proofErr w:type="spellEnd"/>
      <w:r w:rsidRPr="0FA3F79A">
        <w:rPr>
          <w:rFonts w:eastAsia="Arial" w:cs="Arial"/>
          <w:color w:val="212121"/>
          <w:szCs w:val="22"/>
          <w:lang w:val="en-AU"/>
        </w:rPr>
        <w:t>*"[All Fields] OR "</w:t>
      </w:r>
      <w:proofErr w:type="spellStart"/>
      <w:r w:rsidRPr="0FA3F79A">
        <w:rPr>
          <w:rFonts w:eastAsia="Arial" w:cs="Arial"/>
          <w:color w:val="212121"/>
          <w:szCs w:val="22"/>
          <w:lang w:val="en-AU"/>
        </w:rPr>
        <w:t>anaemi</w:t>
      </w:r>
      <w:proofErr w:type="spellEnd"/>
      <w:r w:rsidRPr="0FA3F79A">
        <w:rPr>
          <w:rFonts w:eastAsia="Arial" w:cs="Arial"/>
          <w:color w:val="212121"/>
          <w:szCs w:val="22"/>
          <w:lang w:val="en-AU"/>
        </w:rPr>
        <w:t>*"[All Fields] OR "</w:t>
      </w:r>
      <w:proofErr w:type="spellStart"/>
      <w:r w:rsidRPr="0FA3F79A">
        <w:rPr>
          <w:rFonts w:eastAsia="Arial" w:cs="Arial"/>
          <w:color w:val="212121"/>
          <w:szCs w:val="22"/>
          <w:lang w:val="en-AU"/>
        </w:rPr>
        <w:t>anemi</w:t>
      </w:r>
      <w:proofErr w:type="spellEnd"/>
      <w:r w:rsidRPr="0FA3F79A">
        <w:rPr>
          <w:rFonts w:eastAsia="Arial" w:cs="Arial"/>
          <w:color w:val="212121"/>
          <w:szCs w:val="22"/>
          <w:lang w:val="en-AU"/>
        </w:rPr>
        <w:t>*"[All Fields] OR "iron*"[All Fields] OR "copper*"[All Fields] OR "zinc*"[All Fields] OR "manganese*"[All Fields]))</w:t>
      </w:r>
      <w:r w:rsidRPr="0FA3F79A">
        <w:rPr>
          <w:rFonts w:eastAsia="Arial" w:cs="Arial"/>
          <w:color w:val="000000" w:themeColor="text1"/>
          <w:szCs w:val="22"/>
          <w:lang w:val="en-AU"/>
        </w:rPr>
        <w:t xml:space="preserve"> </w:t>
      </w:r>
      <w:r w:rsidRPr="0FA3F79A">
        <w:rPr>
          <w:rFonts w:eastAsia="Arial" w:cs="Arial"/>
          <w:color w:val="212121"/>
          <w:sz w:val="24"/>
          <w:lang w:val="en-AU"/>
        </w:rPr>
        <w:t xml:space="preserve">and </w:t>
      </w:r>
      <w:r w:rsidRPr="0FA3F79A">
        <w:rPr>
          <w:rFonts w:eastAsia="Arial" w:cs="Arial"/>
          <w:color w:val="000000" w:themeColor="text1"/>
          <w:szCs w:val="22"/>
          <w:lang w:val="en-AU"/>
        </w:rPr>
        <w:t xml:space="preserve">filtered results by studies in humans, published in English, and available in full text. </w:t>
      </w:r>
    </w:p>
    <w:p w14:paraId="66B5C33A" w14:textId="086D0DBF" w:rsidR="000D2ADD" w:rsidRDefault="000D2ADD" w:rsidP="005A3101">
      <w:pPr>
        <w:rPr>
          <w:rFonts w:eastAsia="Arial" w:cs="Arial"/>
          <w:color w:val="000000" w:themeColor="text1"/>
          <w:szCs w:val="22"/>
        </w:rPr>
      </w:pPr>
    </w:p>
    <w:p w14:paraId="0957472F" w14:textId="02D467F2" w:rsidR="005A3101" w:rsidDel="000D2ADD" w:rsidRDefault="005A3101" w:rsidP="005A3101">
      <w:pPr>
        <w:rPr>
          <w:rFonts w:eastAsia="Arial" w:cs="Arial"/>
          <w:color w:val="000000" w:themeColor="text1"/>
          <w:szCs w:val="22"/>
        </w:rPr>
      </w:pPr>
      <w:r w:rsidRPr="0FA3F79A">
        <w:rPr>
          <w:rFonts w:eastAsia="Arial" w:cs="Arial"/>
          <w:color w:val="000000" w:themeColor="text1"/>
          <w:szCs w:val="22"/>
          <w:lang w:val="en-AU"/>
        </w:rPr>
        <w:t>The search provided 35 results.</w:t>
      </w:r>
      <w:r w:rsidR="000D2ADD">
        <w:rPr>
          <w:rFonts w:eastAsia="Arial" w:cs="Arial"/>
          <w:color w:val="000000" w:themeColor="text1"/>
          <w:szCs w:val="22"/>
          <w:lang w:val="en-US"/>
        </w:rPr>
        <w:t xml:space="preserve"> </w:t>
      </w:r>
      <w:r w:rsidR="7B0873C3" w:rsidRPr="0682D99A">
        <w:rPr>
          <w:rFonts w:eastAsia="Arial" w:cs="Arial"/>
          <w:color w:val="000000" w:themeColor="text1"/>
          <w:szCs w:val="22"/>
        </w:rPr>
        <w:t xml:space="preserve">We identified primary research by screening individual publications against inclusion </w:t>
      </w:r>
      <w:r w:rsidR="7B0873C3" w:rsidRPr="005918B9">
        <w:rPr>
          <w:rFonts w:eastAsia="Arial" w:cs="Arial"/>
          <w:color w:val="000000" w:themeColor="text1"/>
          <w:szCs w:val="22"/>
        </w:rPr>
        <w:t>criteria (Table A.</w:t>
      </w:r>
      <w:r w:rsidR="005918B9" w:rsidRPr="005918B9">
        <w:rPr>
          <w:rFonts w:eastAsia="Arial" w:cs="Arial"/>
          <w:color w:val="000000" w:themeColor="text1"/>
          <w:szCs w:val="22"/>
        </w:rPr>
        <w:t>1</w:t>
      </w:r>
      <w:r w:rsidR="7B0873C3" w:rsidRPr="005918B9">
        <w:rPr>
          <w:rFonts w:eastAsia="Arial" w:cs="Arial"/>
          <w:color w:val="000000" w:themeColor="text1"/>
          <w:szCs w:val="22"/>
        </w:rPr>
        <w:t>) and included moderate or high quality reviews of such primary research. The only modifications were: the replacement of the outcome criteria listed in Table A.</w:t>
      </w:r>
      <w:r w:rsidR="005918B9" w:rsidRPr="005918B9">
        <w:rPr>
          <w:rFonts w:eastAsia="Arial" w:cs="Arial"/>
          <w:color w:val="000000" w:themeColor="text1"/>
          <w:szCs w:val="22"/>
        </w:rPr>
        <w:t>1</w:t>
      </w:r>
      <w:r w:rsidR="7B0873C3" w:rsidRPr="005918B9">
        <w:rPr>
          <w:rFonts w:eastAsia="Arial" w:cs="Arial"/>
          <w:color w:val="000000" w:themeColor="text1"/>
          <w:szCs w:val="22"/>
        </w:rPr>
        <w:t xml:space="preserve"> with </w:t>
      </w:r>
      <w:r w:rsidR="7B0873C3" w:rsidRPr="005918B9">
        <w:rPr>
          <w:rFonts w:eastAsia="Arial" w:cs="Arial"/>
          <w:color w:val="000000" w:themeColor="text1"/>
          <w:szCs w:val="22"/>
          <w:lang w:val="en-AU"/>
        </w:rPr>
        <w:t>any outcome related to the bioavailability of lactoferrin</w:t>
      </w:r>
      <w:r w:rsidR="7B0873C3" w:rsidRPr="005918B9">
        <w:rPr>
          <w:rFonts w:eastAsia="Arial" w:cs="Arial"/>
          <w:color w:val="000000" w:themeColor="text1"/>
          <w:szCs w:val="22"/>
        </w:rPr>
        <w:t>; and, the replacement of the time criteria listed in Table A.</w:t>
      </w:r>
      <w:r w:rsidR="005918B9" w:rsidRPr="005918B9">
        <w:rPr>
          <w:rFonts w:eastAsia="Arial" w:cs="Arial"/>
          <w:color w:val="000000" w:themeColor="text1"/>
          <w:szCs w:val="22"/>
        </w:rPr>
        <w:t>1</w:t>
      </w:r>
      <w:r w:rsidR="7B0873C3" w:rsidRPr="0682D99A">
        <w:rPr>
          <w:rFonts w:eastAsia="Arial" w:cs="Arial"/>
          <w:color w:val="000000" w:themeColor="text1"/>
          <w:szCs w:val="22"/>
        </w:rPr>
        <w:t xml:space="preserve"> with any duration</w:t>
      </w:r>
      <w:r w:rsidR="7B0873C3" w:rsidRPr="0682D99A">
        <w:rPr>
          <w:rFonts w:eastAsia="Arial" w:cs="Arial"/>
          <w:color w:val="000000" w:themeColor="text1"/>
          <w:szCs w:val="22"/>
          <w:lang w:val="en"/>
        </w:rPr>
        <w:t>.</w:t>
      </w:r>
    </w:p>
    <w:p w14:paraId="39733EB0" w14:textId="6FAE95B6" w:rsidR="005A3101" w:rsidRDefault="005A3101" w:rsidP="005A3101">
      <w:pPr>
        <w:rPr>
          <w:rFonts w:eastAsia="Arial" w:cs="Arial"/>
          <w:color w:val="000000" w:themeColor="text1"/>
          <w:szCs w:val="22"/>
        </w:rPr>
      </w:pPr>
    </w:p>
    <w:p w14:paraId="066BD9BD" w14:textId="7B17200C" w:rsidR="005A3101" w:rsidRDefault="005A3101" w:rsidP="005A3101">
      <w:pPr>
        <w:rPr>
          <w:rFonts w:eastAsia="Arial" w:cs="Arial"/>
          <w:color w:val="000000" w:themeColor="text1"/>
          <w:szCs w:val="22"/>
        </w:rPr>
      </w:pPr>
      <w:r w:rsidRPr="0FA3F79A">
        <w:rPr>
          <w:rFonts w:eastAsia="Arial" w:cs="Arial"/>
          <w:color w:val="000000" w:themeColor="text1"/>
          <w:szCs w:val="22"/>
          <w:lang w:val="en-AU"/>
        </w:rPr>
        <w:t xml:space="preserve">Screening of titles and abstracts led to zero full text publication being retrieved. We screened additional full texts provided by the </w:t>
      </w:r>
      <w:r w:rsidR="7B0873C3" w:rsidRPr="0682D99A">
        <w:rPr>
          <w:rFonts w:eastAsia="Arial" w:cs="Arial"/>
          <w:color w:val="000000" w:themeColor="text1"/>
          <w:szCs w:val="22"/>
          <w:lang w:val="en-AU"/>
        </w:rPr>
        <w:t>Application</w:t>
      </w:r>
      <w:r w:rsidRPr="0FA3F79A">
        <w:rPr>
          <w:rFonts w:eastAsia="Arial" w:cs="Arial"/>
          <w:color w:val="000000" w:themeColor="text1"/>
          <w:szCs w:val="22"/>
          <w:lang w:val="en-AU"/>
        </w:rPr>
        <w:t xml:space="preserve"> (sections 2.3.1.1.3, 2.3.1.2.2, 2.3.1.3.2, 3.2.1.2.1, 3.2.1.2.2, and 3.2.2.1) and excluded them as they did not meet the study selection criteria.</w:t>
      </w:r>
    </w:p>
    <w:p w14:paraId="7D7B287D" w14:textId="10742395" w:rsidR="005A3101" w:rsidRDefault="005A3101" w:rsidP="00690206">
      <w:pPr>
        <w:rPr>
          <w:rFonts w:eastAsia="Arial" w:cs="Arial"/>
          <w:color w:val="000000" w:themeColor="text1"/>
          <w:szCs w:val="22"/>
        </w:rPr>
      </w:pPr>
    </w:p>
    <w:p w14:paraId="02E03904" w14:textId="4D0B64E8" w:rsidR="005A3101" w:rsidRDefault="005A3101" w:rsidP="00733CE2">
      <w:pPr>
        <w:pStyle w:val="Heading2"/>
        <w:rPr>
          <w:rFonts w:eastAsia="Arial"/>
        </w:rPr>
      </w:pPr>
      <w:bookmarkStart w:id="152" w:name="_Toc112915046"/>
      <w:bookmarkStart w:id="153" w:name="_Toc113523093"/>
      <w:r w:rsidRPr="32210B9E">
        <w:rPr>
          <w:rFonts w:eastAsia="Arial"/>
        </w:rPr>
        <w:t>A2.4</w:t>
      </w:r>
      <w:r>
        <w:tab/>
      </w:r>
      <w:r w:rsidR="5A44BB4E" w:rsidRPr="1F557A3B">
        <w:rPr>
          <w:rFonts w:eastAsia="Arial"/>
        </w:rPr>
        <w:t>The effect</w:t>
      </w:r>
      <w:r w:rsidRPr="32210B9E">
        <w:rPr>
          <w:rFonts w:eastAsia="Arial"/>
        </w:rPr>
        <w:t xml:space="preserve"> of bovine versus human lactoferrin</w:t>
      </w:r>
      <w:r w:rsidR="5A44BB4E" w:rsidRPr="1F557A3B">
        <w:rPr>
          <w:rFonts w:eastAsia="Arial"/>
        </w:rPr>
        <w:t xml:space="preserve"> on nutrient bioavailability</w:t>
      </w:r>
      <w:bookmarkEnd w:id="152"/>
      <w:bookmarkEnd w:id="153"/>
    </w:p>
    <w:p w14:paraId="44675926" w14:textId="11AC5D3D" w:rsidR="005A3101" w:rsidRDefault="005A3101" w:rsidP="006406E3">
      <w:pPr>
        <w:pStyle w:val="Heading3"/>
        <w:rPr>
          <w:rFonts w:eastAsia="Arial"/>
        </w:rPr>
      </w:pPr>
      <w:bookmarkStart w:id="154" w:name="_Toc112915047"/>
      <w:bookmarkStart w:id="155" w:name="_Toc113523094"/>
      <w:r w:rsidRPr="0682D99A">
        <w:rPr>
          <w:rFonts w:eastAsia="Arial"/>
        </w:rPr>
        <w:t>A2.4.1</w:t>
      </w:r>
      <w:r>
        <w:tab/>
      </w:r>
      <w:r>
        <w:tab/>
      </w:r>
      <w:r w:rsidRPr="0682D99A">
        <w:rPr>
          <w:rFonts w:eastAsia="Arial"/>
        </w:rPr>
        <w:t>Methods and results</w:t>
      </w:r>
      <w:bookmarkEnd w:id="154"/>
      <w:bookmarkEnd w:id="155"/>
    </w:p>
    <w:p w14:paraId="15682B63" w14:textId="447154A7" w:rsidR="005A3101" w:rsidRDefault="393B44FB" w:rsidP="2E4B879B">
      <w:pPr>
        <w:rPr>
          <w:rFonts w:eastAsia="Arial" w:cs="Arial"/>
          <w:color w:val="000000" w:themeColor="text1"/>
          <w:szCs w:val="22"/>
        </w:rPr>
      </w:pPr>
      <w:r w:rsidRPr="0682D99A">
        <w:rPr>
          <w:rFonts w:eastAsia="Arial" w:cs="Arial"/>
          <w:color w:val="000000" w:themeColor="text1"/>
          <w:szCs w:val="22"/>
          <w:lang w:val="en-AU"/>
        </w:rPr>
        <w:t xml:space="preserve">We identified and screened the literature using the strategy and study selection criteria described in section </w:t>
      </w:r>
      <w:r w:rsidR="7B0873C3" w:rsidRPr="00C27BF2">
        <w:rPr>
          <w:rFonts w:eastAsia="Arial" w:cs="Arial"/>
          <w:color w:val="000000" w:themeColor="text1"/>
          <w:szCs w:val="22"/>
          <w:lang w:val="en-AU"/>
        </w:rPr>
        <w:t xml:space="preserve">A2.3.1. </w:t>
      </w:r>
      <w:r w:rsidR="7B0873C3" w:rsidRPr="00C27BF2">
        <w:rPr>
          <w:rFonts w:eastAsia="Arial" w:cs="Arial"/>
          <w:color w:val="000000" w:themeColor="text1"/>
          <w:szCs w:val="22"/>
        </w:rPr>
        <w:t>The only modifications were: the replacement of the outcome criteria listed in Table A.</w:t>
      </w:r>
      <w:r w:rsidR="00C27BF2" w:rsidRPr="00C27BF2">
        <w:rPr>
          <w:rFonts w:eastAsia="Arial" w:cs="Arial"/>
          <w:color w:val="000000" w:themeColor="text1"/>
          <w:szCs w:val="22"/>
        </w:rPr>
        <w:t>1</w:t>
      </w:r>
      <w:r w:rsidR="7B0873C3" w:rsidRPr="00C27BF2">
        <w:rPr>
          <w:rFonts w:eastAsia="Arial" w:cs="Arial"/>
          <w:color w:val="000000" w:themeColor="text1"/>
          <w:szCs w:val="22"/>
        </w:rPr>
        <w:t xml:space="preserve"> with </w:t>
      </w:r>
      <w:r w:rsidR="7B0873C3" w:rsidRPr="00C27BF2">
        <w:rPr>
          <w:rFonts w:eastAsia="Arial" w:cs="Arial"/>
          <w:color w:val="000000" w:themeColor="text1"/>
          <w:szCs w:val="22"/>
          <w:lang w:val="en-AU"/>
        </w:rPr>
        <w:t>any outcome related to nutrient bioavailability</w:t>
      </w:r>
      <w:r w:rsidR="7B0873C3" w:rsidRPr="00C27BF2">
        <w:rPr>
          <w:rFonts w:eastAsia="Arial" w:cs="Arial"/>
          <w:color w:val="000000" w:themeColor="text1"/>
          <w:szCs w:val="22"/>
        </w:rPr>
        <w:t>; and, the replacement of the time criteria listed in Table A.</w:t>
      </w:r>
      <w:r w:rsidR="00C27BF2" w:rsidRPr="00C27BF2">
        <w:rPr>
          <w:rFonts w:eastAsia="Arial" w:cs="Arial"/>
          <w:color w:val="000000" w:themeColor="text1"/>
          <w:szCs w:val="22"/>
        </w:rPr>
        <w:t>1</w:t>
      </w:r>
      <w:r w:rsidR="7B0873C3" w:rsidRPr="00C27BF2">
        <w:rPr>
          <w:rFonts w:eastAsia="Arial" w:cs="Arial"/>
          <w:color w:val="000000" w:themeColor="text1"/>
          <w:szCs w:val="22"/>
        </w:rPr>
        <w:t xml:space="preserve"> with</w:t>
      </w:r>
      <w:r w:rsidR="7B0873C3" w:rsidRPr="0682D99A">
        <w:rPr>
          <w:rFonts w:eastAsia="Arial" w:cs="Arial"/>
          <w:color w:val="000000" w:themeColor="text1"/>
          <w:szCs w:val="22"/>
        </w:rPr>
        <w:t xml:space="preserve"> any duration</w:t>
      </w:r>
      <w:r w:rsidR="7B0873C3" w:rsidRPr="0682D99A">
        <w:rPr>
          <w:rFonts w:eastAsia="Arial" w:cs="Arial"/>
          <w:color w:val="000000" w:themeColor="text1"/>
          <w:szCs w:val="22"/>
          <w:lang w:val="en"/>
        </w:rPr>
        <w:t>.</w:t>
      </w:r>
      <w:r w:rsidR="7B0873C3" w:rsidRPr="0682D99A">
        <w:rPr>
          <w:rFonts w:eastAsia="Arial" w:cs="Arial"/>
          <w:color w:val="000000" w:themeColor="text1"/>
          <w:szCs w:val="22"/>
          <w:lang w:val="en-AU"/>
        </w:rPr>
        <w:t xml:space="preserve"> For time efficiency, we did not check studies' non-compliance with any of the compositional requirements of Standard 2.9.1 other than iron, or the pH of IFP (which may affect </w:t>
      </w:r>
      <w:proofErr w:type="spellStart"/>
      <w:r w:rsidR="7B0873C3" w:rsidRPr="0682D99A">
        <w:rPr>
          <w:rFonts w:eastAsia="Arial" w:cs="Arial"/>
          <w:color w:val="000000" w:themeColor="text1"/>
          <w:szCs w:val="22"/>
          <w:lang w:val="en-AU"/>
        </w:rPr>
        <w:t>bLf’s</w:t>
      </w:r>
      <w:proofErr w:type="spellEnd"/>
      <w:r w:rsidR="7B0873C3" w:rsidRPr="0682D99A">
        <w:rPr>
          <w:rFonts w:eastAsia="Arial" w:cs="Arial"/>
          <w:color w:val="000000" w:themeColor="text1"/>
          <w:szCs w:val="22"/>
          <w:lang w:val="en-AU"/>
        </w:rPr>
        <w:t xml:space="preserve"> ability to bind iron). As we did not exclude studies on this basis, included studies may have used non-compliant IFP</w:t>
      </w:r>
      <w:r w:rsidRPr="0682D99A">
        <w:rPr>
          <w:rFonts w:eastAsia="Arial" w:cs="Arial"/>
          <w:color w:val="000000" w:themeColor="text1"/>
          <w:szCs w:val="22"/>
          <w:lang w:val="en-AU"/>
        </w:rPr>
        <w:t>.</w:t>
      </w:r>
    </w:p>
    <w:p w14:paraId="3278885C" w14:textId="1565B161" w:rsidR="005A3101" w:rsidRDefault="005A3101" w:rsidP="2E4B879B">
      <w:pPr>
        <w:rPr>
          <w:rFonts w:eastAsia="Arial" w:cs="Arial"/>
          <w:color w:val="000000" w:themeColor="text1"/>
          <w:szCs w:val="22"/>
        </w:rPr>
      </w:pPr>
    </w:p>
    <w:p w14:paraId="0A09B0F5" w14:textId="61C66DC6" w:rsidR="7B0873C3" w:rsidRDefault="7B0873C3" w:rsidP="0682D99A">
      <w:pPr>
        <w:spacing w:line="259" w:lineRule="auto"/>
        <w:rPr>
          <w:rFonts w:eastAsia="Arial" w:cs="Arial"/>
          <w:color w:val="000000" w:themeColor="text1"/>
          <w:szCs w:val="22"/>
        </w:rPr>
      </w:pPr>
      <w:r w:rsidRPr="0682D99A">
        <w:rPr>
          <w:rFonts w:eastAsia="Arial" w:cs="Arial"/>
          <w:color w:val="000000" w:themeColor="text1"/>
          <w:szCs w:val="22"/>
          <w:lang w:val="en-AU"/>
        </w:rPr>
        <w:t>The search provided 35 results.</w:t>
      </w:r>
    </w:p>
    <w:p w14:paraId="2735CAB9" w14:textId="00582766" w:rsidR="0682D99A" w:rsidRDefault="0682D99A" w:rsidP="0682D99A">
      <w:pPr>
        <w:spacing w:line="259" w:lineRule="auto"/>
        <w:rPr>
          <w:rFonts w:eastAsia="Arial" w:cs="Arial"/>
          <w:color w:val="000000" w:themeColor="text1"/>
          <w:szCs w:val="22"/>
        </w:rPr>
      </w:pPr>
    </w:p>
    <w:p w14:paraId="0829B552" w14:textId="79A6BDFD" w:rsidR="7B0873C3" w:rsidRDefault="7B0873C3" w:rsidP="64946D53">
      <w:pPr>
        <w:spacing w:line="259" w:lineRule="auto"/>
        <w:rPr>
          <w:rFonts w:eastAsia="Arial" w:cs="Arial"/>
          <w:color w:val="000000" w:themeColor="text1"/>
        </w:rPr>
      </w:pPr>
      <w:r w:rsidRPr="64946D53">
        <w:rPr>
          <w:rFonts w:eastAsia="Arial" w:cs="Arial"/>
          <w:color w:val="000000" w:themeColor="text1"/>
          <w:lang w:val="en-AU"/>
        </w:rPr>
        <w:t>Screening of titles and abstracts led to five full text publications being retrieved (</w:t>
      </w:r>
      <w:proofErr w:type="spellStart"/>
      <w:r w:rsidRPr="64946D53">
        <w:rPr>
          <w:rFonts w:eastAsia="Arial" w:cs="Arial"/>
          <w:color w:val="000000" w:themeColor="text1"/>
          <w:lang w:val="en-AU"/>
        </w:rPr>
        <w:t>Lönnerdal</w:t>
      </w:r>
      <w:proofErr w:type="spellEnd"/>
      <w:r w:rsidRPr="64946D53">
        <w:rPr>
          <w:rFonts w:eastAsia="Arial" w:cs="Arial"/>
          <w:color w:val="000000" w:themeColor="text1"/>
          <w:lang w:val="en-AU"/>
        </w:rPr>
        <w:t xml:space="preserve"> &amp; </w:t>
      </w:r>
      <w:proofErr w:type="spellStart"/>
      <w:r w:rsidRPr="64946D53">
        <w:rPr>
          <w:rFonts w:eastAsia="Arial" w:cs="Arial"/>
          <w:color w:val="000000" w:themeColor="text1"/>
          <w:lang w:val="en-AU"/>
        </w:rPr>
        <w:t>Hernell</w:t>
      </w:r>
      <w:proofErr w:type="spellEnd"/>
      <w:r w:rsidRPr="64946D53">
        <w:rPr>
          <w:rFonts w:eastAsia="Arial" w:cs="Arial"/>
          <w:color w:val="000000" w:themeColor="text1"/>
          <w:lang w:val="en-AU"/>
        </w:rPr>
        <w:t xml:space="preserve"> 1994; </w:t>
      </w:r>
      <w:proofErr w:type="spellStart"/>
      <w:r w:rsidRPr="64946D53">
        <w:rPr>
          <w:rFonts w:eastAsia="Arial" w:cs="Arial"/>
          <w:color w:val="000000" w:themeColor="text1"/>
          <w:lang w:val="en-AU"/>
        </w:rPr>
        <w:t>Hernell</w:t>
      </w:r>
      <w:proofErr w:type="spellEnd"/>
      <w:r w:rsidRPr="64946D53">
        <w:rPr>
          <w:rFonts w:eastAsia="Arial" w:cs="Arial"/>
          <w:color w:val="000000" w:themeColor="text1"/>
          <w:lang w:val="en-AU"/>
        </w:rPr>
        <w:t xml:space="preserve"> &amp; </w:t>
      </w:r>
      <w:proofErr w:type="spellStart"/>
      <w:r w:rsidRPr="64946D53">
        <w:rPr>
          <w:rFonts w:eastAsia="Arial" w:cs="Arial"/>
          <w:color w:val="000000" w:themeColor="text1"/>
          <w:lang w:val="en-AU"/>
        </w:rPr>
        <w:t>Lönnerdal</w:t>
      </w:r>
      <w:proofErr w:type="spellEnd"/>
      <w:r w:rsidRPr="64946D53">
        <w:rPr>
          <w:rFonts w:eastAsia="Arial" w:cs="Arial"/>
          <w:color w:val="000000" w:themeColor="text1"/>
          <w:lang w:val="en-AU"/>
        </w:rPr>
        <w:t xml:space="preserve"> 2002; </w:t>
      </w:r>
      <w:proofErr w:type="spellStart"/>
      <w:r w:rsidRPr="64946D53">
        <w:rPr>
          <w:rFonts w:eastAsia="Arial" w:cs="Arial"/>
          <w:color w:val="000000" w:themeColor="text1"/>
          <w:lang w:val="en-AU"/>
        </w:rPr>
        <w:t>Chierici</w:t>
      </w:r>
      <w:proofErr w:type="spellEnd"/>
      <w:r w:rsidRPr="64946D53">
        <w:rPr>
          <w:rFonts w:eastAsia="Arial" w:cs="Arial"/>
          <w:color w:val="000000" w:themeColor="text1"/>
          <w:lang w:val="en-AU"/>
        </w:rPr>
        <w:t xml:space="preserve"> et al. 1992; </w:t>
      </w:r>
      <w:proofErr w:type="spellStart"/>
      <w:r w:rsidRPr="64946D53">
        <w:rPr>
          <w:rFonts w:eastAsia="Arial" w:cs="Arial"/>
          <w:color w:val="000000" w:themeColor="text1"/>
        </w:rPr>
        <w:t>Björmsjö</w:t>
      </w:r>
      <w:proofErr w:type="spellEnd"/>
      <w:r w:rsidRPr="64946D53">
        <w:rPr>
          <w:rFonts w:eastAsia="Arial" w:cs="Arial"/>
          <w:color w:val="000000" w:themeColor="text1"/>
        </w:rPr>
        <w:t xml:space="preserve"> et al. 2021; </w:t>
      </w:r>
      <w:proofErr w:type="spellStart"/>
      <w:r w:rsidRPr="64946D53">
        <w:rPr>
          <w:rFonts w:eastAsia="Arial" w:cs="Arial"/>
          <w:color w:val="000000" w:themeColor="text1"/>
        </w:rPr>
        <w:t>Björmsjö</w:t>
      </w:r>
      <w:proofErr w:type="spellEnd"/>
      <w:r w:rsidRPr="64946D53">
        <w:rPr>
          <w:rFonts w:eastAsia="Arial" w:cs="Arial"/>
          <w:color w:val="000000" w:themeColor="text1"/>
        </w:rPr>
        <w:t xml:space="preserve"> et al. 2022</w:t>
      </w:r>
      <w:r w:rsidRPr="64946D53">
        <w:rPr>
          <w:rFonts w:eastAsia="Arial" w:cs="Arial"/>
          <w:color w:val="000000" w:themeColor="text1"/>
          <w:lang w:val="en-AU"/>
        </w:rPr>
        <w:t xml:space="preserve">) of which none met the inclusion criteria. Screening of full texts led to the exclusion of </w:t>
      </w:r>
      <w:proofErr w:type="spellStart"/>
      <w:r w:rsidRPr="64946D53">
        <w:rPr>
          <w:rFonts w:eastAsia="Arial" w:cs="Arial"/>
          <w:color w:val="000000" w:themeColor="text1"/>
          <w:lang w:val="en-AU"/>
        </w:rPr>
        <w:t>Lönnerdal</w:t>
      </w:r>
      <w:proofErr w:type="spellEnd"/>
      <w:r w:rsidRPr="64946D53">
        <w:rPr>
          <w:rFonts w:eastAsia="Arial" w:cs="Arial"/>
          <w:color w:val="000000" w:themeColor="text1"/>
          <w:lang w:val="en-AU"/>
        </w:rPr>
        <w:t xml:space="preserve"> &amp; </w:t>
      </w:r>
      <w:proofErr w:type="spellStart"/>
      <w:r w:rsidRPr="64946D53">
        <w:rPr>
          <w:rFonts w:eastAsia="Arial" w:cs="Arial"/>
          <w:color w:val="000000" w:themeColor="text1"/>
          <w:lang w:val="en-AU"/>
        </w:rPr>
        <w:t>Hernell</w:t>
      </w:r>
      <w:proofErr w:type="spellEnd"/>
      <w:r w:rsidRPr="64946D53">
        <w:rPr>
          <w:rFonts w:eastAsia="Arial" w:cs="Arial"/>
          <w:color w:val="000000" w:themeColor="text1"/>
          <w:lang w:val="en-AU"/>
        </w:rPr>
        <w:t xml:space="preserve"> (1994), </w:t>
      </w:r>
      <w:proofErr w:type="spellStart"/>
      <w:r w:rsidRPr="64946D53">
        <w:rPr>
          <w:rFonts w:eastAsia="Arial" w:cs="Arial"/>
          <w:color w:val="000000" w:themeColor="text1"/>
          <w:lang w:val="en-AU"/>
        </w:rPr>
        <w:t>Hernell</w:t>
      </w:r>
      <w:proofErr w:type="spellEnd"/>
      <w:r w:rsidRPr="64946D53">
        <w:rPr>
          <w:rFonts w:eastAsia="Arial" w:cs="Arial"/>
          <w:color w:val="000000" w:themeColor="text1"/>
          <w:lang w:val="en-AU"/>
        </w:rPr>
        <w:t xml:space="preserve"> &amp; </w:t>
      </w:r>
      <w:proofErr w:type="spellStart"/>
      <w:r w:rsidRPr="64946D53">
        <w:rPr>
          <w:rFonts w:eastAsia="Arial" w:cs="Arial"/>
          <w:color w:val="000000" w:themeColor="text1"/>
          <w:lang w:val="en-AU"/>
        </w:rPr>
        <w:t>Lönnerdal</w:t>
      </w:r>
      <w:proofErr w:type="spellEnd"/>
      <w:r w:rsidRPr="64946D53">
        <w:rPr>
          <w:rFonts w:eastAsia="Arial" w:cs="Arial"/>
          <w:color w:val="000000" w:themeColor="text1"/>
          <w:lang w:val="en-AU"/>
        </w:rPr>
        <w:t xml:space="preserve"> (2002) and </w:t>
      </w:r>
      <w:proofErr w:type="spellStart"/>
      <w:r w:rsidRPr="64946D53">
        <w:rPr>
          <w:rFonts w:eastAsia="Arial" w:cs="Arial"/>
          <w:color w:val="000000" w:themeColor="text1"/>
        </w:rPr>
        <w:t>Björmsjö</w:t>
      </w:r>
      <w:proofErr w:type="spellEnd"/>
      <w:r w:rsidRPr="64946D53">
        <w:rPr>
          <w:rFonts w:eastAsia="Arial" w:cs="Arial"/>
          <w:color w:val="000000" w:themeColor="text1"/>
        </w:rPr>
        <w:t xml:space="preserve"> et al. (2021) </w:t>
      </w:r>
      <w:r w:rsidRPr="64946D53">
        <w:rPr>
          <w:rFonts w:eastAsia="Arial" w:cs="Arial"/>
          <w:color w:val="000000" w:themeColor="text1"/>
          <w:lang w:val="en-AU"/>
        </w:rPr>
        <w:t xml:space="preserve">for the reasons stated above (sections </w:t>
      </w:r>
      <w:r w:rsidR="44FC6F5A" w:rsidRPr="64946D53">
        <w:rPr>
          <w:rFonts w:eastAsia="Arial" w:cs="Arial"/>
          <w:color w:val="000000" w:themeColor="text1"/>
          <w:lang w:val="en-AU"/>
        </w:rPr>
        <w:t>4</w:t>
      </w:r>
      <w:r w:rsidRPr="64946D53">
        <w:rPr>
          <w:rFonts w:eastAsia="Arial" w:cs="Arial"/>
          <w:color w:val="000000" w:themeColor="text1"/>
          <w:lang w:val="en-AU"/>
        </w:rPr>
        <w:t xml:space="preserve">.2.2 and A2.1.1). </w:t>
      </w:r>
      <w:proofErr w:type="spellStart"/>
      <w:r w:rsidRPr="64946D53">
        <w:rPr>
          <w:rFonts w:eastAsia="Arial" w:cs="Arial"/>
          <w:color w:val="000000" w:themeColor="text1"/>
        </w:rPr>
        <w:t>Björmsjö</w:t>
      </w:r>
      <w:proofErr w:type="spellEnd"/>
      <w:r w:rsidRPr="64946D53">
        <w:rPr>
          <w:rFonts w:eastAsia="Arial" w:cs="Arial"/>
          <w:color w:val="000000" w:themeColor="text1"/>
        </w:rPr>
        <w:t xml:space="preserve"> et al. (2021) and </w:t>
      </w:r>
      <w:proofErr w:type="spellStart"/>
      <w:r w:rsidRPr="64946D53">
        <w:rPr>
          <w:rFonts w:eastAsia="Arial" w:cs="Arial"/>
          <w:color w:val="000000" w:themeColor="text1"/>
        </w:rPr>
        <w:t>Björmsjö</w:t>
      </w:r>
      <w:proofErr w:type="spellEnd"/>
      <w:r w:rsidRPr="64946D53">
        <w:rPr>
          <w:rFonts w:eastAsia="Arial" w:cs="Arial"/>
          <w:color w:val="000000" w:themeColor="text1"/>
        </w:rPr>
        <w:t xml:space="preserve"> et al. (2022) report on the same study.</w:t>
      </w:r>
      <w:r w:rsidRPr="64946D53">
        <w:rPr>
          <w:rFonts w:eastAsia="Arial" w:cs="Arial"/>
          <w:color w:val="000000" w:themeColor="text1"/>
          <w:lang w:val="en-AU"/>
        </w:rPr>
        <w:t xml:space="preserve"> </w:t>
      </w:r>
      <w:proofErr w:type="spellStart"/>
      <w:r w:rsidRPr="64946D53">
        <w:rPr>
          <w:rFonts w:eastAsia="Arial" w:cs="Arial"/>
          <w:color w:val="000000" w:themeColor="text1"/>
        </w:rPr>
        <w:t>Björmsjö</w:t>
      </w:r>
      <w:proofErr w:type="spellEnd"/>
      <w:r w:rsidRPr="64946D53">
        <w:rPr>
          <w:rFonts w:eastAsia="Arial" w:cs="Arial"/>
          <w:color w:val="000000" w:themeColor="text1"/>
        </w:rPr>
        <w:t xml:space="preserve"> et al. (2022) was excluded for these reasons as well as </w:t>
      </w:r>
      <w:r w:rsidRPr="64946D53">
        <w:rPr>
          <w:rFonts w:eastAsia="Arial" w:cs="Arial"/>
          <w:color w:val="000000" w:themeColor="text1"/>
          <w:lang w:val="en-AU"/>
        </w:rPr>
        <w:t xml:space="preserve">not assessing a relevant outcome. </w:t>
      </w:r>
      <w:proofErr w:type="spellStart"/>
      <w:r w:rsidRPr="64946D53">
        <w:rPr>
          <w:rFonts w:eastAsia="Arial" w:cs="Arial"/>
          <w:color w:val="000000" w:themeColor="text1"/>
          <w:lang w:val="en-AU"/>
        </w:rPr>
        <w:t>Chierici</w:t>
      </w:r>
      <w:proofErr w:type="spellEnd"/>
      <w:r w:rsidRPr="64946D53">
        <w:rPr>
          <w:rFonts w:eastAsia="Arial" w:cs="Arial"/>
          <w:color w:val="000000" w:themeColor="text1"/>
          <w:lang w:val="en-AU"/>
        </w:rPr>
        <w:t xml:space="preserve"> et al. (1992) was excluded because: the study’s IFP had an iron content substantially lower than the Code’s compositional requirements (82% lower than the Code’s minimum iron level); the intervention and comparator groups were samples of only 14 and 10 infants, respectively, and is unlikely to be powered to detect differences in outcomes, if they existed; iron saturation of </w:t>
      </w:r>
      <w:proofErr w:type="spellStart"/>
      <w:r w:rsidRPr="64946D53">
        <w:rPr>
          <w:rFonts w:eastAsia="Arial" w:cs="Arial"/>
          <w:color w:val="000000" w:themeColor="text1"/>
          <w:lang w:val="en-AU"/>
        </w:rPr>
        <w:t>bLf</w:t>
      </w:r>
      <w:proofErr w:type="spellEnd"/>
      <w:r w:rsidRPr="64946D53">
        <w:rPr>
          <w:rFonts w:eastAsia="Arial" w:cs="Arial"/>
          <w:color w:val="000000" w:themeColor="text1"/>
          <w:lang w:val="en-AU"/>
        </w:rPr>
        <w:t xml:space="preserve"> (20%) is twice as high as the maximum level specified by the Application; and, the intervention groups’ infants’ age at which they began consuming </w:t>
      </w:r>
      <w:proofErr w:type="spellStart"/>
      <w:r w:rsidRPr="64946D53">
        <w:rPr>
          <w:rFonts w:eastAsia="Arial" w:cs="Arial"/>
          <w:color w:val="000000" w:themeColor="text1"/>
          <w:lang w:val="en-AU"/>
        </w:rPr>
        <w:t>bLf</w:t>
      </w:r>
      <w:proofErr w:type="spellEnd"/>
      <w:r w:rsidRPr="64946D53">
        <w:rPr>
          <w:rFonts w:eastAsia="Arial" w:cs="Arial"/>
          <w:color w:val="000000" w:themeColor="text1"/>
          <w:lang w:val="en-AU"/>
        </w:rPr>
        <w:t>-IFP is not specified but implied as being from birth.</w:t>
      </w:r>
    </w:p>
    <w:p w14:paraId="1E396260" w14:textId="027AF8D7" w:rsidR="0682D99A" w:rsidRDefault="0682D99A" w:rsidP="0682D99A">
      <w:pPr>
        <w:spacing w:line="259" w:lineRule="auto"/>
        <w:rPr>
          <w:rFonts w:eastAsia="Arial" w:cs="Arial"/>
          <w:color w:val="000000" w:themeColor="text1"/>
          <w:szCs w:val="22"/>
        </w:rPr>
      </w:pPr>
    </w:p>
    <w:p w14:paraId="0B61221F" w14:textId="1691BA05" w:rsidR="7B0873C3" w:rsidRDefault="7B0873C3" w:rsidP="0682D99A">
      <w:pPr>
        <w:rPr>
          <w:rFonts w:eastAsia="Arial" w:cs="Arial"/>
          <w:color w:val="000000" w:themeColor="text1"/>
          <w:szCs w:val="22"/>
        </w:rPr>
      </w:pPr>
      <w:r w:rsidRPr="0682D99A">
        <w:rPr>
          <w:rFonts w:eastAsia="Arial" w:cs="Arial"/>
          <w:color w:val="000000" w:themeColor="text1"/>
          <w:szCs w:val="22"/>
          <w:lang w:val="en-AU"/>
        </w:rPr>
        <w:t>We screened additional full texts provided by the Application (sections 2.3.1.1.3, 2.3.1.2.2, 2.3.1.3.2, 3.2.1.2.1, 3.2.1.2.2, and 3.2.2.1) and excluded them as they did not meet the study selection criteria. Schulz-</w:t>
      </w:r>
      <w:proofErr w:type="spellStart"/>
      <w:r w:rsidRPr="0682D99A">
        <w:rPr>
          <w:rFonts w:eastAsia="Arial" w:cs="Arial"/>
          <w:color w:val="000000" w:themeColor="text1"/>
          <w:szCs w:val="22"/>
          <w:lang w:val="en-AU"/>
        </w:rPr>
        <w:t>Lell</w:t>
      </w:r>
      <w:proofErr w:type="spellEnd"/>
      <w:r w:rsidRPr="0682D99A">
        <w:rPr>
          <w:rFonts w:eastAsia="Arial" w:cs="Arial"/>
          <w:color w:val="000000" w:themeColor="text1"/>
          <w:szCs w:val="22"/>
          <w:lang w:val="en-AU"/>
        </w:rPr>
        <w:t xml:space="preserve"> et al. (1991) was excluded because: the study’s </w:t>
      </w:r>
      <w:proofErr w:type="spellStart"/>
      <w:r w:rsidRPr="0682D99A">
        <w:rPr>
          <w:rFonts w:eastAsia="Arial" w:cs="Arial"/>
          <w:color w:val="000000" w:themeColor="text1"/>
          <w:szCs w:val="22"/>
          <w:lang w:val="en-AU"/>
        </w:rPr>
        <w:t>bLf</w:t>
      </w:r>
      <w:proofErr w:type="spellEnd"/>
      <w:r w:rsidRPr="0682D99A">
        <w:rPr>
          <w:rFonts w:eastAsia="Arial" w:cs="Arial"/>
          <w:color w:val="000000" w:themeColor="text1"/>
          <w:szCs w:val="22"/>
          <w:lang w:val="en-AU"/>
        </w:rPr>
        <w:t xml:space="preserve"> and non-</w:t>
      </w:r>
      <w:proofErr w:type="spellStart"/>
      <w:r w:rsidRPr="0682D99A">
        <w:rPr>
          <w:rFonts w:eastAsia="Arial" w:cs="Arial"/>
          <w:color w:val="000000" w:themeColor="text1"/>
          <w:szCs w:val="22"/>
          <w:lang w:val="en-AU"/>
        </w:rPr>
        <w:t>bLf</w:t>
      </w:r>
      <w:proofErr w:type="spellEnd"/>
      <w:r w:rsidRPr="0682D99A">
        <w:rPr>
          <w:rFonts w:eastAsia="Arial" w:cs="Arial"/>
          <w:color w:val="000000" w:themeColor="text1"/>
          <w:szCs w:val="22"/>
          <w:lang w:val="en-AU"/>
        </w:rPr>
        <w:t xml:space="preserve"> groups IFP’ contained 81% and 86% lower iron content than the Code’s minimum compositional requirements, respectively; the non-equivalence of two groups’ IFP iron content; and the small sample size (n=7 or 9 for each group). The iron saturation of the </w:t>
      </w:r>
      <w:proofErr w:type="spellStart"/>
      <w:r w:rsidRPr="0682D99A">
        <w:rPr>
          <w:rFonts w:eastAsia="Arial" w:cs="Arial"/>
          <w:color w:val="000000" w:themeColor="text1"/>
          <w:szCs w:val="22"/>
          <w:lang w:val="en-AU"/>
        </w:rPr>
        <w:t>bLf</w:t>
      </w:r>
      <w:proofErr w:type="spellEnd"/>
      <w:r w:rsidRPr="0682D99A">
        <w:rPr>
          <w:rFonts w:eastAsia="Arial" w:cs="Arial"/>
          <w:color w:val="000000" w:themeColor="text1"/>
          <w:szCs w:val="22"/>
          <w:lang w:val="en-AU"/>
        </w:rPr>
        <w:t xml:space="preserve"> was not stated. Last, we note that the study by Schulz-</w:t>
      </w:r>
      <w:proofErr w:type="spellStart"/>
      <w:r w:rsidRPr="0682D99A">
        <w:rPr>
          <w:rFonts w:eastAsia="Arial" w:cs="Arial"/>
          <w:color w:val="000000" w:themeColor="text1"/>
          <w:szCs w:val="22"/>
          <w:lang w:val="en-AU"/>
        </w:rPr>
        <w:t>Lell</w:t>
      </w:r>
      <w:proofErr w:type="spellEnd"/>
      <w:r w:rsidRPr="0682D99A">
        <w:rPr>
          <w:rFonts w:eastAsia="Arial" w:cs="Arial"/>
          <w:color w:val="000000" w:themeColor="text1"/>
          <w:szCs w:val="22"/>
          <w:lang w:val="en-AU"/>
        </w:rPr>
        <w:t xml:space="preserve"> et al. (1991) was not randomised. Although this was not a reason to exclude any study, it increases the risk of bias.</w:t>
      </w:r>
    </w:p>
    <w:p w14:paraId="38AE2BC7" w14:textId="3D0DFC3D" w:rsidR="0682D99A" w:rsidRDefault="0682D99A" w:rsidP="0682D99A">
      <w:pPr>
        <w:rPr>
          <w:rFonts w:eastAsia="Arial" w:cs="Arial"/>
          <w:color w:val="000000" w:themeColor="text1"/>
          <w:szCs w:val="22"/>
        </w:rPr>
      </w:pPr>
    </w:p>
    <w:p w14:paraId="02B0764E" w14:textId="77777777" w:rsidR="006953D8" w:rsidRDefault="006953D8" w:rsidP="0682D99A">
      <w:pPr>
        <w:rPr>
          <w:rFonts w:eastAsia="Arial" w:cs="Arial"/>
          <w:color w:val="000000" w:themeColor="text1"/>
          <w:szCs w:val="22"/>
        </w:rPr>
      </w:pPr>
    </w:p>
    <w:p w14:paraId="38A2679A" w14:textId="34ED9CF3" w:rsidR="000B46F5" w:rsidRDefault="000B46F5">
      <w:pPr>
        <w:widowControl/>
        <w:rPr>
          <w:szCs w:val="22"/>
        </w:rPr>
      </w:pPr>
    </w:p>
    <w:p w14:paraId="62E99730" w14:textId="64ECD7CF" w:rsidR="005A3101" w:rsidRDefault="005A3101" w:rsidP="00690206">
      <w:pPr>
        <w:rPr>
          <w:szCs w:val="22"/>
        </w:rPr>
      </w:pPr>
    </w:p>
    <w:sectPr w:rsidR="005A3101" w:rsidSect="0070166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73125" w14:textId="77777777" w:rsidR="00653E38" w:rsidRDefault="00653E38">
      <w:r>
        <w:separator/>
      </w:r>
    </w:p>
  </w:endnote>
  <w:endnote w:type="continuationSeparator" w:id="0">
    <w:p w14:paraId="0BBAB96B" w14:textId="77777777" w:rsidR="00653E38" w:rsidRDefault="00653E38">
      <w:r>
        <w:continuationSeparator/>
      </w:r>
    </w:p>
  </w:endnote>
  <w:endnote w:type="continuationNotice" w:id="1">
    <w:p w14:paraId="4DC58A79" w14:textId="77777777" w:rsidR="00653E38" w:rsidRDefault="00653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8411" w14:textId="77777777" w:rsidR="00D738B6" w:rsidRPr="00D738B6" w:rsidRDefault="00D738B6" w:rsidP="00D738B6">
    <w:pPr>
      <w:pStyle w:val="Footer"/>
      <w:framePr w:wrap="around" w:vAnchor="text" w:hAnchor="margin" w:xAlign="center" w:y="1"/>
      <w:jc w:val="center"/>
      <w:rPr>
        <w:rStyle w:val="PageNumber"/>
        <w:rFonts w:ascii="Calibri" w:hAnsi="Calibri" w:cs="Calibri"/>
        <w:b/>
        <w:color w:val="F00000"/>
        <w:sz w:val="24"/>
      </w:rPr>
    </w:pPr>
    <w:r>
      <w:rPr>
        <w:rStyle w:val="PageNumber"/>
      </w:rPr>
      <w:fldChar w:fldCharType="begin" w:fldLock="1"/>
    </w:r>
    <w:r>
      <w:rPr>
        <w:rStyle w:val="PageNumber"/>
      </w:rPr>
      <w:instrText xml:space="preserve"> DOCPROPERTY bjFooterEvenPageDocProperty \* MERGEFORMAT </w:instrText>
    </w:r>
    <w:r>
      <w:rPr>
        <w:rStyle w:val="PageNumber"/>
      </w:rPr>
      <w:fldChar w:fldCharType="separate"/>
    </w:r>
  </w:p>
  <w:p w14:paraId="2CB74BFF" w14:textId="338C476F" w:rsidR="004B0F84" w:rsidRDefault="00D738B6" w:rsidP="00D738B6">
    <w:pPr>
      <w:pStyle w:val="Footer"/>
      <w:framePr w:wrap="around" w:vAnchor="text" w:hAnchor="margin" w:xAlign="center" w:y="1"/>
      <w:jc w:val="center"/>
      <w:rPr>
        <w:rStyle w:val="PageNumber"/>
      </w:rPr>
    </w:pPr>
    <w:r w:rsidRPr="00D738B6">
      <w:rPr>
        <w:rStyle w:val="PageNumber"/>
        <w:rFonts w:ascii="Calibri" w:hAnsi="Calibri" w:cs="Calibri"/>
        <w:b/>
        <w:color w:val="F00000"/>
        <w:sz w:val="24"/>
      </w:rPr>
      <w:t>OFFICIAL</w:t>
    </w:r>
    <w:r>
      <w:rPr>
        <w:rStyle w:val="PageNumber"/>
      </w:rPr>
      <w:t xml:space="preserve"> </w:t>
    </w:r>
    <w:r>
      <w:rPr>
        <w:rStyle w:val="PageNumber"/>
      </w:rPr>
      <w:fldChar w:fldCharType="end"/>
    </w:r>
    <w:r w:rsidR="004B0F84">
      <w:rPr>
        <w:rStyle w:val="PageNumber"/>
      </w:rPr>
      <w:fldChar w:fldCharType="begin"/>
    </w:r>
    <w:r w:rsidR="004B0F84">
      <w:rPr>
        <w:rStyle w:val="PageNumber"/>
      </w:rPr>
      <w:instrText xml:space="preserve">PAGE  </w:instrText>
    </w:r>
    <w:r w:rsidR="004B0F84">
      <w:rPr>
        <w:rStyle w:val="PageNumber"/>
      </w:rPr>
      <w:fldChar w:fldCharType="end"/>
    </w:r>
  </w:p>
  <w:p w14:paraId="0EEB3A20" w14:textId="77777777" w:rsidR="004B0F84" w:rsidRDefault="004B0F84" w:rsidP="00D73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A8323" w14:textId="125FA8B8" w:rsidR="004B0F84" w:rsidRDefault="004B0F84" w:rsidP="001C2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4DBA">
      <w:rPr>
        <w:rStyle w:val="PageNumber"/>
        <w:noProof/>
      </w:rPr>
      <w:t>51</w:t>
    </w:r>
    <w:r>
      <w:rPr>
        <w:rStyle w:val="PageNumber"/>
      </w:rPr>
      <w:fldChar w:fldCharType="end"/>
    </w:r>
  </w:p>
  <w:p w14:paraId="60A5A49D" w14:textId="77777777" w:rsidR="004B0F84" w:rsidRDefault="004B0F84" w:rsidP="00D738B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B8CFA" w14:textId="77777777" w:rsidR="00D738B6" w:rsidRPr="00D738B6" w:rsidRDefault="00D738B6" w:rsidP="00D738B6">
    <w:pPr>
      <w:pStyle w:val="Footer"/>
      <w:jc w:val="center"/>
      <w:rPr>
        <w:rFonts w:ascii="Calibri" w:hAnsi="Calibri" w:cs="Calibri"/>
        <w:b/>
        <w:color w:val="F00000"/>
        <w:sz w:val="24"/>
      </w:rPr>
    </w:pPr>
    <w:r>
      <w:fldChar w:fldCharType="begin" w:fldLock="1"/>
    </w:r>
    <w:r>
      <w:instrText xml:space="preserve"> DOCPROPERTY bjFooterFirstPageDocProperty \* MERGEFORMAT </w:instrText>
    </w:r>
    <w:r>
      <w:fldChar w:fldCharType="separate"/>
    </w:r>
  </w:p>
  <w:p w14:paraId="1EC3C749" w14:textId="5A5C592A" w:rsidR="004B0F84" w:rsidRPr="00D738B6" w:rsidRDefault="00D738B6" w:rsidP="00D738B6">
    <w:pPr>
      <w:pStyle w:val="Footer"/>
      <w:jc w:val="center"/>
    </w:pPr>
    <w:r w:rsidRPr="00D738B6">
      <w:rPr>
        <w:rFonts w:ascii="Calibri" w:hAnsi="Calibri" w:cs="Calibri"/>
        <w:b/>
        <w:color w:val="F00000"/>
        <w:sz w:val="24"/>
      </w:rPr>
      <w:t>OFFICIAL</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AAE8B" w14:textId="77777777" w:rsidR="00653E38" w:rsidRDefault="00653E38">
      <w:r>
        <w:separator/>
      </w:r>
    </w:p>
  </w:footnote>
  <w:footnote w:type="continuationSeparator" w:id="0">
    <w:p w14:paraId="39D6B890" w14:textId="77777777" w:rsidR="00653E38" w:rsidRDefault="00653E38">
      <w:r>
        <w:continuationSeparator/>
      </w:r>
    </w:p>
  </w:footnote>
  <w:footnote w:type="continuationNotice" w:id="1">
    <w:p w14:paraId="4A45D89E" w14:textId="77777777" w:rsidR="00653E38" w:rsidRDefault="00653E38"/>
  </w:footnote>
  <w:footnote w:id="2">
    <w:p w14:paraId="240572A7" w14:textId="574562CB" w:rsidR="004B0F84" w:rsidRDefault="004B0F84" w:rsidP="00533345">
      <w:pPr>
        <w:pStyle w:val="FootnoteText"/>
      </w:pPr>
      <w:r>
        <w:rPr>
          <w:rStyle w:val="FootnoteReference"/>
        </w:rPr>
        <w:footnoteRef/>
      </w:r>
      <w:r>
        <w:t xml:space="preserve"> </w:t>
      </w:r>
      <w:hyperlink r:id="rId1" w:history="1">
        <w:r w:rsidRPr="004B75ED">
          <w:rPr>
            <w:rStyle w:val="Hyperlink"/>
          </w:rPr>
          <w:t>https://www.foodstandards.gov.au/code/applications/Pages/A1120AgaroseIonExchangeResinPA.aspx</w:t>
        </w:r>
      </w:hyperlink>
    </w:p>
    <w:p w14:paraId="000C24AC" w14:textId="77777777" w:rsidR="004B0F84" w:rsidRPr="00C7271F" w:rsidRDefault="004B0F84" w:rsidP="00533345">
      <w:pPr>
        <w:pStyle w:val="FootnoteText"/>
        <w:rPr>
          <w:lang w:val="en-AU"/>
        </w:rPr>
      </w:pPr>
    </w:p>
  </w:footnote>
  <w:footnote w:id="3">
    <w:p w14:paraId="3B7EAB79" w14:textId="1E17CE8F" w:rsidR="004B0F84" w:rsidRPr="00AC2BE0" w:rsidRDefault="004B0F84">
      <w:pPr>
        <w:pStyle w:val="FootnoteText"/>
        <w:rPr>
          <w:lang w:val="en-AU"/>
        </w:rPr>
      </w:pPr>
      <w:r>
        <w:rPr>
          <w:rStyle w:val="FootnoteReference"/>
        </w:rPr>
        <w:footnoteRef/>
      </w:r>
      <w:r>
        <w:t xml:space="preserve"> Calculated by the Applicant based on the European Society for Paediatric Gastroenterology, Hepatology and Nutrition (ESPGHAN) proposed range of milk feeding for preterm infants of 150-180 mL/kg bw/day.</w:t>
      </w:r>
    </w:p>
  </w:footnote>
  <w:footnote w:id="4">
    <w:p w14:paraId="3AF06694" w14:textId="7FD4D09C" w:rsidR="004B0F84" w:rsidRPr="00A5198E" w:rsidRDefault="004B0F84">
      <w:pPr>
        <w:pStyle w:val="FootnoteText"/>
        <w:rPr>
          <w:lang w:val="en-AU"/>
        </w:rPr>
      </w:pPr>
      <w:r>
        <w:rPr>
          <w:rStyle w:val="FootnoteReference"/>
        </w:rPr>
        <w:footnoteRef/>
      </w:r>
      <w:r>
        <w:t xml:space="preserve"> Calculated by FSANZ based on the European Society for Paediatric Gastroenterology, Hepatology and Nutrition (ESPGHAN) proposed range of milk feeding for preterm infants of 150-180 mL/kg bw/day.</w:t>
      </w:r>
    </w:p>
  </w:footnote>
  <w:footnote w:id="5">
    <w:p w14:paraId="7A36F2CE" w14:textId="2DC7A66E" w:rsidR="004B0F84" w:rsidRPr="00021215" w:rsidRDefault="004B0F84">
      <w:pPr>
        <w:pStyle w:val="FootnoteText"/>
        <w:rPr>
          <w:lang w:val="en-AU"/>
        </w:rPr>
      </w:pPr>
      <w:r>
        <w:rPr>
          <w:rStyle w:val="FootnoteReference"/>
        </w:rPr>
        <w:footnoteRef/>
      </w:r>
      <w:r>
        <w:t xml:space="preserve"> </w:t>
      </w:r>
      <w:hyperlink r:id="rId2" w:history="1">
        <w:r w:rsidRPr="00734FF6">
          <w:rPr>
            <w:rStyle w:val="Hyperlink"/>
            <w:sz w:val="18"/>
            <w:szCs w:val="18"/>
          </w:rPr>
          <w:t>https://eur-lex.europa.eu/legal-content/EN/TXT/?uri=CELEX:32015R2283</w:t>
        </w:r>
      </w:hyperlink>
      <w:r>
        <w:rPr>
          <w:sz w:val="18"/>
          <w:szCs w:val="18"/>
        </w:rPr>
        <w:t xml:space="preserve"> </w:t>
      </w:r>
    </w:p>
  </w:footnote>
  <w:footnote w:id="6">
    <w:p w14:paraId="5A3C6211" w14:textId="5465C84A" w:rsidR="004B0F84" w:rsidRPr="00021215" w:rsidRDefault="004B0F84">
      <w:pPr>
        <w:pStyle w:val="FootnoteText"/>
        <w:rPr>
          <w:lang w:val="en-AU"/>
        </w:rPr>
      </w:pPr>
      <w:r>
        <w:rPr>
          <w:rStyle w:val="FootnoteReference"/>
        </w:rPr>
        <w:footnoteRef/>
      </w:r>
      <w:r>
        <w:t xml:space="preserve"> </w:t>
      </w:r>
      <w:hyperlink r:id="rId3" w:history="1">
        <w:r w:rsidRPr="00734FF6">
          <w:rPr>
            <w:rStyle w:val="Hyperlink"/>
            <w:sz w:val="18"/>
            <w:szCs w:val="18"/>
          </w:rPr>
          <w:t>http://eur-lex.europa.eu/legal-content/EN/TXT/PDF/?uri=CELEX:32017R2470&amp;from=EN</w:t>
        </w:r>
      </w:hyperlink>
      <w:r>
        <w:rPr>
          <w:sz w:val="18"/>
          <w:szCs w:val="18"/>
        </w:rPr>
        <w:t xml:space="preserve">  </w:t>
      </w:r>
      <w:r>
        <w:t xml:space="preserve"> </w:t>
      </w:r>
    </w:p>
  </w:footnote>
  <w:footnote w:id="7">
    <w:p w14:paraId="62089FFA" w14:textId="09D6345A" w:rsidR="004B0F84" w:rsidRPr="0012022D" w:rsidRDefault="004B0F84">
      <w:pPr>
        <w:pStyle w:val="FootnoteText"/>
        <w:rPr>
          <w:lang w:val="en-AU"/>
        </w:rPr>
      </w:pPr>
      <w:r>
        <w:rPr>
          <w:rStyle w:val="FootnoteReference"/>
        </w:rPr>
        <w:footnoteRef/>
      </w:r>
      <w:r>
        <w:t xml:space="preserve"> </w:t>
      </w:r>
      <w:r w:rsidRPr="001536C4">
        <w:t>https://www.foodstandards.gov.au/publications/Pages/Principles-and-Practices-of-Dietary.aspx</w:t>
      </w:r>
    </w:p>
  </w:footnote>
  <w:footnote w:id="8">
    <w:p w14:paraId="6715E96E" w14:textId="7E7F7476" w:rsidR="004B0F84" w:rsidRPr="000C35BC" w:rsidRDefault="004B0F84">
      <w:pPr>
        <w:pStyle w:val="FootnoteText"/>
        <w:rPr>
          <w:lang w:val="en-AU"/>
        </w:rPr>
      </w:pPr>
      <w:r>
        <w:rPr>
          <w:rStyle w:val="FootnoteReference"/>
        </w:rPr>
        <w:footnoteRef/>
      </w:r>
      <w:r>
        <w:t xml:space="preserve"> </w:t>
      </w:r>
      <w:r>
        <w:rPr>
          <w:lang w:val="en-AU"/>
        </w:rPr>
        <w:t>Assuming bLf concentration in cow’s milk of 100 mg/L and the density of cow’s milk is equivalent to 1,030 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50AC" w14:textId="77777777" w:rsidR="00D738B6" w:rsidRPr="00D738B6" w:rsidRDefault="00D738B6" w:rsidP="00D738B6">
    <w:pPr>
      <w:pStyle w:val="Header"/>
      <w:jc w:val="center"/>
      <w:rPr>
        <w:rFonts w:ascii="Calibri" w:hAnsi="Calibri" w:cs="Calibri"/>
        <w:b/>
        <w:color w:val="F00000"/>
        <w:sz w:val="24"/>
      </w:rPr>
    </w:pPr>
    <w:r>
      <w:fldChar w:fldCharType="begin" w:fldLock="1"/>
    </w:r>
    <w:r>
      <w:instrText xml:space="preserve"> DOCPROPERTY bjHeaderEvenPageDocProperty \* MERGEFORMAT </w:instrText>
    </w:r>
    <w:r>
      <w:fldChar w:fldCharType="separate"/>
    </w:r>
    <w:r w:rsidRPr="00D738B6">
      <w:rPr>
        <w:rFonts w:ascii="Calibri" w:hAnsi="Calibri" w:cs="Calibri"/>
        <w:b/>
        <w:color w:val="F00000"/>
        <w:sz w:val="24"/>
      </w:rPr>
      <w:t>OFFICIAL</w:t>
    </w:r>
  </w:p>
  <w:p w14:paraId="6BE8F14C" w14:textId="4A9CC261" w:rsidR="004B0F84" w:rsidRPr="00D738B6" w:rsidRDefault="00D738B6" w:rsidP="00D738B6">
    <w:pPr>
      <w:pStyle w:val="Header"/>
      <w:jc w:val="center"/>
    </w:pPr>
    <w:r w:rsidRPr="00D738B6">
      <w:rPr>
        <w:rFonts w:ascii="Calibri" w:hAnsi="Calibri" w:cs="Calibri"/>
        <w:b/>
        <w:color w:val="F00000"/>
        <w:sz w:val="24"/>
      </w:rPr>
      <w:t xml:space="preserve"> </w:t>
    </w:r>
    <w:r>
      <w:rPr>
        <w:rFonts w:cs="Arial"/>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2869" w14:textId="724821B2" w:rsidR="00D738B6" w:rsidRPr="00D738B6" w:rsidRDefault="00D738B6" w:rsidP="00D738B6">
    <w:pPr>
      <w:pStyle w:val="Header"/>
      <w:jc w:val="center"/>
      <w:rPr>
        <w:rFonts w:ascii="Calibri" w:hAnsi="Calibri" w:cs="Calibri"/>
        <w:b/>
        <w:color w:val="F00000"/>
        <w:sz w:val="24"/>
      </w:rPr>
    </w:pPr>
    <w:r>
      <w:fldChar w:fldCharType="begin" w:fldLock="1"/>
    </w:r>
    <w:r>
      <w:instrText xml:space="preserve"> DOCPROPERTY bjHeaderBothDocProperty \* MERGEFORMAT </w:instrText>
    </w:r>
    <w:r>
      <w:fldChar w:fldCharType="separate"/>
    </w:r>
  </w:p>
  <w:p w14:paraId="20230837" w14:textId="0B662C26" w:rsidR="004B0F84" w:rsidRPr="00D738B6" w:rsidRDefault="00D738B6" w:rsidP="00D738B6">
    <w:pPr>
      <w:pStyle w:val="Header"/>
      <w:jc w:val="center"/>
    </w:pPr>
    <w:r w:rsidRPr="00D738B6">
      <w:rPr>
        <w:rFonts w:ascii="Calibri" w:hAnsi="Calibri" w:cs="Calibri"/>
        <w:b/>
        <w:color w:val="F00000"/>
        <w:sz w:val="24"/>
      </w:rPr>
      <w:t xml:space="preserve"> </w:t>
    </w:r>
    <w:r>
      <w:rPr>
        <w:rFonts w:cs="Arial"/>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A788" w14:textId="77777777" w:rsidR="00D738B6" w:rsidRPr="00D738B6" w:rsidRDefault="00D738B6" w:rsidP="00D738B6">
    <w:pPr>
      <w:pStyle w:val="Header"/>
      <w:jc w:val="center"/>
      <w:rPr>
        <w:rFonts w:ascii="Calibri" w:hAnsi="Calibri" w:cs="Calibri"/>
        <w:b/>
        <w:bCs/>
        <w:color w:val="F00000"/>
        <w:sz w:val="24"/>
      </w:rPr>
    </w:pPr>
    <w:r>
      <w:rPr>
        <w:b/>
        <w:bCs/>
      </w:rPr>
      <w:fldChar w:fldCharType="begin" w:fldLock="1"/>
    </w:r>
    <w:r>
      <w:rPr>
        <w:b/>
        <w:bCs/>
      </w:rPr>
      <w:instrText xml:space="preserve"> DOCPROPERTY bjHeaderFirstPageDocProperty \* MERGEFORMAT </w:instrText>
    </w:r>
    <w:r>
      <w:rPr>
        <w:b/>
        <w:bCs/>
      </w:rPr>
      <w:fldChar w:fldCharType="separate"/>
    </w:r>
    <w:r w:rsidRPr="00D738B6">
      <w:rPr>
        <w:rFonts w:ascii="Calibri" w:hAnsi="Calibri" w:cs="Calibri"/>
        <w:b/>
        <w:bCs/>
        <w:color w:val="F00000"/>
        <w:sz w:val="24"/>
      </w:rPr>
      <w:t>OFFICIAL</w:t>
    </w:r>
  </w:p>
  <w:p w14:paraId="7FD65AA0" w14:textId="39AAEC8A" w:rsidR="00D738B6" w:rsidRDefault="00D738B6" w:rsidP="00D738B6">
    <w:pPr>
      <w:pStyle w:val="Header"/>
      <w:jc w:val="center"/>
      <w:rPr>
        <w:b/>
        <w:bCs/>
      </w:rPr>
    </w:pPr>
    <w:r w:rsidRPr="00D738B6">
      <w:rPr>
        <w:rFonts w:ascii="Calibri" w:hAnsi="Calibri" w:cs="Calibri"/>
        <w:b/>
        <w:bCs/>
        <w:color w:val="F00000"/>
        <w:sz w:val="24"/>
      </w:rPr>
      <w:t xml:space="preserve"> </w:t>
    </w:r>
    <w:r>
      <w:rPr>
        <w:b/>
        <w:bCs/>
      </w:rPr>
      <w:fldChar w:fldCharType="end"/>
    </w:r>
  </w:p>
  <w:p w14:paraId="723FEFC0" w14:textId="46EFFD54" w:rsidR="004B0F84" w:rsidRDefault="004B0F84">
    <w:pPr>
      <w:pStyle w:val="Header"/>
      <w:jc w:val="center"/>
      <w:rPr>
        <w:b/>
        <w:bCs/>
      </w:rPr>
    </w:pPr>
    <w:r>
      <w:rPr>
        <w:b/>
        <w:bCs/>
      </w:rPr>
      <w:t>BOARD-IN-CONFIDENCE</w:t>
    </w:r>
  </w:p>
</w:hdr>
</file>

<file path=word/intelligence2.xml><?xml version="1.0" encoding="utf-8"?>
<int2:intelligence xmlns:int2="http://schemas.microsoft.com/office/intelligence/2020/intelligence" xmlns:oel="http://schemas.microsoft.com/office/2019/extlst">
  <int2:observations>
    <int2:textHash int2:hashCode="kLGiszRKfSQ7sA" int2:id="r2HvTo9D">
      <int2:state int2:value="Rejected" int2:type="LegacyProofing"/>
    </int2:textHash>
    <int2:textHash int2:hashCode="MVmeFY77Z4qgAD" int2:id="LfxHDjiV">
      <int2:state int2:value="Rejected" int2:type="LegacyProofing"/>
    </int2:textHash>
    <int2:textHash int2:hashCode="Vv7PbZuCr4v17A" int2:id="N6919iRd">
      <int2:state int2:value="Rejected" int2:type="LegacyProofing"/>
    </int2:textHash>
    <int2:textHash int2:hashCode="XGVNdcwwlHZy6i" int2:id="Zqal1A2P">
      <int2:state int2:value="Rejected" int2:type="LegacyProofing"/>
    </int2:textHash>
    <int2:textHash int2:hashCode="z2He0oFMfZ6Xem" int2:id="kAsO70i6">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1564"/>
    <w:multiLevelType w:val="hybridMultilevel"/>
    <w:tmpl w:val="003C69FE"/>
    <w:lvl w:ilvl="0" w:tplc="875C572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0B876612"/>
    <w:multiLevelType w:val="multilevel"/>
    <w:tmpl w:val="2ADC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AA2A59"/>
    <w:multiLevelType w:val="multilevel"/>
    <w:tmpl w:val="CA7A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EB6719"/>
    <w:multiLevelType w:val="hybridMultilevel"/>
    <w:tmpl w:val="45C06630"/>
    <w:lvl w:ilvl="0" w:tplc="D4B82096">
      <w:start w:val="1"/>
      <w:numFmt w:val="bullet"/>
      <w:lvlText w:val=""/>
      <w:lvlJc w:val="left"/>
      <w:pPr>
        <w:ind w:left="720" w:hanging="360"/>
      </w:pPr>
      <w:rPr>
        <w:rFonts w:ascii="Symbol" w:hAnsi="Symbol" w:hint="default"/>
      </w:rPr>
    </w:lvl>
    <w:lvl w:ilvl="1" w:tplc="719CC94E">
      <w:start w:val="1"/>
      <w:numFmt w:val="bullet"/>
      <w:lvlText w:val="o"/>
      <w:lvlJc w:val="left"/>
      <w:pPr>
        <w:ind w:left="1440" w:hanging="360"/>
      </w:pPr>
      <w:rPr>
        <w:rFonts w:ascii="Courier New" w:hAnsi="Courier New" w:hint="default"/>
      </w:rPr>
    </w:lvl>
    <w:lvl w:ilvl="2" w:tplc="3542B2F8">
      <w:start w:val="1"/>
      <w:numFmt w:val="bullet"/>
      <w:lvlText w:val=""/>
      <w:lvlJc w:val="left"/>
      <w:pPr>
        <w:ind w:left="2160" w:hanging="360"/>
      </w:pPr>
      <w:rPr>
        <w:rFonts w:ascii="Wingdings" w:hAnsi="Wingdings" w:hint="default"/>
      </w:rPr>
    </w:lvl>
    <w:lvl w:ilvl="3" w:tplc="405A1EB2">
      <w:start w:val="1"/>
      <w:numFmt w:val="bullet"/>
      <w:lvlText w:val=""/>
      <w:lvlJc w:val="left"/>
      <w:pPr>
        <w:ind w:left="2880" w:hanging="360"/>
      </w:pPr>
      <w:rPr>
        <w:rFonts w:ascii="Symbol" w:hAnsi="Symbol" w:hint="default"/>
      </w:rPr>
    </w:lvl>
    <w:lvl w:ilvl="4" w:tplc="044889D6">
      <w:start w:val="1"/>
      <w:numFmt w:val="bullet"/>
      <w:lvlText w:val="o"/>
      <w:lvlJc w:val="left"/>
      <w:pPr>
        <w:ind w:left="3600" w:hanging="360"/>
      </w:pPr>
      <w:rPr>
        <w:rFonts w:ascii="Courier New" w:hAnsi="Courier New" w:hint="default"/>
      </w:rPr>
    </w:lvl>
    <w:lvl w:ilvl="5" w:tplc="592EAED6">
      <w:start w:val="1"/>
      <w:numFmt w:val="bullet"/>
      <w:lvlText w:val=""/>
      <w:lvlJc w:val="left"/>
      <w:pPr>
        <w:ind w:left="4320" w:hanging="360"/>
      </w:pPr>
      <w:rPr>
        <w:rFonts w:ascii="Wingdings" w:hAnsi="Wingdings" w:hint="default"/>
      </w:rPr>
    </w:lvl>
    <w:lvl w:ilvl="6" w:tplc="BDE0C26A">
      <w:start w:val="1"/>
      <w:numFmt w:val="bullet"/>
      <w:lvlText w:val=""/>
      <w:lvlJc w:val="left"/>
      <w:pPr>
        <w:ind w:left="5040" w:hanging="360"/>
      </w:pPr>
      <w:rPr>
        <w:rFonts w:ascii="Symbol" w:hAnsi="Symbol" w:hint="default"/>
      </w:rPr>
    </w:lvl>
    <w:lvl w:ilvl="7" w:tplc="103074D6">
      <w:start w:val="1"/>
      <w:numFmt w:val="bullet"/>
      <w:lvlText w:val="o"/>
      <w:lvlJc w:val="left"/>
      <w:pPr>
        <w:ind w:left="5760" w:hanging="360"/>
      </w:pPr>
      <w:rPr>
        <w:rFonts w:ascii="Courier New" w:hAnsi="Courier New" w:hint="default"/>
      </w:rPr>
    </w:lvl>
    <w:lvl w:ilvl="8" w:tplc="8F260D7E">
      <w:start w:val="1"/>
      <w:numFmt w:val="bullet"/>
      <w:lvlText w:val=""/>
      <w:lvlJc w:val="left"/>
      <w:pPr>
        <w:ind w:left="6480" w:hanging="360"/>
      </w:pPr>
      <w:rPr>
        <w:rFonts w:ascii="Wingdings" w:hAnsi="Wingdings" w:hint="default"/>
      </w:rPr>
    </w:lvl>
  </w:abstractNum>
  <w:abstractNum w:abstractNumId="4" w15:restartNumberingAfterBreak="0">
    <w:nsid w:val="1AEE44EF"/>
    <w:multiLevelType w:val="hybridMultilevel"/>
    <w:tmpl w:val="AF365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902AF"/>
    <w:multiLevelType w:val="hybridMultilevel"/>
    <w:tmpl w:val="1F1A6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054271"/>
    <w:multiLevelType w:val="hybridMultilevel"/>
    <w:tmpl w:val="7AC0B316"/>
    <w:lvl w:ilvl="0" w:tplc="FDFEA674">
      <w:start w:val="1"/>
      <w:numFmt w:val="bullet"/>
      <w:pStyle w:val="FSBullet1"/>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FA0076"/>
    <w:multiLevelType w:val="hybridMultilevel"/>
    <w:tmpl w:val="54D49F8A"/>
    <w:lvl w:ilvl="0" w:tplc="2B48B728">
      <w:start w:val="1"/>
      <w:numFmt w:val="bullet"/>
      <w:pStyle w:val="AARBullet"/>
      <w:lvlText w:val=""/>
      <w:lvlJc w:val="left"/>
      <w:pPr>
        <w:ind w:left="360" w:hanging="360"/>
      </w:pPr>
      <w:rPr>
        <w:rFonts w:ascii="Symbol" w:hAnsi="Symbol" w:hint="default"/>
        <w:color w:val="auto"/>
        <w:sz w:val="24"/>
      </w:rPr>
    </w:lvl>
    <w:lvl w:ilvl="1" w:tplc="42E4712C">
      <w:start w:val="1"/>
      <w:numFmt w:val="bullet"/>
      <w:lvlText w:val=""/>
      <w:lvlJc w:val="left"/>
      <w:pPr>
        <w:tabs>
          <w:tab w:val="num" w:pos="1647"/>
        </w:tabs>
        <w:ind w:left="1647" w:hanging="567"/>
      </w:pPr>
      <w:rPr>
        <w:rFonts w:ascii="Symbol" w:hAnsi="Symbol" w:hint="default"/>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81E1A"/>
    <w:multiLevelType w:val="hybridMultilevel"/>
    <w:tmpl w:val="FFFFFFFF"/>
    <w:lvl w:ilvl="0" w:tplc="1D30355A">
      <w:start w:val="1"/>
      <w:numFmt w:val="bullet"/>
      <w:lvlText w:val="·"/>
      <w:lvlJc w:val="left"/>
      <w:pPr>
        <w:ind w:left="720" w:hanging="360"/>
      </w:pPr>
      <w:rPr>
        <w:rFonts w:ascii="Symbol" w:hAnsi="Symbol" w:hint="default"/>
      </w:rPr>
    </w:lvl>
    <w:lvl w:ilvl="1" w:tplc="241EE2A0">
      <w:start w:val="1"/>
      <w:numFmt w:val="bullet"/>
      <w:lvlText w:val="o"/>
      <w:lvlJc w:val="left"/>
      <w:pPr>
        <w:ind w:left="1440" w:hanging="360"/>
      </w:pPr>
      <w:rPr>
        <w:rFonts w:ascii="Courier New" w:hAnsi="Courier New" w:hint="default"/>
      </w:rPr>
    </w:lvl>
    <w:lvl w:ilvl="2" w:tplc="AA86710A">
      <w:start w:val="1"/>
      <w:numFmt w:val="bullet"/>
      <w:lvlText w:val=""/>
      <w:lvlJc w:val="left"/>
      <w:pPr>
        <w:ind w:left="2160" w:hanging="360"/>
      </w:pPr>
      <w:rPr>
        <w:rFonts w:ascii="Wingdings" w:hAnsi="Wingdings" w:hint="default"/>
      </w:rPr>
    </w:lvl>
    <w:lvl w:ilvl="3" w:tplc="0EA42920">
      <w:start w:val="1"/>
      <w:numFmt w:val="bullet"/>
      <w:lvlText w:val=""/>
      <w:lvlJc w:val="left"/>
      <w:pPr>
        <w:ind w:left="2880" w:hanging="360"/>
      </w:pPr>
      <w:rPr>
        <w:rFonts w:ascii="Symbol" w:hAnsi="Symbol" w:hint="default"/>
      </w:rPr>
    </w:lvl>
    <w:lvl w:ilvl="4" w:tplc="1214105A">
      <w:start w:val="1"/>
      <w:numFmt w:val="bullet"/>
      <w:lvlText w:val="o"/>
      <w:lvlJc w:val="left"/>
      <w:pPr>
        <w:ind w:left="3600" w:hanging="360"/>
      </w:pPr>
      <w:rPr>
        <w:rFonts w:ascii="Courier New" w:hAnsi="Courier New" w:hint="default"/>
      </w:rPr>
    </w:lvl>
    <w:lvl w:ilvl="5" w:tplc="9F0656FC">
      <w:start w:val="1"/>
      <w:numFmt w:val="bullet"/>
      <w:lvlText w:val=""/>
      <w:lvlJc w:val="left"/>
      <w:pPr>
        <w:ind w:left="4320" w:hanging="360"/>
      </w:pPr>
      <w:rPr>
        <w:rFonts w:ascii="Wingdings" w:hAnsi="Wingdings" w:hint="default"/>
      </w:rPr>
    </w:lvl>
    <w:lvl w:ilvl="6" w:tplc="73060F8A">
      <w:start w:val="1"/>
      <w:numFmt w:val="bullet"/>
      <w:lvlText w:val=""/>
      <w:lvlJc w:val="left"/>
      <w:pPr>
        <w:ind w:left="5040" w:hanging="360"/>
      </w:pPr>
      <w:rPr>
        <w:rFonts w:ascii="Symbol" w:hAnsi="Symbol" w:hint="default"/>
      </w:rPr>
    </w:lvl>
    <w:lvl w:ilvl="7" w:tplc="8B3AD3DA">
      <w:start w:val="1"/>
      <w:numFmt w:val="bullet"/>
      <w:lvlText w:val="o"/>
      <w:lvlJc w:val="left"/>
      <w:pPr>
        <w:ind w:left="5760" w:hanging="360"/>
      </w:pPr>
      <w:rPr>
        <w:rFonts w:ascii="Courier New" w:hAnsi="Courier New" w:hint="default"/>
      </w:rPr>
    </w:lvl>
    <w:lvl w:ilvl="8" w:tplc="D6AC0F16">
      <w:start w:val="1"/>
      <w:numFmt w:val="bullet"/>
      <w:lvlText w:val=""/>
      <w:lvlJc w:val="left"/>
      <w:pPr>
        <w:ind w:left="6480" w:hanging="360"/>
      </w:pPr>
      <w:rPr>
        <w:rFonts w:ascii="Wingdings" w:hAnsi="Wingdings" w:hint="default"/>
      </w:rPr>
    </w:lvl>
  </w:abstractNum>
  <w:abstractNum w:abstractNumId="9" w15:restartNumberingAfterBreak="0">
    <w:nsid w:val="3089840B"/>
    <w:multiLevelType w:val="hybridMultilevel"/>
    <w:tmpl w:val="FFFFFFFF"/>
    <w:lvl w:ilvl="0" w:tplc="E54E857A">
      <w:start w:val="1"/>
      <w:numFmt w:val="bullet"/>
      <w:lvlText w:val="·"/>
      <w:lvlJc w:val="left"/>
      <w:pPr>
        <w:ind w:left="720" w:hanging="360"/>
      </w:pPr>
      <w:rPr>
        <w:rFonts w:ascii="Symbol" w:hAnsi="Symbol" w:hint="default"/>
      </w:rPr>
    </w:lvl>
    <w:lvl w:ilvl="1" w:tplc="FC1EB146">
      <w:start w:val="1"/>
      <w:numFmt w:val="bullet"/>
      <w:lvlText w:val="o"/>
      <w:lvlJc w:val="left"/>
      <w:pPr>
        <w:ind w:left="1440" w:hanging="360"/>
      </w:pPr>
      <w:rPr>
        <w:rFonts w:ascii="Courier New" w:hAnsi="Courier New" w:hint="default"/>
      </w:rPr>
    </w:lvl>
    <w:lvl w:ilvl="2" w:tplc="807C9E1A">
      <w:start w:val="1"/>
      <w:numFmt w:val="bullet"/>
      <w:lvlText w:val=""/>
      <w:lvlJc w:val="left"/>
      <w:pPr>
        <w:ind w:left="2160" w:hanging="360"/>
      </w:pPr>
      <w:rPr>
        <w:rFonts w:ascii="Wingdings" w:hAnsi="Wingdings" w:hint="default"/>
      </w:rPr>
    </w:lvl>
    <w:lvl w:ilvl="3" w:tplc="C63C9AAC">
      <w:start w:val="1"/>
      <w:numFmt w:val="bullet"/>
      <w:lvlText w:val=""/>
      <w:lvlJc w:val="left"/>
      <w:pPr>
        <w:ind w:left="2880" w:hanging="360"/>
      </w:pPr>
      <w:rPr>
        <w:rFonts w:ascii="Symbol" w:hAnsi="Symbol" w:hint="default"/>
      </w:rPr>
    </w:lvl>
    <w:lvl w:ilvl="4" w:tplc="4A44A9C2">
      <w:start w:val="1"/>
      <w:numFmt w:val="bullet"/>
      <w:lvlText w:val="o"/>
      <w:lvlJc w:val="left"/>
      <w:pPr>
        <w:ind w:left="3600" w:hanging="360"/>
      </w:pPr>
      <w:rPr>
        <w:rFonts w:ascii="Courier New" w:hAnsi="Courier New" w:hint="default"/>
      </w:rPr>
    </w:lvl>
    <w:lvl w:ilvl="5" w:tplc="F0D6CDFC">
      <w:start w:val="1"/>
      <w:numFmt w:val="bullet"/>
      <w:lvlText w:val=""/>
      <w:lvlJc w:val="left"/>
      <w:pPr>
        <w:ind w:left="4320" w:hanging="360"/>
      </w:pPr>
      <w:rPr>
        <w:rFonts w:ascii="Wingdings" w:hAnsi="Wingdings" w:hint="default"/>
      </w:rPr>
    </w:lvl>
    <w:lvl w:ilvl="6" w:tplc="D8C8E92E">
      <w:start w:val="1"/>
      <w:numFmt w:val="bullet"/>
      <w:lvlText w:val=""/>
      <w:lvlJc w:val="left"/>
      <w:pPr>
        <w:ind w:left="5040" w:hanging="360"/>
      </w:pPr>
      <w:rPr>
        <w:rFonts w:ascii="Symbol" w:hAnsi="Symbol" w:hint="default"/>
      </w:rPr>
    </w:lvl>
    <w:lvl w:ilvl="7" w:tplc="40D6A85A">
      <w:start w:val="1"/>
      <w:numFmt w:val="bullet"/>
      <w:lvlText w:val="o"/>
      <w:lvlJc w:val="left"/>
      <w:pPr>
        <w:ind w:left="5760" w:hanging="360"/>
      </w:pPr>
      <w:rPr>
        <w:rFonts w:ascii="Courier New" w:hAnsi="Courier New" w:hint="default"/>
      </w:rPr>
    </w:lvl>
    <w:lvl w:ilvl="8" w:tplc="0CD2292A">
      <w:start w:val="1"/>
      <w:numFmt w:val="bullet"/>
      <w:lvlText w:val=""/>
      <w:lvlJc w:val="left"/>
      <w:pPr>
        <w:ind w:left="6480" w:hanging="360"/>
      </w:pPr>
      <w:rPr>
        <w:rFonts w:ascii="Wingdings" w:hAnsi="Wingdings" w:hint="default"/>
      </w:rPr>
    </w:lvl>
  </w:abstractNum>
  <w:abstractNum w:abstractNumId="10" w15:restartNumberingAfterBreak="0">
    <w:nsid w:val="3E7798C9"/>
    <w:multiLevelType w:val="hybridMultilevel"/>
    <w:tmpl w:val="FFFFFFFF"/>
    <w:lvl w:ilvl="0" w:tplc="44F49C8A">
      <w:start w:val="1"/>
      <w:numFmt w:val="bullet"/>
      <w:lvlText w:val="·"/>
      <w:lvlJc w:val="left"/>
      <w:pPr>
        <w:ind w:left="720" w:hanging="360"/>
      </w:pPr>
      <w:rPr>
        <w:rFonts w:ascii="Symbol" w:hAnsi="Symbol" w:hint="default"/>
      </w:rPr>
    </w:lvl>
    <w:lvl w:ilvl="1" w:tplc="DBDABD78">
      <w:start w:val="1"/>
      <w:numFmt w:val="bullet"/>
      <w:lvlText w:val="o"/>
      <w:lvlJc w:val="left"/>
      <w:pPr>
        <w:ind w:left="1440" w:hanging="360"/>
      </w:pPr>
      <w:rPr>
        <w:rFonts w:ascii="Courier New" w:hAnsi="Courier New" w:hint="default"/>
      </w:rPr>
    </w:lvl>
    <w:lvl w:ilvl="2" w:tplc="41BC1F1E">
      <w:start w:val="1"/>
      <w:numFmt w:val="bullet"/>
      <w:lvlText w:val=""/>
      <w:lvlJc w:val="left"/>
      <w:pPr>
        <w:ind w:left="2160" w:hanging="360"/>
      </w:pPr>
      <w:rPr>
        <w:rFonts w:ascii="Wingdings" w:hAnsi="Wingdings" w:hint="default"/>
      </w:rPr>
    </w:lvl>
    <w:lvl w:ilvl="3" w:tplc="31501F6E">
      <w:start w:val="1"/>
      <w:numFmt w:val="bullet"/>
      <w:lvlText w:val=""/>
      <w:lvlJc w:val="left"/>
      <w:pPr>
        <w:ind w:left="2880" w:hanging="360"/>
      </w:pPr>
      <w:rPr>
        <w:rFonts w:ascii="Symbol" w:hAnsi="Symbol" w:hint="default"/>
      </w:rPr>
    </w:lvl>
    <w:lvl w:ilvl="4" w:tplc="2F3426EA">
      <w:start w:val="1"/>
      <w:numFmt w:val="bullet"/>
      <w:lvlText w:val="o"/>
      <w:lvlJc w:val="left"/>
      <w:pPr>
        <w:ind w:left="3600" w:hanging="360"/>
      </w:pPr>
      <w:rPr>
        <w:rFonts w:ascii="Courier New" w:hAnsi="Courier New" w:hint="default"/>
      </w:rPr>
    </w:lvl>
    <w:lvl w:ilvl="5" w:tplc="54C8FB3C">
      <w:start w:val="1"/>
      <w:numFmt w:val="bullet"/>
      <w:lvlText w:val=""/>
      <w:lvlJc w:val="left"/>
      <w:pPr>
        <w:ind w:left="4320" w:hanging="360"/>
      </w:pPr>
      <w:rPr>
        <w:rFonts w:ascii="Wingdings" w:hAnsi="Wingdings" w:hint="default"/>
      </w:rPr>
    </w:lvl>
    <w:lvl w:ilvl="6" w:tplc="CC0A235E">
      <w:start w:val="1"/>
      <w:numFmt w:val="bullet"/>
      <w:lvlText w:val=""/>
      <w:lvlJc w:val="left"/>
      <w:pPr>
        <w:ind w:left="5040" w:hanging="360"/>
      </w:pPr>
      <w:rPr>
        <w:rFonts w:ascii="Symbol" w:hAnsi="Symbol" w:hint="default"/>
      </w:rPr>
    </w:lvl>
    <w:lvl w:ilvl="7" w:tplc="1CB48AAE">
      <w:start w:val="1"/>
      <w:numFmt w:val="bullet"/>
      <w:lvlText w:val="o"/>
      <w:lvlJc w:val="left"/>
      <w:pPr>
        <w:ind w:left="5760" w:hanging="360"/>
      </w:pPr>
      <w:rPr>
        <w:rFonts w:ascii="Courier New" w:hAnsi="Courier New" w:hint="default"/>
      </w:rPr>
    </w:lvl>
    <w:lvl w:ilvl="8" w:tplc="D5721CCC">
      <w:start w:val="1"/>
      <w:numFmt w:val="bullet"/>
      <w:lvlText w:val=""/>
      <w:lvlJc w:val="left"/>
      <w:pPr>
        <w:ind w:left="6480" w:hanging="360"/>
      </w:pPr>
      <w:rPr>
        <w:rFonts w:ascii="Wingdings" w:hAnsi="Wingdings" w:hint="default"/>
      </w:rPr>
    </w:lvl>
  </w:abstractNum>
  <w:abstractNum w:abstractNumId="11" w15:restartNumberingAfterBreak="0">
    <w:nsid w:val="3FCA6854"/>
    <w:multiLevelType w:val="hybridMultilevel"/>
    <w:tmpl w:val="ADF4F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E23B5C"/>
    <w:multiLevelType w:val="hybridMultilevel"/>
    <w:tmpl w:val="15E2C8B4"/>
    <w:lvl w:ilvl="0" w:tplc="B234E9C4">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413514E"/>
    <w:multiLevelType w:val="hybridMultilevel"/>
    <w:tmpl w:val="FFFFFFFF"/>
    <w:lvl w:ilvl="0" w:tplc="387C3EFE">
      <w:start w:val="1"/>
      <w:numFmt w:val="bullet"/>
      <w:lvlText w:val="·"/>
      <w:lvlJc w:val="left"/>
      <w:pPr>
        <w:ind w:left="720" w:hanging="360"/>
      </w:pPr>
      <w:rPr>
        <w:rFonts w:ascii="Symbol" w:hAnsi="Symbol" w:hint="default"/>
      </w:rPr>
    </w:lvl>
    <w:lvl w:ilvl="1" w:tplc="20EC5B3C">
      <w:start w:val="1"/>
      <w:numFmt w:val="bullet"/>
      <w:lvlText w:val="o"/>
      <w:lvlJc w:val="left"/>
      <w:pPr>
        <w:ind w:left="1440" w:hanging="360"/>
      </w:pPr>
      <w:rPr>
        <w:rFonts w:ascii="Courier New" w:hAnsi="Courier New" w:hint="default"/>
      </w:rPr>
    </w:lvl>
    <w:lvl w:ilvl="2" w:tplc="866C5856">
      <w:start w:val="1"/>
      <w:numFmt w:val="bullet"/>
      <w:lvlText w:val=""/>
      <w:lvlJc w:val="left"/>
      <w:pPr>
        <w:ind w:left="2160" w:hanging="360"/>
      </w:pPr>
      <w:rPr>
        <w:rFonts w:ascii="Wingdings" w:hAnsi="Wingdings" w:hint="default"/>
      </w:rPr>
    </w:lvl>
    <w:lvl w:ilvl="3" w:tplc="57025B96">
      <w:start w:val="1"/>
      <w:numFmt w:val="bullet"/>
      <w:lvlText w:val=""/>
      <w:lvlJc w:val="left"/>
      <w:pPr>
        <w:ind w:left="2880" w:hanging="360"/>
      </w:pPr>
      <w:rPr>
        <w:rFonts w:ascii="Symbol" w:hAnsi="Symbol" w:hint="default"/>
      </w:rPr>
    </w:lvl>
    <w:lvl w:ilvl="4" w:tplc="04825106">
      <w:start w:val="1"/>
      <w:numFmt w:val="bullet"/>
      <w:lvlText w:val="o"/>
      <w:lvlJc w:val="left"/>
      <w:pPr>
        <w:ind w:left="3600" w:hanging="360"/>
      </w:pPr>
      <w:rPr>
        <w:rFonts w:ascii="Courier New" w:hAnsi="Courier New" w:hint="default"/>
      </w:rPr>
    </w:lvl>
    <w:lvl w:ilvl="5" w:tplc="C2D4C7B2">
      <w:start w:val="1"/>
      <w:numFmt w:val="bullet"/>
      <w:lvlText w:val=""/>
      <w:lvlJc w:val="left"/>
      <w:pPr>
        <w:ind w:left="4320" w:hanging="360"/>
      </w:pPr>
      <w:rPr>
        <w:rFonts w:ascii="Wingdings" w:hAnsi="Wingdings" w:hint="default"/>
      </w:rPr>
    </w:lvl>
    <w:lvl w:ilvl="6" w:tplc="7D709B92">
      <w:start w:val="1"/>
      <w:numFmt w:val="bullet"/>
      <w:lvlText w:val=""/>
      <w:lvlJc w:val="left"/>
      <w:pPr>
        <w:ind w:left="5040" w:hanging="360"/>
      </w:pPr>
      <w:rPr>
        <w:rFonts w:ascii="Symbol" w:hAnsi="Symbol" w:hint="default"/>
      </w:rPr>
    </w:lvl>
    <w:lvl w:ilvl="7" w:tplc="D908B190">
      <w:start w:val="1"/>
      <w:numFmt w:val="bullet"/>
      <w:lvlText w:val="o"/>
      <w:lvlJc w:val="left"/>
      <w:pPr>
        <w:ind w:left="5760" w:hanging="360"/>
      </w:pPr>
      <w:rPr>
        <w:rFonts w:ascii="Courier New" w:hAnsi="Courier New" w:hint="default"/>
      </w:rPr>
    </w:lvl>
    <w:lvl w:ilvl="8" w:tplc="6624E44C">
      <w:start w:val="1"/>
      <w:numFmt w:val="bullet"/>
      <w:lvlText w:val=""/>
      <w:lvlJc w:val="left"/>
      <w:pPr>
        <w:ind w:left="6480" w:hanging="360"/>
      </w:pPr>
      <w:rPr>
        <w:rFonts w:ascii="Wingdings" w:hAnsi="Wingdings" w:hint="default"/>
      </w:rPr>
    </w:lvl>
  </w:abstractNum>
  <w:abstractNum w:abstractNumId="14" w15:restartNumberingAfterBreak="0">
    <w:nsid w:val="5C5398EB"/>
    <w:multiLevelType w:val="hybridMultilevel"/>
    <w:tmpl w:val="FFFFFFFF"/>
    <w:lvl w:ilvl="0" w:tplc="477E2498">
      <w:start w:val="1"/>
      <w:numFmt w:val="bullet"/>
      <w:lvlText w:val="·"/>
      <w:lvlJc w:val="left"/>
      <w:pPr>
        <w:ind w:left="720" w:hanging="360"/>
      </w:pPr>
      <w:rPr>
        <w:rFonts w:ascii="Symbol" w:hAnsi="Symbol" w:hint="default"/>
      </w:rPr>
    </w:lvl>
    <w:lvl w:ilvl="1" w:tplc="37DC8306">
      <w:start w:val="1"/>
      <w:numFmt w:val="bullet"/>
      <w:lvlText w:val="o"/>
      <w:lvlJc w:val="left"/>
      <w:pPr>
        <w:ind w:left="1440" w:hanging="360"/>
      </w:pPr>
      <w:rPr>
        <w:rFonts w:ascii="Courier New" w:hAnsi="Courier New" w:hint="default"/>
      </w:rPr>
    </w:lvl>
    <w:lvl w:ilvl="2" w:tplc="1D04A6AA">
      <w:start w:val="1"/>
      <w:numFmt w:val="bullet"/>
      <w:lvlText w:val=""/>
      <w:lvlJc w:val="left"/>
      <w:pPr>
        <w:ind w:left="2160" w:hanging="360"/>
      </w:pPr>
      <w:rPr>
        <w:rFonts w:ascii="Wingdings" w:hAnsi="Wingdings" w:hint="default"/>
      </w:rPr>
    </w:lvl>
    <w:lvl w:ilvl="3" w:tplc="5304524E">
      <w:start w:val="1"/>
      <w:numFmt w:val="bullet"/>
      <w:lvlText w:val=""/>
      <w:lvlJc w:val="left"/>
      <w:pPr>
        <w:ind w:left="2880" w:hanging="360"/>
      </w:pPr>
      <w:rPr>
        <w:rFonts w:ascii="Symbol" w:hAnsi="Symbol" w:hint="default"/>
      </w:rPr>
    </w:lvl>
    <w:lvl w:ilvl="4" w:tplc="EFB6DD2C">
      <w:start w:val="1"/>
      <w:numFmt w:val="bullet"/>
      <w:lvlText w:val="o"/>
      <w:lvlJc w:val="left"/>
      <w:pPr>
        <w:ind w:left="3600" w:hanging="360"/>
      </w:pPr>
      <w:rPr>
        <w:rFonts w:ascii="Courier New" w:hAnsi="Courier New" w:hint="default"/>
      </w:rPr>
    </w:lvl>
    <w:lvl w:ilvl="5" w:tplc="609CCD04">
      <w:start w:val="1"/>
      <w:numFmt w:val="bullet"/>
      <w:lvlText w:val=""/>
      <w:lvlJc w:val="left"/>
      <w:pPr>
        <w:ind w:left="4320" w:hanging="360"/>
      </w:pPr>
      <w:rPr>
        <w:rFonts w:ascii="Wingdings" w:hAnsi="Wingdings" w:hint="default"/>
      </w:rPr>
    </w:lvl>
    <w:lvl w:ilvl="6" w:tplc="AEAA5D08">
      <w:start w:val="1"/>
      <w:numFmt w:val="bullet"/>
      <w:lvlText w:val=""/>
      <w:lvlJc w:val="left"/>
      <w:pPr>
        <w:ind w:left="5040" w:hanging="360"/>
      </w:pPr>
      <w:rPr>
        <w:rFonts w:ascii="Symbol" w:hAnsi="Symbol" w:hint="default"/>
      </w:rPr>
    </w:lvl>
    <w:lvl w:ilvl="7" w:tplc="95988148">
      <w:start w:val="1"/>
      <w:numFmt w:val="bullet"/>
      <w:lvlText w:val="o"/>
      <w:lvlJc w:val="left"/>
      <w:pPr>
        <w:ind w:left="5760" w:hanging="360"/>
      </w:pPr>
      <w:rPr>
        <w:rFonts w:ascii="Courier New" w:hAnsi="Courier New" w:hint="default"/>
      </w:rPr>
    </w:lvl>
    <w:lvl w:ilvl="8" w:tplc="29ECAEF6">
      <w:start w:val="1"/>
      <w:numFmt w:val="bullet"/>
      <w:lvlText w:val=""/>
      <w:lvlJc w:val="left"/>
      <w:pPr>
        <w:ind w:left="6480" w:hanging="360"/>
      </w:pPr>
      <w:rPr>
        <w:rFonts w:ascii="Wingdings" w:hAnsi="Wingdings" w:hint="default"/>
      </w:rPr>
    </w:lvl>
  </w:abstractNum>
  <w:abstractNum w:abstractNumId="15" w15:restartNumberingAfterBreak="0">
    <w:nsid w:val="5FAA38CE"/>
    <w:multiLevelType w:val="hybridMultilevel"/>
    <w:tmpl w:val="256628EE"/>
    <w:lvl w:ilvl="0" w:tplc="40A0954C">
      <w:start w:val="1"/>
      <w:numFmt w:val="decimal"/>
      <w:lvlText w:val="%1"/>
      <w:lvlJc w:val="left"/>
      <w:pPr>
        <w:ind w:left="930" w:hanging="57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063757D"/>
    <w:multiLevelType w:val="hybridMultilevel"/>
    <w:tmpl w:val="F5B47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0E86068"/>
    <w:multiLevelType w:val="multilevel"/>
    <w:tmpl w:val="63DA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18" w15:restartNumberingAfterBreak="0">
    <w:nsid w:val="651D45A0"/>
    <w:multiLevelType w:val="multilevel"/>
    <w:tmpl w:val="BD24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FEDC1A"/>
    <w:multiLevelType w:val="hybridMultilevel"/>
    <w:tmpl w:val="FFFFFFFF"/>
    <w:lvl w:ilvl="0" w:tplc="6DB2B70C">
      <w:start w:val="1"/>
      <w:numFmt w:val="bullet"/>
      <w:lvlText w:val="·"/>
      <w:lvlJc w:val="left"/>
      <w:pPr>
        <w:ind w:left="720" w:hanging="360"/>
      </w:pPr>
      <w:rPr>
        <w:rFonts w:ascii="Symbol" w:hAnsi="Symbol" w:hint="default"/>
      </w:rPr>
    </w:lvl>
    <w:lvl w:ilvl="1" w:tplc="CCE2B46E">
      <w:start w:val="1"/>
      <w:numFmt w:val="bullet"/>
      <w:lvlText w:val="o"/>
      <w:lvlJc w:val="left"/>
      <w:pPr>
        <w:ind w:left="1440" w:hanging="360"/>
      </w:pPr>
      <w:rPr>
        <w:rFonts w:ascii="Courier New" w:hAnsi="Courier New" w:hint="default"/>
      </w:rPr>
    </w:lvl>
    <w:lvl w:ilvl="2" w:tplc="8C948ABE">
      <w:start w:val="1"/>
      <w:numFmt w:val="bullet"/>
      <w:lvlText w:val=""/>
      <w:lvlJc w:val="left"/>
      <w:pPr>
        <w:ind w:left="2160" w:hanging="360"/>
      </w:pPr>
      <w:rPr>
        <w:rFonts w:ascii="Wingdings" w:hAnsi="Wingdings" w:hint="default"/>
      </w:rPr>
    </w:lvl>
    <w:lvl w:ilvl="3" w:tplc="072C8F64">
      <w:start w:val="1"/>
      <w:numFmt w:val="bullet"/>
      <w:lvlText w:val=""/>
      <w:lvlJc w:val="left"/>
      <w:pPr>
        <w:ind w:left="2880" w:hanging="360"/>
      </w:pPr>
      <w:rPr>
        <w:rFonts w:ascii="Symbol" w:hAnsi="Symbol" w:hint="default"/>
      </w:rPr>
    </w:lvl>
    <w:lvl w:ilvl="4" w:tplc="6526D532">
      <w:start w:val="1"/>
      <w:numFmt w:val="bullet"/>
      <w:lvlText w:val="o"/>
      <w:lvlJc w:val="left"/>
      <w:pPr>
        <w:ind w:left="3600" w:hanging="360"/>
      </w:pPr>
      <w:rPr>
        <w:rFonts w:ascii="Courier New" w:hAnsi="Courier New" w:hint="default"/>
      </w:rPr>
    </w:lvl>
    <w:lvl w:ilvl="5" w:tplc="94E6BD46">
      <w:start w:val="1"/>
      <w:numFmt w:val="bullet"/>
      <w:lvlText w:val=""/>
      <w:lvlJc w:val="left"/>
      <w:pPr>
        <w:ind w:left="4320" w:hanging="360"/>
      </w:pPr>
      <w:rPr>
        <w:rFonts w:ascii="Wingdings" w:hAnsi="Wingdings" w:hint="default"/>
      </w:rPr>
    </w:lvl>
    <w:lvl w:ilvl="6" w:tplc="DF0A1A08">
      <w:start w:val="1"/>
      <w:numFmt w:val="bullet"/>
      <w:lvlText w:val=""/>
      <w:lvlJc w:val="left"/>
      <w:pPr>
        <w:ind w:left="5040" w:hanging="360"/>
      </w:pPr>
      <w:rPr>
        <w:rFonts w:ascii="Symbol" w:hAnsi="Symbol" w:hint="default"/>
      </w:rPr>
    </w:lvl>
    <w:lvl w:ilvl="7" w:tplc="182CCE50">
      <w:start w:val="1"/>
      <w:numFmt w:val="bullet"/>
      <w:lvlText w:val="o"/>
      <w:lvlJc w:val="left"/>
      <w:pPr>
        <w:ind w:left="5760" w:hanging="360"/>
      </w:pPr>
      <w:rPr>
        <w:rFonts w:ascii="Courier New" w:hAnsi="Courier New" w:hint="default"/>
      </w:rPr>
    </w:lvl>
    <w:lvl w:ilvl="8" w:tplc="4FCCA71A">
      <w:start w:val="1"/>
      <w:numFmt w:val="bullet"/>
      <w:lvlText w:val=""/>
      <w:lvlJc w:val="left"/>
      <w:pPr>
        <w:ind w:left="6480" w:hanging="360"/>
      </w:pPr>
      <w:rPr>
        <w:rFonts w:ascii="Wingdings" w:hAnsi="Wingdings" w:hint="default"/>
      </w:rPr>
    </w:lvl>
  </w:abstractNum>
  <w:num w:numId="1" w16cid:durableId="1505707517">
    <w:abstractNumId w:val="3"/>
  </w:num>
  <w:num w:numId="2" w16cid:durableId="497813737">
    <w:abstractNumId w:val="6"/>
  </w:num>
  <w:num w:numId="3" w16cid:durableId="2031101627">
    <w:abstractNumId w:val="12"/>
  </w:num>
  <w:num w:numId="4" w16cid:durableId="297614656">
    <w:abstractNumId w:val="4"/>
  </w:num>
  <w:num w:numId="5" w16cid:durableId="2068189432">
    <w:abstractNumId w:val="17"/>
  </w:num>
  <w:num w:numId="6" w16cid:durableId="205876222">
    <w:abstractNumId w:val="2"/>
  </w:num>
  <w:num w:numId="7" w16cid:durableId="340400896">
    <w:abstractNumId w:val="1"/>
  </w:num>
  <w:num w:numId="8" w16cid:durableId="345209143">
    <w:abstractNumId w:val="11"/>
  </w:num>
  <w:num w:numId="9" w16cid:durableId="397898854">
    <w:abstractNumId w:val="5"/>
  </w:num>
  <w:num w:numId="10" w16cid:durableId="818036229">
    <w:abstractNumId w:val="7"/>
  </w:num>
  <w:num w:numId="11" w16cid:durableId="724715132">
    <w:abstractNumId w:val="18"/>
  </w:num>
  <w:num w:numId="12" w16cid:durableId="1495605912">
    <w:abstractNumId w:val="16"/>
  </w:num>
  <w:num w:numId="13" w16cid:durableId="144005663">
    <w:abstractNumId w:val="0"/>
  </w:num>
  <w:num w:numId="14" w16cid:durableId="508132892">
    <w:abstractNumId w:val="19"/>
  </w:num>
  <w:num w:numId="15" w16cid:durableId="1977443011">
    <w:abstractNumId w:val="9"/>
  </w:num>
  <w:num w:numId="16" w16cid:durableId="1153567840">
    <w:abstractNumId w:val="10"/>
  </w:num>
  <w:num w:numId="17" w16cid:durableId="2136291559">
    <w:abstractNumId w:val="14"/>
  </w:num>
  <w:num w:numId="18" w16cid:durableId="1641770262">
    <w:abstractNumId w:val="13"/>
  </w:num>
  <w:num w:numId="19" w16cid:durableId="654454900">
    <w:abstractNumId w:val="8"/>
  </w:num>
  <w:num w:numId="20" w16cid:durableId="58526804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5D0"/>
    <w:rsid w:val="00000074"/>
    <w:rsid w:val="00000134"/>
    <w:rsid w:val="000001C2"/>
    <w:rsid w:val="000007FC"/>
    <w:rsid w:val="00000BB3"/>
    <w:rsid w:val="0000121B"/>
    <w:rsid w:val="0000160A"/>
    <w:rsid w:val="00001867"/>
    <w:rsid w:val="00001CD9"/>
    <w:rsid w:val="00001CF2"/>
    <w:rsid w:val="00001D3A"/>
    <w:rsid w:val="00001D51"/>
    <w:rsid w:val="00001EC4"/>
    <w:rsid w:val="0000210A"/>
    <w:rsid w:val="00002449"/>
    <w:rsid w:val="0000247B"/>
    <w:rsid w:val="00002B22"/>
    <w:rsid w:val="00002B6D"/>
    <w:rsid w:val="00003218"/>
    <w:rsid w:val="0000334A"/>
    <w:rsid w:val="00003516"/>
    <w:rsid w:val="00003CC8"/>
    <w:rsid w:val="00003ECD"/>
    <w:rsid w:val="00003FB4"/>
    <w:rsid w:val="0000469B"/>
    <w:rsid w:val="000048FD"/>
    <w:rsid w:val="00004B55"/>
    <w:rsid w:val="000051A5"/>
    <w:rsid w:val="00005B4D"/>
    <w:rsid w:val="00005BE1"/>
    <w:rsid w:val="000062C0"/>
    <w:rsid w:val="000063E6"/>
    <w:rsid w:val="00006ECC"/>
    <w:rsid w:val="0000705E"/>
    <w:rsid w:val="0000751B"/>
    <w:rsid w:val="0001019F"/>
    <w:rsid w:val="0001053A"/>
    <w:rsid w:val="000108F9"/>
    <w:rsid w:val="00010DB6"/>
    <w:rsid w:val="00010FE8"/>
    <w:rsid w:val="00011300"/>
    <w:rsid w:val="000115AD"/>
    <w:rsid w:val="00011756"/>
    <w:rsid w:val="000119EA"/>
    <w:rsid w:val="00011B83"/>
    <w:rsid w:val="00012248"/>
    <w:rsid w:val="00012272"/>
    <w:rsid w:val="0001282E"/>
    <w:rsid w:val="00012A89"/>
    <w:rsid w:val="000130D7"/>
    <w:rsid w:val="0001353B"/>
    <w:rsid w:val="00013D7E"/>
    <w:rsid w:val="0001457E"/>
    <w:rsid w:val="00014AD1"/>
    <w:rsid w:val="00014B03"/>
    <w:rsid w:val="00014C3A"/>
    <w:rsid w:val="00014CAC"/>
    <w:rsid w:val="000152BD"/>
    <w:rsid w:val="0001546A"/>
    <w:rsid w:val="000156E9"/>
    <w:rsid w:val="000159CC"/>
    <w:rsid w:val="0001606E"/>
    <w:rsid w:val="00016468"/>
    <w:rsid w:val="0001668A"/>
    <w:rsid w:val="00016C94"/>
    <w:rsid w:val="00017884"/>
    <w:rsid w:val="00017A0F"/>
    <w:rsid w:val="00017C2C"/>
    <w:rsid w:val="00017EAE"/>
    <w:rsid w:val="00017F8B"/>
    <w:rsid w:val="000203DF"/>
    <w:rsid w:val="00020F43"/>
    <w:rsid w:val="00020F70"/>
    <w:rsid w:val="00020FAE"/>
    <w:rsid w:val="00020FEA"/>
    <w:rsid w:val="00021030"/>
    <w:rsid w:val="00021215"/>
    <w:rsid w:val="00021427"/>
    <w:rsid w:val="000215D2"/>
    <w:rsid w:val="000216DE"/>
    <w:rsid w:val="00022075"/>
    <w:rsid w:val="000221E0"/>
    <w:rsid w:val="00022A8F"/>
    <w:rsid w:val="00022E78"/>
    <w:rsid w:val="0002334F"/>
    <w:rsid w:val="00023F2B"/>
    <w:rsid w:val="000243D7"/>
    <w:rsid w:val="000243F6"/>
    <w:rsid w:val="000244B6"/>
    <w:rsid w:val="000247AC"/>
    <w:rsid w:val="00024C1B"/>
    <w:rsid w:val="00025523"/>
    <w:rsid w:val="000255C2"/>
    <w:rsid w:val="00025619"/>
    <w:rsid w:val="00025747"/>
    <w:rsid w:val="0002582F"/>
    <w:rsid w:val="000258C8"/>
    <w:rsid w:val="00025948"/>
    <w:rsid w:val="0002599B"/>
    <w:rsid w:val="00025AF4"/>
    <w:rsid w:val="00025CED"/>
    <w:rsid w:val="00026B77"/>
    <w:rsid w:val="00026CBC"/>
    <w:rsid w:val="00026CF9"/>
    <w:rsid w:val="00027187"/>
    <w:rsid w:val="000274A9"/>
    <w:rsid w:val="00027956"/>
    <w:rsid w:val="0002799F"/>
    <w:rsid w:val="000279B1"/>
    <w:rsid w:val="00027BB6"/>
    <w:rsid w:val="000305C2"/>
    <w:rsid w:val="00030621"/>
    <w:rsid w:val="00030B51"/>
    <w:rsid w:val="00030D14"/>
    <w:rsid w:val="00031270"/>
    <w:rsid w:val="0003175A"/>
    <w:rsid w:val="000318F4"/>
    <w:rsid w:val="00031C60"/>
    <w:rsid w:val="00032429"/>
    <w:rsid w:val="000324D8"/>
    <w:rsid w:val="00032B11"/>
    <w:rsid w:val="00033093"/>
    <w:rsid w:val="0003317A"/>
    <w:rsid w:val="000333D3"/>
    <w:rsid w:val="000334F9"/>
    <w:rsid w:val="0003360C"/>
    <w:rsid w:val="00033B72"/>
    <w:rsid w:val="00034094"/>
    <w:rsid w:val="00034314"/>
    <w:rsid w:val="00034591"/>
    <w:rsid w:val="000347A3"/>
    <w:rsid w:val="00034B6F"/>
    <w:rsid w:val="00035246"/>
    <w:rsid w:val="000355F2"/>
    <w:rsid w:val="000357E6"/>
    <w:rsid w:val="00035A6A"/>
    <w:rsid w:val="00035D49"/>
    <w:rsid w:val="00035FF3"/>
    <w:rsid w:val="00036377"/>
    <w:rsid w:val="00036B51"/>
    <w:rsid w:val="00036BAB"/>
    <w:rsid w:val="00036D56"/>
    <w:rsid w:val="000371BA"/>
    <w:rsid w:val="00037260"/>
    <w:rsid w:val="00037AF3"/>
    <w:rsid w:val="00037BEB"/>
    <w:rsid w:val="00037D31"/>
    <w:rsid w:val="00037E58"/>
    <w:rsid w:val="00037ED3"/>
    <w:rsid w:val="00040452"/>
    <w:rsid w:val="0004061F"/>
    <w:rsid w:val="00040A57"/>
    <w:rsid w:val="00040F94"/>
    <w:rsid w:val="0004134E"/>
    <w:rsid w:val="00041825"/>
    <w:rsid w:val="0004237F"/>
    <w:rsid w:val="00042E2B"/>
    <w:rsid w:val="00042ECB"/>
    <w:rsid w:val="00043769"/>
    <w:rsid w:val="00043A1A"/>
    <w:rsid w:val="00043DDC"/>
    <w:rsid w:val="00044B5F"/>
    <w:rsid w:val="00044F76"/>
    <w:rsid w:val="00044F97"/>
    <w:rsid w:val="00045126"/>
    <w:rsid w:val="000456D8"/>
    <w:rsid w:val="000457C1"/>
    <w:rsid w:val="000457C6"/>
    <w:rsid w:val="00045D53"/>
    <w:rsid w:val="0004618E"/>
    <w:rsid w:val="00046303"/>
    <w:rsid w:val="00046497"/>
    <w:rsid w:val="000465FD"/>
    <w:rsid w:val="000467DE"/>
    <w:rsid w:val="0004695D"/>
    <w:rsid w:val="00046BD4"/>
    <w:rsid w:val="00046D61"/>
    <w:rsid w:val="00047642"/>
    <w:rsid w:val="000503E9"/>
    <w:rsid w:val="0005066B"/>
    <w:rsid w:val="0005073F"/>
    <w:rsid w:val="00050D35"/>
    <w:rsid w:val="00051021"/>
    <w:rsid w:val="00051270"/>
    <w:rsid w:val="00051C1F"/>
    <w:rsid w:val="00051ED9"/>
    <w:rsid w:val="00052090"/>
    <w:rsid w:val="00052774"/>
    <w:rsid w:val="000534DF"/>
    <w:rsid w:val="000536EE"/>
    <w:rsid w:val="00053753"/>
    <w:rsid w:val="00054B1C"/>
    <w:rsid w:val="00054C00"/>
    <w:rsid w:val="00054FFD"/>
    <w:rsid w:val="00055140"/>
    <w:rsid w:val="000557C5"/>
    <w:rsid w:val="00055B4E"/>
    <w:rsid w:val="00055B90"/>
    <w:rsid w:val="00056D05"/>
    <w:rsid w:val="00057181"/>
    <w:rsid w:val="000576A8"/>
    <w:rsid w:val="000576D0"/>
    <w:rsid w:val="00057758"/>
    <w:rsid w:val="000578B1"/>
    <w:rsid w:val="00057C12"/>
    <w:rsid w:val="00057DE8"/>
    <w:rsid w:val="00057E24"/>
    <w:rsid w:val="00060DE1"/>
    <w:rsid w:val="00060F3D"/>
    <w:rsid w:val="00060FD5"/>
    <w:rsid w:val="0006159E"/>
    <w:rsid w:val="000615A3"/>
    <w:rsid w:val="000619A8"/>
    <w:rsid w:val="00061EAB"/>
    <w:rsid w:val="0006209F"/>
    <w:rsid w:val="000620C4"/>
    <w:rsid w:val="0006221F"/>
    <w:rsid w:val="00062314"/>
    <w:rsid w:val="00062A30"/>
    <w:rsid w:val="00062E6C"/>
    <w:rsid w:val="00062ED4"/>
    <w:rsid w:val="00063ED5"/>
    <w:rsid w:val="00064125"/>
    <w:rsid w:val="00064402"/>
    <w:rsid w:val="0006465D"/>
    <w:rsid w:val="0006473A"/>
    <w:rsid w:val="00064B2D"/>
    <w:rsid w:val="00064C50"/>
    <w:rsid w:val="000650DE"/>
    <w:rsid w:val="00065F1F"/>
    <w:rsid w:val="00066278"/>
    <w:rsid w:val="000663F0"/>
    <w:rsid w:val="00066845"/>
    <w:rsid w:val="0006694A"/>
    <w:rsid w:val="00066CC2"/>
    <w:rsid w:val="00066DCB"/>
    <w:rsid w:val="00066EB0"/>
    <w:rsid w:val="00067495"/>
    <w:rsid w:val="00067E71"/>
    <w:rsid w:val="00070136"/>
    <w:rsid w:val="00070823"/>
    <w:rsid w:val="00070AD6"/>
    <w:rsid w:val="000713F3"/>
    <w:rsid w:val="000719DA"/>
    <w:rsid w:val="00071B57"/>
    <w:rsid w:val="00071E1B"/>
    <w:rsid w:val="00072731"/>
    <w:rsid w:val="00072851"/>
    <w:rsid w:val="000728C6"/>
    <w:rsid w:val="00072B8E"/>
    <w:rsid w:val="000733DB"/>
    <w:rsid w:val="000738F2"/>
    <w:rsid w:val="00073B9F"/>
    <w:rsid w:val="00073BBA"/>
    <w:rsid w:val="00073F71"/>
    <w:rsid w:val="00074098"/>
    <w:rsid w:val="00074BE6"/>
    <w:rsid w:val="00074CC4"/>
    <w:rsid w:val="000750E9"/>
    <w:rsid w:val="000752BC"/>
    <w:rsid w:val="00075587"/>
    <w:rsid w:val="000755E3"/>
    <w:rsid w:val="000755F9"/>
    <w:rsid w:val="00075815"/>
    <w:rsid w:val="00075981"/>
    <w:rsid w:val="00075C99"/>
    <w:rsid w:val="0007621C"/>
    <w:rsid w:val="00076337"/>
    <w:rsid w:val="0007649D"/>
    <w:rsid w:val="0007659A"/>
    <w:rsid w:val="00076602"/>
    <w:rsid w:val="000769D7"/>
    <w:rsid w:val="00076AC7"/>
    <w:rsid w:val="00076C7B"/>
    <w:rsid w:val="00076C98"/>
    <w:rsid w:val="00076D33"/>
    <w:rsid w:val="00077173"/>
    <w:rsid w:val="000779D8"/>
    <w:rsid w:val="00077DEB"/>
    <w:rsid w:val="00077E84"/>
    <w:rsid w:val="00077E90"/>
    <w:rsid w:val="00080079"/>
    <w:rsid w:val="00080571"/>
    <w:rsid w:val="00080754"/>
    <w:rsid w:val="0008078C"/>
    <w:rsid w:val="00081928"/>
    <w:rsid w:val="00081FAC"/>
    <w:rsid w:val="00082134"/>
    <w:rsid w:val="00082692"/>
    <w:rsid w:val="0008272F"/>
    <w:rsid w:val="00082A69"/>
    <w:rsid w:val="00083214"/>
    <w:rsid w:val="00083432"/>
    <w:rsid w:val="00083B5B"/>
    <w:rsid w:val="00083C9A"/>
    <w:rsid w:val="00083D22"/>
    <w:rsid w:val="00084013"/>
    <w:rsid w:val="000843AE"/>
    <w:rsid w:val="0008455F"/>
    <w:rsid w:val="00084716"/>
    <w:rsid w:val="00084CBC"/>
    <w:rsid w:val="00084E9C"/>
    <w:rsid w:val="00084FE4"/>
    <w:rsid w:val="0008503B"/>
    <w:rsid w:val="00085338"/>
    <w:rsid w:val="000853E9"/>
    <w:rsid w:val="000859FC"/>
    <w:rsid w:val="00085A7F"/>
    <w:rsid w:val="00085CB0"/>
    <w:rsid w:val="00086211"/>
    <w:rsid w:val="0008663F"/>
    <w:rsid w:val="000867F7"/>
    <w:rsid w:val="00086B72"/>
    <w:rsid w:val="00086FCE"/>
    <w:rsid w:val="000870F5"/>
    <w:rsid w:val="00087100"/>
    <w:rsid w:val="0008715E"/>
    <w:rsid w:val="00087A80"/>
    <w:rsid w:val="00087BA2"/>
    <w:rsid w:val="00087E93"/>
    <w:rsid w:val="000900C5"/>
    <w:rsid w:val="000901FF"/>
    <w:rsid w:val="000904D6"/>
    <w:rsid w:val="00090681"/>
    <w:rsid w:val="00090B73"/>
    <w:rsid w:val="00090C73"/>
    <w:rsid w:val="00090D0F"/>
    <w:rsid w:val="00090E40"/>
    <w:rsid w:val="00091408"/>
    <w:rsid w:val="00091521"/>
    <w:rsid w:val="000917A1"/>
    <w:rsid w:val="00091B84"/>
    <w:rsid w:val="00091CB5"/>
    <w:rsid w:val="00092355"/>
    <w:rsid w:val="00092376"/>
    <w:rsid w:val="0009256D"/>
    <w:rsid w:val="000926BF"/>
    <w:rsid w:val="00092CDA"/>
    <w:rsid w:val="00092EDC"/>
    <w:rsid w:val="00092F36"/>
    <w:rsid w:val="00093306"/>
    <w:rsid w:val="000937CA"/>
    <w:rsid w:val="00093C3D"/>
    <w:rsid w:val="00093E79"/>
    <w:rsid w:val="00093F39"/>
    <w:rsid w:val="000948DB"/>
    <w:rsid w:val="00094DBB"/>
    <w:rsid w:val="000950E9"/>
    <w:rsid w:val="0009614B"/>
    <w:rsid w:val="000962E6"/>
    <w:rsid w:val="00096365"/>
    <w:rsid w:val="000963EC"/>
    <w:rsid w:val="00096C4E"/>
    <w:rsid w:val="00097027"/>
    <w:rsid w:val="000974CD"/>
    <w:rsid w:val="000975BE"/>
    <w:rsid w:val="000A0527"/>
    <w:rsid w:val="000A0620"/>
    <w:rsid w:val="000A0648"/>
    <w:rsid w:val="000A0982"/>
    <w:rsid w:val="000A09EB"/>
    <w:rsid w:val="000A0A66"/>
    <w:rsid w:val="000A0C31"/>
    <w:rsid w:val="000A0E58"/>
    <w:rsid w:val="000A1001"/>
    <w:rsid w:val="000A12D3"/>
    <w:rsid w:val="000A16AA"/>
    <w:rsid w:val="000A1F44"/>
    <w:rsid w:val="000A2344"/>
    <w:rsid w:val="000A27E9"/>
    <w:rsid w:val="000A2B7E"/>
    <w:rsid w:val="000A34B0"/>
    <w:rsid w:val="000A34ED"/>
    <w:rsid w:val="000A3C6E"/>
    <w:rsid w:val="000A3D8B"/>
    <w:rsid w:val="000A4782"/>
    <w:rsid w:val="000A49AD"/>
    <w:rsid w:val="000A4D9E"/>
    <w:rsid w:val="000A502A"/>
    <w:rsid w:val="000A51DE"/>
    <w:rsid w:val="000A52EE"/>
    <w:rsid w:val="000A53D2"/>
    <w:rsid w:val="000A53E0"/>
    <w:rsid w:val="000A5DF8"/>
    <w:rsid w:val="000A60E2"/>
    <w:rsid w:val="000A649B"/>
    <w:rsid w:val="000A6662"/>
    <w:rsid w:val="000A6669"/>
    <w:rsid w:val="000A6C18"/>
    <w:rsid w:val="000A717D"/>
    <w:rsid w:val="000A75B2"/>
    <w:rsid w:val="000A75E9"/>
    <w:rsid w:val="000A7AFE"/>
    <w:rsid w:val="000A7B7B"/>
    <w:rsid w:val="000A7DCC"/>
    <w:rsid w:val="000B028A"/>
    <w:rsid w:val="000B0B65"/>
    <w:rsid w:val="000B0E3F"/>
    <w:rsid w:val="000B12E7"/>
    <w:rsid w:val="000B153E"/>
    <w:rsid w:val="000B16E9"/>
    <w:rsid w:val="000B1DA2"/>
    <w:rsid w:val="000B226F"/>
    <w:rsid w:val="000B2578"/>
    <w:rsid w:val="000B25C4"/>
    <w:rsid w:val="000B2F49"/>
    <w:rsid w:val="000B309A"/>
    <w:rsid w:val="000B413A"/>
    <w:rsid w:val="000B4280"/>
    <w:rsid w:val="000B42DC"/>
    <w:rsid w:val="000B46F5"/>
    <w:rsid w:val="000B49FA"/>
    <w:rsid w:val="000B4ACD"/>
    <w:rsid w:val="000B4BF1"/>
    <w:rsid w:val="000B4FF8"/>
    <w:rsid w:val="000B5026"/>
    <w:rsid w:val="000B55B7"/>
    <w:rsid w:val="000B5672"/>
    <w:rsid w:val="000B5EAA"/>
    <w:rsid w:val="000B5F3A"/>
    <w:rsid w:val="000B6362"/>
    <w:rsid w:val="000B6A29"/>
    <w:rsid w:val="000B6AF2"/>
    <w:rsid w:val="000B7384"/>
    <w:rsid w:val="000B7D34"/>
    <w:rsid w:val="000C0063"/>
    <w:rsid w:val="000C04B9"/>
    <w:rsid w:val="000C088A"/>
    <w:rsid w:val="000C0BA4"/>
    <w:rsid w:val="000C0FD0"/>
    <w:rsid w:val="000C1131"/>
    <w:rsid w:val="000C15CC"/>
    <w:rsid w:val="000C1B41"/>
    <w:rsid w:val="000C1C67"/>
    <w:rsid w:val="000C2508"/>
    <w:rsid w:val="000C2A4C"/>
    <w:rsid w:val="000C35BC"/>
    <w:rsid w:val="000C42E3"/>
    <w:rsid w:val="000C4E90"/>
    <w:rsid w:val="000C513D"/>
    <w:rsid w:val="000C5182"/>
    <w:rsid w:val="000C527E"/>
    <w:rsid w:val="000C5520"/>
    <w:rsid w:val="000C5697"/>
    <w:rsid w:val="000C58E6"/>
    <w:rsid w:val="000C58EC"/>
    <w:rsid w:val="000C59F9"/>
    <w:rsid w:val="000C5AC6"/>
    <w:rsid w:val="000C61DB"/>
    <w:rsid w:val="000C66C7"/>
    <w:rsid w:val="000C6A7E"/>
    <w:rsid w:val="000C6C36"/>
    <w:rsid w:val="000C715C"/>
    <w:rsid w:val="000C74C5"/>
    <w:rsid w:val="000C7A99"/>
    <w:rsid w:val="000C7F84"/>
    <w:rsid w:val="000D02C4"/>
    <w:rsid w:val="000D06D0"/>
    <w:rsid w:val="000D0BB4"/>
    <w:rsid w:val="000D0C1E"/>
    <w:rsid w:val="000D0D1C"/>
    <w:rsid w:val="000D0EBF"/>
    <w:rsid w:val="000D1DC5"/>
    <w:rsid w:val="000D1F7C"/>
    <w:rsid w:val="000D25DC"/>
    <w:rsid w:val="000D2A53"/>
    <w:rsid w:val="000D2ADD"/>
    <w:rsid w:val="000D2B0D"/>
    <w:rsid w:val="000D39FE"/>
    <w:rsid w:val="000D40C8"/>
    <w:rsid w:val="000D45F8"/>
    <w:rsid w:val="000D5D09"/>
    <w:rsid w:val="000D5DAC"/>
    <w:rsid w:val="000D5FEE"/>
    <w:rsid w:val="000D601D"/>
    <w:rsid w:val="000D6CA7"/>
    <w:rsid w:val="000D6E9B"/>
    <w:rsid w:val="000D6FD4"/>
    <w:rsid w:val="000E036F"/>
    <w:rsid w:val="000E068B"/>
    <w:rsid w:val="000E0A17"/>
    <w:rsid w:val="000E0AE4"/>
    <w:rsid w:val="000E1379"/>
    <w:rsid w:val="000E13E2"/>
    <w:rsid w:val="000E1ECE"/>
    <w:rsid w:val="000E2183"/>
    <w:rsid w:val="000E2405"/>
    <w:rsid w:val="000E2599"/>
    <w:rsid w:val="000E26FA"/>
    <w:rsid w:val="000E271A"/>
    <w:rsid w:val="000E2F6E"/>
    <w:rsid w:val="000E32DB"/>
    <w:rsid w:val="000E333D"/>
    <w:rsid w:val="000E3511"/>
    <w:rsid w:val="000E39A9"/>
    <w:rsid w:val="000E3C72"/>
    <w:rsid w:val="000E3DBC"/>
    <w:rsid w:val="000E4048"/>
    <w:rsid w:val="000E4398"/>
    <w:rsid w:val="000E452E"/>
    <w:rsid w:val="000E4950"/>
    <w:rsid w:val="000E4B80"/>
    <w:rsid w:val="000E4C57"/>
    <w:rsid w:val="000E4CA9"/>
    <w:rsid w:val="000E4D58"/>
    <w:rsid w:val="000E4ED4"/>
    <w:rsid w:val="000E5035"/>
    <w:rsid w:val="000E50D7"/>
    <w:rsid w:val="000E517B"/>
    <w:rsid w:val="000E5233"/>
    <w:rsid w:val="000E5495"/>
    <w:rsid w:val="000E5700"/>
    <w:rsid w:val="000E5DEE"/>
    <w:rsid w:val="000E6331"/>
    <w:rsid w:val="000E6741"/>
    <w:rsid w:val="000E6907"/>
    <w:rsid w:val="000E6977"/>
    <w:rsid w:val="000E69FB"/>
    <w:rsid w:val="000E6AE6"/>
    <w:rsid w:val="000E6C35"/>
    <w:rsid w:val="000E6DAC"/>
    <w:rsid w:val="000E72BA"/>
    <w:rsid w:val="000E7731"/>
    <w:rsid w:val="000F065A"/>
    <w:rsid w:val="000F0683"/>
    <w:rsid w:val="000F0754"/>
    <w:rsid w:val="000F13EF"/>
    <w:rsid w:val="000F14C6"/>
    <w:rsid w:val="000F1557"/>
    <w:rsid w:val="000F1901"/>
    <w:rsid w:val="000F20AD"/>
    <w:rsid w:val="000F22F7"/>
    <w:rsid w:val="000F2662"/>
    <w:rsid w:val="000F2846"/>
    <w:rsid w:val="000F2AEE"/>
    <w:rsid w:val="000F3C7C"/>
    <w:rsid w:val="000F409D"/>
    <w:rsid w:val="000F45A9"/>
    <w:rsid w:val="000F46ED"/>
    <w:rsid w:val="000F55C0"/>
    <w:rsid w:val="000F5B76"/>
    <w:rsid w:val="000F5D7E"/>
    <w:rsid w:val="000F5DCA"/>
    <w:rsid w:val="000F6017"/>
    <w:rsid w:val="000F6498"/>
    <w:rsid w:val="000F6594"/>
    <w:rsid w:val="000F663B"/>
    <w:rsid w:val="000F6B83"/>
    <w:rsid w:val="000F790E"/>
    <w:rsid w:val="000F7BC9"/>
    <w:rsid w:val="000F7DB5"/>
    <w:rsid w:val="001002E7"/>
    <w:rsid w:val="001007C5"/>
    <w:rsid w:val="00100A49"/>
    <w:rsid w:val="00100AD5"/>
    <w:rsid w:val="0010158D"/>
    <w:rsid w:val="001029CB"/>
    <w:rsid w:val="00102C2A"/>
    <w:rsid w:val="00103064"/>
    <w:rsid w:val="00103468"/>
    <w:rsid w:val="001037BB"/>
    <w:rsid w:val="00103B30"/>
    <w:rsid w:val="00103FCC"/>
    <w:rsid w:val="00104020"/>
    <w:rsid w:val="00104585"/>
    <w:rsid w:val="001056DD"/>
    <w:rsid w:val="0010577B"/>
    <w:rsid w:val="00106842"/>
    <w:rsid w:val="0010687D"/>
    <w:rsid w:val="00106C04"/>
    <w:rsid w:val="00106D09"/>
    <w:rsid w:val="00107553"/>
    <w:rsid w:val="001079BA"/>
    <w:rsid w:val="00107E78"/>
    <w:rsid w:val="00107E94"/>
    <w:rsid w:val="001105FA"/>
    <w:rsid w:val="0011068A"/>
    <w:rsid w:val="0011080E"/>
    <w:rsid w:val="00110814"/>
    <w:rsid w:val="00110819"/>
    <w:rsid w:val="001109D5"/>
    <w:rsid w:val="00110AB3"/>
    <w:rsid w:val="00110B65"/>
    <w:rsid w:val="00110D7B"/>
    <w:rsid w:val="00110DC4"/>
    <w:rsid w:val="00110F36"/>
    <w:rsid w:val="0011134F"/>
    <w:rsid w:val="0011151F"/>
    <w:rsid w:val="001115A6"/>
    <w:rsid w:val="00111A3A"/>
    <w:rsid w:val="001128AA"/>
    <w:rsid w:val="00112BFB"/>
    <w:rsid w:val="0011363D"/>
    <w:rsid w:val="00113949"/>
    <w:rsid w:val="00113CE3"/>
    <w:rsid w:val="00113D31"/>
    <w:rsid w:val="00113D3D"/>
    <w:rsid w:val="00114146"/>
    <w:rsid w:val="00114181"/>
    <w:rsid w:val="00114427"/>
    <w:rsid w:val="00114691"/>
    <w:rsid w:val="0011481C"/>
    <w:rsid w:val="00115AB1"/>
    <w:rsid w:val="00115BC2"/>
    <w:rsid w:val="001162DF"/>
    <w:rsid w:val="0011669C"/>
    <w:rsid w:val="001166B6"/>
    <w:rsid w:val="0011685F"/>
    <w:rsid w:val="00117522"/>
    <w:rsid w:val="001179E9"/>
    <w:rsid w:val="00117D96"/>
    <w:rsid w:val="00117DC1"/>
    <w:rsid w:val="001201E6"/>
    <w:rsid w:val="0012022D"/>
    <w:rsid w:val="00120AFB"/>
    <w:rsid w:val="00120D17"/>
    <w:rsid w:val="0012108A"/>
    <w:rsid w:val="00121184"/>
    <w:rsid w:val="00121377"/>
    <w:rsid w:val="00121BFA"/>
    <w:rsid w:val="001221D5"/>
    <w:rsid w:val="001222D7"/>
    <w:rsid w:val="001224F4"/>
    <w:rsid w:val="00122BA1"/>
    <w:rsid w:val="00122BE9"/>
    <w:rsid w:val="00122EC4"/>
    <w:rsid w:val="00122EEC"/>
    <w:rsid w:val="00123004"/>
    <w:rsid w:val="00123A23"/>
    <w:rsid w:val="00123A8F"/>
    <w:rsid w:val="00123C34"/>
    <w:rsid w:val="00123CB4"/>
    <w:rsid w:val="00123CD6"/>
    <w:rsid w:val="00124009"/>
    <w:rsid w:val="0012402D"/>
    <w:rsid w:val="0012436C"/>
    <w:rsid w:val="001243DE"/>
    <w:rsid w:val="00124623"/>
    <w:rsid w:val="0012491D"/>
    <w:rsid w:val="00124C80"/>
    <w:rsid w:val="00125185"/>
    <w:rsid w:val="001256CF"/>
    <w:rsid w:val="001256E8"/>
    <w:rsid w:val="001259DA"/>
    <w:rsid w:val="00125B14"/>
    <w:rsid w:val="00126283"/>
    <w:rsid w:val="0012690A"/>
    <w:rsid w:val="00126FD8"/>
    <w:rsid w:val="001271E5"/>
    <w:rsid w:val="00127276"/>
    <w:rsid w:val="001273D0"/>
    <w:rsid w:val="00127509"/>
    <w:rsid w:val="0012774D"/>
    <w:rsid w:val="001279E2"/>
    <w:rsid w:val="001279F5"/>
    <w:rsid w:val="001279F7"/>
    <w:rsid w:val="00127AA3"/>
    <w:rsid w:val="00127F28"/>
    <w:rsid w:val="001307A8"/>
    <w:rsid w:val="00130AE5"/>
    <w:rsid w:val="0013109F"/>
    <w:rsid w:val="001314CF"/>
    <w:rsid w:val="00131A86"/>
    <w:rsid w:val="00131E7D"/>
    <w:rsid w:val="00131F7E"/>
    <w:rsid w:val="0013289F"/>
    <w:rsid w:val="0013383D"/>
    <w:rsid w:val="00133D52"/>
    <w:rsid w:val="00133ED1"/>
    <w:rsid w:val="0013422E"/>
    <w:rsid w:val="00134345"/>
    <w:rsid w:val="0013462A"/>
    <w:rsid w:val="001351D0"/>
    <w:rsid w:val="00135613"/>
    <w:rsid w:val="00135710"/>
    <w:rsid w:val="00135799"/>
    <w:rsid w:val="00135C3A"/>
    <w:rsid w:val="00136063"/>
    <w:rsid w:val="00136400"/>
    <w:rsid w:val="00136497"/>
    <w:rsid w:val="001366CD"/>
    <w:rsid w:val="00136A25"/>
    <w:rsid w:val="00136A59"/>
    <w:rsid w:val="00137328"/>
    <w:rsid w:val="0013744C"/>
    <w:rsid w:val="001377DD"/>
    <w:rsid w:val="00140CCE"/>
    <w:rsid w:val="00140ED8"/>
    <w:rsid w:val="001418A0"/>
    <w:rsid w:val="00141F0C"/>
    <w:rsid w:val="001427F4"/>
    <w:rsid w:val="00142C39"/>
    <w:rsid w:val="00142F43"/>
    <w:rsid w:val="0014307D"/>
    <w:rsid w:val="001430A1"/>
    <w:rsid w:val="001432B1"/>
    <w:rsid w:val="00143328"/>
    <w:rsid w:val="00143563"/>
    <w:rsid w:val="0014374C"/>
    <w:rsid w:val="001442C2"/>
    <w:rsid w:val="0014496A"/>
    <w:rsid w:val="00144E48"/>
    <w:rsid w:val="00145469"/>
    <w:rsid w:val="00145E31"/>
    <w:rsid w:val="00146173"/>
    <w:rsid w:val="0014638D"/>
    <w:rsid w:val="0014649C"/>
    <w:rsid w:val="001464D1"/>
    <w:rsid w:val="00146742"/>
    <w:rsid w:val="0014701D"/>
    <w:rsid w:val="00147098"/>
    <w:rsid w:val="00147714"/>
    <w:rsid w:val="00147C43"/>
    <w:rsid w:val="00147D97"/>
    <w:rsid w:val="00147E36"/>
    <w:rsid w:val="00147EDF"/>
    <w:rsid w:val="00147FA2"/>
    <w:rsid w:val="001505E4"/>
    <w:rsid w:val="0015083D"/>
    <w:rsid w:val="00151568"/>
    <w:rsid w:val="0015158F"/>
    <w:rsid w:val="0015163D"/>
    <w:rsid w:val="0015173E"/>
    <w:rsid w:val="0015176E"/>
    <w:rsid w:val="001520A1"/>
    <w:rsid w:val="00152137"/>
    <w:rsid w:val="001527AD"/>
    <w:rsid w:val="00152C3F"/>
    <w:rsid w:val="00152E5B"/>
    <w:rsid w:val="001532C7"/>
    <w:rsid w:val="001536C4"/>
    <w:rsid w:val="001539D4"/>
    <w:rsid w:val="00153E8B"/>
    <w:rsid w:val="001542D8"/>
    <w:rsid w:val="0015453D"/>
    <w:rsid w:val="00154723"/>
    <w:rsid w:val="001547A0"/>
    <w:rsid w:val="00154959"/>
    <w:rsid w:val="00154A76"/>
    <w:rsid w:val="00154AB8"/>
    <w:rsid w:val="00155066"/>
    <w:rsid w:val="001554C4"/>
    <w:rsid w:val="00155657"/>
    <w:rsid w:val="00155A25"/>
    <w:rsid w:val="00155F5B"/>
    <w:rsid w:val="0015682D"/>
    <w:rsid w:val="001573DC"/>
    <w:rsid w:val="001576B0"/>
    <w:rsid w:val="00157E24"/>
    <w:rsid w:val="0015A592"/>
    <w:rsid w:val="0016063B"/>
    <w:rsid w:val="001608CC"/>
    <w:rsid w:val="00160FEB"/>
    <w:rsid w:val="001612F4"/>
    <w:rsid w:val="00161607"/>
    <w:rsid w:val="001616E2"/>
    <w:rsid w:val="00162454"/>
    <w:rsid w:val="00162792"/>
    <w:rsid w:val="0016290F"/>
    <w:rsid w:val="00162ECD"/>
    <w:rsid w:val="00162FB1"/>
    <w:rsid w:val="001631D6"/>
    <w:rsid w:val="001639AD"/>
    <w:rsid w:val="00163F25"/>
    <w:rsid w:val="00164EA9"/>
    <w:rsid w:val="00164FE0"/>
    <w:rsid w:val="0016583B"/>
    <w:rsid w:val="001658F7"/>
    <w:rsid w:val="0016599E"/>
    <w:rsid w:val="00165D0E"/>
    <w:rsid w:val="001663C3"/>
    <w:rsid w:val="0016687E"/>
    <w:rsid w:val="001668FC"/>
    <w:rsid w:val="00166983"/>
    <w:rsid w:val="00166C8B"/>
    <w:rsid w:val="00167000"/>
    <w:rsid w:val="00167034"/>
    <w:rsid w:val="0017012C"/>
    <w:rsid w:val="001706C0"/>
    <w:rsid w:val="0017089A"/>
    <w:rsid w:val="00170C3E"/>
    <w:rsid w:val="00171673"/>
    <w:rsid w:val="0017172D"/>
    <w:rsid w:val="001719CA"/>
    <w:rsid w:val="00171A55"/>
    <w:rsid w:val="00172098"/>
    <w:rsid w:val="0017217C"/>
    <w:rsid w:val="0017248E"/>
    <w:rsid w:val="001724EA"/>
    <w:rsid w:val="0017260F"/>
    <w:rsid w:val="00172839"/>
    <w:rsid w:val="00172D57"/>
    <w:rsid w:val="00172E1F"/>
    <w:rsid w:val="001730B5"/>
    <w:rsid w:val="00173F1D"/>
    <w:rsid w:val="00174539"/>
    <w:rsid w:val="001747AA"/>
    <w:rsid w:val="001748E6"/>
    <w:rsid w:val="00174C41"/>
    <w:rsid w:val="00174D13"/>
    <w:rsid w:val="0017543F"/>
    <w:rsid w:val="00175767"/>
    <w:rsid w:val="0017588E"/>
    <w:rsid w:val="00175946"/>
    <w:rsid w:val="00175AC7"/>
    <w:rsid w:val="00175AF9"/>
    <w:rsid w:val="00175F3B"/>
    <w:rsid w:val="00176528"/>
    <w:rsid w:val="001765A3"/>
    <w:rsid w:val="00176ABB"/>
    <w:rsid w:val="00177123"/>
    <w:rsid w:val="001776A8"/>
    <w:rsid w:val="00177BDE"/>
    <w:rsid w:val="00180774"/>
    <w:rsid w:val="0018081E"/>
    <w:rsid w:val="0018083E"/>
    <w:rsid w:val="001809A9"/>
    <w:rsid w:val="00180C41"/>
    <w:rsid w:val="00180FD5"/>
    <w:rsid w:val="00181075"/>
    <w:rsid w:val="0018108A"/>
    <w:rsid w:val="001813F8"/>
    <w:rsid w:val="00181686"/>
    <w:rsid w:val="00181743"/>
    <w:rsid w:val="001818B6"/>
    <w:rsid w:val="00181AD2"/>
    <w:rsid w:val="001827CE"/>
    <w:rsid w:val="00182B84"/>
    <w:rsid w:val="00182B95"/>
    <w:rsid w:val="00182C4C"/>
    <w:rsid w:val="00183055"/>
    <w:rsid w:val="001837A5"/>
    <w:rsid w:val="00183B3D"/>
    <w:rsid w:val="00184DFA"/>
    <w:rsid w:val="001851DF"/>
    <w:rsid w:val="0018522C"/>
    <w:rsid w:val="0018535D"/>
    <w:rsid w:val="001855EC"/>
    <w:rsid w:val="00185638"/>
    <w:rsid w:val="00185789"/>
    <w:rsid w:val="00185802"/>
    <w:rsid w:val="00185A93"/>
    <w:rsid w:val="00185CCF"/>
    <w:rsid w:val="00185EF6"/>
    <w:rsid w:val="001863EF"/>
    <w:rsid w:val="001866B0"/>
    <w:rsid w:val="0018769C"/>
    <w:rsid w:val="00187F68"/>
    <w:rsid w:val="00190170"/>
    <w:rsid w:val="0019088E"/>
    <w:rsid w:val="00190FBC"/>
    <w:rsid w:val="00191082"/>
    <w:rsid w:val="001912AB"/>
    <w:rsid w:val="00191DFB"/>
    <w:rsid w:val="001924C4"/>
    <w:rsid w:val="00192E3C"/>
    <w:rsid w:val="00192EDF"/>
    <w:rsid w:val="001930CD"/>
    <w:rsid w:val="00193B70"/>
    <w:rsid w:val="00193FAE"/>
    <w:rsid w:val="001949FA"/>
    <w:rsid w:val="00194A56"/>
    <w:rsid w:val="00194B11"/>
    <w:rsid w:val="00194EF7"/>
    <w:rsid w:val="0019510A"/>
    <w:rsid w:val="001951BD"/>
    <w:rsid w:val="0019537E"/>
    <w:rsid w:val="001959B4"/>
    <w:rsid w:val="001959CE"/>
    <w:rsid w:val="00195D2F"/>
    <w:rsid w:val="00196439"/>
    <w:rsid w:val="001964A7"/>
    <w:rsid w:val="00196750"/>
    <w:rsid w:val="00196857"/>
    <w:rsid w:val="00197156"/>
    <w:rsid w:val="0019749F"/>
    <w:rsid w:val="00197623"/>
    <w:rsid w:val="00197787"/>
    <w:rsid w:val="00197805"/>
    <w:rsid w:val="00197896"/>
    <w:rsid w:val="00197D8D"/>
    <w:rsid w:val="001A06D5"/>
    <w:rsid w:val="001A0D49"/>
    <w:rsid w:val="001A164A"/>
    <w:rsid w:val="001A1973"/>
    <w:rsid w:val="001A1A75"/>
    <w:rsid w:val="001A24AD"/>
    <w:rsid w:val="001A33BE"/>
    <w:rsid w:val="001A3400"/>
    <w:rsid w:val="001A37C2"/>
    <w:rsid w:val="001A5314"/>
    <w:rsid w:val="001A5B4A"/>
    <w:rsid w:val="001A5CB1"/>
    <w:rsid w:val="001A5D2A"/>
    <w:rsid w:val="001A5D47"/>
    <w:rsid w:val="001A635B"/>
    <w:rsid w:val="001A64A9"/>
    <w:rsid w:val="001A674D"/>
    <w:rsid w:val="001A69A2"/>
    <w:rsid w:val="001A69C9"/>
    <w:rsid w:val="001A6AAC"/>
    <w:rsid w:val="001A6AF8"/>
    <w:rsid w:val="001A6B8F"/>
    <w:rsid w:val="001A6D96"/>
    <w:rsid w:val="001A6DB0"/>
    <w:rsid w:val="001A6ECD"/>
    <w:rsid w:val="001A6ED9"/>
    <w:rsid w:val="001A71A2"/>
    <w:rsid w:val="001A7890"/>
    <w:rsid w:val="001A790C"/>
    <w:rsid w:val="001A7B25"/>
    <w:rsid w:val="001A7E9A"/>
    <w:rsid w:val="001AA082"/>
    <w:rsid w:val="001B004E"/>
    <w:rsid w:val="001B0292"/>
    <w:rsid w:val="001B069E"/>
    <w:rsid w:val="001B12C8"/>
    <w:rsid w:val="001B13BB"/>
    <w:rsid w:val="001B15A4"/>
    <w:rsid w:val="001B1671"/>
    <w:rsid w:val="001B19B6"/>
    <w:rsid w:val="001B1A37"/>
    <w:rsid w:val="001B2C36"/>
    <w:rsid w:val="001B2F80"/>
    <w:rsid w:val="001B38E2"/>
    <w:rsid w:val="001B3C17"/>
    <w:rsid w:val="001B3F6D"/>
    <w:rsid w:val="001B3F9C"/>
    <w:rsid w:val="001B3FBA"/>
    <w:rsid w:val="001B41C3"/>
    <w:rsid w:val="001B4E25"/>
    <w:rsid w:val="001B4F5F"/>
    <w:rsid w:val="001B5159"/>
    <w:rsid w:val="001B55F8"/>
    <w:rsid w:val="001B61F7"/>
    <w:rsid w:val="001B641F"/>
    <w:rsid w:val="001B6585"/>
    <w:rsid w:val="001B6691"/>
    <w:rsid w:val="001B6B88"/>
    <w:rsid w:val="001B72B4"/>
    <w:rsid w:val="001B74D2"/>
    <w:rsid w:val="001B778D"/>
    <w:rsid w:val="001B789D"/>
    <w:rsid w:val="001C0184"/>
    <w:rsid w:val="001C0482"/>
    <w:rsid w:val="001C076C"/>
    <w:rsid w:val="001C0B23"/>
    <w:rsid w:val="001C1110"/>
    <w:rsid w:val="001C1620"/>
    <w:rsid w:val="001C1802"/>
    <w:rsid w:val="001C1978"/>
    <w:rsid w:val="001C1A13"/>
    <w:rsid w:val="001C1B83"/>
    <w:rsid w:val="001C1BE6"/>
    <w:rsid w:val="001C1FC0"/>
    <w:rsid w:val="001C21D5"/>
    <w:rsid w:val="001C2445"/>
    <w:rsid w:val="001C24C8"/>
    <w:rsid w:val="001C250A"/>
    <w:rsid w:val="001C27A3"/>
    <w:rsid w:val="001C3F53"/>
    <w:rsid w:val="001C400A"/>
    <w:rsid w:val="001C442D"/>
    <w:rsid w:val="001C4CC3"/>
    <w:rsid w:val="001C5082"/>
    <w:rsid w:val="001C5295"/>
    <w:rsid w:val="001C5782"/>
    <w:rsid w:val="001C5837"/>
    <w:rsid w:val="001C5D0A"/>
    <w:rsid w:val="001C5DCD"/>
    <w:rsid w:val="001C6ABB"/>
    <w:rsid w:val="001C6E4E"/>
    <w:rsid w:val="001C6F27"/>
    <w:rsid w:val="001C6FA6"/>
    <w:rsid w:val="001C70D2"/>
    <w:rsid w:val="001C788D"/>
    <w:rsid w:val="001C78BE"/>
    <w:rsid w:val="001C7D52"/>
    <w:rsid w:val="001D0280"/>
    <w:rsid w:val="001D0A19"/>
    <w:rsid w:val="001D0FC0"/>
    <w:rsid w:val="001D1355"/>
    <w:rsid w:val="001D1A0A"/>
    <w:rsid w:val="001D1A23"/>
    <w:rsid w:val="001D218D"/>
    <w:rsid w:val="001D21DA"/>
    <w:rsid w:val="001D23BB"/>
    <w:rsid w:val="001D2689"/>
    <w:rsid w:val="001D28BA"/>
    <w:rsid w:val="001D2B66"/>
    <w:rsid w:val="001D3E8F"/>
    <w:rsid w:val="001D3FA0"/>
    <w:rsid w:val="001D4232"/>
    <w:rsid w:val="001D4509"/>
    <w:rsid w:val="001D4587"/>
    <w:rsid w:val="001D46D1"/>
    <w:rsid w:val="001D490D"/>
    <w:rsid w:val="001D4A9C"/>
    <w:rsid w:val="001D4F8F"/>
    <w:rsid w:val="001D52FA"/>
    <w:rsid w:val="001D5B19"/>
    <w:rsid w:val="001D5E68"/>
    <w:rsid w:val="001D5E8D"/>
    <w:rsid w:val="001D60F3"/>
    <w:rsid w:val="001D623C"/>
    <w:rsid w:val="001D636F"/>
    <w:rsid w:val="001D65DF"/>
    <w:rsid w:val="001D686A"/>
    <w:rsid w:val="001D69D9"/>
    <w:rsid w:val="001D6E18"/>
    <w:rsid w:val="001D6E8A"/>
    <w:rsid w:val="001D6F02"/>
    <w:rsid w:val="001D72ED"/>
    <w:rsid w:val="001D753B"/>
    <w:rsid w:val="001D7EE3"/>
    <w:rsid w:val="001E0768"/>
    <w:rsid w:val="001E096F"/>
    <w:rsid w:val="001E09FA"/>
    <w:rsid w:val="001E0B19"/>
    <w:rsid w:val="001E112F"/>
    <w:rsid w:val="001E1395"/>
    <w:rsid w:val="001E1C47"/>
    <w:rsid w:val="001E1CDB"/>
    <w:rsid w:val="001E2162"/>
    <w:rsid w:val="001E22F5"/>
    <w:rsid w:val="001E2667"/>
    <w:rsid w:val="001E2E9B"/>
    <w:rsid w:val="001E33B6"/>
    <w:rsid w:val="001E3A57"/>
    <w:rsid w:val="001E3BC4"/>
    <w:rsid w:val="001E45E5"/>
    <w:rsid w:val="001E4950"/>
    <w:rsid w:val="001E4AC3"/>
    <w:rsid w:val="001E4E6F"/>
    <w:rsid w:val="001E5215"/>
    <w:rsid w:val="001E5222"/>
    <w:rsid w:val="001E5663"/>
    <w:rsid w:val="001E5C0B"/>
    <w:rsid w:val="001E5DF4"/>
    <w:rsid w:val="001E6A7C"/>
    <w:rsid w:val="001E6D0B"/>
    <w:rsid w:val="001E6DC4"/>
    <w:rsid w:val="001E6DF1"/>
    <w:rsid w:val="001E74B8"/>
    <w:rsid w:val="001E7A61"/>
    <w:rsid w:val="001E7B41"/>
    <w:rsid w:val="001E7C0D"/>
    <w:rsid w:val="001E7C9A"/>
    <w:rsid w:val="001E7E32"/>
    <w:rsid w:val="001F0B33"/>
    <w:rsid w:val="001F13D4"/>
    <w:rsid w:val="001F167B"/>
    <w:rsid w:val="001F1801"/>
    <w:rsid w:val="001F1D38"/>
    <w:rsid w:val="001F204C"/>
    <w:rsid w:val="001F2102"/>
    <w:rsid w:val="001F2354"/>
    <w:rsid w:val="001F264C"/>
    <w:rsid w:val="001F2DA4"/>
    <w:rsid w:val="001F32CE"/>
    <w:rsid w:val="001F3519"/>
    <w:rsid w:val="001F3A13"/>
    <w:rsid w:val="001F3A90"/>
    <w:rsid w:val="001F4261"/>
    <w:rsid w:val="001F428E"/>
    <w:rsid w:val="001F4801"/>
    <w:rsid w:val="001F4E93"/>
    <w:rsid w:val="001F4EDE"/>
    <w:rsid w:val="001F4F9D"/>
    <w:rsid w:val="001F5041"/>
    <w:rsid w:val="001F53D9"/>
    <w:rsid w:val="001F5EBB"/>
    <w:rsid w:val="001F5F70"/>
    <w:rsid w:val="001F6CA2"/>
    <w:rsid w:val="001F6D04"/>
    <w:rsid w:val="001F6F7F"/>
    <w:rsid w:val="001F71CB"/>
    <w:rsid w:val="001F7564"/>
    <w:rsid w:val="001F7597"/>
    <w:rsid w:val="001F77AB"/>
    <w:rsid w:val="001F77E6"/>
    <w:rsid w:val="001F784B"/>
    <w:rsid w:val="001F7A73"/>
    <w:rsid w:val="001F7FCE"/>
    <w:rsid w:val="00200071"/>
    <w:rsid w:val="00200633"/>
    <w:rsid w:val="0020069E"/>
    <w:rsid w:val="00200839"/>
    <w:rsid w:val="00200929"/>
    <w:rsid w:val="00200ADA"/>
    <w:rsid w:val="00200B66"/>
    <w:rsid w:val="00200E97"/>
    <w:rsid w:val="00200EAA"/>
    <w:rsid w:val="0020134B"/>
    <w:rsid w:val="0020194D"/>
    <w:rsid w:val="0020224D"/>
    <w:rsid w:val="0020241D"/>
    <w:rsid w:val="0020271E"/>
    <w:rsid w:val="00202D93"/>
    <w:rsid w:val="00203540"/>
    <w:rsid w:val="002038A3"/>
    <w:rsid w:val="00203A07"/>
    <w:rsid w:val="00203A57"/>
    <w:rsid w:val="00204046"/>
    <w:rsid w:val="00204781"/>
    <w:rsid w:val="00204BD4"/>
    <w:rsid w:val="00204C8F"/>
    <w:rsid w:val="0020524D"/>
    <w:rsid w:val="0020584C"/>
    <w:rsid w:val="00205AEF"/>
    <w:rsid w:val="00206616"/>
    <w:rsid w:val="002075FD"/>
    <w:rsid w:val="00207BA8"/>
    <w:rsid w:val="00207DFA"/>
    <w:rsid w:val="00210C0E"/>
    <w:rsid w:val="00210DCA"/>
    <w:rsid w:val="00210FDD"/>
    <w:rsid w:val="00211232"/>
    <w:rsid w:val="00211442"/>
    <w:rsid w:val="0021155D"/>
    <w:rsid w:val="00211864"/>
    <w:rsid w:val="0021198A"/>
    <w:rsid w:val="0021219C"/>
    <w:rsid w:val="002122F6"/>
    <w:rsid w:val="00212B4D"/>
    <w:rsid w:val="0021322C"/>
    <w:rsid w:val="002139B6"/>
    <w:rsid w:val="00213B11"/>
    <w:rsid w:val="00213BE1"/>
    <w:rsid w:val="00214015"/>
    <w:rsid w:val="00214228"/>
    <w:rsid w:val="002145AF"/>
    <w:rsid w:val="00214612"/>
    <w:rsid w:val="00214DF0"/>
    <w:rsid w:val="00215E29"/>
    <w:rsid w:val="0021612B"/>
    <w:rsid w:val="002161E7"/>
    <w:rsid w:val="0021716D"/>
    <w:rsid w:val="0021740E"/>
    <w:rsid w:val="00217A0A"/>
    <w:rsid w:val="00217E3F"/>
    <w:rsid w:val="00220159"/>
    <w:rsid w:val="002201B2"/>
    <w:rsid w:val="002203A3"/>
    <w:rsid w:val="002203E9"/>
    <w:rsid w:val="0022083A"/>
    <w:rsid w:val="002208D1"/>
    <w:rsid w:val="00221075"/>
    <w:rsid w:val="0022184B"/>
    <w:rsid w:val="00221D07"/>
    <w:rsid w:val="00221EEB"/>
    <w:rsid w:val="00222199"/>
    <w:rsid w:val="0022262E"/>
    <w:rsid w:val="00222F45"/>
    <w:rsid w:val="002232D0"/>
    <w:rsid w:val="00223514"/>
    <w:rsid w:val="00223627"/>
    <w:rsid w:val="0022379F"/>
    <w:rsid w:val="00223DEF"/>
    <w:rsid w:val="002246F6"/>
    <w:rsid w:val="0022497E"/>
    <w:rsid w:val="00224D9A"/>
    <w:rsid w:val="002252F6"/>
    <w:rsid w:val="002254F9"/>
    <w:rsid w:val="00225890"/>
    <w:rsid w:val="00225AAD"/>
    <w:rsid w:val="00226028"/>
    <w:rsid w:val="002265D4"/>
    <w:rsid w:val="002271D9"/>
    <w:rsid w:val="00227933"/>
    <w:rsid w:val="002279D6"/>
    <w:rsid w:val="00227E4A"/>
    <w:rsid w:val="00227FE8"/>
    <w:rsid w:val="00230383"/>
    <w:rsid w:val="0023047D"/>
    <w:rsid w:val="00230555"/>
    <w:rsid w:val="00230F5F"/>
    <w:rsid w:val="00231222"/>
    <w:rsid w:val="002313D8"/>
    <w:rsid w:val="00231774"/>
    <w:rsid w:val="0023186F"/>
    <w:rsid w:val="00231A06"/>
    <w:rsid w:val="002323E3"/>
    <w:rsid w:val="002326DA"/>
    <w:rsid w:val="00232A24"/>
    <w:rsid w:val="00232F66"/>
    <w:rsid w:val="002335A4"/>
    <w:rsid w:val="002342FA"/>
    <w:rsid w:val="002343E9"/>
    <w:rsid w:val="00235B31"/>
    <w:rsid w:val="00235D9C"/>
    <w:rsid w:val="00235F50"/>
    <w:rsid w:val="00236A39"/>
    <w:rsid w:val="00236D2C"/>
    <w:rsid w:val="00236F62"/>
    <w:rsid w:val="0023733A"/>
    <w:rsid w:val="00237534"/>
    <w:rsid w:val="00237A5C"/>
    <w:rsid w:val="002408BD"/>
    <w:rsid w:val="00240EEC"/>
    <w:rsid w:val="00240F28"/>
    <w:rsid w:val="0024156F"/>
    <w:rsid w:val="00241D5E"/>
    <w:rsid w:val="00241F62"/>
    <w:rsid w:val="002423AA"/>
    <w:rsid w:val="002427FE"/>
    <w:rsid w:val="00242A5F"/>
    <w:rsid w:val="00242A80"/>
    <w:rsid w:val="00242C77"/>
    <w:rsid w:val="00242E0F"/>
    <w:rsid w:val="00243298"/>
    <w:rsid w:val="002433C0"/>
    <w:rsid w:val="00243661"/>
    <w:rsid w:val="00243B88"/>
    <w:rsid w:val="002440C0"/>
    <w:rsid w:val="002441A7"/>
    <w:rsid w:val="002442E3"/>
    <w:rsid w:val="00244303"/>
    <w:rsid w:val="0024463F"/>
    <w:rsid w:val="00244C12"/>
    <w:rsid w:val="00244E9F"/>
    <w:rsid w:val="0024582E"/>
    <w:rsid w:val="002458C9"/>
    <w:rsid w:val="00245BA8"/>
    <w:rsid w:val="00245C2B"/>
    <w:rsid w:val="00245C56"/>
    <w:rsid w:val="002469E8"/>
    <w:rsid w:val="00246A38"/>
    <w:rsid w:val="00246C20"/>
    <w:rsid w:val="00247BD7"/>
    <w:rsid w:val="00247E9B"/>
    <w:rsid w:val="00247F3F"/>
    <w:rsid w:val="00250B9F"/>
    <w:rsid w:val="00250D21"/>
    <w:rsid w:val="00251508"/>
    <w:rsid w:val="00251C69"/>
    <w:rsid w:val="00252087"/>
    <w:rsid w:val="00252152"/>
    <w:rsid w:val="002523D0"/>
    <w:rsid w:val="002524FF"/>
    <w:rsid w:val="0025293A"/>
    <w:rsid w:val="00252A03"/>
    <w:rsid w:val="00252FCD"/>
    <w:rsid w:val="00254795"/>
    <w:rsid w:val="002547EF"/>
    <w:rsid w:val="00254A4F"/>
    <w:rsid w:val="00254C09"/>
    <w:rsid w:val="00254C98"/>
    <w:rsid w:val="00255968"/>
    <w:rsid w:val="00255E55"/>
    <w:rsid w:val="00256954"/>
    <w:rsid w:val="00256D65"/>
    <w:rsid w:val="00256FB7"/>
    <w:rsid w:val="0025756F"/>
    <w:rsid w:val="002578ED"/>
    <w:rsid w:val="0025790D"/>
    <w:rsid w:val="00257913"/>
    <w:rsid w:val="002601C2"/>
    <w:rsid w:val="0026021B"/>
    <w:rsid w:val="0026090B"/>
    <w:rsid w:val="00260976"/>
    <w:rsid w:val="00260D72"/>
    <w:rsid w:val="002610EE"/>
    <w:rsid w:val="00261124"/>
    <w:rsid w:val="002612A7"/>
    <w:rsid w:val="00261342"/>
    <w:rsid w:val="0026197E"/>
    <w:rsid w:val="002619FB"/>
    <w:rsid w:val="00261CB5"/>
    <w:rsid w:val="00262758"/>
    <w:rsid w:val="002627C8"/>
    <w:rsid w:val="00262D3A"/>
    <w:rsid w:val="00262F3B"/>
    <w:rsid w:val="00263A57"/>
    <w:rsid w:val="00263F0F"/>
    <w:rsid w:val="00263FD1"/>
    <w:rsid w:val="00264075"/>
    <w:rsid w:val="002640B4"/>
    <w:rsid w:val="00264311"/>
    <w:rsid w:val="00264412"/>
    <w:rsid w:val="00264527"/>
    <w:rsid w:val="002646DF"/>
    <w:rsid w:val="00264940"/>
    <w:rsid w:val="00264A02"/>
    <w:rsid w:val="00264C46"/>
    <w:rsid w:val="00264F5E"/>
    <w:rsid w:val="002654E4"/>
    <w:rsid w:val="002656A4"/>
    <w:rsid w:val="00265D01"/>
    <w:rsid w:val="00266120"/>
    <w:rsid w:val="00266332"/>
    <w:rsid w:val="00266542"/>
    <w:rsid w:val="00266551"/>
    <w:rsid w:val="002668D6"/>
    <w:rsid w:val="00266D66"/>
    <w:rsid w:val="00267146"/>
    <w:rsid w:val="002672D7"/>
    <w:rsid w:val="00267482"/>
    <w:rsid w:val="00267F0B"/>
    <w:rsid w:val="002695EC"/>
    <w:rsid w:val="002700F9"/>
    <w:rsid w:val="002702F7"/>
    <w:rsid w:val="002703E0"/>
    <w:rsid w:val="00270C4C"/>
    <w:rsid w:val="002714F3"/>
    <w:rsid w:val="00271ACE"/>
    <w:rsid w:val="00271F00"/>
    <w:rsid w:val="0027209E"/>
    <w:rsid w:val="00272102"/>
    <w:rsid w:val="00272740"/>
    <w:rsid w:val="00272872"/>
    <w:rsid w:val="00272A71"/>
    <w:rsid w:val="00272FCE"/>
    <w:rsid w:val="00273069"/>
    <w:rsid w:val="00273198"/>
    <w:rsid w:val="002732F5"/>
    <w:rsid w:val="00273A80"/>
    <w:rsid w:val="00274396"/>
    <w:rsid w:val="00274C2C"/>
    <w:rsid w:val="00274C3B"/>
    <w:rsid w:val="00274E8A"/>
    <w:rsid w:val="00274EEF"/>
    <w:rsid w:val="00275204"/>
    <w:rsid w:val="0027540C"/>
    <w:rsid w:val="002755D5"/>
    <w:rsid w:val="0027581D"/>
    <w:rsid w:val="00275F25"/>
    <w:rsid w:val="00275F65"/>
    <w:rsid w:val="0027641E"/>
    <w:rsid w:val="00276472"/>
    <w:rsid w:val="0027661B"/>
    <w:rsid w:val="00276766"/>
    <w:rsid w:val="002768CD"/>
    <w:rsid w:val="00276FF8"/>
    <w:rsid w:val="002770B7"/>
    <w:rsid w:val="00277780"/>
    <w:rsid w:val="00277CCF"/>
    <w:rsid w:val="00277CE1"/>
    <w:rsid w:val="00280B1B"/>
    <w:rsid w:val="00280ED7"/>
    <w:rsid w:val="002817EC"/>
    <w:rsid w:val="00281C5F"/>
    <w:rsid w:val="00281D5E"/>
    <w:rsid w:val="00281DC3"/>
    <w:rsid w:val="00281E8A"/>
    <w:rsid w:val="0028220F"/>
    <w:rsid w:val="0028222F"/>
    <w:rsid w:val="00282394"/>
    <w:rsid w:val="002826E5"/>
    <w:rsid w:val="00282850"/>
    <w:rsid w:val="00282A06"/>
    <w:rsid w:val="00282A59"/>
    <w:rsid w:val="00282B71"/>
    <w:rsid w:val="00282F78"/>
    <w:rsid w:val="002837C7"/>
    <w:rsid w:val="00283805"/>
    <w:rsid w:val="002838E3"/>
    <w:rsid w:val="002839DC"/>
    <w:rsid w:val="00283D36"/>
    <w:rsid w:val="0028412B"/>
    <w:rsid w:val="0028449A"/>
    <w:rsid w:val="00284A3B"/>
    <w:rsid w:val="00284FCE"/>
    <w:rsid w:val="002856F4"/>
    <w:rsid w:val="00285A72"/>
    <w:rsid w:val="00285BE3"/>
    <w:rsid w:val="0028642C"/>
    <w:rsid w:val="00286632"/>
    <w:rsid w:val="00286F82"/>
    <w:rsid w:val="0028799E"/>
    <w:rsid w:val="00287D75"/>
    <w:rsid w:val="002900B7"/>
    <w:rsid w:val="00290172"/>
    <w:rsid w:val="002902D4"/>
    <w:rsid w:val="0029034C"/>
    <w:rsid w:val="002905C8"/>
    <w:rsid w:val="0029204E"/>
    <w:rsid w:val="0029237F"/>
    <w:rsid w:val="002923A7"/>
    <w:rsid w:val="00292F5F"/>
    <w:rsid w:val="00293691"/>
    <w:rsid w:val="002936F1"/>
    <w:rsid w:val="00293A10"/>
    <w:rsid w:val="00293A68"/>
    <w:rsid w:val="00294225"/>
    <w:rsid w:val="00294974"/>
    <w:rsid w:val="002949D2"/>
    <w:rsid w:val="00294EED"/>
    <w:rsid w:val="002950B0"/>
    <w:rsid w:val="00295935"/>
    <w:rsid w:val="00295EEE"/>
    <w:rsid w:val="00295F31"/>
    <w:rsid w:val="00296209"/>
    <w:rsid w:val="0029631C"/>
    <w:rsid w:val="00296F41"/>
    <w:rsid w:val="00297026"/>
    <w:rsid w:val="00297204"/>
    <w:rsid w:val="00297BA2"/>
    <w:rsid w:val="00297ECA"/>
    <w:rsid w:val="002A0194"/>
    <w:rsid w:val="002A0232"/>
    <w:rsid w:val="002A03A3"/>
    <w:rsid w:val="002A0ACC"/>
    <w:rsid w:val="002A0EE6"/>
    <w:rsid w:val="002A12AD"/>
    <w:rsid w:val="002A12FD"/>
    <w:rsid w:val="002A14C7"/>
    <w:rsid w:val="002A1543"/>
    <w:rsid w:val="002A16EF"/>
    <w:rsid w:val="002A2138"/>
    <w:rsid w:val="002A279D"/>
    <w:rsid w:val="002A2850"/>
    <w:rsid w:val="002A2935"/>
    <w:rsid w:val="002A2B67"/>
    <w:rsid w:val="002A3270"/>
    <w:rsid w:val="002A3314"/>
    <w:rsid w:val="002A3582"/>
    <w:rsid w:val="002A3734"/>
    <w:rsid w:val="002A3A47"/>
    <w:rsid w:val="002A42B9"/>
    <w:rsid w:val="002A46FF"/>
    <w:rsid w:val="002A4837"/>
    <w:rsid w:val="002A48CA"/>
    <w:rsid w:val="002A4CB1"/>
    <w:rsid w:val="002A4E3C"/>
    <w:rsid w:val="002A4F25"/>
    <w:rsid w:val="002A5267"/>
    <w:rsid w:val="002A58E6"/>
    <w:rsid w:val="002A5982"/>
    <w:rsid w:val="002A5F8B"/>
    <w:rsid w:val="002A6398"/>
    <w:rsid w:val="002A65B3"/>
    <w:rsid w:val="002A6B0D"/>
    <w:rsid w:val="002A6B1A"/>
    <w:rsid w:val="002A703D"/>
    <w:rsid w:val="002A749F"/>
    <w:rsid w:val="002A7599"/>
    <w:rsid w:val="002A7F6C"/>
    <w:rsid w:val="002B0258"/>
    <w:rsid w:val="002B0BCE"/>
    <w:rsid w:val="002B0C08"/>
    <w:rsid w:val="002B0FC3"/>
    <w:rsid w:val="002B14D1"/>
    <w:rsid w:val="002B1BD0"/>
    <w:rsid w:val="002B1E06"/>
    <w:rsid w:val="002B2677"/>
    <w:rsid w:val="002B2B6E"/>
    <w:rsid w:val="002B30C7"/>
    <w:rsid w:val="002B329D"/>
    <w:rsid w:val="002B3673"/>
    <w:rsid w:val="002B3970"/>
    <w:rsid w:val="002B3AB5"/>
    <w:rsid w:val="002B4122"/>
    <w:rsid w:val="002B43E0"/>
    <w:rsid w:val="002B492F"/>
    <w:rsid w:val="002B4D50"/>
    <w:rsid w:val="002B56DF"/>
    <w:rsid w:val="002B57C3"/>
    <w:rsid w:val="002B6048"/>
    <w:rsid w:val="002B6332"/>
    <w:rsid w:val="002B6520"/>
    <w:rsid w:val="002B68A9"/>
    <w:rsid w:val="002B6D2E"/>
    <w:rsid w:val="002B6E6B"/>
    <w:rsid w:val="002B7538"/>
    <w:rsid w:val="002B76EF"/>
    <w:rsid w:val="002B7BD2"/>
    <w:rsid w:val="002C03C6"/>
    <w:rsid w:val="002C098D"/>
    <w:rsid w:val="002C1147"/>
    <w:rsid w:val="002C190F"/>
    <w:rsid w:val="002C1F06"/>
    <w:rsid w:val="002C204C"/>
    <w:rsid w:val="002C20E0"/>
    <w:rsid w:val="002C233F"/>
    <w:rsid w:val="002C2458"/>
    <w:rsid w:val="002C25DB"/>
    <w:rsid w:val="002C2847"/>
    <w:rsid w:val="002C2848"/>
    <w:rsid w:val="002C2B9A"/>
    <w:rsid w:val="002C2E21"/>
    <w:rsid w:val="002C34BF"/>
    <w:rsid w:val="002C34DA"/>
    <w:rsid w:val="002C3B7E"/>
    <w:rsid w:val="002C40ED"/>
    <w:rsid w:val="002C432F"/>
    <w:rsid w:val="002C4498"/>
    <w:rsid w:val="002C4815"/>
    <w:rsid w:val="002C48A5"/>
    <w:rsid w:val="002C4C54"/>
    <w:rsid w:val="002C4F06"/>
    <w:rsid w:val="002C4F67"/>
    <w:rsid w:val="002C5044"/>
    <w:rsid w:val="002C5A5A"/>
    <w:rsid w:val="002C5C41"/>
    <w:rsid w:val="002C6755"/>
    <w:rsid w:val="002C6CAC"/>
    <w:rsid w:val="002C6E45"/>
    <w:rsid w:val="002C6F7A"/>
    <w:rsid w:val="002C72F5"/>
    <w:rsid w:val="002C7817"/>
    <w:rsid w:val="002C7C66"/>
    <w:rsid w:val="002C7D58"/>
    <w:rsid w:val="002D0409"/>
    <w:rsid w:val="002D0C3D"/>
    <w:rsid w:val="002D0FD3"/>
    <w:rsid w:val="002D1E30"/>
    <w:rsid w:val="002D1FBE"/>
    <w:rsid w:val="002D1FCC"/>
    <w:rsid w:val="002D210C"/>
    <w:rsid w:val="002D233C"/>
    <w:rsid w:val="002D2550"/>
    <w:rsid w:val="002D2619"/>
    <w:rsid w:val="002D2918"/>
    <w:rsid w:val="002D2C13"/>
    <w:rsid w:val="002D2C54"/>
    <w:rsid w:val="002D2CE9"/>
    <w:rsid w:val="002D3893"/>
    <w:rsid w:val="002D3900"/>
    <w:rsid w:val="002D3925"/>
    <w:rsid w:val="002D39F1"/>
    <w:rsid w:val="002D3A53"/>
    <w:rsid w:val="002D3DA6"/>
    <w:rsid w:val="002D3DDF"/>
    <w:rsid w:val="002D3E27"/>
    <w:rsid w:val="002D3F47"/>
    <w:rsid w:val="002D4152"/>
    <w:rsid w:val="002D4387"/>
    <w:rsid w:val="002D4474"/>
    <w:rsid w:val="002D4674"/>
    <w:rsid w:val="002D4859"/>
    <w:rsid w:val="002D48AA"/>
    <w:rsid w:val="002D48E4"/>
    <w:rsid w:val="002D4A8C"/>
    <w:rsid w:val="002D5494"/>
    <w:rsid w:val="002D57CA"/>
    <w:rsid w:val="002D5AF5"/>
    <w:rsid w:val="002D5B58"/>
    <w:rsid w:val="002D5DF0"/>
    <w:rsid w:val="002D5F4B"/>
    <w:rsid w:val="002D5FFD"/>
    <w:rsid w:val="002D64A4"/>
    <w:rsid w:val="002D6809"/>
    <w:rsid w:val="002D6A1E"/>
    <w:rsid w:val="002D6FE3"/>
    <w:rsid w:val="002D72FC"/>
    <w:rsid w:val="002D731D"/>
    <w:rsid w:val="002D74BA"/>
    <w:rsid w:val="002D76E9"/>
    <w:rsid w:val="002D7755"/>
    <w:rsid w:val="002D7C75"/>
    <w:rsid w:val="002E01E1"/>
    <w:rsid w:val="002E0C91"/>
    <w:rsid w:val="002E18AF"/>
    <w:rsid w:val="002E1907"/>
    <w:rsid w:val="002E1FE0"/>
    <w:rsid w:val="002E22DE"/>
    <w:rsid w:val="002E250C"/>
    <w:rsid w:val="002E29F9"/>
    <w:rsid w:val="002E2A4A"/>
    <w:rsid w:val="002E2B5D"/>
    <w:rsid w:val="002E35B5"/>
    <w:rsid w:val="002E3733"/>
    <w:rsid w:val="002E3A55"/>
    <w:rsid w:val="002E4109"/>
    <w:rsid w:val="002E44E7"/>
    <w:rsid w:val="002E5208"/>
    <w:rsid w:val="002E52B1"/>
    <w:rsid w:val="002E52BA"/>
    <w:rsid w:val="002E5B06"/>
    <w:rsid w:val="002E6821"/>
    <w:rsid w:val="002E723B"/>
    <w:rsid w:val="002E7863"/>
    <w:rsid w:val="002E7C3C"/>
    <w:rsid w:val="002F026F"/>
    <w:rsid w:val="002F05A1"/>
    <w:rsid w:val="002F0CA9"/>
    <w:rsid w:val="002F12B5"/>
    <w:rsid w:val="002F12E6"/>
    <w:rsid w:val="002F163B"/>
    <w:rsid w:val="002F18E1"/>
    <w:rsid w:val="002F1D9E"/>
    <w:rsid w:val="002F29DD"/>
    <w:rsid w:val="002F306E"/>
    <w:rsid w:val="002F342C"/>
    <w:rsid w:val="002F3F14"/>
    <w:rsid w:val="002F47F4"/>
    <w:rsid w:val="002F4F00"/>
    <w:rsid w:val="002F5035"/>
    <w:rsid w:val="002F5A34"/>
    <w:rsid w:val="002F60E3"/>
    <w:rsid w:val="002F61F5"/>
    <w:rsid w:val="002F647A"/>
    <w:rsid w:val="002F6488"/>
    <w:rsid w:val="002F7123"/>
    <w:rsid w:val="002F7230"/>
    <w:rsid w:val="002F72DE"/>
    <w:rsid w:val="002F7875"/>
    <w:rsid w:val="002F78FB"/>
    <w:rsid w:val="002F7999"/>
    <w:rsid w:val="003000D0"/>
    <w:rsid w:val="00300574"/>
    <w:rsid w:val="003009FE"/>
    <w:rsid w:val="003010B0"/>
    <w:rsid w:val="00301304"/>
    <w:rsid w:val="00302035"/>
    <w:rsid w:val="003028C5"/>
    <w:rsid w:val="0030292F"/>
    <w:rsid w:val="00302AC4"/>
    <w:rsid w:val="00302E28"/>
    <w:rsid w:val="00303C41"/>
    <w:rsid w:val="00304244"/>
    <w:rsid w:val="003042D6"/>
    <w:rsid w:val="00304439"/>
    <w:rsid w:val="0030460C"/>
    <w:rsid w:val="00304B3A"/>
    <w:rsid w:val="0030564A"/>
    <w:rsid w:val="0030594D"/>
    <w:rsid w:val="00305B73"/>
    <w:rsid w:val="003060E3"/>
    <w:rsid w:val="003064D8"/>
    <w:rsid w:val="00306957"/>
    <w:rsid w:val="00307592"/>
    <w:rsid w:val="0030775A"/>
    <w:rsid w:val="0030785E"/>
    <w:rsid w:val="00307B20"/>
    <w:rsid w:val="00307E48"/>
    <w:rsid w:val="00310213"/>
    <w:rsid w:val="00310505"/>
    <w:rsid w:val="003106B6"/>
    <w:rsid w:val="00310897"/>
    <w:rsid w:val="00310A73"/>
    <w:rsid w:val="00310C51"/>
    <w:rsid w:val="003111AC"/>
    <w:rsid w:val="0031138B"/>
    <w:rsid w:val="00311743"/>
    <w:rsid w:val="003118A9"/>
    <w:rsid w:val="00311F31"/>
    <w:rsid w:val="00312887"/>
    <w:rsid w:val="00312F5E"/>
    <w:rsid w:val="0031320E"/>
    <w:rsid w:val="00313699"/>
    <w:rsid w:val="00313747"/>
    <w:rsid w:val="00313748"/>
    <w:rsid w:val="00313886"/>
    <w:rsid w:val="00313BBE"/>
    <w:rsid w:val="00313C58"/>
    <w:rsid w:val="00313CD4"/>
    <w:rsid w:val="00313F5E"/>
    <w:rsid w:val="00314439"/>
    <w:rsid w:val="0031448C"/>
    <w:rsid w:val="003148CB"/>
    <w:rsid w:val="00314B25"/>
    <w:rsid w:val="00314EC0"/>
    <w:rsid w:val="003152BD"/>
    <w:rsid w:val="003154A3"/>
    <w:rsid w:val="003159DD"/>
    <w:rsid w:val="00315D2B"/>
    <w:rsid w:val="00316065"/>
    <w:rsid w:val="00316400"/>
    <w:rsid w:val="003171B7"/>
    <w:rsid w:val="003176E6"/>
    <w:rsid w:val="00317841"/>
    <w:rsid w:val="003178A6"/>
    <w:rsid w:val="00317C84"/>
    <w:rsid w:val="003200CF"/>
    <w:rsid w:val="00320588"/>
    <w:rsid w:val="00320839"/>
    <w:rsid w:val="0032083D"/>
    <w:rsid w:val="00320BE8"/>
    <w:rsid w:val="003213F9"/>
    <w:rsid w:val="00321462"/>
    <w:rsid w:val="003226D2"/>
    <w:rsid w:val="00322741"/>
    <w:rsid w:val="00322764"/>
    <w:rsid w:val="003228E2"/>
    <w:rsid w:val="00322B49"/>
    <w:rsid w:val="00322FF8"/>
    <w:rsid w:val="0032327B"/>
    <w:rsid w:val="003234D4"/>
    <w:rsid w:val="003235C7"/>
    <w:rsid w:val="0032382B"/>
    <w:rsid w:val="00323DBF"/>
    <w:rsid w:val="00324969"/>
    <w:rsid w:val="00324AE6"/>
    <w:rsid w:val="00325583"/>
    <w:rsid w:val="0032598E"/>
    <w:rsid w:val="00325B11"/>
    <w:rsid w:val="00325D5D"/>
    <w:rsid w:val="00325F12"/>
    <w:rsid w:val="00326506"/>
    <w:rsid w:val="00326D85"/>
    <w:rsid w:val="00326E2F"/>
    <w:rsid w:val="00327685"/>
    <w:rsid w:val="0032784B"/>
    <w:rsid w:val="00327A8A"/>
    <w:rsid w:val="00327BED"/>
    <w:rsid w:val="0033069D"/>
    <w:rsid w:val="0033073B"/>
    <w:rsid w:val="003308CA"/>
    <w:rsid w:val="003309A8"/>
    <w:rsid w:val="00330DFA"/>
    <w:rsid w:val="00331571"/>
    <w:rsid w:val="003315AE"/>
    <w:rsid w:val="00331DDC"/>
    <w:rsid w:val="00332882"/>
    <w:rsid w:val="00332B12"/>
    <w:rsid w:val="00332BCD"/>
    <w:rsid w:val="00332E47"/>
    <w:rsid w:val="00333062"/>
    <w:rsid w:val="00333063"/>
    <w:rsid w:val="00333280"/>
    <w:rsid w:val="003335EA"/>
    <w:rsid w:val="00333613"/>
    <w:rsid w:val="00333627"/>
    <w:rsid w:val="00333645"/>
    <w:rsid w:val="00333B77"/>
    <w:rsid w:val="0033410E"/>
    <w:rsid w:val="00334324"/>
    <w:rsid w:val="00334675"/>
    <w:rsid w:val="00334B00"/>
    <w:rsid w:val="00335295"/>
    <w:rsid w:val="0033598B"/>
    <w:rsid w:val="00335FCC"/>
    <w:rsid w:val="00336197"/>
    <w:rsid w:val="003362B4"/>
    <w:rsid w:val="003362E2"/>
    <w:rsid w:val="0033652C"/>
    <w:rsid w:val="00336A0F"/>
    <w:rsid w:val="00336ED0"/>
    <w:rsid w:val="003371F4"/>
    <w:rsid w:val="003373F4"/>
    <w:rsid w:val="00337656"/>
    <w:rsid w:val="00337C39"/>
    <w:rsid w:val="00337DAB"/>
    <w:rsid w:val="00337E2C"/>
    <w:rsid w:val="00337F7F"/>
    <w:rsid w:val="003402CC"/>
    <w:rsid w:val="003406C6"/>
    <w:rsid w:val="00340741"/>
    <w:rsid w:val="0034092B"/>
    <w:rsid w:val="00340F80"/>
    <w:rsid w:val="00340FE1"/>
    <w:rsid w:val="00340FEC"/>
    <w:rsid w:val="00341115"/>
    <w:rsid w:val="003415C2"/>
    <w:rsid w:val="003418AE"/>
    <w:rsid w:val="00342264"/>
    <w:rsid w:val="0034279B"/>
    <w:rsid w:val="00342ADC"/>
    <w:rsid w:val="0034306B"/>
    <w:rsid w:val="00343425"/>
    <w:rsid w:val="0034345C"/>
    <w:rsid w:val="00343461"/>
    <w:rsid w:val="00343630"/>
    <w:rsid w:val="00343C67"/>
    <w:rsid w:val="00343DB3"/>
    <w:rsid w:val="00343DD5"/>
    <w:rsid w:val="00344220"/>
    <w:rsid w:val="003445CE"/>
    <w:rsid w:val="003445E6"/>
    <w:rsid w:val="00344AEF"/>
    <w:rsid w:val="00345A3B"/>
    <w:rsid w:val="00345BAC"/>
    <w:rsid w:val="00346112"/>
    <w:rsid w:val="003463F7"/>
    <w:rsid w:val="003469F0"/>
    <w:rsid w:val="00346D54"/>
    <w:rsid w:val="00347459"/>
    <w:rsid w:val="003477B4"/>
    <w:rsid w:val="0034781A"/>
    <w:rsid w:val="0034785A"/>
    <w:rsid w:val="00347935"/>
    <w:rsid w:val="003500B9"/>
    <w:rsid w:val="00350777"/>
    <w:rsid w:val="003507B0"/>
    <w:rsid w:val="003507D6"/>
    <w:rsid w:val="003507F9"/>
    <w:rsid w:val="00350AD1"/>
    <w:rsid w:val="003511DE"/>
    <w:rsid w:val="003519DE"/>
    <w:rsid w:val="00351B07"/>
    <w:rsid w:val="00351ED9"/>
    <w:rsid w:val="003521C8"/>
    <w:rsid w:val="00352254"/>
    <w:rsid w:val="0035240E"/>
    <w:rsid w:val="00352CF2"/>
    <w:rsid w:val="00353AA4"/>
    <w:rsid w:val="00354117"/>
    <w:rsid w:val="003544E1"/>
    <w:rsid w:val="00354989"/>
    <w:rsid w:val="00354C73"/>
    <w:rsid w:val="00354DF3"/>
    <w:rsid w:val="00355662"/>
    <w:rsid w:val="00355846"/>
    <w:rsid w:val="00355918"/>
    <w:rsid w:val="003559A2"/>
    <w:rsid w:val="00355D86"/>
    <w:rsid w:val="00356508"/>
    <w:rsid w:val="00356E4A"/>
    <w:rsid w:val="00357292"/>
    <w:rsid w:val="00357574"/>
    <w:rsid w:val="0035788C"/>
    <w:rsid w:val="00357A1A"/>
    <w:rsid w:val="00357F1E"/>
    <w:rsid w:val="003601A9"/>
    <w:rsid w:val="00360C12"/>
    <w:rsid w:val="00360D18"/>
    <w:rsid w:val="003615E3"/>
    <w:rsid w:val="00361973"/>
    <w:rsid w:val="00361AD4"/>
    <w:rsid w:val="00361F95"/>
    <w:rsid w:val="00362B30"/>
    <w:rsid w:val="00362BDC"/>
    <w:rsid w:val="00362C9A"/>
    <w:rsid w:val="0036346D"/>
    <w:rsid w:val="00363716"/>
    <w:rsid w:val="00363A60"/>
    <w:rsid w:val="00363BBB"/>
    <w:rsid w:val="00363C41"/>
    <w:rsid w:val="00363C49"/>
    <w:rsid w:val="003643D6"/>
    <w:rsid w:val="003643EC"/>
    <w:rsid w:val="003643EF"/>
    <w:rsid w:val="00364841"/>
    <w:rsid w:val="00364D06"/>
    <w:rsid w:val="003650D8"/>
    <w:rsid w:val="003652D4"/>
    <w:rsid w:val="00365B3A"/>
    <w:rsid w:val="00365C5E"/>
    <w:rsid w:val="00365F2C"/>
    <w:rsid w:val="00366026"/>
    <w:rsid w:val="0036692E"/>
    <w:rsid w:val="003669B3"/>
    <w:rsid w:val="00366AAD"/>
    <w:rsid w:val="00366DC8"/>
    <w:rsid w:val="00367116"/>
    <w:rsid w:val="0036711E"/>
    <w:rsid w:val="003671C8"/>
    <w:rsid w:val="0036720F"/>
    <w:rsid w:val="00367B12"/>
    <w:rsid w:val="00367B2C"/>
    <w:rsid w:val="00367F53"/>
    <w:rsid w:val="00370036"/>
    <w:rsid w:val="00370BB7"/>
    <w:rsid w:val="00370C3E"/>
    <w:rsid w:val="00371554"/>
    <w:rsid w:val="00371754"/>
    <w:rsid w:val="00371910"/>
    <w:rsid w:val="00371B29"/>
    <w:rsid w:val="00372013"/>
    <w:rsid w:val="0037207C"/>
    <w:rsid w:val="00372731"/>
    <w:rsid w:val="00372758"/>
    <w:rsid w:val="0037299C"/>
    <w:rsid w:val="00372D5E"/>
    <w:rsid w:val="0037323B"/>
    <w:rsid w:val="00373327"/>
    <w:rsid w:val="003736D6"/>
    <w:rsid w:val="003738CE"/>
    <w:rsid w:val="00373E72"/>
    <w:rsid w:val="00374214"/>
    <w:rsid w:val="00374461"/>
    <w:rsid w:val="0037517D"/>
    <w:rsid w:val="00375743"/>
    <w:rsid w:val="00375892"/>
    <w:rsid w:val="00375BDB"/>
    <w:rsid w:val="003762B7"/>
    <w:rsid w:val="0037656B"/>
    <w:rsid w:val="00376894"/>
    <w:rsid w:val="00376A00"/>
    <w:rsid w:val="00376AC9"/>
    <w:rsid w:val="00376FCC"/>
    <w:rsid w:val="003771CF"/>
    <w:rsid w:val="003773AA"/>
    <w:rsid w:val="00377D45"/>
    <w:rsid w:val="00380263"/>
    <w:rsid w:val="003804FA"/>
    <w:rsid w:val="003808F5"/>
    <w:rsid w:val="00380B2F"/>
    <w:rsid w:val="00380BA0"/>
    <w:rsid w:val="00380DB3"/>
    <w:rsid w:val="00380EA3"/>
    <w:rsid w:val="00380F10"/>
    <w:rsid w:val="00381760"/>
    <w:rsid w:val="003819D1"/>
    <w:rsid w:val="00381A43"/>
    <w:rsid w:val="00381CEA"/>
    <w:rsid w:val="00383521"/>
    <w:rsid w:val="0038366A"/>
    <w:rsid w:val="00383733"/>
    <w:rsid w:val="0038398B"/>
    <w:rsid w:val="00383B0B"/>
    <w:rsid w:val="003848FB"/>
    <w:rsid w:val="00384A2E"/>
    <w:rsid w:val="00384B4B"/>
    <w:rsid w:val="00384CD0"/>
    <w:rsid w:val="003850D1"/>
    <w:rsid w:val="0038582E"/>
    <w:rsid w:val="003858C2"/>
    <w:rsid w:val="00385B76"/>
    <w:rsid w:val="00385E01"/>
    <w:rsid w:val="0038636C"/>
    <w:rsid w:val="003869AC"/>
    <w:rsid w:val="00386B24"/>
    <w:rsid w:val="00386F3A"/>
    <w:rsid w:val="00387404"/>
    <w:rsid w:val="0038740D"/>
    <w:rsid w:val="003878EE"/>
    <w:rsid w:val="00387D9F"/>
    <w:rsid w:val="003902BA"/>
    <w:rsid w:val="00390B44"/>
    <w:rsid w:val="00390B54"/>
    <w:rsid w:val="00390B59"/>
    <w:rsid w:val="00390DD7"/>
    <w:rsid w:val="00390EC8"/>
    <w:rsid w:val="00391128"/>
    <w:rsid w:val="00391356"/>
    <w:rsid w:val="003915ED"/>
    <w:rsid w:val="00391675"/>
    <w:rsid w:val="00391769"/>
    <w:rsid w:val="00391860"/>
    <w:rsid w:val="00392614"/>
    <w:rsid w:val="00392756"/>
    <w:rsid w:val="00392AFF"/>
    <w:rsid w:val="003930E5"/>
    <w:rsid w:val="0039342E"/>
    <w:rsid w:val="00393504"/>
    <w:rsid w:val="0039375B"/>
    <w:rsid w:val="00393E7F"/>
    <w:rsid w:val="00394181"/>
    <w:rsid w:val="003941B0"/>
    <w:rsid w:val="003942EF"/>
    <w:rsid w:val="003943A6"/>
    <w:rsid w:val="0039443A"/>
    <w:rsid w:val="00394476"/>
    <w:rsid w:val="003947C0"/>
    <w:rsid w:val="003948F4"/>
    <w:rsid w:val="00394B73"/>
    <w:rsid w:val="00395131"/>
    <w:rsid w:val="003953E1"/>
    <w:rsid w:val="003955D5"/>
    <w:rsid w:val="0039561E"/>
    <w:rsid w:val="003956B3"/>
    <w:rsid w:val="00395767"/>
    <w:rsid w:val="00395EA4"/>
    <w:rsid w:val="00396188"/>
    <w:rsid w:val="003962B8"/>
    <w:rsid w:val="00396321"/>
    <w:rsid w:val="00396521"/>
    <w:rsid w:val="00396DA4"/>
    <w:rsid w:val="00396FC1"/>
    <w:rsid w:val="00397262"/>
    <w:rsid w:val="00397722"/>
    <w:rsid w:val="00397A27"/>
    <w:rsid w:val="00397AB9"/>
    <w:rsid w:val="00397EDE"/>
    <w:rsid w:val="0039B5B9"/>
    <w:rsid w:val="0039F337"/>
    <w:rsid w:val="003A0404"/>
    <w:rsid w:val="003A069B"/>
    <w:rsid w:val="003A0706"/>
    <w:rsid w:val="003A099F"/>
    <w:rsid w:val="003A0B36"/>
    <w:rsid w:val="003A0D55"/>
    <w:rsid w:val="003A103C"/>
    <w:rsid w:val="003A1180"/>
    <w:rsid w:val="003A1198"/>
    <w:rsid w:val="003A1847"/>
    <w:rsid w:val="003A2590"/>
    <w:rsid w:val="003A27B8"/>
    <w:rsid w:val="003A27F5"/>
    <w:rsid w:val="003A2AA4"/>
    <w:rsid w:val="003A2AB1"/>
    <w:rsid w:val="003A2C2F"/>
    <w:rsid w:val="003A2C83"/>
    <w:rsid w:val="003A2F4E"/>
    <w:rsid w:val="003A3896"/>
    <w:rsid w:val="003A38F4"/>
    <w:rsid w:val="003A3B92"/>
    <w:rsid w:val="003A3C87"/>
    <w:rsid w:val="003A415F"/>
    <w:rsid w:val="003A420C"/>
    <w:rsid w:val="003A46AB"/>
    <w:rsid w:val="003A4B41"/>
    <w:rsid w:val="003A4F63"/>
    <w:rsid w:val="003A4F84"/>
    <w:rsid w:val="003A5118"/>
    <w:rsid w:val="003A5D27"/>
    <w:rsid w:val="003A62AC"/>
    <w:rsid w:val="003A6385"/>
    <w:rsid w:val="003A6457"/>
    <w:rsid w:val="003A675F"/>
    <w:rsid w:val="003A68BE"/>
    <w:rsid w:val="003A6D3F"/>
    <w:rsid w:val="003A7090"/>
    <w:rsid w:val="003A72AE"/>
    <w:rsid w:val="003A7585"/>
    <w:rsid w:val="003B0608"/>
    <w:rsid w:val="003B1805"/>
    <w:rsid w:val="003B1B2C"/>
    <w:rsid w:val="003B1DEA"/>
    <w:rsid w:val="003B2220"/>
    <w:rsid w:val="003B25E1"/>
    <w:rsid w:val="003B2B63"/>
    <w:rsid w:val="003B32F0"/>
    <w:rsid w:val="003B3390"/>
    <w:rsid w:val="003B3C49"/>
    <w:rsid w:val="003B3C9D"/>
    <w:rsid w:val="003B3D1C"/>
    <w:rsid w:val="003B3EA7"/>
    <w:rsid w:val="003B40D5"/>
    <w:rsid w:val="003B4765"/>
    <w:rsid w:val="003B519A"/>
    <w:rsid w:val="003B52F0"/>
    <w:rsid w:val="003B6274"/>
    <w:rsid w:val="003B6A36"/>
    <w:rsid w:val="003B6CA2"/>
    <w:rsid w:val="003B7212"/>
    <w:rsid w:val="003B752C"/>
    <w:rsid w:val="003B76D2"/>
    <w:rsid w:val="003B78E0"/>
    <w:rsid w:val="003B7B96"/>
    <w:rsid w:val="003B7D72"/>
    <w:rsid w:val="003C00E3"/>
    <w:rsid w:val="003C01CB"/>
    <w:rsid w:val="003C0314"/>
    <w:rsid w:val="003C03A8"/>
    <w:rsid w:val="003C0471"/>
    <w:rsid w:val="003C05C8"/>
    <w:rsid w:val="003C0659"/>
    <w:rsid w:val="003C066A"/>
    <w:rsid w:val="003C06A0"/>
    <w:rsid w:val="003C0837"/>
    <w:rsid w:val="003C0B3B"/>
    <w:rsid w:val="003C1018"/>
    <w:rsid w:val="003C131D"/>
    <w:rsid w:val="003C14CC"/>
    <w:rsid w:val="003C14FA"/>
    <w:rsid w:val="003C1512"/>
    <w:rsid w:val="003C160E"/>
    <w:rsid w:val="003C1817"/>
    <w:rsid w:val="003C1D5E"/>
    <w:rsid w:val="003C23EC"/>
    <w:rsid w:val="003C242B"/>
    <w:rsid w:val="003C246C"/>
    <w:rsid w:val="003C2649"/>
    <w:rsid w:val="003C2993"/>
    <w:rsid w:val="003C2F4E"/>
    <w:rsid w:val="003C2F8C"/>
    <w:rsid w:val="003C3449"/>
    <w:rsid w:val="003C34CE"/>
    <w:rsid w:val="003C3F7B"/>
    <w:rsid w:val="003C432F"/>
    <w:rsid w:val="003C4883"/>
    <w:rsid w:val="003C4969"/>
    <w:rsid w:val="003C4E05"/>
    <w:rsid w:val="003C535C"/>
    <w:rsid w:val="003C5BCA"/>
    <w:rsid w:val="003C5DCA"/>
    <w:rsid w:val="003C6DC1"/>
    <w:rsid w:val="003C711E"/>
    <w:rsid w:val="003C72EF"/>
    <w:rsid w:val="003C773E"/>
    <w:rsid w:val="003C7977"/>
    <w:rsid w:val="003C7C49"/>
    <w:rsid w:val="003C7F0F"/>
    <w:rsid w:val="003D0242"/>
    <w:rsid w:val="003D04A1"/>
    <w:rsid w:val="003D083F"/>
    <w:rsid w:val="003D08DA"/>
    <w:rsid w:val="003D10EC"/>
    <w:rsid w:val="003D1384"/>
    <w:rsid w:val="003D1398"/>
    <w:rsid w:val="003D14D2"/>
    <w:rsid w:val="003D16CF"/>
    <w:rsid w:val="003D20CE"/>
    <w:rsid w:val="003D2147"/>
    <w:rsid w:val="003D2655"/>
    <w:rsid w:val="003D2893"/>
    <w:rsid w:val="003D2B3E"/>
    <w:rsid w:val="003D3183"/>
    <w:rsid w:val="003D32BE"/>
    <w:rsid w:val="003D3449"/>
    <w:rsid w:val="003D3E21"/>
    <w:rsid w:val="003D40FE"/>
    <w:rsid w:val="003D463C"/>
    <w:rsid w:val="003D4CE8"/>
    <w:rsid w:val="003D4D1D"/>
    <w:rsid w:val="003D5115"/>
    <w:rsid w:val="003D5195"/>
    <w:rsid w:val="003D529C"/>
    <w:rsid w:val="003D58D7"/>
    <w:rsid w:val="003D5BBC"/>
    <w:rsid w:val="003D680C"/>
    <w:rsid w:val="003D694A"/>
    <w:rsid w:val="003D6BFE"/>
    <w:rsid w:val="003D6DEF"/>
    <w:rsid w:val="003D7504"/>
    <w:rsid w:val="003D7E33"/>
    <w:rsid w:val="003E03D9"/>
    <w:rsid w:val="003E0510"/>
    <w:rsid w:val="003E088C"/>
    <w:rsid w:val="003E0AAA"/>
    <w:rsid w:val="003E1786"/>
    <w:rsid w:val="003E1AA1"/>
    <w:rsid w:val="003E1F4E"/>
    <w:rsid w:val="003E21F7"/>
    <w:rsid w:val="003E273C"/>
    <w:rsid w:val="003E2C15"/>
    <w:rsid w:val="003E2E2A"/>
    <w:rsid w:val="003E2FA0"/>
    <w:rsid w:val="003E302E"/>
    <w:rsid w:val="003E342D"/>
    <w:rsid w:val="003E396E"/>
    <w:rsid w:val="003E3A73"/>
    <w:rsid w:val="003E3BEB"/>
    <w:rsid w:val="003E3EF6"/>
    <w:rsid w:val="003E3EFF"/>
    <w:rsid w:val="003E41D5"/>
    <w:rsid w:val="003E449E"/>
    <w:rsid w:val="003E4526"/>
    <w:rsid w:val="003E46BA"/>
    <w:rsid w:val="003E4824"/>
    <w:rsid w:val="003E496C"/>
    <w:rsid w:val="003E4A26"/>
    <w:rsid w:val="003E5081"/>
    <w:rsid w:val="003E50D3"/>
    <w:rsid w:val="003E51DD"/>
    <w:rsid w:val="003E536F"/>
    <w:rsid w:val="003E5A62"/>
    <w:rsid w:val="003E62EF"/>
    <w:rsid w:val="003E68FD"/>
    <w:rsid w:val="003E6B4D"/>
    <w:rsid w:val="003E6BBA"/>
    <w:rsid w:val="003E6C5D"/>
    <w:rsid w:val="003E71BE"/>
    <w:rsid w:val="003E7304"/>
    <w:rsid w:val="003E7871"/>
    <w:rsid w:val="003E7997"/>
    <w:rsid w:val="003E7D22"/>
    <w:rsid w:val="003F0291"/>
    <w:rsid w:val="003F0311"/>
    <w:rsid w:val="003F0387"/>
    <w:rsid w:val="003F0612"/>
    <w:rsid w:val="003F0658"/>
    <w:rsid w:val="003F086B"/>
    <w:rsid w:val="003F08D1"/>
    <w:rsid w:val="003F0C36"/>
    <w:rsid w:val="003F15A3"/>
    <w:rsid w:val="003F1CE0"/>
    <w:rsid w:val="003F1FAC"/>
    <w:rsid w:val="003F2025"/>
    <w:rsid w:val="003F28E7"/>
    <w:rsid w:val="003F293B"/>
    <w:rsid w:val="003F34B3"/>
    <w:rsid w:val="003F34D0"/>
    <w:rsid w:val="003F3B7D"/>
    <w:rsid w:val="003F3CF2"/>
    <w:rsid w:val="003F3D08"/>
    <w:rsid w:val="003F3FCA"/>
    <w:rsid w:val="003F4013"/>
    <w:rsid w:val="003F40A8"/>
    <w:rsid w:val="003F4354"/>
    <w:rsid w:val="003F4709"/>
    <w:rsid w:val="003F4A18"/>
    <w:rsid w:val="003F4F1D"/>
    <w:rsid w:val="003F502C"/>
    <w:rsid w:val="003F515A"/>
    <w:rsid w:val="003F54C6"/>
    <w:rsid w:val="003F55D2"/>
    <w:rsid w:val="003F5830"/>
    <w:rsid w:val="003F62EE"/>
    <w:rsid w:val="003F6961"/>
    <w:rsid w:val="003F6A0D"/>
    <w:rsid w:val="003F6CB2"/>
    <w:rsid w:val="003F6D2E"/>
    <w:rsid w:val="003F6E2B"/>
    <w:rsid w:val="003F6F9C"/>
    <w:rsid w:val="003F74C1"/>
    <w:rsid w:val="003F7530"/>
    <w:rsid w:val="003F76C1"/>
    <w:rsid w:val="003F7BE6"/>
    <w:rsid w:val="0040018A"/>
    <w:rsid w:val="004003DF"/>
    <w:rsid w:val="00400765"/>
    <w:rsid w:val="00400C2F"/>
    <w:rsid w:val="004010A8"/>
    <w:rsid w:val="004010DB"/>
    <w:rsid w:val="00401633"/>
    <w:rsid w:val="00401928"/>
    <w:rsid w:val="00402D34"/>
    <w:rsid w:val="004033BE"/>
    <w:rsid w:val="004033CC"/>
    <w:rsid w:val="00403973"/>
    <w:rsid w:val="00403A7E"/>
    <w:rsid w:val="00403C6D"/>
    <w:rsid w:val="00403EB9"/>
    <w:rsid w:val="00404224"/>
    <w:rsid w:val="00404579"/>
    <w:rsid w:val="004047A3"/>
    <w:rsid w:val="00404C93"/>
    <w:rsid w:val="00404E70"/>
    <w:rsid w:val="0040532E"/>
    <w:rsid w:val="00405401"/>
    <w:rsid w:val="0040555F"/>
    <w:rsid w:val="004056E8"/>
    <w:rsid w:val="004056F0"/>
    <w:rsid w:val="00405B1A"/>
    <w:rsid w:val="00405C4B"/>
    <w:rsid w:val="00405C52"/>
    <w:rsid w:val="00405CC7"/>
    <w:rsid w:val="00406A07"/>
    <w:rsid w:val="00406A6B"/>
    <w:rsid w:val="00406B6C"/>
    <w:rsid w:val="00406DFE"/>
    <w:rsid w:val="004078EB"/>
    <w:rsid w:val="00407A71"/>
    <w:rsid w:val="00407B59"/>
    <w:rsid w:val="00410441"/>
    <w:rsid w:val="00410C76"/>
    <w:rsid w:val="00410DE0"/>
    <w:rsid w:val="00410E15"/>
    <w:rsid w:val="0041128D"/>
    <w:rsid w:val="004117C8"/>
    <w:rsid w:val="00411907"/>
    <w:rsid w:val="00411FEF"/>
    <w:rsid w:val="00412403"/>
    <w:rsid w:val="00412884"/>
    <w:rsid w:val="00412C27"/>
    <w:rsid w:val="004136DF"/>
    <w:rsid w:val="0041395B"/>
    <w:rsid w:val="00413CA8"/>
    <w:rsid w:val="004141C7"/>
    <w:rsid w:val="00414AE2"/>
    <w:rsid w:val="00415292"/>
    <w:rsid w:val="0041548E"/>
    <w:rsid w:val="00415682"/>
    <w:rsid w:val="00415950"/>
    <w:rsid w:val="0041655B"/>
    <w:rsid w:val="00416954"/>
    <w:rsid w:val="00416C24"/>
    <w:rsid w:val="00416FE4"/>
    <w:rsid w:val="00417070"/>
    <w:rsid w:val="004171BE"/>
    <w:rsid w:val="00417245"/>
    <w:rsid w:val="004173A6"/>
    <w:rsid w:val="004178D3"/>
    <w:rsid w:val="00417D4C"/>
    <w:rsid w:val="00417EE3"/>
    <w:rsid w:val="004204DF"/>
    <w:rsid w:val="00420661"/>
    <w:rsid w:val="004207EB"/>
    <w:rsid w:val="00420A85"/>
    <w:rsid w:val="00420CD0"/>
    <w:rsid w:val="00420EB0"/>
    <w:rsid w:val="00420F68"/>
    <w:rsid w:val="0042173F"/>
    <w:rsid w:val="00421B61"/>
    <w:rsid w:val="00421F8A"/>
    <w:rsid w:val="00422002"/>
    <w:rsid w:val="00422556"/>
    <w:rsid w:val="004226F1"/>
    <w:rsid w:val="004235F0"/>
    <w:rsid w:val="004239EB"/>
    <w:rsid w:val="00423B3A"/>
    <w:rsid w:val="00423B6C"/>
    <w:rsid w:val="00424406"/>
    <w:rsid w:val="004244E5"/>
    <w:rsid w:val="00424B21"/>
    <w:rsid w:val="00424F44"/>
    <w:rsid w:val="004251FA"/>
    <w:rsid w:val="004252E9"/>
    <w:rsid w:val="00425890"/>
    <w:rsid w:val="00425A77"/>
    <w:rsid w:val="004261F9"/>
    <w:rsid w:val="00426B0C"/>
    <w:rsid w:val="004273FD"/>
    <w:rsid w:val="0042786E"/>
    <w:rsid w:val="00427B59"/>
    <w:rsid w:val="0043039D"/>
    <w:rsid w:val="004305B4"/>
    <w:rsid w:val="00430738"/>
    <w:rsid w:val="00430B72"/>
    <w:rsid w:val="00430F61"/>
    <w:rsid w:val="0043142E"/>
    <w:rsid w:val="00431AE9"/>
    <w:rsid w:val="004321B7"/>
    <w:rsid w:val="004328E8"/>
    <w:rsid w:val="00432962"/>
    <w:rsid w:val="00432B82"/>
    <w:rsid w:val="00432B8A"/>
    <w:rsid w:val="00432C60"/>
    <w:rsid w:val="00432F04"/>
    <w:rsid w:val="0043307C"/>
    <w:rsid w:val="00433351"/>
    <w:rsid w:val="00433477"/>
    <w:rsid w:val="004336F6"/>
    <w:rsid w:val="00433D29"/>
    <w:rsid w:val="00433FBF"/>
    <w:rsid w:val="00434185"/>
    <w:rsid w:val="004347EC"/>
    <w:rsid w:val="004351A7"/>
    <w:rsid w:val="0043525C"/>
    <w:rsid w:val="004353AF"/>
    <w:rsid w:val="00435480"/>
    <w:rsid w:val="00435A80"/>
    <w:rsid w:val="00435B4D"/>
    <w:rsid w:val="00435D4C"/>
    <w:rsid w:val="004360F7"/>
    <w:rsid w:val="00437265"/>
    <w:rsid w:val="00437276"/>
    <w:rsid w:val="00437FAE"/>
    <w:rsid w:val="00440385"/>
    <w:rsid w:val="00440717"/>
    <w:rsid w:val="00440CF1"/>
    <w:rsid w:val="00440DA0"/>
    <w:rsid w:val="0044111C"/>
    <w:rsid w:val="00441136"/>
    <w:rsid w:val="00441218"/>
    <w:rsid w:val="004419D6"/>
    <w:rsid w:val="004422D1"/>
    <w:rsid w:val="00442447"/>
    <w:rsid w:val="004426AD"/>
    <w:rsid w:val="0044275B"/>
    <w:rsid w:val="0044275D"/>
    <w:rsid w:val="004428DA"/>
    <w:rsid w:val="00442A7A"/>
    <w:rsid w:val="00443408"/>
    <w:rsid w:val="00444049"/>
    <w:rsid w:val="004440DD"/>
    <w:rsid w:val="00444225"/>
    <w:rsid w:val="004442B3"/>
    <w:rsid w:val="004449AF"/>
    <w:rsid w:val="00444ECC"/>
    <w:rsid w:val="004452B2"/>
    <w:rsid w:val="0044549A"/>
    <w:rsid w:val="004456A7"/>
    <w:rsid w:val="0044578E"/>
    <w:rsid w:val="00445AFC"/>
    <w:rsid w:val="00445C6D"/>
    <w:rsid w:val="00445F2A"/>
    <w:rsid w:val="004466B4"/>
    <w:rsid w:val="0044692D"/>
    <w:rsid w:val="00446FA8"/>
    <w:rsid w:val="004470FC"/>
    <w:rsid w:val="00447541"/>
    <w:rsid w:val="0045096D"/>
    <w:rsid w:val="00450FE3"/>
    <w:rsid w:val="00451062"/>
    <w:rsid w:val="004514E1"/>
    <w:rsid w:val="00451993"/>
    <w:rsid w:val="00451E03"/>
    <w:rsid w:val="00451E95"/>
    <w:rsid w:val="0045214A"/>
    <w:rsid w:val="00452570"/>
    <w:rsid w:val="0045275C"/>
    <w:rsid w:val="0045292E"/>
    <w:rsid w:val="00452CE3"/>
    <w:rsid w:val="00453124"/>
    <w:rsid w:val="0045319D"/>
    <w:rsid w:val="00453A5F"/>
    <w:rsid w:val="00453BFF"/>
    <w:rsid w:val="00453D64"/>
    <w:rsid w:val="00454251"/>
    <w:rsid w:val="00454965"/>
    <w:rsid w:val="00454A63"/>
    <w:rsid w:val="00455278"/>
    <w:rsid w:val="00455B7C"/>
    <w:rsid w:val="00456131"/>
    <w:rsid w:val="00456400"/>
    <w:rsid w:val="004569DC"/>
    <w:rsid w:val="00456B54"/>
    <w:rsid w:val="00456CDC"/>
    <w:rsid w:val="00456CFC"/>
    <w:rsid w:val="00456F7D"/>
    <w:rsid w:val="004571DF"/>
    <w:rsid w:val="004579C6"/>
    <w:rsid w:val="00457DDB"/>
    <w:rsid w:val="00457E7C"/>
    <w:rsid w:val="00457EF9"/>
    <w:rsid w:val="00457FC5"/>
    <w:rsid w:val="00460282"/>
    <w:rsid w:val="004607D2"/>
    <w:rsid w:val="00460D96"/>
    <w:rsid w:val="00460E3A"/>
    <w:rsid w:val="004616FC"/>
    <w:rsid w:val="00461793"/>
    <w:rsid w:val="00461BAD"/>
    <w:rsid w:val="00461F76"/>
    <w:rsid w:val="00462175"/>
    <w:rsid w:val="0046219B"/>
    <w:rsid w:val="0046226D"/>
    <w:rsid w:val="00462810"/>
    <w:rsid w:val="0046286F"/>
    <w:rsid w:val="0046289E"/>
    <w:rsid w:val="0046303B"/>
    <w:rsid w:val="00463239"/>
    <w:rsid w:val="00463405"/>
    <w:rsid w:val="00463754"/>
    <w:rsid w:val="00463968"/>
    <w:rsid w:val="00464643"/>
    <w:rsid w:val="004647CA"/>
    <w:rsid w:val="00464A8A"/>
    <w:rsid w:val="00464B98"/>
    <w:rsid w:val="00464E17"/>
    <w:rsid w:val="00465264"/>
    <w:rsid w:val="004652DA"/>
    <w:rsid w:val="00465538"/>
    <w:rsid w:val="00465924"/>
    <w:rsid w:val="00465D96"/>
    <w:rsid w:val="00465EE8"/>
    <w:rsid w:val="004660C0"/>
    <w:rsid w:val="004662F9"/>
    <w:rsid w:val="004663BE"/>
    <w:rsid w:val="00466754"/>
    <w:rsid w:val="00466FC8"/>
    <w:rsid w:val="0046732B"/>
    <w:rsid w:val="00467660"/>
    <w:rsid w:val="0046768B"/>
    <w:rsid w:val="004700CA"/>
    <w:rsid w:val="004701D7"/>
    <w:rsid w:val="00470D3E"/>
    <w:rsid w:val="0047139C"/>
    <w:rsid w:val="0047199B"/>
    <w:rsid w:val="00471AF0"/>
    <w:rsid w:val="00471D64"/>
    <w:rsid w:val="00471FD8"/>
    <w:rsid w:val="0047221A"/>
    <w:rsid w:val="004726EE"/>
    <w:rsid w:val="00472786"/>
    <w:rsid w:val="00472A8D"/>
    <w:rsid w:val="00472D30"/>
    <w:rsid w:val="00473174"/>
    <w:rsid w:val="004731B0"/>
    <w:rsid w:val="004732E8"/>
    <w:rsid w:val="00473ACD"/>
    <w:rsid w:val="00473AEE"/>
    <w:rsid w:val="00473CBF"/>
    <w:rsid w:val="00473F45"/>
    <w:rsid w:val="0047425C"/>
    <w:rsid w:val="00474848"/>
    <w:rsid w:val="00474FE1"/>
    <w:rsid w:val="0047509B"/>
    <w:rsid w:val="004758ED"/>
    <w:rsid w:val="00475B2F"/>
    <w:rsid w:val="00475C3D"/>
    <w:rsid w:val="00475D87"/>
    <w:rsid w:val="00475DAF"/>
    <w:rsid w:val="00475F58"/>
    <w:rsid w:val="004760A8"/>
    <w:rsid w:val="00476186"/>
    <w:rsid w:val="004761DE"/>
    <w:rsid w:val="00476834"/>
    <w:rsid w:val="00476BEE"/>
    <w:rsid w:val="004779EB"/>
    <w:rsid w:val="00477A7D"/>
    <w:rsid w:val="00477B3D"/>
    <w:rsid w:val="004806D4"/>
    <w:rsid w:val="0048095C"/>
    <w:rsid w:val="00480AE7"/>
    <w:rsid w:val="00481026"/>
    <w:rsid w:val="00481705"/>
    <w:rsid w:val="0048188E"/>
    <w:rsid w:val="004818D2"/>
    <w:rsid w:val="00482373"/>
    <w:rsid w:val="00482758"/>
    <w:rsid w:val="00482862"/>
    <w:rsid w:val="004829DA"/>
    <w:rsid w:val="00482A50"/>
    <w:rsid w:val="00482BD2"/>
    <w:rsid w:val="00482FC4"/>
    <w:rsid w:val="0048341E"/>
    <w:rsid w:val="00483DD7"/>
    <w:rsid w:val="00484769"/>
    <w:rsid w:val="004848B3"/>
    <w:rsid w:val="0048492D"/>
    <w:rsid w:val="004849FD"/>
    <w:rsid w:val="00484E51"/>
    <w:rsid w:val="0048538A"/>
    <w:rsid w:val="0048554F"/>
    <w:rsid w:val="00485D53"/>
    <w:rsid w:val="0048622C"/>
    <w:rsid w:val="00486352"/>
    <w:rsid w:val="00486793"/>
    <w:rsid w:val="00486926"/>
    <w:rsid w:val="00486CC8"/>
    <w:rsid w:val="004870F5"/>
    <w:rsid w:val="00487197"/>
    <w:rsid w:val="004874AF"/>
    <w:rsid w:val="00487580"/>
    <w:rsid w:val="004877E4"/>
    <w:rsid w:val="00487B68"/>
    <w:rsid w:val="0049096C"/>
    <w:rsid w:val="00490E24"/>
    <w:rsid w:val="00491109"/>
    <w:rsid w:val="0049120F"/>
    <w:rsid w:val="0049150E"/>
    <w:rsid w:val="00492275"/>
    <w:rsid w:val="00492460"/>
    <w:rsid w:val="004924C3"/>
    <w:rsid w:val="00492510"/>
    <w:rsid w:val="004928BB"/>
    <w:rsid w:val="00492B6F"/>
    <w:rsid w:val="0049308B"/>
    <w:rsid w:val="004933EF"/>
    <w:rsid w:val="0049388E"/>
    <w:rsid w:val="00493FBB"/>
    <w:rsid w:val="004942FD"/>
    <w:rsid w:val="004945F2"/>
    <w:rsid w:val="00494692"/>
    <w:rsid w:val="004946CE"/>
    <w:rsid w:val="00494775"/>
    <w:rsid w:val="00494A4E"/>
    <w:rsid w:val="00494D22"/>
    <w:rsid w:val="004953BC"/>
    <w:rsid w:val="00495471"/>
    <w:rsid w:val="004957C3"/>
    <w:rsid w:val="00495B47"/>
    <w:rsid w:val="00495CF6"/>
    <w:rsid w:val="00496B02"/>
    <w:rsid w:val="00497C9B"/>
    <w:rsid w:val="00497D94"/>
    <w:rsid w:val="00497FF8"/>
    <w:rsid w:val="004A0191"/>
    <w:rsid w:val="004A035F"/>
    <w:rsid w:val="004A0F15"/>
    <w:rsid w:val="004A0F36"/>
    <w:rsid w:val="004A0FD4"/>
    <w:rsid w:val="004A1077"/>
    <w:rsid w:val="004A151D"/>
    <w:rsid w:val="004A15E3"/>
    <w:rsid w:val="004A1607"/>
    <w:rsid w:val="004A1B8A"/>
    <w:rsid w:val="004A1D07"/>
    <w:rsid w:val="004A1DAD"/>
    <w:rsid w:val="004A2037"/>
    <w:rsid w:val="004A236F"/>
    <w:rsid w:val="004A2601"/>
    <w:rsid w:val="004A2931"/>
    <w:rsid w:val="004A2E93"/>
    <w:rsid w:val="004A3344"/>
    <w:rsid w:val="004A33A9"/>
    <w:rsid w:val="004A3438"/>
    <w:rsid w:val="004A34F6"/>
    <w:rsid w:val="004A375B"/>
    <w:rsid w:val="004A3AAD"/>
    <w:rsid w:val="004A3CAA"/>
    <w:rsid w:val="004A3D69"/>
    <w:rsid w:val="004A4E7A"/>
    <w:rsid w:val="004A5604"/>
    <w:rsid w:val="004A5BF5"/>
    <w:rsid w:val="004A5C94"/>
    <w:rsid w:val="004A5E12"/>
    <w:rsid w:val="004A61E4"/>
    <w:rsid w:val="004A6914"/>
    <w:rsid w:val="004A797D"/>
    <w:rsid w:val="004A7BBF"/>
    <w:rsid w:val="004A7DF6"/>
    <w:rsid w:val="004B02EC"/>
    <w:rsid w:val="004B0442"/>
    <w:rsid w:val="004B044D"/>
    <w:rsid w:val="004B0D62"/>
    <w:rsid w:val="004B0F84"/>
    <w:rsid w:val="004B107A"/>
    <w:rsid w:val="004B1096"/>
    <w:rsid w:val="004B152C"/>
    <w:rsid w:val="004B1BE5"/>
    <w:rsid w:val="004B21CA"/>
    <w:rsid w:val="004B2F31"/>
    <w:rsid w:val="004B33FD"/>
    <w:rsid w:val="004B3510"/>
    <w:rsid w:val="004B38BB"/>
    <w:rsid w:val="004B485F"/>
    <w:rsid w:val="004B4D44"/>
    <w:rsid w:val="004B57F6"/>
    <w:rsid w:val="004B5AAD"/>
    <w:rsid w:val="004B5AFE"/>
    <w:rsid w:val="004B5F16"/>
    <w:rsid w:val="004B61C7"/>
    <w:rsid w:val="004B6618"/>
    <w:rsid w:val="004B78CA"/>
    <w:rsid w:val="004B7A57"/>
    <w:rsid w:val="004B7EF6"/>
    <w:rsid w:val="004C07B0"/>
    <w:rsid w:val="004C0B2B"/>
    <w:rsid w:val="004C0B5B"/>
    <w:rsid w:val="004C1941"/>
    <w:rsid w:val="004C1A0F"/>
    <w:rsid w:val="004C1D33"/>
    <w:rsid w:val="004C1E60"/>
    <w:rsid w:val="004C20FB"/>
    <w:rsid w:val="004C2107"/>
    <w:rsid w:val="004C2771"/>
    <w:rsid w:val="004C2CE7"/>
    <w:rsid w:val="004C3400"/>
    <w:rsid w:val="004C386C"/>
    <w:rsid w:val="004C3AE1"/>
    <w:rsid w:val="004C3C72"/>
    <w:rsid w:val="004C3E41"/>
    <w:rsid w:val="004C4004"/>
    <w:rsid w:val="004C415E"/>
    <w:rsid w:val="004C452D"/>
    <w:rsid w:val="004C4671"/>
    <w:rsid w:val="004C49F5"/>
    <w:rsid w:val="004C4EFE"/>
    <w:rsid w:val="004C5107"/>
    <w:rsid w:val="004C5183"/>
    <w:rsid w:val="004C51E2"/>
    <w:rsid w:val="004C52EF"/>
    <w:rsid w:val="004C52F4"/>
    <w:rsid w:val="004C53A1"/>
    <w:rsid w:val="004C569F"/>
    <w:rsid w:val="004C5C2A"/>
    <w:rsid w:val="004C5CE8"/>
    <w:rsid w:val="004C60C0"/>
    <w:rsid w:val="004C62BF"/>
    <w:rsid w:val="004C65D6"/>
    <w:rsid w:val="004C6A04"/>
    <w:rsid w:val="004C6A4D"/>
    <w:rsid w:val="004C6CC8"/>
    <w:rsid w:val="004C6D91"/>
    <w:rsid w:val="004C765C"/>
    <w:rsid w:val="004C799B"/>
    <w:rsid w:val="004D0C6C"/>
    <w:rsid w:val="004D1252"/>
    <w:rsid w:val="004D194B"/>
    <w:rsid w:val="004D1E54"/>
    <w:rsid w:val="004D2185"/>
    <w:rsid w:val="004D2D17"/>
    <w:rsid w:val="004D2F27"/>
    <w:rsid w:val="004D3470"/>
    <w:rsid w:val="004D3D22"/>
    <w:rsid w:val="004D4794"/>
    <w:rsid w:val="004D4A60"/>
    <w:rsid w:val="004D53C5"/>
    <w:rsid w:val="004D574F"/>
    <w:rsid w:val="004D592B"/>
    <w:rsid w:val="004D5B94"/>
    <w:rsid w:val="004D5CE2"/>
    <w:rsid w:val="004D6031"/>
    <w:rsid w:val="004D634A"/>
    <w:rsid w:val="004D6503"/>
    <w:rsid w:val="004D6918"/>
    <w:rsid w:val="004D7123"/>
    <w:rsid w:val="004D72A3"/>
    <w:rsid w:val="004D781E"/>
    <w:rsid w:val="004D799D"/>
    <w:rsid w:val="004D7A3E"/>
    <w:rsid w:val="004D7B97"/>
    <w:rsid w:val="004D7BA3"/>
    <w:rsid w:val="004E0008"/>
    <w:rsid w:val="004E09BB"/>
    <w:rsid w:val="004E131B"/>
    <w:rsid w:val="004E1448"/>
    <w:rsid w:val="004E15F2"/>
    <w:rsid w:val="004E164F"/>
    <w:rsid w:val="004E17DE"/>
    <w:rsid w:val="004E18E1"/>
    <w:rsid w:val="004E1BA5"/>
    <w:rsid w:val="004E1D6C"/>
    <w:rsid w:val="004E2304"/>
    <w:rsid w:val="004E2418"/>
    <w:rsid w:val="004E2C50"/>
    <w:rsid w:val="004E2EEE"/>
    <w:rsid w:val="004E32EE"/>
    <w:rsid w:val="004E3964"/>
    <w:rsid w:val="004E3CDD"/>
    <w:rsid w:val="004E3EF1"/>
    <w:rsid w:val="004E40B6"/>
    <w:rsid w:val="004E48A4"/>
    <w:rsid w:val="004E49A8"/>
    <w:rsid w:val="004E4A32"/>
    <w:rsid w:val="004E4C1D"/>
    <w:rsid w:val="004E50D1"/>
    <w:rsid w:val="004E5409"/>
    <w:rsid w:val="004E5770"/>
    <w:rsid w:val="004E5CF6"/>
    <w:rsid w:val="004E5EB4"/>
    <w:rsid w:val="004E5F55"/>
    <w:rsid w:val="004E6E31"/>
    <w:rsid w:val="004E6F07"/>
    <w:rsid w:val="004E722D"/>
    <w:rsid w:val="004E72C6"/>
    <w:rsid w:val="004E73A1"/>
    <w:rsid w:val="004E7451"/>
    <w:rsid w:val="004E7467"/>
    <w:rsid w:val="004E75BF"/>
    <w:rsid w:val="004F040A"/>
    <w:rsid w:val="004F0E1B"/>
    <w:rsid w:val="004F1C00"/>
    <w:rsid w:val="004F1C3F"/>
    <w:rsid w:val="004F1F55"/>
    <w:rsid w:val="004F206D"/>
    <w:rsid w:val="004F215C"/>
    <w:rsid w:val="004F2356"/>
    <w:rsid w:val="004F2382"/>
    <w:rsid w:val="004F2502"/>
    <w:rsid w:val="004F264F"/>
    <w:rsid w:val="004F27FF"/>
    <w:rsid w:val="004F318E"/>
    <w:rsid w:val="004F31A4"/>
    <w:rsid w:val="004F3553"/>
    <w:rsid w:val="004F39CC"/>
    <w:rsid w:val="004F3C28"/>
    <w:rsid w:val="004F4133"/>
    <w:rsid w:val="004F435F"/>
    <w:rsid w:val="004F4A84"/>
    <w:rsid w:val="004F4ABA"/>
    <w:rsid w:val="004F4AC5"/>
    <w:rsid w:val="004F4F98"/>
    <w:rsid w:val="004F5076"/>
    <w:rsid w:val="004F5275"/>
    <w:rsid w:val="004F534F"/>
    <w:rsid w:val="004F5354"/>
    <w:rsid w:val="004F5904"/>
    <w:rsid w:val="004F5DEF"/>
    <w:rsid w:val="004F5E46"/>
    <w:rsid w:val="004F6032"/>
    <w:rsid w:val="004F607C"/>
    <w:rsid w:val="004F69BE"/>
    <w:rsid w:val="004F69F6"/>
    <w:rsid w:val="004F6BED"/>
    <w:rsid w:val="004F7227"/>
    <w:rsid w:val="004F78E7"/>
    <w:rsid w:val="004F79AC"/>
    <w:rsid w:val="004F7B5F"/>
    <w:rsid w:val="00500383"/>
    <w:rsid w:val="00500670"/>
    <w:rsid w:val="005008A3"/>
    <w:rsid w:val="00500A1F"/>
    <w:rsid w:val="00500A47"/>
    <w:rsid w:val="00500BFE"/>
    <w:rsid w:val="00500CBF"/>
    <w:rsid w:val="00500D0E"/>
    <w:rsid w:val="005013D3"/>
    <w:rsid w:val="0050153F"/>
    <w:rsid w:val="005017CF"/>
    <w:rsid w:val="00501AA8"/>
    <w:rsid w:val="00501D68"/>
    <w:rsid w:val="00502D6E"/>
    <w:rsid w:val="005035C6"/>
    <w:rsid w:val="00503A21"/>
    <w:rsid w:val="00503B5D"/>
    <w:rsid w:val="00503C83"/>
    <w:rsid w:val="00504112"/>
    <w:rsid w:val="00504243"/>
    <w:rsid w:val="005044A6"/>
    <w:rsid w:val="005046DE"/>
    <w:rsid w:val="005049D5"/>
    <w:rsid w:val="005049FE"/>
    <w:rsid w:val="00504C20"/>
    <w:rsid w:val="00504DC0"/>
    <w:rsid w:val="00504ECD"/>
    <w:rsid w:val="0050526D"/>
    <w:rsid w:val="0050533D"/>
    <w:rsid w:val="005054FD"/>
    <w:rsid w:val="005055C4"/>
    <w:rsid w:val="0050561A"/>
    <w:rsid w:val="0050585F"/>
    <w:rsid w:val="00505CE6"/>
    <w:rsid w:val="00506037"/>
    <w:rsid w:val="00506674"/>
    <w:rsid w:val="005069BD"/>
    <w:rsid w:val="00506F91"/>
    <w:rsid w:val="0050700A"/>
    <w:rsid w:val="005076B3"/>
    <w:rsid w:val="005079A9"/>
    <w:rsid w:val="00507AA9"/>
    <w:rsid w:val="00507D7B"/>
    <w:rsid w:val="0051032B"/>
    <w:rsid w:val="005104A9"/>
    <w:rsid w:val="005105CE"/>
    <w:rsid w:val="00510942"/>
    <w:rsid w:val="00511A42"/>
    <w:rsid w:val="00511BC8"/>
    <w:rsid w:val="00512597"/>
    <w:rsid w:val="00512666"/>
    <w:rsid w:val="005129C9"/>
    <w:rsid w:val="00512B02"/>
    <w:rsid w:val="00512D61"/>
    <w:rsid w:val="00513145"/>
    <w:rsid w:val="0051316B"/>
    <w:rsid w:val="005135FB"/>
    <w:rsid w:val="00513775"/>
    <w:rsid w:val="00513B8D"/>
    <w:rsid w:val="00514E7C"/>
    <w:rsid w:val="005151E6"/>
    <w:rsid w:val="00515226"/>
    <w:rsid w:val="00515877"/>
    <w:rsid w:val="00515A72"/>
    <w:rsid w:val="00515C30"/>
    <w:rsid w:val="00515EDF"/>
    <w:rsid w:val="00516120"/>
    <w:rsid w:val="0051642A"/>
    <w:rsid w:val="0051675D"/>
    <w:rsid w:val="005167D9"/>
    <w:rsid w:val="00516F1D"/>
    <w:rsid w:val="005173BB"/>
    <w:rsid w:val="00517A0E"/>
    <w:rsid w:val="005207D8"/>
    <w:rsid w:val="00520ED6"/>
    <w:rsid w:val="00521436"/>
    <w:rsid w:val="0052248D"/>
    <w:rsid w:val="005236AF"/>
    <w:rsid w:val="00523C72"/>
    <w:rsid w:val="00524381"/>
    <w:rsid w:val="005243F3"/>
    <w:rsid w:val="005246FF"/>
    <w:rsid w:val="00524903"/>
    <w:rsid w:val="00524AB2"/>
    <w:rsid w:val="00524B10"/>
    <w:rsid w:val="00524B8D"/>
    <w:rsid w:val="0052519D"/>
    <w:rsid w:val="005251E9"/>
    <w:rsid w:val="00525C83"/>
    <w:rsid w:val="00525D1C"/>
    <w:rsid w:val="00526269"/>
    <w:rsid w:val="005263C2"/>
    <w:rsid w:val="0052668A"/>
    <w:rsid w:val="005266F3"/>
    <w:rsid w:val="00526C62"/>
    <w:rsid w:val="00527956"/>
    <w:rsid w:val="00527B85"/>
    <w:rsid w:val="00527D83"/>
    <w:rsid w:val="005304B1"/>
    <w:rsid w:val="00530600"/>
    <w:rsid w:val="005307FB"/>
    <w:rsid w:val="0053082A"/>
    <w:rsid w:val="0053102B"/>
    <w:rsid w:val="005310EE"/>
    <w:rsid w:val="00531684"/>
    <w:rsid w:val="005324BE"/>
    <w:rsid w:val="005328E8"/>
    <w:rsid w:val="00532C28"/>
    <w:rsid w:val="00532CA4"/>
    <w:rsid w:val="00532EE3"/>
    <w:rsid w:val="005330AE"/>
    <w:rsid w:val="00533221"/>
    <w:rsid w:val="00533345"/>
    <w:rsid w:val="005333B9"/>
    <w:rsid w:val="0053445B"/>
    <w:rsid w:val="0053464E"/>
    <w:rsid w:val="005346E7"/>
    <w:rsid w:val="005349F6"/>
    <w:rsid w:val="00534D86"/>
    <w:rsid w:val="00535B6B"/>
    <w:rsid w:val="00535DF6"/>
    <w:rsid w:val="00535F2A"/>
    <w:rsid w:val="00535F8A"/>
    <w:rsid w:val="00536260"/>
    <w:rsid w:val="005363A2"/>
    <w:rsid w:val="0053659A"/>
    <w:rsid w:val="00536C4C"/>
    <w:rsid w:val="00537EBA"/>
    <w:rsid w:val="005404DD"/>
    <w:rsid w:val="00540FEC"/>
    <w:rsid w:val="00541594"/>
    <w:rsid w:val="005420A7"/>
    <w:rsid w:val="00542202"/>
    <w:rsid w:val="0054272D"/>
    <w:rsid w:val="005427C1"/>
    <w:rsid w:val="005427DD"/>
    <w:rsid w:val="00543188"/>
    <w:rsid w:val="00543C98"/>
    <w:rsid w:val="005442C0"/>
    <w:rsid w:val="005442F0"/>
    <w:rsid w:val="005444C0"/>
    <w:rsid w:val="0054465D"/>
    <w:rsid w:val="00544847"/>
    <w:rsid w:val="00544A2D"/>
    <w:rsid w:val="00544CD0"/>
    <w:rsid w:val="00544FD8"/>
    <w:rsid w:val="00545701"/>
    <w:rsid w:val="005457DA"/>
    <w:rsid w:val="00545805"/>
    <w:rsid w:val="00545D94"/>
    <w:rsid w:val="0054610D"/>
    <w:rsid w:val="00546154"/>
    <w:rsid w:val="0054652B"/>
    <w:rsid w:val="00546D72"/>
    <w:rsid w:val="00546E12"/>
    <w:rsid w:val="00547DE3"/>
    <w:rsid w:val="00550356"/>
    <w:rsid w:val="00550493"/>
    <w:rsid w:val="00550D44"/>
    <w:rsid w:val="0055164E"/>
    <w:rsid w:val="005516AE"/>
    <w:rsid w:val="00551B16"/>
    <w:rsid w:val="00551DA7"/>
    <w:rsid w:val="00551DAA"/>
    <w:rsid w:val="00552225"/>
    <w:rsid w:val="00552B41"/>
    <w:rsid w:val="00552E8B"/>
    <w:rsid w:val="00553680"/>
    <w:rsid w:val="005538E6"/>
    <w:rsid w:val="005539D5"/>
    <w:rsid w:val="00553A22"/>
    <w:rsid w:val="00553E95"/>
    <w:rsid w:val="005542E5"/>
    <w:rsid w:val="005549E3"/>
    <w:rsid w:val="00554DD4"/>
    <w:rsid w:val="00554E41"/>
    <w:rsid w:val="00554FAF"/>
    <w:rsid w:val="005552AB"/>
    <w:rsid w:val="00555383"/>
    <w:rsid w:val="0055581C"/>
    <w:rsid w:val="00555923"/>
    <w:rsid w:val="005562AF"/>
    <w:rsid w:val="0055688A"/>
    <w:rsid w:val="00556911"/>
    <w:rsid w:val="00556A9D"/>
    <w:rsid w:val="00556DA3"/>
    <w:rsid w:val="005575DD"/>
    <w:rsid w:val="0056000E"/>
    <w:rsid w:val="00560159"/>
    <w:rsid w:val="00560634"/>
    <w:rsid w:val="00560878"/>
    <w:rsid w:val="00560E59"/>
    <w:rsid w:val="005619B7"/>
    <w:rsid w:val="00562646"/>
    <w:rsid w:val="00562917"/>
    <w:rsid w:val="005629FF"/>
    <w:rsid w:val="0056306E"/>
    <w:rsid w:val="005630C9"/>
    <w:rsid w:val="00563765"/>
    <w:rsid w:val="005637F6"/>
    <w:rsid w:val="005639D8"/>
    <w:rsid w:val="00563A58"/>
    <w:rsid w:val="0056404B"/>
    <w:rsid w:val="00564CAC"/>
    <w:rsid w:val="00564CDA"/>
    <w:rsid w:val="0056520E"/>
    <w:rsid w:val="00565326"/>
    <w:rsid w:val="005654CD"/>
    <w:rsid w:val="00565B01"/>
    <w:rsid w:val="005660D6"/>
    <w:rsid w:val="00566209"/>
    <w:rsid w:val="005663CC"/>
    <w:rsid w:val="005663F9"/>
    <w:rsid w:val="0056796E"/>
    <w:rsid w:val="0056B596"/>
    <w:rsid w:val="005704B0"/>
    <w:rsid w:val="005706A9"/>
    <w:rsid w:val="00570A7B"/>
    <w:rsid w:val="00570ABF"/>
    <w:rsid w:val="00570BAC"/>
    <w:rsid w:val="00570D54"/>
    <w:rsid w:val="00571124"/>
    <w:rsid w:val="00571872"/>
    <w:rsid w:val="00571E64"/>
    <w:rsid w:val="00571FFB"/>
    <w:rsid w:val="00572BDA"/>
    <w:rsid w:val="00572D85"/>
    <w:rsid w:val="005735E3"/>
    <w:rsid w:val="00573D2B"/>
    <w:rsid w:val="00573DEF"/>
    <w:rsid w:val="00574043"/>
    <w:rsid w:val="00574382"/>
    <w:rsid w:val="005749CD"/>
    <w:rsid w:val="00574B21"/>
    <w:rsid w:val="00574DFA"/>
    <w:rsid w:val="00574E96"/>
    <w:rsid w:val="00575192"/>
    <w:rsid w:val="005752CC"/>
    <w:rsid w:val="00575645"/>
    <w:rsid w:val="00575932"/>
    <w:rsid w:val="00575C3D"/>
    <w:rsid w:val="0057615C"/>
    <w:rsid w:val="0057619E"/>
    <w:rsid w:val="0057635F"/>
    <w:rsid w:val="00576610"/>
    <w:rsid w:val="00576A38"/>
    <w:rsid w:val="00576E10"/>
    <w:rsid w:val="00576E45"/>
    <w:rsid w:val="0057740F"/>
    <w:rsid w:val="0057741B"/>
    <w:rsid w:val="005775CF"/>
    <w:rsid w:val="00577A0A"/>
    <w:rsid w:val="0058028A"/>
    <w:rsid w:val="005805E6"/>
    <w:rsid w:val="00580B10"/>
    <w:rsid w:val="00580CD7"/>
    <w:rsid w:val="005818FD"/>
    <w:rsid w:val="00582565"/>
    <w:rsid w:val="00582688"/>
    <w:rsid w:val="00582F99"/>
    <w:rsid w:val="00583468"/>
    <w:rsid w:val="005836F9"/>
    <w:rsid w:val="005839E4"/>
    <w:rsid w:val="00583A74"/>
    <w:rsid w:val="00583B62"/>
    <w:rsid w:val="00583D30"/>
    <w:rsid w:val="00583DA6"/>
    <w:rsid w:val="005845CA"/>
    <w:rsid w:val="00584621"/>
    <w:rsid w:val="0058496C"/>
    <w:rsid w:val="005854C9"/>
    <w:rsid w:val="005856DF"/>
    <w:rsid w:val="005860C3"/>
    <w:rsid w:val="00586228"/>
    <w:rsid w:val="00586482"/>
    <w:rsid w:val="00586ACA"/>
    <w:rsid w:val="00586E77"/>
    <w:rsid w:val="00587131"/>
    <w:rsid w:val="00587C8C"/>
    <w:rsid w:val="0059001A"/>
    <w:rsid w:val="00590503"/>
    <w:rsid w:val="00590691"/>
    <w:rsid w:val="00590980"/>
    <w:rsid w:val="0059150B"/>
    <w:rsid w:val="005918B9"/>
    <w:rsid w:val="00591983"/>
    <w:rsid w:val="00592E2F"/>
    <w:rsid w:val="00592EC9"/>
    <w:rsid w:val="00593066"/>
    <w:rsid w:val="005930CA"/>
    <w:rsid w:val="005931E6"/>
    <w:rsid w:val="005938AB"/>
    <w:rsid w:val="00593B09"/>
    <w:rsid w:val="00595051"/>
    <w:rsid w:val="00595170"/>
    <w:rsid w:val="00595F7A"/>
    <w:rsid w:val="0059605C"/>
    <w:rsid w:val="00596430"/>
    <w:rsid w:val="005968F9"/>
    <w:rsid w:val="005975B1"/>
    <w:rsid w:val="005976A2"/>
    <w:rsid w:val="005978C9"/>
    <w:rsid w:val="00597E91"/>
    <w:rsid w:val="005A085B"/>
    <w:rsid w:val="005A0965"/>
    <w:rsid w:val="005A0A25"/>
    <w:rsid w:val="005A11B7"/>
    <w:rsid w:val="005A11C6"/>
    <w:rsid w:val="005A142B"/>
    <w:rsid w:val="005A1561"/>
    <w:rsid w:val="005A1595"/>
    <w:rsid w:val="005A176B"/>
    <w:rsid w:val="005A17B0"/>
    <w:rsid w:val="005A1892"/>
    <w:rsid w:val="005A1925"/>
    <w:rsid w:val="005A1AF1"/>
    <w:rsid w:val="005A1D97"/>
    <w:rsid w:val="005A223D"/>
    <w:rsid w:val="005A22B3"/>
    <w:rsid w:val="005A242C"/>
    <w:rsid w:val="005A290B"/>
    <w:rsid w:val="005A3101"/>
    <w:rsid w:val="005A3479"/>
    <w:rsid w:val="005A3D1F"/>
    <w:rsid w:val="005A3EA0"/>
    <w:rsid w:val="005A4849"/>
    <w:rsid w:val="005A4991"/>
    <w:rsid w:val="005A4FC0"/>
    <w:rsid w:val="005A509B"/>
    <w:rsid w:val="005A5298"/>
    <w:rsid w:val="005A58F3"/>
    <w:rsid w:val="005A59DA"/>
    <w:rsid w:val="005A653E"/>
    <w:rsid w:val="005A696A"/>
    <w:rsid w:val="005A6C4D"/>
    <w:rsid w:val="005A7244"/>
    <w:rsid w:val="005A752E"/>
    <w:rsid w:val="005A77FC"/>
    <w:rsid w:val="005A78ED"/>
    <w:rsid w:val="005A798B"/>
    <w:rsid w:val="005A7A51"/>
    <w:rsid w:val="005A7C70"/>
    <w:rsid w:val="005B0510"/>
    <w:rsid w:val="005B11B3"/>
    <w:rsid w:val="005B1B6A"/>
    <w:rsid w:val="005B2226"/>
    <w:rsid w:val="005B2B0A"/>
    <w:rsid w:val="005B2C37"/>
    <w:rsid w:val="005B3586"/>
    <w:rsid w:val="005B35A8"/>
    <w:rsid w:val="005B36BC"/>
    <w:rsid w:val="005B3DA3"/>
    <w:rsid w:val="005B41D5"/>
    <w:rsid w:val="005B482E"/>
    <w:rsid w:val="005B4AE8"/>
    <w:rsid w:val="005B4F7B"/>
    <w:rsid w:val="005B55D3"/>
    <w:rsid w:val="005B59D0"/>
    <w:rsid w:val="005B5A94"/>
    <w:rsid w:val="005B63F9"/>
    <w:rsid w:val="005B686B"/>
    <w:rsid w:val="005B6AD0"/>
    <w:rsid w:val="005B6AF4"/>
    <w:rsid w:val="005B6E28"/>
    <w:rsid w:val="005B7009"/>
    <w:rsid w:val="005B7196"/>
    <w:rsid w:val="005B7306"/>
    <w:rsid w:val="005B74B8"/>
    <w:rsid w:val="005B7691"/>
    <w:rsid w:val="005B7742"/>
    <w:rsid w:val="005B7A73"/>
    <w:rsid w:val="005B7EF8"/>
    <w:rsid w:val="005C046A"/>
    <w:rsid w:val="005C04CB"/>
    <w:rsid w:val="005C05BF"/>
    <w:rsid w:val="005C06F2"/>
    <w:rsid w:val="005C0880"/>
    <w:rsid w:val="005C0BF2"/>
    <w:rsid w:val="005C0CED"/>
    <w:rsid w:val="005C0E69"/>
    <w:rsid w:val="005C12F9"/>
    <w:rsid w:val="005C14A1"/>
    <w:rsid w:val="005C179D"/>
    <w:rsid w:val="005C1836"/>
    <w:rsid w:val="005C1CA5"/>
    <w:rsid w:val="005C20E2"/>
    <w:rsid w:val="005C23AB"/>
    <w:rsid w:val="005C24B6"/>
    <w:rsid w:val="005C266B"/>
    <w:rsid w:val="005C2739"/>
    <w:rsid w:val="005C4050"/>
    <w:rsid w:val="005C45B4"/>
    <w:rsid w:val="005C45D4"/>
    <w:rsid w:val="005C46B5"/>
    <w:rsid w:val="005C4B81"/>
    <w:rsid w:val="005C4E97"/>
    <w:rsid w:val="005C5566"/>
    <w:rsid w:val="005C5573"/>
    <w:rsid w:val="005C56E8"/>
    <w:rsid w:val="005C571B"/>
    <w:rsid w:val="005C64BE"/>
    <w:rsid w:val="005C6660"/>
    <w:rsid w:val="005C6927"/>
    <w:rsid w:val="005C6DAA"/>
    <w:rsid w:val="005C741D"/>
    <w:rsid w:val="005C75FF"/>
    <w:rsid w:val="005C7A82"/>
    <w:rsid w:val="005C7B05"/>
    <w:rsid w:val="005D00B0"/>
    <w:rsid w:val="005D06F6"/>
    <w:rsid w:val="005D0B47"/>
    <w:rsid w:val="005D0D57"/>
    <w:rsid w:val="005D1167"/>
    <w:rsid w:val="005D1333"/>
    <w:rsid w:val="005D16A2"/>
    <w:rsid w:val="005D16AD"/>
    <w:rsid w:val="005D17AD"/>
    <w:rsid w:val="005D18E6"/>
    <w:rsid w:val="005D19E3"/>
    <w:rsid w:val="005D1E68"/>
    <w:rsid w:val="005D2479"/>
    <w:rsid w:val="005D2E04"/>
    <w:rsid w:val="005D35BC"/>
    <w:rsid w:val="005D3657"/>
    <w:rsid w:val="005D3B03"/>
    <w:rsid w:val="005D3E39"/>
    <w:rsid w:val="005D43E7"/>
    <w:rsid w:val="005D4875"/>
    <w:rsid w:val="005D55A1"/>
    <w:rsid w:val="005D591E"/>
    <w:rsid w:val="005D59A3"/>
    <w:rsid w:val="005D5FD0"/>
    <w:rsid w:val="005D6650"/>
    <w:rsid w:val="005D6848"/>
    <w:rsid w:val="005D6D64"/>
    <w:rsid w:val="005D707D"/>
    <w:rsid w:val="005D72E1"/>
    <w:rsid w:val="005D74E6"/>
    <w:rsid w:val="005D76F6"/>
    <w:rsid w:val="005E016B"/>
    <w:rsid w:val="005E05D0"/>
    <w:rsid w:val="005E0C0F"/>
    <w:rsid w:val="005E0CAF"/>
    <w:rsid w:val="005E0D9A"/>
    <w:rsid w:val="005E103E"/>
    <w:rsid w:val="005E12AF"/>
    <w:rsid w:val="005E15E0"/>
    <w:rsid w:val="005E1729"/>
    <w:rsid w:val="005E18C0"/>
    <w:rsid w:val="005E279E"/>
    <w:rsid w:val="005E299C"/>
    <w:rsid w:val="005E3202"/>
    <w:rsid w:val="005E3CDE"/>
    <w:rsid w:val="005E4315"/>
    <w:rsid w:val="005E4699"/>
    <w:rsid w:val="005E4F91"/>
    <w:rsid w:val="005E4FF9"/>
    <w:rsid w:val="005E562F"/>
    <w:rsid w:val="005E570F"/>
    <w:rsid w:val="005E5799"/>
    <w:rsid w:val="005E58E9"/>
    <w:rsid w:val="005E5A19"/>
    <w:rsid w:val="005E5EF0"/>
    <w:rsid w:val="005E628E"/>
    <w:rsid w:val="005E629D"/>
    <w:rsid w:val="005E6E16"/>
    <w:rsid w:val="005E7245"/>
    <w:rsid w:val="005E7672"/>
    <w:rsid w:val="005E76E7"/>
    <w:rsid w:val="005E79D3"/>
    <w:rsid w:val="005E7C36"/>
    <w:rsid w:val="005F0199"/>
    <w:rsid w:val="005F053F"/>
    <w:rsid w:val="005F0706"/>
    <w:rsid w:val="005F092C"/>
    <w:rsid w:val="005F0DB7"/>
    <w:rsid w:val="005F0E84"/>
    <w:rsid w:val="005F12B9"/>
    <w:rsid w:val="005F1A12"/>
    <w:rsid w:val="005F1A40"/>
    <w:rsid w:val="005F1F8C"/>
    <w:rsid w:val="005F218E"/>
    <w:rsid w:val="005F230A"/>
    <w:rsid w:val="005F3093"/>
    <w:rsid w:val="005F30B5"/>
    <w:rsid w:val="005F3C8F"/>
    <w:rsid w:val="005F3CE6"/>
    <w:rsid w:val="005F400E"/>
    <w:rsid w:val="005F4228"/>
    <w:rsid w:val="005F441A"/>
    <w:rsid w:val="005F51DE"/>
    <w:rsid w:val="005F5D08"/>
    <w:rsid w:val="005F6439"/>
    <w:rsid w:val="005F6461"/>
    <w:rsid w:val="005F64B9"/>
    <w:rsid w:val="005F6BFD"/>
    <w:rsid w:val="005F6E86"/>
    <w:rsid w:val="005F7302"/>
    <w:rsid w:val="005F7342"/>
    <w:rsid w:val="00600141"/>
    <w:rsid w:val="006002A9"/>
    <w:rsid w:val="006003EF"/>
    <w:rsid w:val="006006DB"/>
    <w:rsid w:val="00600846"/>
    <w:rsid w:val="006012AC"/>
    <w:rsid w:val="0060177F"/>
    <w:rsid w:val="0060196C"/>
    <w:rsid w:val="00601ADA"/>
    <w:rsid w:val="00601E85"/>
    <w:rsid w:val="00602074"/>
    <w:rsid w:val="00602179"/>
    <w:rsid w:val="006021A2"/>
    <w:rsid w:val="0060228D"/>
    <w:rsid w:val="00602454"/>
    <w:rsid w:val="0060257D"/>
    <w:rsid w:val="00602981"/>
    <w:rsid w:val="00602BF8"/>
    <w:rsid w:val="00602F2C"/>
    <w:rsid w:val="006033C8"/>
    <w:rsid w:val="00603624"/>
    <w:rsid w:val="00603A08"/>
    <w:rsid w:val="00603B58"/>
    <w:rsid w:val="00603E09"/>
    <w:rsid w:val="00604CD4"/>
    <w:rsid w:val="00604E9D"/>
    <w:rsid w:val="00605A02"/>
    <w:rsid w:val="0060671D"/>
    <w:rsid w:val="0060699C"/>
    <w:rsid w:val="00606B4D"/>
    <w:rsid w:val="00606CC3"/>
    <w:rsid w:val="00606CFB"/>
    <w:rsid w:val="0060744C"/>
    <w:rsid w:val="00610A3C"/>
    <w:rsid w:val="00610B50"/>
    <w:rsid w:val="00611504"/>
    <w:rsid w:val="0061196B"/>
    <w:rsid w:val="006119B0"/>
    <w:rsid w:val="00611A31"/>
    <w:rsid w:val="006123C6"/>
    <w:rsid w:val="00612C7B"/>
    <w:rsid w:val="00612FDA"/>
    <w:rsid w:val="006130E9"/>
    <w:rsid w:val="0061358E"/>
    <w:rsid w:val="00613668"/>
    <w:rsid w:val="00614001"/>
    <w:rsid w:val="0061448D"/>
    <w:rsid w:val="006145D0"/>
    <w:rsid w:val="006148AF"/>
    <w:rsid w:val="00614987"/>
    <w:rsid w:val="006153CD"/>
    <w:rsid w:val="00615C33"/>
    <w:rsid w:val="00615D7E"/>
    <w:rsid w:val="0061605E"/>
    <w:rsid w:val="006160D0"/>
    <w:rsid w:val="00616AB5"/>
    <w:rsid w:val="00616C16"/>
    <w:rsid w:val="0061705D"/>
    <w:rsid w:val="00617090"/>
    <w:rsid w:val="0061769A"/>
    <w:rsid w:val="00617A84"/>
    <w:rsid w:val="0062001B"/>
    <w:rsid w:val="0062025C"/>
    <w:rsid w:val="00620A15"/>
    <w:rsid w:val="00620DC6"/>
    <w:rsid w:val="00622748"/>
    <w:rsid w:val="00622E11"/>
    <w:rsid w:val="0062370A"/>
    <w:rsid w:val="00623783"/>
    <w:rsid w:val="006239A4"/>
    <w:rsid w:val="00623A42"/>
    <w:rsid w:val="00623BAC"/>
    <w:rsid w:val="00623E32"/>
    <w:rsid w:val="00623E5D"/>
    <w:rsid w:val="00623F98"/>
    <w:rsid w:val="00623FE5"/>
    <w:rsid w:val="00624E26"/>
    <w:rsid w:val="006257E2"/>
    <w:rsid w:val="0062581E"/>
    <w:rsid w:val="00625A11"/>
    <w:rsid w:val="00625BDA"/>
    <w:rsid w:val="00625BF3"/>
    <w:rsid w:val="00626CA0"/>
    <w:rsid w:val="0062703F"/>
    <w:rsid w:val="00627331"/>
    <w:rsid w:val="00627B2C"/>
    <w:rsid w:val="00627F48"/>
    <w:rsid w:val="00630709"/>
    <w:rsid w:val="006309F5"/>
    <w:rsid w:val="00630B4C"/>
    <w:rsid w:val="00630C23"/>
    <w:rsid w:val="006310BD"/>
    <w:rsid w:val="006311A9"/>
    <w:rsid w:val="0063178F"/>
    <w:rsid w:val="006320EA"/>
    <w:rsid w:val="00632C84"/>
    <w:rsid w:val="0063346C"/>
    <w:rsid w:val="0063350C"/>
    <w:rsid w:val="00633578"/>
    <w:rsid w:val="0063366E"/>
    <w:rsid w:val="006343A5"/>
    <w:rsid w:val="006351A5"/>
    <w:rsid w:val="006354CE"/>
    <w:rsid w:val="0063576B"/>
    <w:rsid w:val="00635FFE"/>
    <w:rsid w:val="00636071"/>
    <w:rsid w:val="006361EA"/>
    <w:rsid w:val="00636491"/>
    <w:rsid w:val="00636595"/>
    <w:rsid w:val="006365AC"/>
    <w:rsid w:val="00636E81"/>
    <w:rsid w:val="006370DD"/>
    <w:rsid w:val="00637554"/>
    <w:rsid w:val="00637C6A"/>
    <w:rsid w:val="00640590"/>
    <w:rsid w:val="006405DB"/>
    <w:rsid w:val="006406E3"/>
    <w:rsid w:val="0064075E"/>
    <w:rsid w:val="0064095E"/>
    <w:rsid w:val="00640C10"/>
    <w:rsid w:val="0064133B"/>
    <w:rsid w:val="00641400"/>
    <w:rsid w:val="0064220D"/>
    <w:rsid w:val="0064225B"/>
    <w:rsid w:val="0064237E"/>
    <w:rsid w:val="00642F9A"/>
    <w:rsid w:val="00643356"/>
    <w:rsid w:val="006434EA"/>
    <w:rsid w:val="00643519"/>
    <w:rsid w:val="0064364C"/>
    <w:rsid w:val="00643947"/>
    <w:rsid w:val="006439E2"/>
    <w:rsid w:val="00643DC2"/>
    <w:rsid w:val="006440BE"/>
    <w:rsid w:val="0064463B"/>
    <w:rsid w:val="00644DBF"/>
    <w:rsid w:val="00645175"/>
    <w:rsid w:val="006451A1"/>
    <w:rsid w:val="006452A6"/>
    <w:rsid w:val="006452E7"/>
    <w:rsid w:val="00645825"/>
    <w:rsid w:val="00645937"/>
    <w:rsid w:val="00645AE2"/>
    <w:rsid w:val="00645BE0"/>
    <w:rsid w:val="00645D35"/>
    <w:rsid w:val="006460AB"/>
    <w:rsid w:val="0064622C"/>
    <w:rsid w:val="0064627C"/>
    <w:rsid w:val="00646297"/>
    <w:rsid w:val="00646513"/>
    <w:rsid w:val="00646899"/>
    <w:rsid w:val="0064691E"/>
    <w:rsid w:val="006478B0"/>
    <w:rsid w:val="00647DF6"/>
    <w:rsid w:val="00647EA7"/>
    <w:rsid w:val="00650309"/>
    <w:rsid w:val="0065041E"/>
    <w:rsid w:val="00650804"/>
    <w:rsid w:val="00650912"/>
    <w:rsid w:val="00650A2C"/>
    <w:rsid w:val="00650A76"/>
    <w:rsid w:val="00650BBA"/>
    <w:rsid w:val="00650CB8"/>
    <w:rsid w:val="00650F95"/>
    <w:rsid w:val="0065110B"/>
    <w:rsid w:val="00651663"/>
    <w:rsid w:val="00652052"/>
    <w:rsid w:val="00652399"/>
    <w:rsid w:val="00652658"/>
    <w:rsid w:val="00652EEA"/>
    <w:rsid w:val="00652FE1"/>
    <w:rsid w:val="006539BF"/>
    <w:rsid w:val="00653CE0"/>
    <w:rsid w:val="00653DD5"/>
    <w:rsid w:val="00653E38"/>
    <w:rsid w:val="00653E9C"/>
    <w:rsid w:val="00654127"/>
    <w:rsid w:val="0065427D"/>
    <w:rsid w:val="006547F4"/>
    <w:rsid w:val="0065491B"/>
    <w:rsid w:val="0065492B"/>
    <w:rsid w:val="00654FFB"/>
    <w:rsid w:val="00655278"/>
    <w:rsid w:val="006554C7"/>
    <w:rsid w:val="00655CAF"/>
    <w:rsid w:val="006562D5"/>
    <w:rsid w:val="00656361"/>
    <w:rsid w:val="006565AF"/>
    <w:rsid w:val="00656698"/>
    <w:rsid w:val="006567E4"/>
    <w:rsid w:val="00656FA5"/>
    <w:rsid w:val="00657152"/>
    <w:rsid w:val="00657299"/>
    <w:rsid w:val="006578FF"/>
    <w:rsid w:val="00657A12"/>
    <w:rsid w:val="00660009"/>
    <w:rsid w:val="00660844"/>
    <w:rsid w:val="006610B9"/>
    <w:rsid w:val="00661277"/>
    <w:rsid w:val="006614B5"/>
    <w:rsid w:val="006614C2"/>
    <w:rsid w:val="006616D7"/>
    <w:rsid w:val="0066188E"/>
    <w:rsid w:val="00661C3E"/>
    <w:rsid w:val="00661F8F"/>
    <w:rsid w:val="0066226B"/>
    <w:rsid w:val="0066247F"/>
    <w:rsid w:val="00662A4F"/>
    <w:rsid w:val="00662E0D"/>
    <w:rsid w:val="006630F4"/>
    <w:rsid w:val="00663621"/>
    <w:rsid w:val="00663667"/>
    <w:rsid w:val="00663674"/>
    <w:rsid w:val="00663B80"/>
    <w:rsid w:val="00663BBD"/>
    <w:rsid w:val="00663F0C"/>
    <w:rsid w:val="00663FCF"/>
    <w:rsid w:val="0066445B"/>
    <w:rsid w:val="00664637"/>
    <w:rsid w:val="00664A15"/>
    <w:rsid w:val="00664AF0"/>
    <w:rsid w:val="00664B8F"/>
    <w:rsid w:val="00664E55"/>
    <w:rsid w:val="006652A2"/>
    <w:rsid w:val="006657CA"/>
    <w:rsid w:val="006657FA"/>
    <w:rsid w:val="00665D40"/>
    <w:rsid w:val="006664D8"/>
    <w:rsid w:val="006667CC"/>
    <w:rsid w:val="00666E36"/>
    <w:rsid w:val="00667391"/>
    <w:rsid w:val="006674C1"/>
    <w:rsid w:val="006675B5"/>
    <w:rsid w:val="00667707"/>
    <w:rsid w:val="00667D70"/>
    <w:rsid w:val="00667DEF"/>
    <w:rsid w:val="00667DF9"/>
    <w:rsid w:val="006701DB"/>
    <w:rsid w:val="00670B76"/>
    <w:rsid w:val="00670D93"/>
    <w:rsid w:val="00670F9B"/>
    <w:rsid w:val="00670FD6"/>
    <w:rsid w:val="00671B38"/>
    <w:rsid w:val="00671EBE"/>
    <w:rsid w:val="00672122"/>
    <w:rsid w:val="006726E2"/>
    <w:rsid w:val="00672D3A"/>
    <w:rsid w:val="00672DEF"/>
    <w:rsid w:val="0067342D"/>
    <w:rsid w:val="00673C51"/>
    <w:rsid w:val="00673CA8"/>
    <w:rsid w:val="00674207"/>
    <w:rsid w:val="006747D7"/>
    <w:rsid w:val="00674A9D"/>
    <w:rsid w:val="00674B9C"/>
    <w:rsid w:val="00674BDA"/>
    <w:rsid w:val="00674F2D"/>
    <w:rsid w:val="0067522E"/>
    <w:rsid w:val="006755E2"/>
    <w:rsid w:val="0067587A"/>
    <w:rsid w:val="00675903"/>
    <w:rsid w:val="006759A6"/>
    <w:rsid w:val="00675EA0"/>
    <w:rsid w:val="00675FAB"/>
    <w:rsid w:val="006762F0"/>
    <w:rsid w:val="00676CD4"/>
    <w:rsid w:val="00677D7E"/>
    <w:rsid w:val="00677EB4"/>
    <w:rsid w:val="00680355"/>
    <w:rsid w:val="00680900"/>
    <w:rsid w:val="006809FA"/>
    <w:rsid w:val="00680E99"/>
    <w:rsid w:val="006811B6"/>
    <w:rsid w:val="0068141E"/>
    <w:rsid w:val="00681434"/>
    <w:rsid w:val="006818BD"/>
    <w:rsid w:val="00681A8D"/>
    <w:rsid w:val="00682143"/>
    <w:rsid w:val="006822BE"/>
    <w:rsid w:val="006828AE"/>
    <w:rsid w:val="006831CE"/>
    <w:rsid w:val="006836D5"/>
    <w:rsid w:val="00683A0C"/>
    <w:rsid w:val="00684427"/>
    <w:rsid w:val="006849B7"/>
    <w:rsid w:val="00684B0A"/>
    <w:rsid w:val="00685315"/>
    <w:rsid w:val="0068588A"/>
    <w:rsid w:val="00685C43"/>
    <w:rsid w:val="00685D52"/>
    <w:rsid w:val="0068664D"/>
    <w:rsid w:val="00686DDD"/>
    <w:rsid w:val="00686EA7"/>
    <w:rsid w:val="00686F72"/>
    <w:rsid w:val="0068753D"/>
    <w:rsid w:val="00687E0F"/>
    <w:rsid w:val="00687EF1"/>
    <w:rsid w:val="00687F24"/>
    <w:rsid w:val="006900AD"/>
    <w:rsid w:val="00690206"/>
    <w:rsid w:val="0069044E"/>
    <w:rsid w:val="00690ADF"/>
    <w:rsid w:val="00690C52"/>
    <w:rsid w:val="006910E7"/>
    <w:rsid w:val="006916A2"/>
    <w:rsid w:val="00691910"/>
    <w:rsid w:val="00691D6B"/>
    <w:rsid w:val="006924F0"/>
    <w:rsid w:val="00692686"/>
    <w:rsid w:val="006928F2"/>
    <w:rsid w:val="00692A15"/>
    <w:rsid w:val="00692F88"/>
    <w:rsid w:val="006937FF"/>
    <w:rsid w:val="00693A1F"/>
    <w:rsid w:val="00693CB9"/>
    <w:rsid w:val="00694582"/>
    <w:rsid w:val="0069459E"/>
    <w:rsid w:val="006949CF"/>
    <w:rsid w:val="00694A22"/>
    <w:rsid w:val="00694E78"/>
    <w:rsid w:val="00694E8C"/>
    <w:rsid w:val="006953D8"/>
    <w:rsid w:val="006954BE"/>
    <w:rsid w:val="0069575D"/>
    <w:rsid w:val="0069587A"/>
    <w:rsid w:val="0069589A"/>
    <w:rsid w:val="00695D50"/>
    <w:rsid w:val="00695FB5"/>
    <w:rsid w:val="006960E5"/>
    <w:rsid w:val="006964FB"/>
    <w:rsid w:val="00696AED"/>
    <w:rsid w:val="00696B78"/>
    <w:rsid w:val="0069715A"/>
    <w:rsid w:val="00697934"/>
    <w:rsid w:val="00697E06"/>
    <w:rsid w:val="006A09DB"/>
    <w:rsid w:val="006A0AD8"/>
    <w:rsid w:val="006A0DF0"/>
    <w:rsid w:val="006A12B8"/>
    <w:rsid w:val="006A19F6"/>
    <w:rsid w:val="006A223D"/>
    <w:rsid w:val="006A23A0"/>
    <w:rsid w:val="006A261A"/>
    <w:rsid w:val="006A26F6"/>
    <w:rsid w:val="006A2CFF"/>
    <w:rsid w:val="006A2E67"/>
    <w:rsid w:val="006A2F88"/>
    <w:rsid w:val="006A324F"/>
    <w:rsid w:val="006A3C69"/>
    <w:rsid w:val="006A4152"/>
    <w:rsid w:val="006A4384"/>
    <w:rsid w:val="006A43E1"/>
    <w:rsid w:val="006A47D1"/>
    <w:rsid w:val="006A48A7"/>
    <w:rsid w:val="006A5E4E"/>
    <w:rsid w:val="006A60CF"/>
    <w:rsid w:val="006A6132"/>
    <w:rsid w:val="006A7E44"/>
    <w:rsid w:val="006A7E5E"/>
    <w:rsid w:val="006B0360"/>
    <w:rsid w:val="006B0D56"/>
    <w:rsid w:val="006B117F"/>
    <w:rsid w:val="006B11F4"/>
    <w:rsid w:val="006B1A05"/>
    <w:rsid w:val="006B1D42"/>
    <w:rsid w:val="006B1E79"/>
    <w:rsid w:val="006B1FA1"/>
    <w:rsid w:val="006B2DCB"/>
    <w:rsid w:val="006B2EFB"/>
    <w:rsid w:val="006B37D1"/>
    <w:rsid w:val="006B3E23"/>
    <w:rsid w:val="006B4257"/>
    <w:rsid w:val="006B42A5"/>
    <w:rsid w:val="006B434B"/>
    <w:rsid w:val="006B46B3"/>
    <w:rsid w:val="006B473C"/>
    <w:rsid w:val="006B4A54"/>
    <w:rsid w:val="006B4BA1"/>
    <w:rsid w:val="006B4D00"/>
    <w:rsid w:val="006B4F9E"/>
    <w:rsid w:val="006B54B9"/>
    <w:rsid w:val="006B575B"/>
    <w:rsid w:val="006B57E1"/>
    <w:rsid w:val="006B5CD5"/>
    <w:rsid w:val="006B5D87"/>
    <w:rsid w:val="006B5EBE"/>
    <w:rsid w:val="006B66C0"/>
    <w:rsid w:val="006B6AE7"/>
    <w:rsid w:val="006B6B97"/>
    <w:rsid w:val="006B6C6A"/>
    <w:rsid w:val="006B7128"/>
    <w:rsid w:val="006B7230"/>
    <w:rsid w:val="006B75E4"/>
    <w:rsid w:val="006B78D3"/>
    <w:rsid w:val="006B7BAF"/>
    <w:rsid w:val="006C0047"/>
    <w:rsid w:val="006C009C"/>
    <w:rsid w:val="006C056E"/>
    <w:rsid w:val="006C05C8"/>
    <w:rsid w:val="006C08BB"/>
    <w:rsid w:val="006C0970"/>
    <w:rsid w:val="006C1342"/>
    <w:rsid w:val="006C13E2"/>
    <w:rsid w:val="006C1752"/>
    <w:rsid w:val="006C1932"/>
    <w:rsid w:val="006C24AE"/>
    <w:rsid w:val="006C2A40"/>
    <w:rsid w:val="006C2E80"/>
    <w:rsid w:val="006C376A"/>
    <w:rsid w:val="006C3D4A"/>
    <w:rsid w:val="006C3F17"/>
    <w:rsid w:val="006C3F70"/>
    <w:rsid w:val="006C3FDE"/>
    <w:rsid w:val="006C40C7"/>
    <w:rsid w:val="006C441D"/>
    <w:rsid w:val="006C470D"/>
    <w:rsid w:val="006C47F4"/>
    <w:rsid w:val="006C4820"/>
    <w:rsid w:val="006C491C"/>
    <w:rsid w:val="006C4AFD"/>
    <w:rsid w:val="006C56B4"/>
    <w:rsid w:val="006C5A6F"/>
    <w:rsid w:val="006C5C1A"/>
    <w:rsid w:val="006C5CDD"/>
    <w:rsid w:val="006C5CF5"/>
    <w:rsid w:val="006C60ED"/>
    <w:rsid w:val="006C6951"/>
    <w:rsid w:val="006C6DAE"/>
    <w:rsid w:val="006C6E32"/>
    <w:rsid w:val="006C6FCA"/>
    <w:rsid w:val="006C7396"/>
    <w:rsid w:val="006C7416"/>
    <w:rsid w:val="006C74A7"/>
    <w:rsid w:val="006C75CB"/>
    <w:rsid w:val="006D0193"/>
    <w:rsid w:val="006D046B"/>
    <w:rsid w:val="006D05A1"/>
    <w:rsid w:val="006D070A"/>
    <w:rsid w:val="006D09C9"/>
    <w:rsid w:val="006D10A0"/>
    <w:rsid w:val="006D1C0D"/>
    <w:rsid w:val="006D2CCB"/>
    <w:rsid w:val="006D318F"/>
    <w:rsid w:val="006D33FD"/>
    <w:rsid w:val="006D375D"/>
    <w:rsid w:val="006D3A00"/>
    <w:rsid w:val="006D3C86"/>
    <w:rsid w:val="006D4254"/>
    <w:rsid w:val="006D4D32"/>
    <w:rsid w:val="006D4FBE"/>
    <w:rsid w:val="006D50E8"/>
    <w:rsid w:val="006D54E8"/>
    <w:rsid w:val="006D5551"/>
    <w:rsid w:val="006D56E7"/>
    <w:rsid w:val="006D5A18"/>
    <w:rsid w:val="006D5A3F"/>
    <w:rsid w:val="006D5FE7"/>
    <w:rsid w:val="006D6147"/>
    <w:rsid w:val="006D68C9"/>
    <w:rsid w:val="006D6B36"/>
    <w:rsid w:val="006D7066"/>
    <w:rsid w:val="006D710F"/>
    <w:rsid w:val="006D7140"/>
    <w:rsid w:val="006D71D4"/>
    <w:rsid w:val="006D729E"/>
    <w:rsid w:val="006D7529"/>
    <w:rsid w:val="006D759B"/>
    <w:rsid w:val="006D7B04"/>
    <w:rsid w:val="006D7D86"/>
    <w:rsid w:val="006D7F5F"/>
    <w:rsid w:val="006E0557"/>
    <w:rsid w:val="006E090A"/>
    <w:rsid w:val="006E0A80"/>
    <w:rsid w:val="006E0E1F"/>
    <w:rsid w:val="006E1043"/>
    <w:rsid w:val="006E130E"/>
    <w:rsid w:val="006E14C4"/>
    <w:rsid w:val="006E156A"/>
    <w:rsid w:val="006E1BA0"/>
    <w:rsid w:val="006E1D52"/>
    <w:rsid w:val="006E2101"/>
    <w:rsid w:val="006E2BDC"/>
    <w:rsid w:val="006E2C00"/>
    <w:rsid w:val="006E4310"/>
    <w:rsid w:val="006E453D"/>
    <w:rsid w:val="006E459F"/>
    <w:rsid w:val="006E4C37"/>
    <w:rsid w:val="006E4DE2"/>
    <w:rsid w:val="006E4E7A"/>
    <w:rsid w:val="006E4F3C"/>
    <w:rsid w:val="006E516C"/>
    <w:rsid w:val="006E52FB"/>
    <w:rsid w:val="006E557E"/>
    <w:rsid w:val="006E6224"/>
    <w:rsid w:val="006E68BA"/>
    <w:rsid w:val="006E69E9"/>
    <w:rsid w:val="006E6F92"/>
    <w:rsid w:val="006E73BE"/>
    <w:rsid w:val="006E73C5"/>
    <w:rsid w:val="006E756A"/>
    <w:rsid w:val="006E7880"/>
    <w:rsid w:val="006E7B76"/>
    <w:rsid w:val="006F016B"/>
    <w:rsid w:val="006F0367"/>
    <w:rsid w:val="006F0F12"/>
    <w:rsid w:val="006F1341"/>
    <w:rsid w:val="006F1636"/>
    <w:rsid w:val="006F1BF7"/>
    <w:rsid w:val="006F203C"/>
    <w:rsid w:val="006F2168"/>
    <w:rsid w:val="006F2A33"/>
    <w:rsid w:val="006F2D37"/>
    <w:rsid w:val="006F2EB4"/>
    <w:rsid w:val="006F2EE0"/>
    <w:rsid w:val="006F36B8"/>
    <w:rsid w:val="006F38E9"/>
    <w:rsid w:val="006F3C19"/>
    <w:rsid w:val="006F409A"/>
    <w:rsid w:val="006F40FD"/>
    <w:rsid w:val="006F44B7"/>
    <w:rsid w:val="006F44CF"/>
    <w:rsid w:val="006F4A82"/>
    <w:rsid w:val="006F4BC5"/>
    <w:rsid w:val="006F58CD"/>
    <w:rsid w:val="006F5CC3"/>
    <w:rsid w:val="006F5DAA"/>
    <w:rsid w:val="006F5EF3"/>
    <w:rsid w:val="006F620C"/>
    <w:rsid w:val="006F6480"/>
    <w:rsid w:val="006F6599"/>
    <w:rsid w:val="006F6679"/>
    <w:rsid w:val="006F6825"/>
    <w:rsid w:val="006F6AF7"/>
    <w:rsid w:val="006F6F9E"/>
    <w:rsid w:val="006F7590"/>
    <w:rsid w:val="006F797B"/>
    <w:rsid w:val="00700102"/>
    <w:rsid w:val="00700157"/>
    <w:rsid w:val="0070016D"/>
    <w:rsid w:val="007003DB"/>
    <w:rsid w:val="007010FD"/>
    <w:rsid w:val="0070113B"/>
    <w:rsid w:val="0070130C"/>
    <w:rsid w:val="00701555"/>
    <w:rsid w:val="0070166C"/>
    <w:rsid w:val="0070198E"/>
    <w:rsid w:val="00702636"/>
    <w:rsid w:val="0070316D"/>
    <w:rsid w:val="00703352"/>
    <w:rsid w:val="0070373B"/>
    <w:rsid w:val="007043D5"/>
    <w:rsid w:val="00704D26"/>
    <w:rsid w:val="00704EE4"/>
    <w:rsid w:val="00704F24"/>
    <w:rsid w:val="007052E1"/>
    <w:rsid w:val="007058E2"/>
    <w:rsid w:val="00705A0D"/>
    <w:rsid w:val="0070685E"/>
    <w:rsid w:val="00706870"/>
    <w:rsid w:val="00706A55"/>
    <w:rsid w:val="00706F54"/>
    <w:rsid w:val="007075AE"/>
    <w:rsid w:val="00707606"/>
    <w:rsid w:val="007076BC"/>
    <w:rsid w:val="00707933"/>
    <w:rsid w:val="00707C11"/>
    <w:rsid w:val="00707C7D"/>
    <w:rsid w:val="00707E60"/>
    <w:rsid w:val="00707FF2"/>
    <w:rsid w:val="0071004F"/>
    <w:rsid w:val="0071057E"/>
    <w:rsid w:val="00710692"/>
    <w:rsid w:val="00710733"/>
    <w:rsid w:val="00710C03"/>
    <w:rsid w:val="00710EC6"/>
    <w:rsid w:val="007111CB"/>
    <w:rsid w:val="0071138E"/>
    <w:rsid w:val="00711463"/>
    <w:rsid w:val="0071180A"/>
    <w:rsid w:val="00712552"/>
    <w:rsid w:val="00712BB7"/>
    <w:rsid w:val="00712BD1"/>
    <w:rsid w:val="00712C3D"/>
    <w:rsid w:val="00712C74"/>
    <w:rsid w:val="00712D8C"/>
    <w:rsid w:val="00712F04"/>
    <w:rsid w:val="0071363A"/>
    <w:rsid w:val="00713D05"/>
    <w:rsid w:val="00713F48"/>
    <w:rsid w:val="007140BD"/>
    <w:rsid w:val="00714196"/>
    <w:rsid w:val="007144BB"/>
    <w:rsid w:val="007145B3"/>
    <w:rsid w:val="007145CC"/>
    <w:rsid w:val="007148B9"/>
    <w:rsid w:val="0071518C"/>
    <w:rsid w:val="00715347"/>
    <w:rsid w:val="007154CD"/>
    <w:rsid w:val="0071566B"/>
    <w:rsid w:val="00715ADF"/>
    <w:rsid w:val="00715D5A"/>
    <w:rsid w:val="00716045"/>
    <w:rsid w:val="0071621E"/>
    <w:rsid w:val="0071660E"/>
    <w:rsid w:val="007166B5"/>
    <w:rsid w:val="00716A22"/>
    <w:rsid w:val="007171B5"/>
    <w:rsid w:val="007178BC"/>
    <w:rsid w:val="00720496"/>
    <w:rsid w:val="00720836"/>
    <w:rsid w:val="00720AD7"/>
    <w:rsid w:val="00720C57"/>
    <w:rsid w:val="00720F88"/>
    <w:rsid w:val="00721117"/>
    <w:rsid w:val="00721198"/>
    <w:rsid w:val="007217D1"/>
    <w:rsid w:val="00721F74"/>
    <w:rsid w:val="00721FA3"/>
    <w:rsid w:val="00722823"/>
    <w:rsid w:val="00722C27"/>
    <w:rsid w:val="00723269"/>
    <w:rsid w:val="0072392D"/>
    <w:rsid w:val="00723DE5"/>
    <w:rsid w:val="007245AA"/>
    <w:rsid w:val="007246EF"/>
    <w:rsid w:val="00724A77"/>
    <w:rsid w:val="00724EE5"/>
    <w:rsid w:val="00724FA4"/>
    <w:rsid w:val="00725019"/>
    <w:rsid w:val="00725396"/>
    <w:rsid w:val="00725B1B"/>
    <w:rsid w:val="00725D9E"/>
    <w:rsid w:val="00725EE8"/>
    <w:rsid w:val="007264AF"/>
    <w:rsid w:val="0072676B"/>
    <w:rsid w:val="00726EEE"/>
    <w:rsid w:val="0072764A"/>
    <w:rsid w:val="00727B63"/>
    <w:rsid w:val="007303C6"/>
    <w:rsid w:val="007307D5"/>
    <w:rsid w:val="00730800"/>
    <w:rsid w:val="00730A77"/>
    <w:rsid w:val="00730B00"/>
    <w:rsid w:val="00730E5F"/>
    <w:rsid w:val="00731334"/>
    <w:rsid w:val="0073191B"/>
    <w:rsid w:val="00731975"/>
    <w:rsid w:val="00731BCD"/>
    <w:rsid w:val="00731CFB"/>
    <w:rsid w:val="00731DE9"/>
    <w:rsid w:val="007321BC"/>
    <w:rsid w:val="007322C7"/>
    <w:rsid w:val="007323F4"/>
    <w:rsid w:val="007324D1"/>
    <w:rsid w:val="007331B9"/>
    <w:rsid w:val="00733CE2"/>
    <w:rsid w:val="00733FF6"/>
    <w:rsid w:val="00734796"/>
    <w:rsid w:val="00734B78"/>
    <w:rsid w:val="00734BBC"/>
    <w:rsid w:val="00735782"/>
    <w:rsid w:val="0073590F"/>
    <w:rsid w:val="00735CB6"/>
    <w:rsid w:val="00735FF8"/>
    <w:rsid w:val="007361E0"/>
    <w:rsid w:val="0073689A"/>
    <w:rsid w:val="007368FC"/>
    <w:rsid w:val="00736CD5"/>
    <w:rsid w:val="00740390"/>
    <w:rsid w:val="00740732"/>
    <w:rsid w:val="00740F98"/>
    <w:rsid w:val="0074147C"/>
    <w:rsid w:val="007416B2"/>
    <w:rsid w:val="0074171E"/>
    <w:rsid w:val="0074239D"/>
    <w:rsid w:val="00742ACE"/>
    <w:rsid w:val="00743247"/>
    <w:rsid w:val="00743B29"/>
    <w:rsid w:val="007442A3"/>
    <w:rsid w:val="007444AC"/>
    <w:rsid w:val="00744962"/>
    <w:rsid w:val="00744ACA"/>
    <w:rsid w:val="00744F01"/>
    <w:rsid w:val="00745158"/>
    <w:rsid w:val="00745283"/>
    <w:rsid w:val="007454F9"/>
    <w:rsid w:val="0074560C"/>
    <w:rsid w:val="00746268"/>
    <w:rsid w:val="007463EE"/>
    <w:rsid w:val="007464CF"/>
    <w:rsid w:val="00746A12"/>
    <w:rsid w:val="00746A1C"/>
    <w:rsid w:val="00746D2F"/>
    <w:rsid w:val="00746F49"/>
    <w:rsid w:val="0074706D"/>
    <w:rsid w:val="00747589"/>
    <w:rsid w:val="007478C9"/>
    <w:rsid w:val="00747C3D"/>
    <w:rsid w:val="0075011C"/>
    <w:rsid w:val="007501F9"/>
    <w:rsid w:val="00750BAA"/>
    <w:rsid w:val="00750E40"/>
    <w:rsid w:val="00751373"/>
    <w:rsid w:val="00751B27"/>
    <w:rsid w:val="00751CC2"/>
    <w:rsid w:val="007521F0"/>
    <w:rsid w:val="007522AA"/>
    <w:rsid w:val="007522F3"/>
    <w:rsid w:val="00752518"/>
    <w:rsid w:val="00753636"/>
    <w:rsid w:val="00753719"/>
    <w:rsid w:val="00753CCD"/>
    <w:rsid w:val="00755271"/>
    <w:rsid w:val="00755330"/>
    <w:rsid w:val="007553DC"/>
    <w:rsid w:val="007554B7"/>
    <w:rsid w:val="007554FE"/>
    <w:rsid w:val="007555B8"/>
    <w:rsid w:val="007556FF"/>
    <w:rsid w:val="00755CA2"/>
    <w:rsid w:val="00755E34"/>
    <w:rsid w:val="007561D4"/>
    <w:rsid w:val="007562A0"/>
    <w:rsid w:val="00756330"/>
    <w:rsid w:val="0075643A"/>
    <w:rsid w:val="00756635"/>
    <w:rsid w:val="00756814"/>
    <w:rsid w:val="00756E86"/>
    <w:rsid w:val="0075751C"/>
    <w:rsid w:val="00757717"/>
    <w:rsid w:val="00757EAB"/>
    <w:rsid w:val="007602AA"/>
    <w:rsid w:val="00760354"/>
    <w:rsid w:val="00760E53"/>
    <w:rsid w:val="00760F99"/>
    <w:rsid w:val="0076156D"/>
    <w:rsid w:val="00761795"/>
    <w:rsid w:val="007618A1"/>
    <w:rsid w:val="00761E4C"/>
    <w:rsid w:val="007620A3"/>
    <w:rsid w:val="00762333"/>
    <w:rsid w:val="007624FB"/>
    <w:rsid w:val="00762559"/>
    <w:rsid w:val="00762975"/>
    <w:rsid w:val="007629F6"/>
    <w:rsid w:val="00762A6B"/>
    <w:rsid w:val="00762AFE"/>
    <w:rsid w:val="00763032"/>
    <w:rsid w:val="0076335C"/>
    <w:rsid w:val="007638B5"/>
    <w:rsid w:val="00763DE8"/>
    <w:rsid w:val="007647AD"/>
    <w:rsid w:val="00764ECE"/>
    <w:rsid w:val="0076500C"/>
    <w:rsid w:val="00765101"/>
    <w:rsid w:val="007652EF"/>
    <w:rsid w:val="007655AC"/>
    <w:rsid w:val="007671E0"/>
    <w:rsid w:val="0076731F"/>
    <w:rsid w:val="0076750F"/>
    <w:rsid w:val="0076756D"/>
    <w:rsid w:val="007676C9"/>
    <w:rsid w:val="00767A7C"/>
    <w:rsid w:val="00767AFC"/>
    <w:rsid w:val="00767C3B"/>
    <w:rsid w:val="00767D5B"/>
    <w:rsid w:val="00767E55"/>
    <w:rsid w:val="00767FDF"/>
    <w:rsid w:val="007704EA"/>
    <w:rsid w:val="00770A43"/>
    <w:rsid w:val="00770B92"/>
    <w:rsid w:val="00770BDB"/>
    <w:rsid w:val="0077127F"/>
    <w:rsid w:val="0077138E"/>
    <w:rsid w:val="007713FF"/>
    <w:rsid w:val="007718C5"/>
    <w:rsid w:val="00771964"/>
    <w:rsid w:val="00771A44"/>
    <w:rsid w:val="00772120"/>
    <w:rsid w:val="0077225B"/>
    <w:rsid w:val="00772840"/>
    <w:rsid w:val="007729F7"/>
    <w:rsid w:val="00772A3D"/>
    <w:rsid w:val="00772AFE"/>
    <w:rsid w:val="00772BDC"/>
    <w:rsid w:val="00772E6A"/>
    <w:rsid w:val="00772EF6"/>
    <w:rsid w:val="0077348D"/>
    <w:rsid w:val="007734E5"/>
    <w:rsid w:val="00773779"/>
    <w:rsid w:val="007738FB"/>
    <w:rsid w:val="00773F08"/>
    <w:rsid w:val="007740B8"/>
    <w:rsid w:val="00774472"/>
    <w:rsid w:val="007748F9"/>
    <w:rsid w:val="00774963"/>
    <w:rsid w:val="00774A6F"/>
    <w:rsid w:val="00774B57"/>
    <w:rsid w:val="00774B84"/>
    <w:rsid w:val="00774D78"/>
    <w:rsid w:val="007761BE"/>
    <w:rsid w:val="007769C5"/>
    <w:rsid w:val="00777573"/>
    <w:rsid w:val="00777779"/>
    <w:rsid w:val="0077794E"/>
    <w:rsid w:val="00777B1A"/>
    <w:rsid w:val="00777B34"/>
    <w:rsid w:val="0077D78D"/>
    <w:rsid w:val="0078002C"/>
    <w:rsid w:val="00780380"/>
    <w:rsid w:val="0078068A"/>
    <w:rsid w:val="00780790"/>
    <w:rsid w:val="00780792"/>
    <w:rsid w:val="0078082C"/>
    <w:rsid w:val="00780A2A"/>
    <w:rsid w:val="00780DF2"/>
    <w:rsid w:val="007811BB"/>
    <w:rsid w:val="00781450"/>
    <w:rsid w:val="007817AA"/>
    <w:rsid w:val="00781A8B"/>
    <w:rsid w:val="0078230E"/>
    <w:rsid w:val="00782381"/>
    <w:rsid w:val="00782637"/>
    <w:rsid w:val="007828CF"/>
    <w:rsid w:val="00782EC6"/>
    <w:rsid w:val="00783094"/>
    <w:rsid w:val="0078312B"/>
    <w:rsid w:val="0078407B"/>
    <w:rsid w:val="0078422B"/>
    <w:rsid w:val="00784F00"/>
    <w:rsid w:val="007859D2"/>
    <w:rsid w:val="00785ADD"/>
    <w:rsid w:val="00785BBD"/>
    <w:rsid w:val="00785C7E"/>
    <w:rsid w:val="00785D9D"/>
    <w:rsid w:val="0078674C"/>
    <w:rsid w:val="007867CF"/>
    <w:rsid w:val="007868F2"/>
    <w:rsid w:val="007869BE"/>
    <w:rsid w:val="00786A52"/>
    <w:rsid w:val="00786C2C"/>
    <w:rsid w:val="00786F94"/>
    <w:rsid w:val="007873B4"/>
    <w:rsid w:val="00787420"/>
    <w:rsid w:val="00787BB9"/>
    <w:rsid w:val="0079012B"/>
    <w:rsid w:val="007903A3"/>
    <w:rsid w:val="00790535"/>
    <w:rsid w:val="00790626"/>
    <w:rsid w:val="00790710"/>
    <w:rsid w:val="00790AE6"/>
    <w:rsid w:val="00790BD8"/>
    <w:rsid w:val="00790DB0"/>
    <w:rsid w:val="00790FC3"/>
    <w:rsid w:val="0079111A"/>
    <w:rsid w:val="00791281"/>
    <w:rsid w:val="00791363"/>
    <w:rsid w:val="007913C0"/>
    <w:rsid w:val="007914C6"/>
    <w:rsid w:val="00791D98"/>
    <w:rsid w:val="00791F7D"/>
    <w:rsid w:val="007924C2"/>
    <w:rsid w:val="00793F35"/>
    <w:rsid w:val="0079490A"/>
    <w:rsid w:val="00794C4F"/>
    <w:rsid w:val="00794D72"/>
    <w:rsid w:val="00794EDC"/>
    <w:rsid w:val="00795340"/>
    <w:rsid w:val="00795573"/>
    <w:rsid w:val="00795A0A"/>
    <w:rsid w:val="00795E5C"/>
    <w:rsid w:val="007964DA"/>
    <w:rsid w:val="00796562"/>
    <w:rsid w:val="00796A62"/>
    <w:rsid w:val="0079717B"/>
    <w:rsid w:val="007978CA"/>
    <w:rsid w:val="007979E2"/>
    <w:rsid w:val="00797E08"/>
    <w:rsid w:val="00797EDB"/>
    <w:rsid w:val="007A0115"/>
    <w:rsid w:val="007A01BE"/>
    <w:rsid w:val="007A0259"/>
    <w:rsid w:val="007A02A1"/>
    <w:rsid w:val="007A0612"/>
    <w:rsid w:val="007A0E43"/>
    <w:rsid w:val="007A121A"/>
    <w:rsid w:val="007A1324"/>
    <w:rsid w:val="007A1359"/>
    <w:rsid w:val="007A13C2"/>
    <w:rsid w:val="007A1F2A"/>
    <w:rsid w:val="007A1FA7"/>
    <w:rsid w:val="007A2239"/>
    <w:rsid w:val="007A2619"/>
    <w:rsid w:val="007A2830"/>
    <w:rsid w:val="007A2D01"/>
    <w:rsid w:val="007A327B"/>
    <w:rsid w:val="007A32EB"/>
    <w:rsid w:val="007A37D9"/>
    <w:rsid w:val="007A37F9"/>
    <w:rsid w:val="007A3D90"/>
    <w:rsid w:val="007A3E80"/>
    <w:rsid w:val="007A3EC9"/>
    <w:rsid w:val="007A3FB3"/>
    <w:rsid w:val="007A44B4"/>
    <w:rsid w:val="007A4E20"/>
    <w:rsid w:val="007A5014"/>
    <w:rsid w:val="007A5B5F"/>
    <w:rsid w:val="007A607F"/>
    <w:rsid w:val="007A6183"/>
    <w:rsid w:val="007A6650"/>
    <w:rsid w:val="007A69A2"/>
    <w:rsid w:val="007A6CB5"/>
    <w:rsid w:val="007A6D8F"/>
    <w:rsid w:val="007A6EB0"/>
    <w:rsid w:val="007A75CE"/>
    <w:rsid w:val="007A7D3D"/>
    <w:rsid w:val="007B04FD"/>
    <w:rsid w:val="007B0738"/>
    <w:rsid w:val="007B0C40"/>
    <w:rsid w:val="007B0E85"/>
    <w:rsid w:val="007B0F3C"/>
    <w:rsid w:val="007B13A7"/>
    <w:rsid w:val="007B18C2"/>
    <w:rsid w:val="007B1AD1"/>
    <w:rsid w:val="007B1B7B"/>
    <w:rsid w:val="007B1D70"/>
    <w:rsid w:val="007B225D"/>
    <w:rsid w:val="007B250F"/>
    <w:rsid w:val="007B3240"/>
    <w:rsid w:val="007B329E"/>
    <w:rsid w:val="007B35D5"/>
    <w:rsid w:val="007B360E"/>
    <w:rsid w:val="007B39BE"/>
    <w:rsid w:val="007B40D2"/>
    <w:rsid w:val="007B4EFA"/>
    <w:rsid w:val="007B516F"/>
    <w:rsid w:val="007B51C1"/>
    <w:rsid w:val="007B5B81"/>
    <w:rsid w:val="007B5C8D"/>
    <w:rsid w:val="007B6266"/>
    <w:rsid w:val="007B6758"/>
    <w:rsid w:val="007B6838"/>
    <w:rsid w:val="007B70E1"/>
    <w:rsid w:val="007B799C"/>
    <w:rsid w:val="007C00C5"/>
    <w:rsid w:val="007C0300"/>
    <w:rsid w:val="007C086C"/>
    <w:rsid w:val="007C0B24"/>
    <w:rsid w:val="007C1259"/>
    <w:rsid w:val="007C146D"/>
    <w:rsid w:val="007C174F"/>
    <w:rsid w:val="007C183B"/>
    <w:rsid w:val="007C1C64"/>
    <w:rsid w:val="007C1E50"/>
    <w:rsid w:val="007C2064"/>
    <w:rsid w:val="007C24BB"/>
    <w:rsid w:val="007C24CB"/>
    <w:rsid w:val="007C26C3"/>
    <w:rsid w:val="007C2931"/>
    <w:rsid w:val="007C2AA8"/>
    <w:rsid w:val="007C2E61"/>
    <w:rsid w:val="007C3308"/>
    <w:rsid w:val="007C331C"/>
    <w:rsid w:val="007C3837"/>
    <w:rsid w:val="007C3DA8"/>
    <w:rsid w:val="007C3DB6"/>
    <w:rsid w:val="007C4310"/>
    <w:rsid w:val="007C4791"/>
    <w:rsid w:val="007C4A3E"/>
    <w:rsid w:val="007C4C8C"/>
    <w:rsid w:val="007C50E9"/>
    <w:rsid w:val="007C56E7"/>
    <w:rsid w:val="007C5AAF"/>
    <w:rsid w:val="007C5B6A"/>
    <w:rsid w:val="007C6239"/>
    <w:rsid w:val="007C65FB"/>
    <w:rsid w:val="007C6D39"/>
    <w:rsid w:val="007C72D8"/>
    <w:rsid w:val="007C74CD"/>
    <w:rsid w:val="007C7812"/>
    <w:rsid w:val="007C7973"/>
    <w:rsid w:val="007C7B2C"/>
    <w:rsid w:val="007D03EA"/>
    <w:rsid w:val="007D0609"/>
    <w:rsid w:val="007D11EB"/>
    <w:rsid w:val="007D126E"/>
    <w:rsid w:val="007D1299"/>
    <w:rsid w:val="007D14EC"/>
    <w:rsid w:val="007D1687"/>
    <w:rsid w:val="007D1F4A"/>
    <w:rsid w:val="007D2216"/>
    <w:rsid w:val="007D27A2"/>
    <w:rsid w:val="007D28B8"/>
    <w:rsid w:val="007D39EE"/>
    <w:rsid w:val="007D3CAB"/>
    <w:rsid w:val="007D3D89"/>
    <w:rsid w:val="007D4425"/>
    <w:rsid w:val="007D4A0A"/>
    <w:rsid w:val="007D4BE3"/>
    <w:rsid w:val="007D4D04"/>
    <w:rsid w:val="007D4F29"/>
    <w:rsid w:val="007D50B2"/>
    <w:rsid w:val="007D5150"/>
    <w:rsid w:val="007D5AEE"/>
    <w:rsid w:val="007D5B67"/>
    <w:rsid w:val="007D5F45"/>
    <w:rsid w:val="007D5F5D"/>
    <w:rsid w:val="007D607C"/>
    <w:rsid w:val="007D61FD"/>
    <w:rsid w:val="007D688F"/>
    <w:rsid w:val="007D6A13"/>
    <w:rsid w:val="007D6D73"/>
    <w:rsid w:val="007D6DF7"/>
    <w:rsid w:val="007D6FDC"/>
    <w:rsid w:val="007D7171"/>
    <w:rsid w:val="007D72B6"/>
    <w:rsid w:val="007D73F3"/>
    <w:rsid w:val="007D74B7"/>
    <w:rsid w:val="007D7739"/>
    <w:rsid w:val="007D78C1"/>
    <w:rsid w:val="007D7C33"/>
    <w:rsid w:val="007D7CDE"/>
    <w:rsid w:val="007D7FC4"/>
    <w:rsid w:val="007E0112"/>
    <w:rsid w:val="007E0176"/>
    <w:rsid w:val="007E032E"/>
    <w:rsid w:val="007E086E"/>
    <w:rsid w:val="007E0D85"/>
    <w:rsid w:val="007E0EB1"/>
    <w:rsid w:val="007E10DF"/>
    <w:rsid w:val="007E1181"/>
    <w:rsid w:val="007E13CA"/>
    <w:rsid w:val="007E1611"/>
    <w:rsid w:val="007E17B9"/>
    <w:rsid w:val="007E1AB8"/>
    <w:rsid w:val="007E1C1A"/>
    <w:rsid w:val="007E251E"/>
    <w:rsid w:val="007E2682"/>
    <w:rsid w:val="007E2A48"/>
    <w:rsid w:val="007E2F11"/>
    <w:rsid w:val="007E30B7"/>
    <w:rsid w:val="007E326B"/>
    <w:rsid w:val="007E32A5"/>
    <w:rsid w:val="007E3916"/>
    <w:rsid w:val="007E3983"/>
    <w:rsid w:val="007E400B"/>
    <w:rsid w:val="007E41C1"/>
    <w:rsid w:val="007E42AE"/>
    <w:rsid w:val="007E42CE"/>
    <w:rsid w:val="007E46E9"/>
    <w:rsid w:val="007E47BA"/>
    <w:rsid w:val="007E48BC"/>
    <w:rsid w:val="007E4A47"/>
    <w:rsid w:val="007E4ABA"/>
    <w:rsid w:val="007E4C41"/>
    <w:rsid w:val="007E4C85"/>
    <w:rsid w:val="007E5154"/>
    <w:rsid w:val="007E52FC"/>
    <w:rsid w:val="007E55F2"/>
    <w:rsid w:val="007E5615"/>
    <w:rsid w:val="007E565D"/>
    <w:rsid w:val="007E5A4D"/>
    <w:rsid w:val="007E5B9C"/>
    <w:rsid w:val="007E5FEA"/>
    <w:rsid w:val="007E636E"/>
    <w:rsid w:val="007E70D6"/>
    <w:rsid w:val="007E7380"/>
    <w:rsid w:val="007E7618"/>
    <w:rsid w:val="007E78C6"/>
    <w:rsid w:val="007E79F7"/>
    <w:rsid w:val="007E7ECC"/>
    <w:rsid w:val="007F0230"/>
    <w:rsid w:val="007F0311"/>
    <w:rsid w:val="007F0BA3"/>
    <w:rsid w:val="007F0E3D"/>
    <w:rsid w:val="007F1664"/>
    <w:rsid w:val="007F1827"/>
    <w:rsid w:val="007F2716"/>
    <w:rsid w:val="007F3219"/>
    <w:rsid w:val="007F3630"/>
    <w:rsid w:val="007F3698"/>
    <w:rsid w:val="007F3886"/>
    <w:rsid w:val="007F39F7"/>
    <w:rsid w:val="007F3AD4"/>
    <w:rsid w:val="007F3B72"/>
    <w:rsid w:val="007F3D23"/>
    <w:rsid w:val="007F3EB9"/>
    <w:rsid w:val="007F4137"/>
    <w:rsid w:val="007F414E"/>
    <w:rsid w:val="007F43E8"/>
    <w:rsid w:val="007F4587"/>
    <w:rsid w:val="007F4B5E"/>
    <w:rsid w:val="007F4D8D"/>
    <w:rsid w:val="007F4DE9"/>
    <w:rsid w:val="007F5055"/>
    <w:rsid w:val="007F574E"/>
    <w:rsid w:val="007F5836"/>
    <w:rsid w:val="007F5B1C"/>
    <w:rsid w:val="007F5B5F"/>
    <w:rsid w:val="007F61D6"/>
    <w:rsid w:val="007F64D3"/>
    <w:rsid w:val="007F6890"/>
    <w:rsid w:val="007F6A64"/>
    <w:rsid w:val="007F6BE1"/>
    <w:rsid w:val="007F6F3F"/>
    <w:rsid w:val="007F710C"/>
    <w:rsid w:val="007F7467"/>
    <w:rsid w:val="007F7726"/>
    <w:rsid w:val="007F7922"/>
    <w:rsid w:val="007F7BBF"/>
    <w:rsid w:val="007F7CA1"/>
    <w:rsid w:val="007F7CEA"/>
    <w:rsid w:val="007F7E0D"/>
    <w:rsid w:val="0080024A"/>
    <w:rsid w:val="0080063C"/>
    <w:rsid w:val="008008F3"/>
    <w:rsid w:val="008011E5"/>
    <w:rsid w:val="00801BD1"/>
    <w:rsid w:val="00802566"/>
    <w:rsid w:val="00802F4A"/>
    <w:rsid w:val="008030DD"/>
    <w:rsid w:val="0080390A"/>
    <w:rsid w:val="00803A64"/>
    <w:rsid w:val="00803B7A"/>
    <w:rsid w:val="00803BE5"/>
    <w:rsid w:val="00803BF8"/>
    <w:rsid w:val="008040E9"/>
    <w:rsid w:val="008045BC"/>
    <w:rsid w:val="00804BEC"/>
    <w:rsid w:val="00804DB6"/>
    <w:rsid w:val="00805C31"/>
    <w:rsid w:val="00805DDD"/>
    <w:rsid w:val="008061F6"/>
    <w:rsid w:val="008062CD"/>
    <w:rsid w:val="008064EB"/>
    <w:rsid w:val="008065E3"/>
    <w:rsid w:val="0080685D"/>
    <w:rsid w:val="008068DA"/>
    <w:rsid w:val="0080724D"/>
    <w:rsid w:val="00807559"/>
    <w:rsid w:val="00807657"/>
    <w:rsid w:val="0080773C"/>
    <w:rsid w:val="008100D3"/>
    <w:rsid w:val="008102DD"/>
    <w:rsid w:val="0081066A"/>
    <w:rsid w:val="00810A5A"/>
    <w:rsid w:val="00810E58"/>
    <w:rsid w:val="00811064"/>
    <w:rsid w:val="008110CE"/>
    <w:rsid w:val="008111EA"/>
    <w:rsid w:val="00811446"/>
    <w:rsid w:val="0081159A"/>
    <w:rsid w:val="008118B4"/>
    <w:rsid w:val="0081220C"/>
    <w:rsid w:val="00812252"/>
    <w:rsid w:val="008125EA"/>
    <w:rsid w:val="00812722"/>
    <w:rsid w:val="00812A1F"/>
    <w:rsid w:val="00813235"/>
    <w:rsid w:val="00813585"/>
    <w:rsid w:val="00814428"/>
    <w:rsid w:val="00814434"/>
    <w:rsid w:val="00814645"/>
    <w:rsid w:val="00814675"/>
    <w:rsid w:val="00814750"/>
    <w:rsid w:val="00814979"/>
    <w:rsid w:val="00814F13"/>
    <w:rsid w:val="00815F12"/>
    <w:rsid w:val="00816206"/>
    <w:rsid w:val="008162C9"/>
    <w:rsid w:val="008165B2"/>
    <w:rsid w:val="00816C9B"/>
    <w:rsid w:val="00816CFB"/>
    <w:rsid w:val="00816D6D"/>
    <w:rsid w:val="0081757D"/>
    <w:rsid w:val="00817CE2"/>
    <w:rsid w:val="0082002F"/>
    <w:rsid w:val="0082007F"/>
    <w:rsid w:val="00820328"/>
    <w:rsid w:val="00820604"/>
    <w:rsid w:val="00820810"/>
    <w:rsid w:val="008208C4"/>
    <w:rsid w:val="00820EB4"/>
    <w:rsid w:val="008211A3"/>
    <w:rsid w:val="008211A9"/>
    <w:rsid w:val="0082129D"/>
    <w:rsid w:val="00821527"/>
    <w:rsid w:val="00821D6C"/>
    <w:rsid w:val="00822802"/>
    <w:rsid w:val="008229D4"/>
    <w:rsid w:val="00822AD4"/>
    <w:rsid w:val="00822B2E"/>
    <w:rsid w:val="00823B8B"/>
    <w:rsid w:val="00824033"/>
    <w:rsid w:val="00824151"/>
    <w:rsid w:val="0082426E"/>
    <w:rsid w:val="00824783"/>
    <w:rsid w:val="0082479A"/>
    <w:rsid w:val="00824B03"/>
    <w:rsid w:val="008250A7"/>
    <w:rsid w:val="008256FC"/>
    <w:rsid w:val="008257B2"/>
    <w:rsid w:val="00825BC6"/>
    <w:rsid w:val="00825E77"/>
    <w:rsid w:val="00826A0F"/>
    <w:rsid w:val="00826DE6"/>
    <w:rsid w:val="00826E27"/>
    <w:rsid w:val="0082719A"/>
    <w:rsid w:val="008272F3"/>
    <w:rsid w:val="00827588"/>
    <w:rsid w:val="0082765C"/>
    <w:rsid w:val="00827B86"/>
    <w:rsid w:val="00827BE9"/>
    <w:rsid w:val="00827FAE"/>
    <w:rsid w:val="00830697"/>
    <w:rsid w:val="008306B0"/>
    <w:rsid w:val="00830D33"/>
    <w:rsid w:val="00831051"/>
    <w:rsid w:val="00831533"/>
    <w:rsid w:val="00831972"/>
    <w:rsid w:val="00831AE2"/>
    <w:rsid w:val="00831AE6"/>
    <w:rsid w:val="00832787"/>
    <w:rsid w:val="008328F3"/>
    <w:rsid w:val="00832A39"/>
    <w:rsid w:val="00833233"/>
    <w:rsid w:val="00833295"/>
    <w:rsid w:val="008335F0"/>
    <w:rsid w:val="00833A5C"/>
    <w:rsid w:val="00833A7B"/>
    <w:rsid w:val="00833AB3"/>
    <w:rsid w:val="00833EBA"/>
    <w:rsid w:val="00834102"/>
    <w:rsid w:val="008342DE"/>
    <w:rsid w:val="00834335"/>
    <w:rsid w:val="00834BBA"/>
    <w:rsid w:val="00835062"/>
    <w:rsid w:val="008362F2"/>
    <w:rsid w:val="0083647E"/>
    <w:rsid w:val="008364E3"/>
    <w:rsid w:val="00836714"/>
    <w:rsid w:val="00836C2A"/>
    <w:rsid w:val="00836ED9"/>
    <w:rsid w:val="0083765C"/>
    <w:rsid w:val="0083783D"/>
    <w:rsid w:val="00837B05"/>
    <w:rsid w:val="00837F0A"/>
    <w:rsid w:val="0084030F"/>
    <w:rsid w:val="00840351"/>
    <w:rsid w:val="008405B7"/>
    <w:rsid w:val="008409AA"/>
    <w:rsid w:val="00841392"/>
    <w:rsid w:val="0084213F"/>
    <w:rsid w:val="008421D3"/>
    <w:rsid w:val="00842698"/>
    <w:rsid w:val="00842833"/>
    <w:rsid w:val="00842C69"/>
    <w:rsid w:val="00842F41"/>
    <w:rsid w:val="00842FEB"/>
    <w:rsid w:val="0084350C"/>
    <w:rsid w:val="00843C55"/>
    <w:rsid w:val="008444A1"/>
    <w:rsid w:val="008450BC"/>
    <w:rsid w:val="0084558D"/>
    <w:rsid w:val="00845CBA"/>
    <w:rsid w:val="0084694F"/>
    <w:rsid w:val="008470FF"/>
    <w:rsid w:val="008472E4"/>
    <w:rsid w:val="00847410"/>
    <w:rsid w:val="00847A8A"/>
    <w:rsid w:val="00847AC5"/>
    <w:rsid w:val="00847C50"/>
    <w:rsid w:val="00847F43"/>
    <w:rsid w:val="008492F0"/>
    <w:rsid w:val="00850123"/>
    <w:rsid w:val="00850CEE"/>
    <w:rsid w:val="008511FA"/>
    <w:rsid w:val="008513BA"/>
    <w:rsid w:val="00851D10"/>
    <w:rsid w:val="00852068"/>
    <w:rsid w:val="008528E6"/>
    <w:rsid w:val="008529ED"/>
    <w:rsid w:val="0085334B"/>
    <w:rsid w:val="008533C9"/>
    <w:rsid w:val="00853626"/>
    <w:rsid w:val="00853ADC"/>
    <w:rsid w:val="00853B80"/>
    <w:rsid w:val="00853F54"/>
    <w:rsid w:val="00854277"/>
    <w:rsid w:val="00854871"/>
    <w:rsid w:val="00854DFB"/>
    <w:rsid w:val="0085550D"/>
    <w:rsid w:val="00855A50"/>
    <w:rsid w:val="00855A75"/>
    <w:rsid w:val="00855E25"/>
    <w:rsid w:val="0085665D"/>
    <w:rsid w:val="00856BF3"/>
    <w:rsid w:val="00856BFD"/>
    <w:rsid w:val="008571DB"/>
    <w:rsid w:val="008573AB"/>
    <w:rsid w:val="00857433"/>
    <w:rsid w:val="00857555"/>
    <w:rsid w:val="00857798"/>
    <w:rsid w:val="008601A4"/>
    <w:rsid w:val="00860317"/>
    <w:rsid w:val="0086063B"/>
    <w:rsid w:val="008607BB"/>
    <w:rsid w:val="008607C6"/>
    <w:rsid w:val="00860855"/>
    <w:rsid w:val="00860F2B"/>
    <w:rsid w:val="008613A6"/>
    <w:rsid w:val="00861C3F"/>
    <w:rsid w:val="00861F98"/>
    <w:rsid w:val="008622CC"/>
    <w:rsid w:val="0086269C"/>
    <w:rsid w:val="00862CD9"/>
    <w:rsid w:val="00862E98"/>
    <w:rsid w:val="00862F6A"/>
    <w:rsid w:val="00862F8F"/>
    <w:rsid w:val="0086380D"/>
    <w:rsid w:val="008638EA"/>
    <w:rsid w:val="00864080"/>
    <w:rsid w:val="008645E8"/>
    <w:rsid w:val="008646D6"/>
    <w:rsid w:val="00864C3D"/>
    <w:rsid w:val="008653D3"/>
    <w:rsid w:val="00865807"/>
    <w:rsid w:val="0086654D"/>
    <w:rsid w:val="008668A9"/>
    <w:rsid w:val="00866BD4"/>
    <w:rsid w:val="008678FF"/>
    <w:rsid w:val="00867980"/>
    <w:rsid w:val="00870043"/>
    <w:rsid w:val="00870146"/>
    <w:rsid w:val="008701F1"/>
    <w:rsid w:val="00870214"/>
    <w:rsid w:val="00870520"/>
    <w:rsid w:val="008707B0"/>
    <w:rsid w:val="00871117"/>
    <w:rsid w:val="0087116D"/>
    <w:rsid w:val="0087145E"/>
    <w:rsid w:val="00871549"/>
    <w:rsid w:val="00871D4C"/>
    <w:rsid w:val="00871E07"/>
    <w:rsid w:val="008722FC"/>
    <w:rsid w:val="008730AB"/>
    <w:rsid w:val="0087359B"/>
    <w:rsid w:val="00873DF9"/>
    <w:rsid w:val="008740FF"/>
    <w:rsid w:val="008743DA"/>
    <w:rsid w:val="008745D5"/>
    <w:rsid w:val="00874B82"/>
    <w:rsid w:val="00874F0D"/>
    <w:rsid w:val="0087505C"/>
    <w:rsid w:val="0087538F"/>
    <w:rsid w:val="008756B8"/>
    <w:rsid w:val="008760A7"/>
    <w:rsid w:val="00876383"/>
    <w:rsid w:val="00876D3C"/>
    <w:rsid w:val="00877921"/>
    <w:rsid w:val="00877EB8"/>
    <w:rsid w:val="008810A8"/>
    <w:rsid w:val="008811B4"/>
    <w:rsid w:val="00882792"/>
    <w:rsid w:val="008832A0"/>
    <w:rsid w:val="00883CA3"/>
    <w:rsid w:val="00883D8C"/>
    <w:rsid w:val="00883EEE"/>
    <w:rsid w:val="00884237"/>
    <w:rsid w:val="008844BD"/>
    <w:rsid w:val="008844ED"/>
    <w:rsid w:val="0088471A"/>
    <w:rsid w:val="00884BBD"/>
    <w:rsid w:val="00884C34"/>
    <w:rsid w:val="00884CE5"/>
    <w:rsid w:val="00884D0B"/>
    <w:rsid w:val="0088529C"/>
    <w:rsid w:val="008853A2"/>
    <w:rsid w:val="00885BA7"/>
    <w:rsid w:val="00885C51"/>
    <w:rsid w:val="00885D79"/>
    <w:rsid w:val="00885DFA"/>
    <w:rsid w:val="00885EB0"/>
    <w:rsid w:val="0088635E"/>
    <w:rsid w:val="00886BB1"/>
    <w:rsid w:val="00886BE2"/>
    <w:rsid w:val="00886C07"/>
    <w:rsid w:val="00886D09"/>
    <w:rsid w:val="00886E77"/>
    <w:rsid w:val="008872CA"/>
    <w:rsid w:val="00887359"/>
    <w:rsid w:val="008874F0"/>
    <w:rsid w:val="00887571"/>
    <w:rsid w:val="00887DAF"/>
    <w:rsid w:val="00887E2A"/>
    <w:rsid w:val="008902AC"/>
    <w:rsid w:val="00890C4A"/>
    <w:rsid w:val="00890C82"/>
    <w:rsid w:val="008913E9"/>
    <w:rsid w:val="00891F4B"/>
    <w:rsid w:val="008922F6"/>
    <w:rsid w:val="0089264A"/>
    <w:rsid w:val="0089297B"/>
    <w:rsid w:val="00892C32"/>
    <w:rsid w:val="00892E29"/>
    <w:rsid w:val="008933A4"/>
    <w:rsid w:val="008937FF"/>
    <w:rsid w:val="00893B2C"/>
    <w:rsid w:val="00893F25"/>
    <w:rsid w:val="00893FD7"/>
    <w:rsid w:val="0089459B"/>
    <w:rsid w:val="00894809"/>
    <w:rsid w:val="00894D0F"/>
    <w:rsid w:val="00894D3B"/>
    <w:rsid w:val="00895510"/>
    <w:rsid w:val="00895578"/>
    <w:rsid w:val="00895765"/>
    <w:rsid w:val="0089616F"/>
    <w:rsid w:val="008961A8"/>
    <w:rsid w:val="00896317"/>
    <w:rsid w:val="00896442"/>
    <w:rsid w:val="00896A57"/>
    <w:rsid w:val="00896AB3"/>
    <w:rsid w:val="00896AE3"/>
    <w:rsid w:val="00896B85"/>
    <w:rsid w:val="00896EAC"/>
    <w:rsid w:val="008973E9"/>
    <w:rsid w:val="0089749E"/>
    <w:rsid w:val="00897661"/>
    <w:rsid w:val="00897AFE"/>
    <w:rsid w:val="00897B64"/>
    <w:rsid w:val="00897F6B"/>
    <w:rsid w:val="008A0094"/>
    <w:rsid w:val="008A01A1"/>
    <w:rsid w:val="008A06A9"/>
    <w:rsid w:val="008A08C6"/>
    <w:rsid w:val="008A0C0B"/>
    <w:rsid w:val="008A1019"/>
    <w:rsid w:val="008A2148"/>
    <w:rsid w:val="008A22BE"/>
    <w:rsid w:val="008A250E"/>
    <w:rsid w:val="008A34C4"/>
    <w:rsid w:val="008A3713"/>
    <w:rsid w:val="008A39FA"/>
    <w:rsid w:val="008A4391"/>
    <w:rsid w:val="008A45E2"/>
    <w:rsid w:val="008A47AE"/>
    <w:rsid w:val="008A49C7"/>
    <w:rsid w:val="008A4A04"/>
    <w:rsid w:val="008A4E55"/>
    <w:rsid w:val="008A4E76"/>
    <w:rsid w:val="008A4F7F"/>
    <w:rsid w:val="008A5540"/>
    <w:rsid w:val="008A5983"/>
    <w:rsid w:val="008A5B88"/>
    <w:rsid w:val="008A5DCE"/>
    <w:rsid w:val="008A617D"/>
    <w:rsid w:val="008A6235"/>
    <w:rsid w:val="008A6569"/>
    <w:rsid w:val="008A6618"/>
    <w:rsid w:val="008A6700"/>
    <w:rsid w:val="008A67A6"/>
    <w:rsid w:val="008A688E"/>
    <w:rsid w:val="008A6980"/>
    <w:rsid w:val="008A6A5F"/>
    <w:rsid w:val="008A6A8A"/>
    <w:rsid w:val="008A6C3D"/>
    <w:rsid w:val="008A6F49"/>
    <w:rsid w:val="008A707D"/>
    <w:rsid w:val="008A77CD"/>
    <w:rsid w:val="008A7B35"/>
    <w:rsid w:val="008A7E47"/>
    <w:rsid w:val="008A7E60"/>
    <w:rsid w:val="008ABC26"/>
    <w:rsid w:val="008B095E"/>
    <w:rsid w:val="008B0A33"/>
    <w:rsid w:val="008B0BA8"/>
    <w:rsid w:val="008B1903"/>
    <w:rsid w:val="008B197E"/>
    <w:rsid w:val="008B19F9"/>
    <w:rsid w:val="008B1ECB"/>
    <w:rsid w:val="008B20E0"/>
    <w:rsid w:val="008B21C4"/>
    <w:rsid w:val="008B223D"/>
    <w:rsid w:val="008B2371"/>
    <w:rsid w:val="008B2BC6"/>
    <w:rsid w:val="008B2BD7"/>
    <w:rsid w:val="008B2FB3"/>
    <w:rsid w:val="008B330A"/>
    <w:rsid w:val="008B34FA"/>
    <w:rsid w:val="008B3624"/>
    <w:rsid w:val="008B3731"/>
    <w:rsid w:val="008B4419"/>
    <w:rsid w:val="008B452F"/>
    <w:rsid w:val="008B46F5"/>
    <w:rsid w:val="008B4BF6"/>
    <w:rsid w:val="008B5FDE"/>
    <w:rsid w:val="008B64F3"/>
    <w:rsid w:val="008B6801"/>
    <w:rsid w:val="008B7014"/>
    <w:rsid w:val="008B7513"/>
    <w:rsid w:val="008B7A90"/>
    <w:rsid w:val="008B7CF6"/>
    <w:rsid w:val="008C0067"/>
    <w:rsid w:val="008C02A9"/>
    <w:rsid w:val="008C04D8"/>
    <w:rsid w:val="008C0A6E"/>
    <w:rsid w:val="008C0C91"/>
    <w:rsid w:val="008C0ECF"/>
    <w:rsid w:val="008C0F67"/>
    <w:rsid w:val="008C0F7F"/>
    <w:rsid w:val="008C1942"/>
    <w:rsid w:val="008C1B36"/>
    <w:rsid w:val="008C1DD0"/>
    <w:rsid w:val="008C2B05"/>
    <w:rsid w:val="008C2C3C"/>
    <w:rsid w:val="008C3060"/>
    <w:rsid w:val="008C3089"/>
    <w:rsid w:val="008C35F4"/>
    <w:rsid w:val="008C3D22"/>
    <w:rsid w:val="008C4308"/>
    <w:rsid w:val="008C44D4"/>
    <w:rsid w:val="008C4CFC"/>
    <w:rsid w:val="008C4EB7"/>
    <w:rsid w:val="008C5403"/>
    <w:rsid w:val="008C5645"/>
    <w:rsid w:val="008C578C"/>
    <w:rsid w:val="008C58EC"/>
    <w:rsid w:val="008C5B1B"/>
    <w:rsid w:val="008C61A2"/>
    <w:rsid w:val="008C61A3"/>
    <w:rsid w:val="008C6AAC"/>
    <w:rsid w:val="008C6BDC"/>
    <w:rsid w:val="008C7003"/>
    <w:rsid w:val="008C7829"/>
    <w:rsid w:val="008C78CB"/>
    <w:rsid w:val="008C7A81"/>
    <w:rsid w:val="008D06C6"/>
    <w:rsid w:val="008D08F7"/>
    <w:rsid w:val="008D12FA"/>
    <w:rsid w:val="008D132D"/>
    <w:rsid w:val="008D169E"/>
    <w:rsid w:val="008D1DE5"/>
    <w:rsid w:val="008D22C8"/>
    <w:rsid w:val="008D2569"/>
    <w:rsid w:val="008D2693"/>
    <w:rsid w:val="008D2C25"/>
    <w:rsid w:val="008D2DC2"/>
    <w:rsid w:val="008D3017"/>
    <w:rsid w:val="008D340E"/>
    <w:rsid w:val="008D37F0"/>
    <w:rsid w:val="008D3DEC"/>
    <w:rsid w:val="008D3E37"/>
    <w:rsid w:val="008D407E"/>
    <w:rsid w:val="008D4161"/>
    <w:rsid w:val="008D4632"/>
    <w:rsid w:val="008D522D"/>
    <w:rsid w:val="008D58AC"/>
    <w:rsid w:val="008D5905"/>
    <w:rsid w:val="008D597D"/>
    <w:rsid w:val="008D5D33"/>
    <w:rsid w:val="008D600B"/>
    <w:rsid w:val="008D603B"/>
    <w:rsid w:val="008D63A5"/>
    <w:rsid w:val="008D63D2"/>
    <w:rsid w:val="008D64A7"/>
    <w:rsid w:val="008D69EE"/>
    <w:rsid w:val="008D6AFD"/>
    <w:rsid w:val="008D6E69"/>
    <w:rsid w:val="008D6F94"/>
    <w:rsid w:val="008D7217"/>
    <w:rsid w:val="008D7A5A"/>
    <w:rsid w:val="008E0B14"/>
    <w:rsid w:val="008E11C9"/>
    <w:rsid w:val="008E173F"/>
    <w:rsid w:val="008E2253"/>
    <w:rsid w:val="008E2583"/>
    <w:rsid w:val="008E287B"/>
    <w:rsid w:val="008E2F7D"/>
    <w:rsid w:val="008E30CD"/>
    <w:rsid w:val="008E3210"/>
    <w:rsid w:val="008E32AC"/>
    <w:rsid w:val="008E35D6"/>
    <w:rsid w:val="008E3654"/>
    <w:rsid w:val="008E3B60"/>
    <w:rsid w:val="008E3CE0"/>
    <w:rsid w:val="008E3D31"/>
    <w:rsid w:val="008E42EF"/>
    <w:rsid w:val="008E46FF"/>
    <w:rsid w:val="008E490A"/>
    <w:rsid w:val="008E4933"/>
    <w:rsid w:val="008E4D23"/>
    <w:rsid w:val="008E5057"/>
    <w:rsid w:val="008E53E6"/>
    <w:rsid w:val="008E5506"/>
    <w:rsid w:val="008E5681"/>
    <w:rsid w:val="008E5742"/>
    <w:rsid w:val="008E57E7"/>
    <w:rsid w:val="008E5C4E"/>
    <w:rsid w:val="008E6250"/>
    <w:rsid w:val="008E6361"/>
    <w:rsid w:val="008E6A99"/>
    <w:rsid w:val="008E6F8E"/>
    <w:rsid w:val="008E72E3"/>
    <w:rsid w:val="008E77CE"/>
    <w:rsid w:val="008E7C84"/>
    <w:rsid w:val="008E7F97"/>
    <w:rsid w:val="008F0001"/>
    <w:rsid w:val="008F08C7"/>
    <w:rsid w:val="008F0913"/>
    <w:rsid w:val="008F0ED6"/>
    <w:rsid w:val="008F1284"/>
    <w:rsid w:val="008F1616"/>
    <w:rsid w:val="008F1EA8"/>
    <w:rsid w:val="008F2006"/>
    <w:rsid w:val="008F2931"/>
    <w:rsid w:val="008F2AFE"/>
    <w:rsid w:val="008F2E11"/>
    <w:rsid w:val="008F2EAC"/>
    <w:rsid w:val="008F34BB"/>
    <w:rsid w:val="008F3637"/>
    <w:rsid w:val="008F3678"/>
    <w:rsid w:val="008F3A7F"/>
    <w:rsid w:val="008F3F28"/>
    <w:rsid w:val="008F3FCE"/>
    <w:rsid w:val="008F42D2"/>
    <w:rsid w:val="008F4839"/>
    <w:rsid w:val="008F53E4"/>
    <w:rsid w:val="008F59A5"/>
    <w:rsid w:val="008F5AFE"/>
    <w:rsid w:val="008F657E"/>
    <w:rsid w:val="008F6866"/>
    <w:rsid w:val="008F6C49"/>
    <w:rsid w:val="008F6D84"/>
    <w:rsid w:val="008F6E4F"/>
    <w:rsid w:val="00900013"/>
    <w:rsid w:val="00900683"/>
    <w:rsid w:val="0090098A"/>
    <w:rsid w:val="00900A98"/>
    <w:rsid w:val="00900BF0"/>
    <w:rsid w:val="00900DEF"/>
    <w:rsid w:val="00900F8E"/>
    <w:rsid w:val="00901065"/>
    <w:rsid w:val="009010A4"/>
    <w:rsid w:val="009014C9"/>
    <w:rsid w:val="0090175F"/>
    <w:rsid w:val="0090187B"/>
    <w:rsid w:val="00902001"/>
    <w:rsid w:val="00902400"/>
    <w:rsid w:val="009028DF"/>
    <w:rsid w:val="00902AF6"/>
    <w:rsid w:val="00902B8F"/>
    <w:rsid w:val="00902DD9"/>
    <w:rsid w:val="00902E00"/>
    <w:rsid w:val="009030A2"/>
    <w:rsid w:val="009032D8"/>
    <w:rsid w:val="009033A0"/>
    <w:rsid w:val="00904702"/>
    <w:rsid w:val="0090485A"/>
    <w:rsid w:val="00904A11"/>
    <w:rsid w:val="00904A21"/>
    <w:rsid w:val="00904BE8"/>
    <w:rsid w:val="00904E4F"/>
    <w:rsid w:val="00905A6A"/>
    <w:rsid w:val="00905B30"/>
    <w:rsid w:val="0090637D"/>
    <w:rsid w:val="00906AFD"/>
    <w:rsid w:val="00906C07"/>
    <w:rsid w:val="00906E62"/>
    <w:rsid w:val="009070DA"/>
    <w:rsid w:val="009070DC"/>
    <w:rsid w:val="009076CB"/>
    <w:rsid w:val="009104BA"/>
    <w:rsid w:val="00910728"/>
    <w:rsid w:val="00910D9A"/>
    <w:rsid w:val="00910E24"/>
    <w:rsid w:val="009110ED"/>
    <w:rsid w:val="009113DF"/>
    <w:rsid w:val="009113FE"/>
    <w:rsid w:val="00911811"/>
    <w:rsid w:val="009118B9"/>
    <w:rsid w:val="00911930"/>
    <w:rsid w:val="00911B5E"/>
    <w:rsid w:val="00912212"/>
    <w:rsid w:val="00912A86"/>
    <w:rsid w:val="00912D35"/>
    <w:rsid w:val="00912F58"/>
    <w:rsid w:val="0091318B"/>
    <w:rsid w:val="00913288"/>
    <w:rsid w:val="0091332B"/>
    <w:rsid w:val="009133C0"/>
    <w:rsid w:val="00913421"/>
    <w:rsid w:val="009135D4"/>
    <w:rsid w:val="0091376A"/>
    <w:rsid w:val="00913826"/>
    <w:rsid w:val="009139E7"/>
    <w:rsid w:val="009140C1"/>
    <w:rsid w:val="009142BB"/>
    <w:rsid w:val="00914F2C"/>
    <w:rsid w:val="00915862"/>
    <w:rsid w:val="009159C1"/>
    <w:rsid w:val="00915BE5"/>
    <w:rsid w:val="00915ED8"/>
    <w:rsid w:val="00915FB3"/>
    <w:rsid w:val="0091657B"/>
    <w:rsid w:val="0091662B"/>
    <w:rsid w:val="00916681"/>
    <w:rsid w:val="0091697E"/>
    <w:rsid w:val="00916A0D"/>
    <w:rsid w:val="00916D29"/>
    <w:rsid w:val="00916ECC"/>
    <w:rsid w:val="00917F0F"/>
    <w:rsid w:val="00920249"/>
    <w:rsid w:val="00920783"/>
    <w:rsid w:val="00920998"/>
    <w:rsid w:val="00920F80"/>
    <w:rsid w:val="00921069"/>
    <w:rsid w:val="0092163B"/>
    <w:rsid w:val="009218E1"/>
    <w:rsid w:val="009218F2"/>
    <w:rsid w:val="00921BA2"/>
    <w:rsid w:val="00921BFB"/>
    <w:rsid w:val="00922446"/>
    <w:rsid w:val="00922708"/>
    <w:rsid w:val="00923F7E"/>
    <w:rsid w:val="00924269"/>
    <w:rsid w:val="009247BC"/>
    <w:rsid w:val="00924C4D"/>
    <w:rsid w:val="00924C80"/>
    <w:rsid w:val="00924DFE"/>
    <w:rsid w:val="00925061"/>
    <w:rsid w:val="00925C55"/>
    <w:rsid w:val="00926091"/>
    <w:rsid w:val="00926349"/>
    <w:rsid w:val="00926655"/>
    <w:rsid w:val="0092696B"/>
    <w:rsid w:val="00927654"/>
    <w:rsid w:val="009276B0"/>
    <w:rsid w:val="00927D5C"/>
    <w:rsid w:val="00930169"/>
    <w:rsid w:val="009301B5"/>
    <w:rsid w:val="00930438"/>
    <w:rsid w:val="00930852"/>
    <w:rsid w:val="00930D59"/>
    <w:rsid w:val="009313C8"/>
    <w:rsid w:val="00931AD3"/>
    <w:rsid w:val="00931C0D"/>
    <w:rsid w:val="00931CB7"/>
    <w:rsid w:val="00931E42"/>
    <w:rsid w:val="00931E5B"/>
    <w:rsid w:val="009321BB"/>
    <w:rsid w:val="00932319"/>
    <w:rsid w:val="009326C0"/>
    <w:rsid w:val="00932845"/>
    <w:rsid w:val="009328DB"/>
    <w:rsid w:val="00932A64"/>
    <w:rsid w:val="00932D2A"/>
    <w:rsid w:val="00932F14"/>
    <w:rsid w:val="00933102"/>
    <w:rsid w:val="009331B5"/>
    <w:rsid w:val="0093338C"/>
    <w:rsid w:val="00933757"/>
    <w:rsid w:val="00933944"/>
    <w:rsid w:val="00933B12"/>
    <w:rsid w:val="00933D31"/>
    <w:rsid w:val="00933E71"/>
    <w:rsid w:val="00933E96"/>
    <w:rsid w:val="00933F8E"/>
    <w:rsid w:val="0093496B"/>
    <w:rsid w:val="0093496E"/>
    <w:rsid w:val="00934A9B"/>
    <w:rsid w:val="00934B46"/>
    <w:rsid w:val="00934DEA"/>
    <w:rsid w:val="00934E0A"/>
    <w:rsid w:val="009351A7"/>
    <w:rsid w:val="00935C38"/>
    <w:rsid w:val="00935D61"/>
    <w:rsid w:val="009361A4"/>
    <w:rsid w:val="00936243"/>
    <w:rsid w:val="0093683F"/>
    <w:rsid w:val="00936EC1"/>
    <w:rsid w:val="00936F49"/>
    <w:rsid w:val="009374FC"/>
    <w:rsid w:val="009375AC"/>
    <w:rsid w:val="00937610"/>
    <w:rsid w:val="009402E3"/>
    <w:rsid w:val="0094074A"/>
    <w:rsid w:val="00940B7C"/>
    <w:rsid w:val="00940B83"/>
    <w:rsid w:val="00940ED0"/>
    <w:rsid w:val="00940F6C"/>
    <w:rsid w:val="009410C6"/>
    <w:rsid w:val="009411B1"/>
    <w:rsid w:val="009412A9"/>
    <w:rsid w:val="009413CE"/>
    <w:rsid w:val="009419E0"/>
    <w:rsid w:val="00941A54"/>
    <w:rsid w:val="00941DE1"/>
    <w:rsid w:val="00941E07"/>
    <w:rsid w:val="009420C6"/>
    <w:rsid w:val="0094247F"/>
    <w:rsid w:val="009428D8"/>
    <w:rsid w:val="00942B54"/>
    <w:rsid w:val="00942C43"/>
    <w:rsid w:val="00942D60"/>
    <w:rsid w:val="00942D73"/>
    <w:rsid w:val="00943063"/>
    <w:rsid w:val="00943718"/>
    <w:rsid w:val="00943DA8"/>
    <w:rsid w:val="009443D8"/>
    <w:rsid w:val="00944619"/>
    <w:rsid w:val="0094468E"/>
    <w:rsid w:val="00944CFB"/>
    <w:rsid w:val="00944E10"/>
    <w:rsid w:val="00944EF0"/>
    <w:rsid w:val="009451F9"/>
    <w:rsid w:val="009452B6"/>
    <w:rsid w:val="009461FC"/>
    <w:rsid w:val="0095037D"/>
    <w:rsid w:val="0095041C"/>
    <w:rsid w:val="00950C09"/>
    <w:rsid w:val="00950C85"/>
    <w:rsid w:val="00951106"/>
    <w:rsid w:val="009515E3"/>
    <w:rsid w:val="009517E4"/>
    <w:rsid w:val="00951BEA"/>
    <w:rsid w:val="009524B1"/>
    <w:rsid w:val="009528BA"/>
    <w:rsid w:val="009528F4"/>
    <w:rsid w:val="00953062"/>
    <w:rsid w:val="0095368F"/>
    <w:rsid w:val="00953F42"/>
    <w:rsid w:val="00955123"/>
    <w:rsid w:val="00955210"/>
    <w:rsid w:val="0095537D"/>
    <w:rsid w:val="009558F3"/>
    <w:rsid w:val="00955966"/>
    <w:rsid w:val="00955FD3"/>
    <w:rsid w:val="009562B1"/>
    <w:rsid w:val="00956391"/>
    <w:rsid w:val="0095653C"/>
    <w:rsid w:val="009569F8"/>
    <w:rsid w:val="00956A1E"/>
    <w:rsid w:val="00956A5E"/>
    <w:rsid w:val="00957204"/>
    <w:rsid w:val="00957309"/>
    <w:rsid w:val="00957467"/>
    <w:rsid w:val="0095762A"/>
    <w:rsid w:val="00957706"/>
    <w:rsid w:val="00960527"/>
    <w:rsid w:val="009611B1"/>
    <w:rsid w:val="00961415"/>
    <w:rsid w:val="009620F0"/>
    <w:rsid w:val="009626C3"/>
    <w:rsid w:val="009629DF"/>
    <w:rsid w:val="009630BC"/>
    <w:rsid w:val="009637DC"/>
    <w:rsid w:val="0096401B"/>
    <w:rsid w:val="009643B2"/>
    <w:rsid w:val="009648B3"/>
    <w:rsid w:val="009648FB"/>
    <w:rsid w:val="00964A02"/>
    <w:rsid w:val="00964C0F"/>
    <w:rsid w:val="0096523B"/>
    <w:rsid w:val="0096551E"/>
    <w:rsid w:val="0096554C"/>
    <w:rsid w:val="009660D0"/>
    <w:rsid w:val="00966270"/>
    <w:rsid w:val="00966417"/>
    <w:rsid w:val="0096673D"/>
    <w:rsid w:val="009668BA"/>
    <w:rsid w:val="00966A38"/>
    <w:rsid w:val="00966EE3"/>
    <w:rsid w:val="009705A6"/>
    <w:rsid w:val="009707EE"/>
    <w:rsid w:val="0097080D"/>
    <w:rsid w:val="00970B9D"/>
    <w:rsid w:val="00970D1A"/>
    <w:rsid w:val="00970EC5"/>
    <w:rsid w:val="009710C6"/>
    <w:rsid w:val="009719C4"/>
    <w:rsid w:val="009721D6"/>
    <w:rsid w:val="00972301"/>
    <w:rsid w:val="009724D1"/>
    <w:rsid w:val="00972650"/>
    <w:rsid w:val="009726BE"/>
    <w:rsid w:val="00972897"/>
    <w:rsid w:val="00972BBD"/>
    <w:rsid w:val="00972D06"/>
    <w:rsid w:val="0097307C"/>
    <w:rsid w:val="00973672"/>
    <w:rsid w:val="009739BD"/>
    <w:rsid w:val="00973A74"/>
    <w:rsid w:val="00973C4A"/>
    <w:rsid w:val="00973E0E"/>
    <w:rsid w:val="00973E79"/>
    <w:rsid w:val="009740FC"/>
    <w:rsid w:val="009741DE"/>
    <w:rsid w:val="00974704"/>
    <w:rsid w:val="009747A3"/>
    <w:rsid w:val="00974E6F"/>
    <w:rsid w:val="009752BC"/>
    <w:rsid w:val="00975335"/>
    <w:rsid w:val="009758BA"/>
    <w:rsid w:val="00975A0A"/>
    <w:rsid w:val="00975D0F"/>
    <w:rsid w:val="00975E14"/>
    <w:rsid w:val="00975FD4"/>
    <w:rsid w:val="00977001"/>
    <w:rsid w:val="0097704E"/>
    <w:rsid w:val="009771A8"/>
    <w:rsid w:val="009771DD"/>
    <w:rsid w:val="0097756A"/>
    <w:rsid w:val="009778A2"/>
    <w:rsid w:val="00977C5A"/>
    <w:rsid w:val="00977D94"/>
    <w:rsid w:val="009804B6"/>
    <w:rsid w:val="00980A9B"/>
    <w:rsid w:val="00980D3A"/>
    <w:rsid w:val="00980EFB"/>
    <w:rsid w:val="0098108F"/>
    <w:rsid w:val="00981626"/>
    <w:rsid w:val="00981A2A"/>
    <w:rsid w:val="00981D80"/>
    <w:rsid w:val="00981F5F"/>
    <w:rsid w:val="00982254"/>
    <w:rsid w:val="009822D3"/>
    <w:rsid w:val="009824BF"/>
    <w:rsid w:val="009825D3"/>
    <w:rsid w:val="00982854"/>
    <w:rsid w:val="00982895"/>
    <w:rsid w:val="00983384"/>
    <w:rsid w:val="0098351B"/>
    <w:rsid w:val="0098374E"/>
    <w:rsid w:val="00983C92"/>
    <w:rsid w:val="00983CE2"/>
    <w:rsid w:val="00983E01"/>
    <w:rsid w:val="0098410E"/>
    <w:rsid w:val="009846D7"/>
    <w:rsid w:val="00984854"/>
    <w:rsid w:val="00984A6C"/>
    <w:rsid w:val="00984BD0"/>
    <w:rsid w:val="009861E5"/>
    <w:rsid w:val="009864DA"/>
    <w:rsid w:val="00987038"/>
    <w:rsid w:val="009870DB"/>
    <w:rsid w:val="00987279"/>
    <w:rsid w:val="0098756A"/>
    <w:rsid w:val="00987924"/>
    <w:rsid w:val="00987B32"/>
    <w:rsid w:val="00987D57"/>
    <w:rsid w:val="00987D75"/>
    <w:rsid w:val="009900BD"/>
    <w:rsid w:val="00991178"/>
    <w:rsid w:val="009917FB"/>
    <w:rsid w:val="009924E5"/>
    <w:rsid w:val="00992A5A"/>
    <w:rsid w:val="00992B50"/>
    <w:rsid w:val="00992D1D"/>
    <w:rsid w:val="00992E1D"/>
    <w:rsid w:val="009939FB"/>
    <w:rsid w:val="00994551"/>
    <w:rsid w:val="00994EC0"/>
    <w:rsid w:val="00995217"/>
    <w:rsid w:val="00995648"/>
    <w:rsid w:val="00995C1E"/>
    <w:rsid w:val="009960DE"/>
    <w:rsid w:val="009961B6"/>
    <w:rsid w:val="0099655B"/>
    <w:rsid w:val="00996AC3"/>
    <w:rsid w:val="00996BE4"/>
    <w:rsid w:val="00997572"/>
    <w:rsid w:val="00997740"/>
    <w:rsid w:val="009977F5"/>
    <w:rsid w:val="009A0529"/>
    <w:rsid w:val="009A0650"/>
    <w:rsid w:val="009A06E5"/>
    <w:rsid w:val="009A1161"/>
    <w:rsid w:val="009A1734"/>
    <w:rsid w:val="009A1A67"/>
    <w:rsid w:val="009A1CAF"/>
    <w:rsid w:val="009A1F31"/>
    <w:rsid w:val="009A20B4"/>
    <w:rsid w:val="009A21E8"/>
    <w:rsid w:val="009A2438"/>
    <w:rsid w:val="009A391C"/>
    <w:rsid w:val="009A3A8C"/>
    <w:rsid w:val="009A3E02"/>
    <w:rsid w:val="009A4701"/>
    <w:rsid w:val="009A4810"/>
    <w:rsid w:val="009A4853"/>
    <w:rsid w:val="009A4D3C"/>
    <w:rsid w:val="009A50F2"/>
    <w:rsid w:val="009A5517"/>
    <w:rsid w:val="009A60DD"/>
    <w:rsid w:val="009A61E5"/>
    <w:rsid w:val="009A6542"/>
    <w:rsid w:val="009A7595"/>
    <w:rsid w:val="009A761D"/>
    <w:rsid w:val="009A77AF"/>
    <w:rsid w:val="009A7D0A"/>
    <w:rsid w:val="009B0336"/>
    <w:rsid w:val="009B1083"/>
    <w:rsid w:val="009B10EE"/>
    <w:rsid w:val="009B10FC"/>
    <w:rsid w:val="009B1308"/>
    <w:rsid w:val="009B1737"/>
    <w:rsid w:val="009B18E8"/>
    <w:rsid w:val="009B1BAF"/>
    <w:rsid w:val="009B1BDE"/>
    <w:rsid w:val="009B1C2A"/>
    <w:rsid w:val="009B1E6E"/>
    <w:rsid w:val="009B1E70"/>
    <w:rsid w:val="009B1FD1"/>
    <w:rsid w:val="009B216C"/>
    <w:rsid w:val="009B25CE"/>
    <w:rsid w:val="009B260D"/>
    <w:rsid w:val="009B267C"/>
    <w:rsid w:val="009B2B38"/>
    <w:rsid w:val="009B2F43"/>
    <w:rsid w:val="009B31FC"/>
    <w:rsid w:val="009B3D66"/>
    <w:rsid w:val="009B43AD"/>
    <w:rsid w:val="009B46AA"/>
    <w:rsid w:val="009B486C"/>
    <w:rsid w:val="009B5018"/>
    <w:rsid w:val="009B5404"/>
    <w:rsid w:val="009B5472"/>
    <w:rsid w:val="009B58CB"/>
    <w:rsid w:val="009B5DCF"/>
    <w:rsid w:val="009B6298"/>
    <w:rsid w:val="009B6783"/>
    <w:rsid w:val="009B6D05"/>
    <w:rsid w:val="009B6D36"/>
    <w:rsid w:val="009B6E87"/>
    <w:rsid w:val="009B6ED8"/>
    <w:rsid w:val="009B7262"/>
    <w:rsid w:val="009B76D9"/>
    <w:rsid w:val="009B774D"/>
    <w:rsid w:val="009B78B9"/>
    <w:rsid w:val="009B7904"/>
    <w:rsid w:val="009B7AE4"/>
    <w:rsid w:val="009C0286"/>
    <w:rsid w:val="009C0754"/>
    <w:rsid w:val="009C0819"/>
    <w:rsid w:val="009C095A"/>
    <w:rsid w:val="009C0BA7"/>
    <w:rsid w:val="009C0EA5"/>
    <w:rsid w:val="009C1560"/>
    <w:rsid w:val="009C159A"/>
    <w:rsid w:val="009C172F"/>
    <w:rsid w:val="009C176C"/>
    <w:rsid w:val="009C17A1"/>
    <w:rsid w:val="009C17A7"/>
    <w:rsid w:val="009C1A43"/>
    <w:rsid w:val="009C1F41"/>
    <w:rsid w:val="009C209F"/>
    <w:rsid w:val="009C245A"/>
    <w:rsid w:val="009C2499"/>
    <w:rsid w:val="009C24C5"/>
    <w:rsid w:val="009C2590"/>
    <w:rsid w:val="009C2BEB"/>
    <w:rsid w:val="009C2C5D"/>
    <w:rsid w:val="009C312B"/>
    <w:rsid w:val="009C3443"/>
    <w:rsid w:val="009C3C48"/>
    <w:rsid w:val="009C4867"/>
    <w:rsid w:val="009C499C"/>
    <w:rsid w:val="009C4FFD"/>
    <w:rsid w:val="009C50E0"/>
    <w:rsid w:val="009C50FE"/>
    <w:rsid w:val="009C5B6D"/>
    <w:rsid w:val="009C5F81"/>
    <w:rsid w:val="009C61C6"/>
    <w:rsid w:val="009C6299"/>
    <w:rsid w:val="009C6563"/>
    <w:rsid w:val="009C7A0F"/>
    <w:rsid w:val="009C7DE6"/>
    <w:rsid w:val="009C7E08"/>
    <w:rsid w:val="009C7E15"/>
    <w:rsid w:val="009D01DF"/>
    <w:rsid w:val="009D02C5"/>
    <w:rsid w:val="009D03B1"/>
    <w:rsid w:val="009D047A"/>
    <w:rsid w:val="009D06AB"/>
    <w:rsid w:val="009D09F4"/>
    <w:rsid w:val="009D1327"/>
    <w:rsid w:val="009D15DB"/>
    <w:rsid w:val="009D18E7"/>
    <w:rsid w:val="009D1C78"/>
    <w:rsid w:val="009D25DC"/>
    <w:rsid w:val="009D2882"/>
    <w:rsid w:val="009D28E8"/>
    <w:rsid w:val="009D3274"/>
    <w:rsid w:val="009D4122"/>
    <w:rsid w:val="009D4237"/>
    <w:rsid w:val="009D49D0"/>
    <w:rsid w:val="009D5217"/>
    <w:rsid w:val="009D5323"/>
    <w:rsid w:val="009D5341"/>
    <w:rsid w:val="009D5CAA"/>
    <w:rsid w:val="009D5E62"/>
    <w:rsid w:val="009D612A"/>
    <w:rsid w:val="009D6153"/>
    <w:rsid w:val="009D6B7A"/>
    <w:rsid w:val="009D6ECE"/>
    <w:rsid w:val="009D70CC"/>
    <w:rsid w:val="009D72A1"/>
    <w:rsid w:val="009D74A4"/>
    <w:rsid w:val="009D7606"/>
    <w:rsid w:val="009D7C4F"/>
    <w:rsid w:val="009E0261"/>
    <w:rsid w:val="009E04FE"/>
    <w:rsid w:val="009E0898"/>
    <w:rsid w:val="009E0A30"/>
    <w:rsid w:val="009E0A61"/>
    <w:rsid w:val="009E0BBC"/>
    <w:rsid w:val="009E1551"/>
    <w:rsid w:val="009E1931"/>
    <w:rsid w:val="009E1A7B"/>
    <w:rsid w:val="009E1B15"/>
    <w:rsid w:val="009E1D8D"/>
    <w:rsid w:val="009E25A6"/>
    <w:rsid w:val="009E2BB9"/>
    <w:rsid w:val="009E2D7B"/>
    <w:rsid w:val="009E3010"/>
    <w:rsid w:val="009E3364"/>
    <w:rsid w:val="009E356A"/>
    <w:rsid w:val="009E3846"/>
    <w:rsid w:val="009E38B0"/>
    <w:rsid w:val="009E3F11"/>
    <w:rsid w:val="009E4879"/>
    <w:rsid w:val="009E4A03"/>
    <w:rsid w:val="009E5070"/>
    <w:rsid w:val="009E59DB"/>
    <w:rsid w:val="009E5AFA"/>
    <w:rsid w:val="009E5D5A"/>
    <w:rsid w:val="009E5D75"/>
    <w:rsid w:val="009E6094"/>
    <w:rsid w:val="009E641B"/>
    <w:rsid w:val="009E643F"/>
    <w:rsid w:val="009E653D"/>
    <w:rsid w:val="009E6894"/>
    <w:rsid w:val="009E6985"/>
    <w:rsid w:val="009E6CDE"/>
    <w:rsid w:val="009E708B"/>
    <w:rsid w:val="009E72CB"/>
    <w:rsid w:val="009E73AB"/>
    <w:rsid w:val="009E7447"/>
    <w:rsid w:val="009E78DF"/>
    <w:rsid w:val="009F007E"/>
    <w:rsid w:val="009F0968"/>
    <w:rsid w:val="009F0C3B"/>
    <w:rsid w:val="009F0D70"/>
    <w:rsid w:val="009F0E9B"/>
    <w:rsid w:val="009F1BE1"/>
    <w:rsid w:val="009F1C47"/>
    <w:rsid w:val="009F2302"/>
    <w:rsid w:val="009F298A"/>
    <w:rsid w:val="009F2E62"/>
    <w:rsid w:val="009F35AC"/>
    <w:rsid w:val="009F38FA"/>
    <w:rsid w:val="009F3B0C"/>
    <w:rsid w:val="009F3C3E"/>
    <w:rsid w:val="009F3FA3"/>
    <w:rsid w:val="009F4536"/>
    <w:rsid w:val="009F495A"/>
    <w:rsid w:val="009F4CD4"/>
    <w:rsid w:val="009F5653"/>
    <w:rsid w:val="009F5B23"/>
    <w:rsid w:val="009F5CBF"/>
    <w:rsid w:val="009F5E58"/>
    <w:rsid w:val="009F5F54"/>
    <w:rsid w:val="009F65C6"/>
    <w:rsid w:val="009F67E4"/>
    <w:rsid w:val="009F6A82"/>
    <w:rsid w:val="009F6ACF"/>
    <w:rsid w:val="009F7065"/>
    <w:rsid w:val="009F7072"/>
    <w:rsid w:val="009F70F8"/>
    <w:rsid w:val="009F72FA"/>
    <w:rsid w:val="009F758C"/>
    <w:rsid w:val="009F76A5"/>
    <w:rsid w:val="009F7A9B"/>
    <w:rsid w:val="009F7B88"/>
    <w:rsid w:val="009F7CDA"/>
    <w:rsid w:val="00A01205"/>
    <w:rsid w:val="00A0156B"/>
    <w:rsid w:val="00A01679"/>
    <w:rsid w:val="00A016A0"/>
    <w:rsid w:val="00A01D6E"/>
    <w:rsid w:val="00A01FBF"/>
    <w:rsid w:val="00A022CF"/>
    <w:rsid w:val="00A03096"/>
    <w:rsid w:val="00A039E5"/>
    <w:rsid w:val="00A03C61"/>
    <w:rsid w:val="00A03C6D"/>
    <w:rsid w:val="00A0402E"/>
    <w:rsid w:val="00A0438C"/>
    <w:rsid w:val="00A04C1A"/>
    <w:rsid w:val="00A04F69"/>
    <w:rsid w:val="00A0594A"/>
    <w:rsid w:val="00A059E2"/>
    <w:rsid w:val="00A05AAC"/>
    <w:rsid w:val="00A05B0A"/>
    <w:rsid w:val="00A05F09"/>
    <w:rsid w:val="00A060A2"/>
    <w:rsid w:val="00A066DC"/>
    <w:rsid w:val="00A06B4C"/>
    <w:rsid w:val="00A07484"/>
    <w:rsid w:val="00A07593"/>
    <w:rsid w:val="00A077AC"/>
    <w:rsid w:val="00A07815"/>
    <w:rsid w:val="00A079E6"/>
    <w:rsid w:val="00A07BA0"/>
    <w:rsid w:val="00A07CDE"/>
    <w:rsid w:val="00A109C4"/>
    <w:rsid w:val="00A114EB"/>
    <w:rsid w:val="00A1258E"/>
    <w:rsid w:val="00A126BC"/>
    <w:rsid w:val="00A12DD1"/>
    <w:rsid w:val="00A1308F"/>
    <w:rsid w:val="00A131B9"/>
    <w:rsid w:val="00A137A2"/>
    <w:rsid w:val="00A1391F"/>
    <w:rsid w:val="00A13A8D"/>
    <w:rsid w:val="00A14086"/>
    <w:rsid w:val="00A1437A"/>
    <w:rsid w:val="00A15385"/>
    <w:rsid w:val="00A15777"/>
    <w:rsid w:val="00A161C2"/>
    <w:rsid w:val="00A16DB6"/>
    <w:rsid w:val="00A16FD0"/>
    <w:rsid w:val="00A17053"/>
    <w:rsid w:val="00A200D9"/>
    <w:rsid w:val="00A20464"/>
    <w:rsid w:val="00A205E6"/>
    <w:rsid w:val="00A20659"/>
    <w:rsid w:val="00A20B09"/>
    <w:rsid w:val="00A20D4F"/>
    <w:rsid w:val="00A20E68"/>
    <w:rsid w:val="00A212C3"/>
    <w:rsid w:val="00A214A5"/>
    <w:rsid w:val="00A21702"/>
    <w:rsid w:val="00A21A82"/>
    <w:rsid w:val="00A21BFD"/>
    <w:rsid w:val="00A21EA3"/>
    <w:rsid w:val="00A22205"/>
    <w:rsid w:val="00A22592"/>
    <w:rsid w:val="00A22C44"/>
    <w:rsid w:val="00A22DFA"/>
    <w:rsid w:val="00A22EF5"/>
    <w:rsid w:val="00A22EF8"/>
    <w:rsid w:val="00A23495"/>
    <w:rsid w:val="00A238CF"/>
    <w:rsid w:val="00A23BB8"/>
    <w:rsid w:val="00A23BE8"/>
    <w:rsid w:val="00A23CC5"/>
    <w:rsid w:val="00A245FC"/>
    <w:rsid w:val="00A24657"/>
    <w:rsid w:val="00A24913"/>
    <w:rsid w:val="00A24C99"/>
    <w:rsid w:val="00A24D1D"/>
    <w:rsid w:val="00A24DBF"/>
    <w:rsid w:val="00A25376"/>
    <w:rsid w:val="00A253E2"/>
    <w:rsid w:val="00A25527"/>
    <w:rsid w:val="00A256E9"/>
    <w:rsid w:val="00A257C8"/>
    <w:rsid w:val="00A25842"/>
    <w:rsid w:val="00A2597F"/>
    <w:rsid w:val="00A25C5C"/>
    <w:rsid w:val="00A25FB3"/>
    <w:rsid w:val="00A26D53"/>
    <w:rsid w:val="00A27186"/>
    <w:rsid w:val="00A2723D"/>
    <w:rsid w:val="00A27569"/>
    <w:rsid w:val="00A2777F"/>
    <w:rsid w:val="00A30043"/>
    <w:rsid w:val="00A30249"/>
    <w:rsid w:val="00A30B6C"/>
    <w:rsid w:val="00A3101C"/>
    <w:rsid w:val="00A31447"/>
    <w:rsid w:val="00A3172B"/>
    <w:rsid w:val="00A31EDA"/>
    <w:rsid w:val="00A31EFD"/>
    <w:rsid w:val="00A320CD"/>
    <w:rsid w:val="00A326A4"/>
    <w:rsid w:val="00A3295D"/>
    <w:rsid w:val="00A3399E"/>
    <w:rsid w:val="00A339B4"/>
    <w:rsid w:val="00A33A06"/>
    <w:rsid w:val="00A33A68"/>
    <w:rsid w:val="00A33B36"/>
    <w:rsid w:val="00A33F05"/>
    <w:rsid w:val="00A35889"/>
    <w:rsid w:val="00A35A6A"/>
    <w:rsid w:val="00A35FA2"/>
    <w:rsid w:val="00A361B7"/>
    <w:rsid w:val="00A36F0D"/>
    <w:rsid w:val="00A36F66"/>
    <w:rsid w:val="00A374A4"/>
    <w:rsid w:val="00A37642"/>
    <w:rsid w:val="00A37961"/>
    <w:rsid w:val="00A37A91"/>
    <w:rsid w:val="00A40E31"/>
    <w:rsid w:val="00A416FD"/>
    <w:rsid w:val="00A4175D"/>
    <w:rsid w:val="00A419E9"/>
    <w:rsid w:val="00A41A30"/>
    <w:rsid w:val="00A41B6E"/>
    <w:rsid w:val="00A41D44"/>
    <w:rsid w:val="00A41E04"/>
    <w:rsid w:val="00A420B6"/>
    <w:rsid w:val="00A427DC"/>
    <w:rsid w:val="00A43580"/>
    <w:rsid w:val="00A43D3E"/>
    <w:rsid w:val="00A43EF4"/>
    <w:rsid w:val="00A44416"/>
    <w:rsid w:val="00A44FE3"/>
    <w:rsid w:val="00A45417"/>
    <w:rsid w:val="00A45656"/>
    <w:rsid w:val="00A45889"/>
    <w:rsid w:val="00A45AC9"/>
    <w:rsid w:val="00A45C9C"/>
    <w:rsid w:val="00A45ECB"/>
    <w:rsid w:val="00A4612E"/>
    <w:rsid w:val="00A4615E"/>
    <w:rsid w:val="00A46436"/>
    <w:rsid w:val="00A46550"/>
    <w:rsid w:val="00A46A5B"/>
    <w:rsid w:val="00A46B33"/>
    <w:rsid w:val="00A47586"/>
    <w:rsid w:val="00A47649"/>
    <w:rsid w:val="00A479B7"/>
    <w:rsid w:val="00A479CF"/>
    <w:rsid w:val="00A5012C"/>
    <w:rsid w:val="00A503C9"/>
    <w:rsid w:val="00A508CE"/>
    <w:rsid w:val="00A50C34"/>
    <w:rsid w:val="00A50F21"/>
    <w:rsid w:val="00A50F32"/>
    <w:rsid w:val="00A513DA"/>
    <w:rsid w:val="00A5157D"/>
    <w:rsid w:val="00A51934"/>
    <w:rsid w:val="00A5198E"/>
    <w:rsid w:val="00A51BCE"/>
    <w:rsid w:val="00A52316"/>
    <w:rsid w:val="00A5273D"/>
    <w:rsid w:val="00A5291A"/>
    <w:rsid w:val="00A52922"/>
    <w:rsid w:val="00A52C21"/>
    <w:rsid w:val="00A532D3"/>
    <w:rsid w:val="00A53420"/>
    <w:rsid w:val="00A534AE"/>
    <w:rsid w:val="00A53599"/>
    <w:rsid w:val="00A54208"/>
    <w:rsid w:val="00A54328"/>
    <w:rsid w:val="00A54620"/>
    <w:rsid w:val="00A54B8B"/>
    <w:rsid w:val="00A54DC9"/>
    <w:rsid w:val="00A54DFA"/>
    <w:rsid w:val="00A550F2"/>
    <w:rsid w:val="00A55191"/>
    <w:rsid w:val="00A55701"/>
    <w:rsid w:val="00A55E77"/>
    <w:rsid w:val="00A5645C"/>
    <w:rsid w:val="00A56BE3"/>
    <w:rsid w:val="00A56C65"/>
    <w:rsid w:val="00A56DC7"/>
    <w:rsid w:val="00A56F6B"/>
    <w:rsid w:val="00A57519"/>
    <w:rsid w:val="00A5760D"/>
    <w:rsid w:val="00A57669"/>
    <w:rsid w:val="00A577FC"/>
    <w:rsid w:val="00A578C7"/>
    <w:rsid w:val="00A579BB"/>
    <w:rsid w:val="00A579EC"/>
    <w:rsid w:val="00A57DB4"/>
    <w:rsid w:val="00A57F86"/>
    <w:rsid w:val="00A600F6"/>
    <w:rsid w:val="00A60767"/>
    <w:rsid w:val="00A60981"/>
    <w:rsid w:val="00A60AD9"/>
    <w:rsid w:val="00A60B96"/>
    <w:rsid w:val="00A60D36"/>
    <w:rsid w:val="00A612D9"/>
    <w:rsid w:val="00A613DF"/>
    <w:rsid w:val="00A6166B"/>
    <w:rsid w:val="00A617C5"/>
    <w:rsid w:val="00A619CB"/>
    <w:rsid w:val="00A61C98"/>
    <w:rsid w:val="00A61E0B"/>
    <w:rsid w:val="00A61F18"/>
    <w:rsid w:val="00A62164"/>
    <w:rsid w:val="00A622CC"/>
    <w:rsid w:val="00A627EF"/>
    <w:rsid w:val="00A62A84"/>
    <w:rsid w:val="00A62C3A"/>
    <w:rsid w:val="00A63D78"/>
    <w:rsid w:val="00A641F4"/>
    <w:rsid w:val="00A64664"/>
    <w:rsid w:val="00A64742"/>
    <w:rsid w:val="00A647A6"/>
    <w:rsid w:val="00A64A7B"/>
    <w:rsid w:val="00A64AE0"/>
    <w:rsid w:val="00A65189"/>
    <w:rsid w:val="00A6543A"/>
    <w:rsid w:val="00A65584"/>
    <w:rsid w:val="00A65CEE"/>
    <w:rsid w:val="00A65EC5"/>
    <w:rsid w:val="00A66B1A"/>
    <w:rsid w:val="00A66FE3"/>
    <w:rsid w:val="00A66FF6"/>
    <w:rsid w:val="00A67720"/>
    <w:rsid w:val="00A6778C"/>
    <w:rsid w:val="00A709B2"/>
    <w:rsid w:val="00A70F4A"/>
    <w:rsid w:val="00A71351"/>
    <w:rsid w:val="00A71BB1"/>
    <w:rsid w:val="00A71E2A"/>
    <w:rsid w:val="00A727A1"/>
    <w:rsid w:val="00A72EFB"/>
    <w:rsid w:val="00A73373"/>
    <w:rsid w:val="00A73B48"/>
    <w:rsid w:val="00A73D52"/>
    <w:rsid w:val="00A73EE1"/>
    <w:rsid w:val="00A74164"/>
    <w:rsid w:val="00A74382"/>
    <w:rsid w:val="00A74B5E"/>
    <w:rsid w:val="00A74B81"/>
    <w:rsid w:val="00A74E28"/>
    <w:rsid w:val="00A74FD1"/>
    <w:rsid w:val="00A75277"/>
    <w:rsid w:val="00A75948"/>
    <w:rsid w:val="00A75B94"/>
    <w:rsid w:val="00A76EB7"/>
    <w:rsid w:val="00A7779B"/>
    <w:rsid w:val="00A77846"/>
    <w:rsid w:val="00A77A31"/>
    <w:rsid w:val="00A77BFA"/>
    <w:rsid w:val="00A77D69"/>
    <w:rsid w:val="00A77E1A"/>
    <w:rsid w:val="00A80155"/>
    <w:rsid w:val="00A80206"/>
    <w:rsid w:val="00A8027B"/>
    <w:rsid w:val="00A80340"/>
    <w:rsid w:val="00A8060A"/>
    <w:rsid w:val="00A8060C"/>
    <w:rsid w:val="00A80627"/>
    <w:rsid w:val="00A808E9"/>
    <w:rsid w:val="00A80CA1"/>
    <w:rsid w:val="00A81105"/>
    <w:rsid w:val="00A8112B"/>
    <w:rsid w:val="00A8125A"/>
    <w:rsid w:val="00A81E90"/>
    <w:rsid w:val="00A81FCA"/>
    <w:rsid w:val="00A82092"/>
    <w:rsid w:val="00A827AC"/>
    <w:rsid w:val="00A8293A"/>
    <w:rsid w:val="00A82D3C"/>
    <w:rsid w:val="00A830A5"/>
    <w:rsid w:val="00A838D5"/>
    <w:rsid w:val="00A83B92"/>
    <w:rsid w:val="00A83D1C"/>
    <w:rsid w:val="00A84697"/>
    <w:rsid w:val="00A8483F"/>
    <w:rsid w:val="00A84A58"/>
    <w:rsid w:val="00A84AB9"/>
    <w:rsid w:val="00A84DD4"/>
    <w:rsid w:val="00A85131"/>
    <w:rsid w:val="00A8526B"/>
    <w:rsid w:val="00A855BF"/>
    <w:rsid w:val="00A856EA"/>
    <w:rsid w:val="00A858AA"/>
    <w:rsid w:val="00A8590F"/>
    <w:rsid w:val="00A85B45"/>
    <w:rsid w:val="00A86053"/>
    <w:rsid w:val="00A86A42"/>
    <w:rsid w:val="00A86CF1"/>
    <w:rsid w:val="00A86E12"/>
    <w:rsid w:val="00A86EFC"/>
    <w:rsid w:val="00A87376"/>
    <w:rsid w:val="00A87448"/>
    <w:rsid w:val="00A87614"/>
    <w:rsid w:val="00A879A0"/>
    <w:rsid w:val="00A879E9"/>
    <w:rsid w:val="00A900B0"/>
    <w:rsid w:val="00A900B5"/>
    <w:rsid w:val="00A901E3"/>
    <w:rsid w:val="00A91487"/>
    <w:rsid w:val="00A91F49"/>
    <w:rsid w:val="00A924EE"/>
    <w:rsid w:val="00A927AA"/>
    <w:rsid w:val="00A92847"/>
    <w:rsid w:val="00A92FAB"/>
    <w:rsid w:val="00A93487"/>
    <w:rsid w:val="00A936D7"/>
    <w:rsid w:val="00A93898"/>
    <w:rsid w:val="00A93B85"/>
    <w:rsid w:val="00A9431A"/>
    <w:rsid w:val="00A951CB"/>
    <w:rsid w:val="00A95B12"/>
    <w:rsid w:val="00A95D4D"/>
    <w:rsid w:val="00A95FC5"/>
    <w:rsid w:val="00A965DB"/>
    <w:rsid w:val="00A96630"/>
    <w:rsid w:val="00A967C4"/>
    <w:rsid w:val="00A979D4"/>
    <w:rsid w:val="00A97A76"/>
    <w:rsid w:val="00AA01B8"/>
    <w:rsid w:val="00AA0ADD"/>
    <w:rsid w:val="00AA0ED5"/>
    <w:rsid w:val="00AA1031"/>
    <w:rsid w:val="00AA1222"/>
    <w:rsid w:val="00AA13E6"/>
    <w:rsid w:val="00AA1588"/>
    <w:rsid w:val="00AA15AD"/>
    <w:rsid w:val="00AA1F09"/>
    <w:rsid w:val="00AA20BC"/>
    <w:rsid w:val="00AA2188"/>
    <w:rsid w:val="00AA25A8"/>
    <w:rsid w:val="00AA2F2F"/>
    <w:rsid w:val="00AA33FC"/>
    <w:rsid w:val="00AA3ECA"/>
    <w:rsid w:val="00AA4099"/>
    <w:rsid w:val="00AA420B"/>
    <w:rsid w:val="00AA4512"/>
    <w:rsid w:val="00AA45FB"/>
    <w:rsid w:val="00AA4D8E"/>
    <w:rsid w:val="00AA5110"/>
    <w:rsid w:val="00AA5588"/>
    <w:rsid w:val="00AA57AB"/>
    <w:rsid w:val="00AA5A63"/>
    <w:rsid w:val="00AA5AF6"/>
    <w:rsid w:val="00AA5BB8"/>
    <w:rsid w:val="00AA63A8"/>
    <w:rsid w:val="00AA63F2"/>
    <w:rsid w:val="00AA6B1A"/>
    <w:rsid w:val="00AA6B25"/>
    <w:rsid w:val="00AA6B8C"/>
    <w:rsid w:val="00AA6BB5"/>
    <w:rsid w:val="00AA72D1"/>
    <w:rsid w:val="00AA73A8"/>
    <w:rsid w:val="00AA761C"/>
    <w:rsid w:val="00AB0233"/>
    <w:rsid w:val="00AB024C"/>
    <w:rsid w:val="00AB02F2"/>
    <w:rsid w:val="00AB0571"/>
    <w:rsid w:val="00AB0AE1"/>
    <w:rsid w:val="00AB0D85"/>
    <w:rsid w:val="00AB0F21"/>
    <w:rsid w:val="00AB1266"/>
    <w:rsid w:val="00AB1804"/>
    <w:rsid w:val="00AB1FD5"/>
    <w:rsid w:val="00AB2092"/>
    <w:rsid w:val="00AB2767"/>
    <w:rsid w:val="00AB2D63"/>
    <w:rsid w:val="00AB30DD"/>
    <w:rsid w:val="00AB357C"/>
    <w:rsid w:val="00AB38FC"/>
    <w:rsid w:val="00AB456A"/>
    <w:rsid w:val="00AB4920"/>
    <w:rsid w:val="00AB4AE2"/>
    <w:rsid w:val="00AB500A"/>
    <w:rsid w:val="00AB526C"/>
    <w:rsid w:val="00AB53FB"/>
    <w:rsid w:val="00AB5DF6"/>
    <w:rsid w:val="00AB5FA4"/>
    <w:rsid w:val="00AB60A6"/>
    <w:rsid w:val="00AB60D7"/>
    <w:rsid w:val="00AB620D"/>
    <w:rsid w:val="00AB6E79"/>
    <w:rsid w:val="00AB725F"/>
    <w:rsid w:val="00AB7C27"/>
    <w:rsid w:val="00AB7FF3"/>
    <w:rsid w:val="00AC003E"/>
    <w:rsid w:val="00AC0162"/>
    <w:rsid w:val="00AC045B"/>
    <w:rsid w:val="00AC0865"/>
    <w:rsid w:val="00AC09CA"/>
    <w:rsid w:val="00AC0AE8"/>
    <w:rsid w:val="00AC1205"/>
    <w:rsid w:val="00AC1B6A"/>
    <w:rsid w:val="00AC1CC8"/>
    <w:rsid w:val="00AC1F2E"/>
    <w:rsid w:val="00AC21B9"/>
    <w:rsid w:val="00AC2323"/>
    <w:rsid w:val="00AC2520"/>
    <w:rsid w:val="00AC2852"/>
    <w:rsid w:val="00AC28D5"/>
    <w:rsid w:val="00AC2BE0"/>
    <w:rsid w:val="00AC32DF"/>
    <w:rsid w:val="00AC35E1"/>
    <w:rsid w:val="00AC3AA1"/>
    <w:rsid w:val="00AC3B2F"/>
    <w:rsid w:val="00AC3D1F"/>
    <w:rsid w:val="00AC3E35"/>
    <w:rsid w:val="00AC3F96"/>
    <w:rsid w:val="00AC42F4"/>
    <w:rsid w:val="00AC43B7"/>
    <w:rsid w:val="00AC4743"/>
    <w:rsid w:val="00AC4FF8"/>
    <w:rsid w:val="00AC599D"/>
    <w:rsid w:val="00AC5D03"/>
    <w:rsid w:val="00AC5E35"/>
    <w:rsid w:val="00AC6333"/>
    <w:rsid w:val="00AC6358"/>
    <w:rsid w:val="00AC7044"/>
    <w:rsid w:val="00AC7056"/>
    <w:rsid w:val="00AC729C"/>
    <w:rsid w:val="00AC7F0A"/>
    <w:rsid w:val="00AD034D"/>
    <w:rsid w:val="00AD0475"/>
    <w:rsid w:val="00AD06A0"/>
    <w:rsid w:val="00AD0978"/>
    <w:rsid w:val="00AD0A74"/>
    <w:rsid w:val="00AD0ACA"/>
    <w:rsid w:val="00AD0B12"/>
    <w:rsid w:val="00AD0B98"/>
    <w:rsid w:val="00AD0D06"/>
    <w:rsid w:val="00AD0E47"/>
    <w:rsid w:val="00AD16A9"/>
    <w:rsid w:val="00AD194E"/>
    <w:rsid w:val="00AD1EB6"/>
    <w:rsid w:val="00AD1F48"/>
    <w:rsid w:val="00AD20A0"/>
    <w:rsid w:val="00AD22AE"/>
    <w:rsid w:val="00AD23FD"/>
    <w:rsid w:val="00AD2A35"/>
    <w:rsid w:val="00AD2A8B"/>
    <w:rsid w:val="00AD2E7D"/>
    <w:rsid w:val="00AD346D"/>
    <w:rsid w:val="00AD382A"/>
    <w:rsid w:val="00AD3CBF"/>
    <w:rsid w:val="00AD3D71"/>
    <w:rsid w:val="00AD3E3D"/>
    <w:rsid w:val="00AD4902"/>
    <w:rsid w:val="00AD49B4"/>
    <w:rsid w:val="00AD4A66"/>
    <w:rsid w:val="00AD4DB1"/>
    <w:rsid w:val="00AD5129"/>
    <w:rsid w:val="00AD5219"/>
    <w:rsid w:val="00AD557A"/>
    <w:rsid w:val="00AD5726"/>
    <w:rsid w:val="00AD5D70"/>
    <w:rsid w:val="00AD6033"/>
    <w:rsid w:val="00AD6062"/>
    <w:rsid w:val="00AD60E1"/>
    <w:rsid w:val="00AD69AA"/>
    <w:rsid w:val="00AD69FF"/>
    <w:rsid w:val="00AD7551"/>
    <w:rsid w:val="00AD75AA"/>
    <w:rsid w:val="00AD7920"/>
    <w:rsid w:val="00AD792B"/>
    <w:rsid w:val="00AE010D"/>
    <w:rsid w:val="00AE018E"/>
    <w:rsid w:val="00AE0297"/>
    <w:rsid w:val="00AE078F"/>
    <w:rsid w:val="00AE08E6"/>
    <w:rsid w:val="00AE0E3C"/>
    <w:rsid w:val="00AE1042"/>
    <w:rsid w:val="00AE1590"/>
    <w:rsid w:val="00AE1EE5"/>
    <w:rsid w:val="00AE1FA9"/>
    <w:rsid w:val="00AE2102"/>
    <w:rsid w:val="00AE2155"/>
    <w:rsid w:val="00AE3006"/>
    <w:rsid w:val="00AE326F"/>
    <w:rsid w:val="00AE3396"/>
    <w:rsid w:val="00AE3A28"/>
    <w:rsid w:val="00AE3B26"/>
    <w:rsid w:val="00AE3F72"/>
    <w:rsid w:val="00AE497B"/>
    <w:rsid w:val="00AE4D00"/>
    <w:rsid w:val="00AE4D29"/>
    <w:rsid w:val="00AE5195"/>
    <w:rsid w:val="00AE53B5"/>
    <w:rsid w:val="00AE56EF"/>
    <w:rsid w:val="00AE61AD"/>
    <w:rsid w:val="00AE69D1"/>
    <w:rsid w:val="00AE6B65"/>
    <w:rsid w:val="00AE6C94"/>
    <w:rsid w:val="00AE6D4E"/>
    <w:rsid w:val="00AE6EF7"/>
    <w:rsid w:val="00AE7056"/>
    <w:rsid w:val="00AE72C9"/>
    <w:rsid w:val="00AE7561"/>
    <w:rsid w:val="00AE7895"/>
    <w:rsid w:val="00AE7AD3"/>
    <w:rsid w:val="00AE7FDF"/>
    <w:rsid w:val="00AF06FC"/>
    <w:rsid w:val="00AF073B"/>
    <w:rsid w:val="00AF0867"/>
    <w:rsid w:val="00AF0ACB"/>
    <w:rsid w:val="00AF1306"/>
    <w:rsid w:val="00AF139B"/>
    <w:rsid w:val="00AF1A66"/>
    <w:rsid w:val="00AF219D"/>
    <w:rsid w:val="00AF228E"/>
    <w:rsid w:val="00AF2622"/>
    <w:rsid w:val="00AF2DBB"/>
    <w:rsid w:val="00AF2E14"/>
    <w:rsid w:val="00AF2FA7"/>
    <w:rsid w:val="00AF3391"/>
    <w:rsid w:val="00AF34C3"/>
    <w:rsid w:val="00AF387F"/>
    <w:rsid w:val="00AF3954"/>
    <w:rsid w:val="00AF465C"/>
    <w:rsid w:val="00AF47B9"/>
    <w:rsid w:val="00AF49C5"/>
    <w:rsid w:val="00AF4B2D"/>
    <w:rsid w:val="00AF4D08"/>
    <w:rsid w:val="00AF5DAC"/>
    <w:rsid w:val="00AF5DDE"/>
    <w:rsid w:val="00AF64D6"/>
    <w:rsid w:val="00AF6691"/>
    <w:rsid w:val="00AF6CCD"/>
    <w:rsid w:val="00AF6D28"/>
    <w:rsid w:val="00AF6F2C"/>
    <w:rsid w:val="00AF727D"/>
    <w:rsid w:val="00AF7661"/>
    <w:rsid w:val="00AF7A73"/>
    <w:rsid w:val="00AF7A8C"/>
    <w:rsid w:val="00AF7D6D"/>
    <w:rsid w:val="00B00086"/>
    <w:rsid w:val="00B0071D"/>
    <w:rsid w:val="00B00BF1"/>
    <w:rsid w:val="00B00E7F"/>
    <w:rsid w:val="00B011A7"/>
    <w:rsid w:val="00B01B87"/>
    <w:rsid w:val="00B029DE"/>
    <w:rsid w:val="00B03448"/>
    <w:rsid w:val="00B04116"/>
    <w:rsid w:val="00B04227"/>
    <w:rsid w:val="00B0471C"/>
    <w:rsid w:val="00B04ABB"/>
    <w:rsid w:val="00B04AE5"/>
    <w:rsid w:val="00B04FE4"/>
    <w:rsid w:val="00B05550"/>
    <w:rsid w:val="00B0641C"/>
    <w:rsid w:val="00B064CB"/>
    <w:rsid w:val="00B064DB"/>
    <w:rsid w:val="00B06883"/>
    <w:rsid w:val="00B068F6"/>
    <w:rsid w:val="00B06D75"/>
    <w:rsid w:val="00B07270"/>
    <w:rsid w:val="00B07972"/>
    <w:rsid w:val="00B07BA8"/>
    <w:rsid w:val="00B101CC"/>
    <w:rsid w:val="00B103B3"/>
    <w:rsid w:val="00B10D69"/>
    <w:rsid w:val="00B11266"/>
    <w:rsid w:val="00B11746"/>
    <w:rsid w:val="00B123EA"/>
    <w:rsid w:val="00B12586"/>
    <w:rsid w:val="00B1259C"/>
    <w:rsid w:val="00B12D05"/>
    <w:rsid w:val="00B12F1E"/>
    <w:rsid w:val="00B12F8F"/>
    <w:rsid w:val="00B1310B"/>
    <w:rsid w:val="00B13176"/>
    <w:rsid w:val="00B132A4"/>
    <w:rsid w:val="00B1352D"/>
    <w:rsid w:val="00B137CA"/>
    <w:rsid w:val="00B14243"/>
    <w:rsid w:val="00B14978"/>
    <w:rsid w:val="00B14CAD"/>
    <w:rsid w:val="00B14D5C"/>
    <w:rsid w:val="00B15428"/>
    <w:rsid w:val="00B1571F"/>
    <w:rsid w:val="00B1572B"/>
    <w:rsid w:val="00B15747"/>
    <w:rsid w:val="00B15B27"/>
    <w:rsid w:val="00B15D9E"/>
    <w:rsid w:val="00B15ED6"/>
    <w:rsid w:val="00B16ABD"/>
    <w:rsid w:val="00B16C63"/>
    <w:rsid w:val="00B16E92"/>
    <w:rsid w:val="00B17027"/>
    <w:rsid w:val="00B17185"/>
    <w:rsid w:val="00B17311"/>
    <w:rsid w:val="00B173DA"/>
    <w:rsid w:val="00B173FB"/>
    <w:rsid w:val="00B17ED8"/>
    <w:rsid w:val="00B202A6"/>
    <w:rsid w:val="00B2037A"/>
    <w:rsid w:val="00B20D4D"/>
    <w:rsid w:val="00B20D61"/>
    <w:rsid w:val="00B20DF0"/>
    <w:rsid w:val="00B2169B"/>
    <w:rsid w:val="00B21C9B"/>
    <w:rsid w:val="00B21DCC"/>
    <w:rsid w:val="00B22496"/>
    <w:rsid w:val="00B22590"/>
    <w:rsid w:val="00B228EF"/>
    <w:rsid w:val="00B22B35"/>
    <w:rsid w:val="00B22F13"/>
    <w:rsid w:val="00B23148"/>
    <w:rsid w:val="00B23282"/>
    <w:rsid w:val="00B236E3"/>
    <w:rsid w:val="00B238C2"/>
    <w:rsid w:val="00B23980"/>
    <w:rsid w:val="00B239B2"/>
    <w:rsid w:val="00B23AC1"/>
    <w:rsid w:val="00B23EFA"/>
    <w:rsid w:val="00B23F79"/>
    <w:rsid w:val="00B244CA"/>
    <w:rsid w:val="00B246DB"/>
    <w:rsid w:val="00B24CCA"/>
    <w:rsid w:val="00B24E1F"/>
    <w:rsid w:val="00B25080"/>
    <w:rsid w:val="00B2542C"/>
    <w:rsid w:val="00B25F37"/>
    <w:rsid w:val="00B26631"/>
    <w:rsid w:val="00B27203"/>
    <w:rsid w:val="00B27226"/>
    <w:rsid w:val="00B27509"/>
    <w:rsid w:val="00B27982"/>
    <w:rsid w:val="00B27E33"/>
    <w:rsid w:val="00B300F2"/>
    <w:rsid w:val="00B30346"/>
    <w:rsid w:val="00B30468"/>
    <w:rsid w:val="00B311C7"/>
    <w:rsid w:val="00B31814"/>
    <w:rsid w:val="00B31835"/>
    <w:rsid w:val="00B31848"/>
    <w:rsid w:val="00B325BE"/>
    <w:rsid w:val="00B32F15"/>
    <w:rsid w:val="00B33055"/>
    <w:rsid w:val="00B3309B"/>
    <w:rsid w:val="00B333B2"/>
    <w:rsid w:val="00B3368D"/>
    <w:rsid w:val="00B341A7"/>
    <w:rsid w:val="00B346CF"/>
    <w:rsid w:val="00B34ADD"/>
    <w:rsid w:val="00B34D1D"/>
    <w:rsid w:val="00B34FC8"/>
    <w:rsid w:val="00B356A4"/>
    <w:rsid w:val="00B35DDA"/>
    <w:rsid w:val="00B35FCB"/>
    <w:rsid w:val="00B36119"/>
    <w:rsid w:val="00B36189"/>
    <w:rsid w:val="00B3625F"/>
    <w:rsid w:val="00B36520"/>
    <w:rsid w:val="00B36C67"/>
    <w:rsid w:val="00B36D09"/>
    <w:rsid w:val="00B36D86"/>
    <w:rsid w:val="00B36E23"/>
    <w:rsid w:val="00B3707D"/>
    <w:rsid w:val="00B3718A"/>
    <w:rsid w:val="00B3756E"/>
    <w:rsid w:val="00B37B90"/>
    <w:rsid w:val="00B37BF0"/>
    <w:rsid w:val="00B37CF2"/>
    <w:rsid w:val="00B402A5"/>
    <w:rsid w:val="00B404F8"/>
    <w:rsid w:val="00B40BD9"/>
    <w:rsid w:val="00B40D49"/>
    <w:rsid w:val="00B410EF"/>
    <w:rsid w:val="00B41361"/>
    <w:rsid w:val="00B415DF"/>
    <w:rsid w:val="00B41CF3"/>
    <w:rsid w:val="00B41EBD"/>
    <w:rsid w:val="00B4334F"/>
    <w:rsid w:val="00B435B5"/>
    <w:rsid w:val="00B43817"/>
    <w:rsid w:val="00B439E2"/>
    <w:rsid w:val="00B43EA6"/>
    <w:rsid w:val="00B44413"/>
    <w:rsid w:val="00B44422"/>
    <w:rsid w:val="00B44CE3"/>
    <w:rsid w:val="00B4537C"/>
    <w:rsid w:val="00B45DFA"/>
    <w:rsid w:val="00B45F62"/>
    <w:rsid w:val="00B45F7F"/>
    <w:rsid w:val="00B45F96"/>
    <w:rsid w:val="00B46617"/>
    <w:rsid w:val="00B46BE3"/>
    <w:rsid w:val="00B46DD1"/>
    <w:rsid w:val="00B46EA0"/>
    <w:rsid w:val="00B46ECE"/>
    <w:rsid w:val="00B473A8"/>
    <w:rsid w:val="00B47C9F"/>
    <w:rsid w:val="00B5029D"/>
    <w:rsid w:val="00B50552"/>
    <w:rsid w:val="00B50565"/>
    <w:rsid w:val="00B507BC"/>
    <w:rsid w:val="00B50D4F"/>
    <w:rsid w:val="00B51837"/>
    <w:rsid w:val="00B51C2A"/>
    <w:rsid w:val="00B52503"/>
    <w:rsid w:val="00B52A87"/>
    <w:rsid w:val="00B52CEB"/>
    <w:rsid w:val="00B52D00"/>
    <w:rsid w:val="00B52D25"/>
    <w:rsid w:val="00B52F7D"/>
    <w:rsid w:val="00B52FCA"/>
    <w:rsid w:val="00B535B7"/>
    <w:rsid w:val="00B536F5"/>
    <w:rsid w:val="00B54696"/>
    <w:rsid w:val="00B5494B"/>
    <w:rsid w:val="00B54A86"/>
    <w:rsid w:val="00B54DBA"/>
    <w:rsid w:val="00B54F22"/>
    <w:rsid w:val="00B5515A"/>
    <w:rsid w:val="00B5597F"/>
    <w:rsid w:val="00B56387"/>
    <w:rsid w:val="00B56452"/>
    <w:rsid w:val="00B5647C"/>
    <w:rsid w:val="00B56E05"/>
    <w:rsid w:val="00B57543"/>
    <w:rsid w:val="00B57A2A"/>
    <w:rsid w:val="00B5E831"/>
    <w:rsid w:val="00B600E5"/>
    <w:rsid w:val="00B6056B"/>
    <w:rsid w:val="00B607AF"/>
    <w:rsid w:val="00B61694"/>
    <w:rsid w:val="00B61F4C"/>
    <w:rsid w:val="00B62F70"/>
    <w:rsid w:val="00B62F9B"/>
    <w:rsid w:val="00B63CB2"/>
    <w:rsid w:val="00B63DC6"/>
    <w:rsid w:val="00B63F2B"/>
    <w:rsid w:val="00B64035"/>
    <w:rsid w:val="00B6574A"/>
    <w:rsid w:val="00B65DDE"/>
    <w:rsid w:val="00B66282"/>
    <w:rsid w:val="00B66A30"/>
    <w:rsid w:val="00B66E55"/>
    <w:rsid w:val="00B67687"/>
    <w:rsid w:val="00B67FD8"/>
    <w:rsid w:val="00B70119"/>
    <w:rsid w:val="00B70760"/>
    <w:rsid w:val="00B710FC"/>
    <w:rsid w:val="00B7135E"/>
    <w:rsid w:val="00B71508"/>
    <w:rsid w:val="00B7228D"/>
    <w:rsid w:val="00B724B5"/>
    <w:rsid w:val="00B72756"/>
    <w:rsid w:val="00B72C90"/>
    <w:rsid w:val="00B72E2F"/>
    <w:rsid w:val="00B731D3"/>
    <w:rsid w:val="00B736EA"/>
    <w:rsid w:val="00B737BF"/>
    <w:rsid w:val="00B73C1A"/>
    <w:rsid w:val="00B741F7"/>
    <w:rsid w:val="00B7474E"/>
    <w:rsid w:val="00B74BFE"/>
    <w:rsid w:val="00B74C4F"/>
    <w:rsid w:val="00B75A7D"/>
    <w:rsid w:val="00B76304"/>
    <w:rsid w:val="00B76416"/>
    <w:rsid w:val="00B764AD"/>
    <w:rsid w:val="00B7658C"/>
    <w:rsid w:val="00B768A2"/>
    <w:rsid w:val="00B76F75"/>
    <w:rsid w:val="00B805EA"/>
    <w:rsid w:val="00B80AB0"/>
    <w:rsid w:val="00B80B55"/>
    <w:rsid w:val="00B80CB9"/>
    <w:rsid w:val="00B80D5B"/>
    <w:rsid w:val="00B81015"/>
    <w:rsid w:val="00B812C3"/>
    <w:rsid w:val="00B815BB"/>
    <w:rsid w:val="00B817EB"/>
    <w:rsid w:val="00B81ACF"/>
    <w:rsid w:val="00B824BF"/>
    <w:rsid w:val="00B83132"/>
    <w:rsid w:val="00B83252"/>
    <w:rsid w:val="00B83672"/>
    <w:rsid w:val="00B839A3"/>
    <w:rsid w:val="00B83C53"/>
    <w:rsid w:val="00B83F45"/>
    <w:rsid w:val="00B8462A"/>
    <w:rsid w:val="00B847A9"/>
    <w:rsid w:val="00B84C70"/>
    <w:rsid w:val="00B84D07"/>
    <w:rsid w:val="00B85277"/>
    <w:rsid w:val="00B852CD"/>
    <w:rsid w:val="00B8554F"/>
    <w:rsid w:val="00B85BCF"/>
    <w:rsid w:val="00B86135"/>
    <w:rsid w:val="00B86227"/>
    <w:rsid w:val="00B867E8"/>
    <w:rsid w:val="00B86A72"/>
    <w:rsid w:val="00B86BC3"/>
    <w:rsid w:val="00B872F8"/>
    <w:rsid w:val="00B8759D"/>
    <w:rsid w:val="00B87669"/>
    <w:rsid w:val="00B87C06"/>
    <w:rsid w:val="00B87F9F"/>
    <w:rsid w:val="00B9026C"/>
    <w:rsid w:val="00B902BD"/>
    <w:rsid w:val="00B90331"/>
    <w:rsid w:val="00B9042F"/>
    <w:rsid w:val="00B91434"/>
    <w:rsid w:val="00B91580"/>
    <w:rsid w:val="00B9167E"/>
    <w:rsid w:val="00B91D31"/>
    <w:rsid w:val="00B91DCF"/>
    <w:rsid w:val="00B923C2"/>
    <w:rsid w:val="00B9249D"/>
    <w:rsid w:val="00B92535"/>
    <w:rsid w:val="00B925EB"/>
    <w:rsid w:val="00B92818"/>
    <w:rsid w:val="00B92A65"/>
    <w:rsid w:val="00B92E7E"/>
    <w:rsid w:val="00B93411"/>
    <w:rsid w:val="00B936D4"/>
    <w:rsid w:val="00B93CB5"/>
    <w:rsid w:val="00B9402B"/>
    <w:rsid w:val="00B9436E"/>
    <w:rsid w:val="00B94561"/>
    <w:rsid w:val="00B95111"/>
    <w:rsid w:val="00B95951"/>
    <w:rsid w:val="00B95ACE"/>
    <w:rsid w:val="00B95D7B"/>
    <w:rsid w:val="00B95D7E"/>
    <w:rsid w:val="00B966A2"/>
    <w:rsid w:val="00B9679A"/>
    <w:rsid w:val="00B97596"/>
    <w:rsid w:val="00B97646"/>
    <w:rsid w:val="00B97AF2"/>
    <w:rsid w:val="00BA0123"/>
    <w:rsid w:val="00BA024D"/>
    <w:rsid w:val="00BA0421"/>
    <w:rsid w:val="00BA0A34"/>
    <w:rsid w:val="00BA1268"/>
    <w:rsid w:val="00BA1503"/>
    <w:rsid w:val="00BA1ADE"/>
    <w:rsid w:val="00BA2046"/>
    <w:rsid w:val="00BA2162"/>
    <w:rsid w:val="00BA21FD"/>
    <w:rsid w:val="00BA24E2"/>
    <w:rsid w:val="00BA3294"/>
    <w:rsid w:val="00BA368D"/>
    <w:rsid w:val="00BA3B80"/>
    <w:rsid w:val="00BA3D08"/>
    <w:rsid w:val="00BA3F50"/>
    <w:rsid w:val="00BA4585"/>
    <w:rsid w:val="00BA47A0"/>
    <w:rsid w:val="00BA4CF6"/>
    <w:rsid w:val="00BA541D"/>
    <w:rsid w:val="00BA57BF"/>
    <w:rsid w:val="00BA585D"/>
    <w:rsid w:val="00BA5BAB"/>
    <w:rsid w:val="00BA62D4"/>
    <w:rsid w:val="00BA645F"/>
    <w:rsid w:val="00BA6E18"/>
    <w:rsid w:val="00BA75B7"/>
    <w:rsid w:val="00BA7F30"/>
    <w:rsid w:val="00BB00C1"/>
    <w:rsid w:val="00BB0234"/>
    <w:rsid w:val="00BB0381"/>
    <w:rsid w:val="00BB048C"/>
    <w:rsid w:val="00BB0950"/>
    <w:rsid w:val="00BB0ADD"/>
    <w:rsid w:val="00BB1BAA"/>
    <w:rsid w:val="00BB1C53"/>
    <w:rsid w:val="00BB1CA0"/>
    <w:rsid w:val="00BB1CA7"/>
    <w:rsid w:val="00BB2B1E"/>
    <w:rsid w:val="00BB324A"/>
    <w:rsid w:val="00BB336F"/>
    <w:rsid w:val="00BB3853"/>
    <w:rsid w:val="00BB4239"/>
    <w:rsid w:val="00BB4A3A"/>
    <w:rsid w:val="00BB4A65"/>
    <w:rsid w:val="00BB4DEA"/>
    <w:rsid w:val="00BB5296"/>
    <w:rsid w:val="00BB58EA"/>
    <w:rsid w:val="00BB5AE7"/>
    <w:rsid w:val="00BB5B25"/>
    <w:rsid w:val="00BB5B71"/>
    <w:rsid w:val="00BB6108"/>
    <w:rsid w:val="00BB64F1"/>
    <w:rsid w:val="00BB6694"/>
    <w:rsid w:val="00BB677A"/>
    <w:rsid w:val="00BB6AA9"/>
    <w:rsid w:val="00BB7425"/>
    <w:rsid w:val="00BB7531"/>
    <w:rsid w:val="00BB7A20"/>
    <w:rsid w:val="00BC00BA"/>
    <w:rsid w:val="00BC0175"/>
    <w:rsid w:val="00BC0328"/>
    <w:rsid w:val="00BC05CA"/>
    <w:rsid w:val="00BC06A7"/>
    <w:rsid w:val="00BC084E"/>
    <w:rsid w:val="00BC08B2"/>
    <w:rsid w:val="00BC0C59"/>
    <w:rsid w:val="00BC1177"/>
    <w:rsid w:val="00BC12AE"/>
    <w:rsid w:val="00BC1428"/>
    <w:rsid w:val="00BC1670"/>
    <w:rsid w:val="00BC16C4"/>
    <w:rsid w:val="00BC17A4"/>
    <w:rsid w:val="00BC1BDA"/>
    <w:rsid w:val="00BC214A"/>
    <w:rsid w:val="00BC236F"/>
    <w:rsid w:val="00BC2448"/>
    <w:rsid w:val="00BC253D"/>
    <w:rsid w:val="00BC26D5"/>
    <w:rsid w:val="00BC2A23"/>
    <w:rsid w:val="00BC2A8B"/>
    <w:rsid w:val="00BC2CA3"/>
    <w:rsid w:val="00BC30BC"/>
    <w:rsid w:val="00BC336B"/>
    <w:rsid w:val="00BC33FA"/>
    <w:rsid w:val="00BC346F"/>
    <w:rsid w:val="00BC3682"/>
    <w:rsid w:val="00BC3900"/>
    <w:rsid w:val="00BC42EE"/>
    <w:rsid w:val="00BC44DB"/>
    <w:rsid w:val="00BC48C2"/>
    <w:rsid w:val="00BC4EDF"/>
    <w:rsid w:val="00BC51AB"/>
    <w:rsid w:val="00BC5982"/>
    <w:rsid w:val="00BC5BA0"/>
    <w:rsid w:val="00BC5C39"/>
    <w:rsid w:val="00BC6360"/>
    <w:rsid w:val="00BC6447"/>
    <w:rsid w:val="00BC6A6C"/>
    <w:rsid w:val="00BC6AA0"/>
    <w:rsid w:val="00BC7BB2"/>
    <w:rsid w:val="00BC7C4E"/>
    <w:rsid w:val="00BC7C93"/>
    <w:rsid w:val="00BC7E22"/>
    <w:rsid w:val="00BC7F04"/>
    <w:rsid w:val="00BD033E"/>
    <w:rsid w:val="00BD066A"/>
    <w:rsid w:val="00BD07CA"/>
    <w:rsid w:val="00BD0C13"/>
    <w:rsid w:val="00BD1098"/>
    <w:rsid w:val="00BD10C4"/>
    <w:rsid w:val="00BD1125"/>
    <w:rsid w:val="00BD1143"/>
    <w:rsid w:val="00BD14F9"/>
    <w:rsid w:val="00BD18BE"/>
    <w:rsid w:val="00BD2186"/>
    <w:rsid w:val="00BD24D5"/>
    <w:rsid w:val="00BD2883"/>
    <w:rsid w:val="00BD2A39"/>
    <w:rsid w:val="00BD2E80"/>
    <w:rsid w:val="00BD2FBA"/>
    <w:rsid w:val="00BD2FE4"/>
    <w:rsid w:val="00BD32FE"/>
    <w:rsid w:val="00BD375D"/>
    <w:rsid w:val="00BD3C75"/>
    <w:rsid w:val="00BD4293"/>
    <w:rsid w:val="00BD4F5A"/>
    <w:rsid w:val="00BD546D"/>
    <w:rsid w:val="00BD547D"/>
    <w:rsid w:val="00BD5731"/>
    <w:rsid w:val="00BD5F1E"/>
    <w:rsid w:val="00BD5FB3"/>
    <w:rsid w:val="00BD6123"/>
    <w:rsid w:val="00BD664C"/>
    <w:rsid w:val="00BD697D"/>
    <w:rsid w:val="00BD6C77"/>
    <w:rsid w:val="00BD7188"/>
    <w:rsid w:val="00BD7527"/>
    <w:rsid w:val="00BD76B8"/>
    <w:rsid w:val="00BD7A18"/>
    <w:rsid w:val="00BE0084"/>
    <w:rsid w:val="00BE0118"/>
    <w:rsid w:val="00BE052E"/>
    <w:rsid w:val="00BE0F01"/>
    <w:rsid w:val="00BE0FAB"/>
    <w:rsid w:val="00BE11B8"/>
    <w:rsid w:val="00BE132B"/>
    <w:rsid w:val="00BE155A"/>
    <w:rsid w:val="00BE18CB"/>
    <w:rsid w:val="00BE191D"/>
    <w:rsid w:val="00BE1A0B"/>
    <w:rsid w:val="00BE1B2D"/>
    <w:rsid w:val="00BE1F47"/>
    <w:rsid w:val="00BE2090"/>
    <w:rsid w:val="00BE211A"/>
    <w:rsid w:val="00BE22D1"/>
    <w:rsid w:val="00BE2843"/>
    <w:rsid w:val="00BE287A"/>
    <w:rsid w:val="00BE2D08"/>
    <w:rsid w:val="00BE2D45"/>
    <w:rsid w:val="00BE2FA6"/>
    <w:rsid w:val="00BE3069"/>
    <w:rsid w:val="00BE31F5"/>
    <w:rsid w:val="00BE3408"/>
    <w:rsid w:val="00BE34C1"/>
    <w:rsid w:val="00BE3745"/>
    <w:rsid w:val="00BE3DDF"/>
    <w:rsid w:val="00BE3DEB"/>
    <w:rsid w:val="00BE3F60"/>
    <w:rsid w:val="00BE4166"/>
    <w:rsid w:val="00BE4795"/>
    <w:rsid w:val="00BE4AF7"/>
    <w:rsid w:val="00BE521C"/>
    <w:rsid w:val="00BE5B67"/>
    <w:rsid w:val="00BE5DA9"/>
    <w:rsid w:val="00BE5E21"/>
    <w:rsid w:val="00BE638B"/>
    <w:rsid w:val="00BE6465"/>
    <w:rsid w:val="00BE6B0F"/>
    <w:rsid w:val="00BE74FA"/>
    <w:rsid w:val="00BE7CDB"/>
    <w:rsid w:val="00BF035D"/>
    <w:rsid w:val="00BF0E50"/>
    <w:rsid w:val="00BF1274"/>
    <w:rsid w:val="00BF1356"/>
    <w:rsid w:val="00BF1A2B"/>
    <w:rsid w:val="00BF1B8D"/>
    <w:rsid w:val="00BF2631"/>
    <w:rsid w:val="00BF2973"/>
    <w:rsid w:val="00BF2BAF"/>
    <w:rsid w:val="00BF2CE0"/>
    <w:rsid w:val="00BF2E73"/>
    <w:rsid w:val="00BF3403"/>
    <w:rsid w:val="00BF35B4"/>
    <w:rsid w:val="00BF3FA8"/>
    <w:rsid w:val="00BF478E"/>
    <w:rsid w:val="00BF47F7"/>
    <w:rsid w:val="00BF4D88"/>
    <w:rsid w:val="00BF4E52"/>
    <w:rsid w:val="00BF4EE0"/>
    <w:rsid w:val="00BF595F"/>
    <w:rsid w:val="00BF5A0D"/>
    <w:rsid w:val="00BF5BE5"/>
    <w:rsid w:val="00BF612E"/>
    <w:rsid w:val="00BF6362"/>
    <w:rsid w:val="00BF6419"/>
    <w:rsid w:val="00BF6AEB"/>
    <w:rsid w:val="00BF6B72"/>
    <w:rsid w:val="00BF703E"/>
    <w:rsid w:val="00BF7260"/>
    <w:rsid w:val="00BF7817"/>
    <w:rsid w:val="00BF7FF0"/>
    <w:rsid w:val="00C00086"/>
    <w:rsid w:val="00C00427"/>
    <w:rsid w:val="00C00542"/>
    <w:rsid w:val="00C00AF5"/>
    <w:rsid w:val="00C00EB7"/>
    <w:rsid w:val="00C01576"/>
    <w:rsid w:val="00C017A8"/>
    <w:rsid w:val="00C019A8"/>
    <w:rsid w:val="00C01CAC"/>
    <w:rsid w:val="00C02006"/>
    <w:rsid w:val="00C020F8"/>
    <w:rsid w:val="00C0261D"/>
    <w:rsid w:val="00C0266F"/>
    <w:rsid w:val="00C02A3F"/>
    <w:rsid w:val="00C02BD5"/>
    <w:rsid w:val="00C02FC9"/>
    <w:rsid w:val="00C0386B"/>
    <w:rsid w:val="00C03B10"/>
    <w:rsid w:val="00C0437D"/>
    <w:rsid w:val="00C04627"/>
    <w:rsid w:val="00C048A7"/>
    <w:rsid w:val="00C04B23"/>
    <w:rsid w:val="00C04DFD"/>
    <w:rsid w:val="00C04F1B"/>
    <w:rsid w:val="00C050A8"/>
    <w:rsid w:val="00C0525C"/>
    <w:rsid w:val="00C05540"/>
    <w:rsid w:val="00C057F4"/>
    <w:rsid w:val="00C057F9"/>
    <w:rsid w:val="00C05DF5"/>
    <w:rsid w:val="00C06369"/>
    <w:rsid w:val="00C06412"/>
    <w:rsid w:val="00C0643C"/>
    <w:rsid w:val="00C06C12"/>
    <w:rsid w:val="00C06DDB"/>
    <w:rsid w:val="00C06F71"/>
    <w:rsid w:val="00C07092"/>
    <w:rsid w:val="00C0789A"/>
    <w:rsid w:val="00C07F09"/>
    <w:rsid w:val="00C1128E"/>
    <w:rsid w:val="00C11B97"/>
    <w:rsid w:val="00C12019"/>
    <w:rsid w:val="00C123A8"/>
    <w:rsid w:val="00C12502"/>
    <w:rsid w:val="00C1284B"/>
    <w:rsid w:val="00C12B55"/>
    <w:rsid w:val="00C12FAA"/>
    <w:rsid w:val="00C13338"/>
    <w:rsid w:val="00C13504"/>
    <w:rsid w:val="00C13C89"/>
    <w:rsid w:val="00C1491F"/>
    <w:rsid w:val="00C14F0A"/>
    <w:rsid w:val="00C14FE3"/>
    <w:rsid w:val="00C15131"/>
    <w:rsid w:val="00C1543D"/>
    <w:rsid w:val="00C15CDE"/>
    <w:rsid w:val="00C15E68"/>
    <w:rsid w:val="00C15F37"/>
    <w:rsid w:val="00C160CA"/>
    <w:rsid w:val="00C16202"/>
    <w:rsid w:val="00C16419"/>
    <w:rsid w:val="00C16703"/>
    <w:rsid w:val="00C16B3A"/>
    <w:rsid w:val="00C16E8E"/>
    <w:rsid w:val="00C16F2B"/>
    <w:rsid w:val="00C173DA"/>
    <w:rsid w:val="00C17F1E"/>
    <w:rsid w:val="00C20404"/>
    <w:rsid w:val="00C20445"/>
    <w:rsid w:val="00C20792"/>
    <w:rsid w:val="00C20A5E"/>
    <w:rsid w:val="00C20ABF"/>
    <w:rsid w:val="00C20C2A"/>
    <w:rsid w:val="00C21329"/>
    <w:rsid w:val="00C217BC"/>
    <w:rsid w:val="00C2192F"/>
    <w:rsid w:val="00C21BF9"/>
    <w:rsid w:val="00C21C23"/>
    <w:rsid w:val="00C21D30"/>
    <w:rsid w:val="00C2228E"/>
    <w:rsid w:val="00C222F5"/>
    <w:rsid w:val="00C226A0"/>
    <w:rsid w:val="00C22B43"/>
    <w:rsid w:val="00C22B97"/>
    <w:rsid w:val="00C22EE9"/>
    <w:rsid w:val="00C23243"/>
    <w:rsid w:val="00C232E8"/>
    <w:rsid w:val="00C23709"/>
    <w:rsid w:val="00C23AE6"/>
    <w:rsid w:val="00C24056"/>
    <w:rsid w:val="00C24341"/>
    <w:rsid w:val="00C2441B"/>
    <w:rsid w:val="00C24BC8"/>
    <w:rsid w:val="00C24C6B"/>
    <w:rsid w:val="00C251B0"/>
    <w:rsid w:val="00C25235"/>
    <w:rsid w:val="00C25293"/>
    <w:rsid w:val="00C253AA"/>
    <w:rsid w:val="00C25613"/>
    <w:rsid w:val="00C25CCB"/>
    <w:rsid w:val="00C2648C"/>
    <w:rsid w:val="00C267CA"/>
    <w:rsid w:val="00C26FB6"/>
    <w:rsid w:val="00C276C4"/>
    <w:rsid w:val="00C27BF2"/>
    <w:rsid w:val="00C27E67"/>
    <w:rsid w:val="00C30133"/>
    <w:rsid w:val="00C30167"/>
    <w:rsid w:val="00C302E9"/>
    <w:rsid w:val="00C30C56"/>
    <w:rsid w:val="00C31054"/>
    <w:rsid w:val="00C31153"/>
    <w:rsid w:val="00C319E9"/>
    <w:rsid w:val="00C31DAC"/>
    <w:rsid w:val="00C32156"/>
    <w:rsid w:val="00C324BB"/>
    <w:rsid w:val="00C32729"/>
    <w:rsid w:val="00C3280B"/>
    <w:rsid w:val="00C3312D"/>
    <w:rsid w:val="00C335AE"/>
    <w:rsid w:val="00C33CB4"/>
    <w:rsid w:val="00C345F4"/>
    <w:rsid w:val="00C34657"/>
    <w:rsid w:val="00C349A1"/>
    <w:rsid w:val="00C349FD"/>
    <w:rsid w:val="00C34E61"/>
    <w:rsid w:val="00C3559C"/>
    <w:rsid w:val="00C36545"/>
    <w:rsid w:val="00C36578"/>
    <w:rsid w:val="00C365D2"/>
    <w:rsid w:val="00C3692C"/>
    <w:rsid w:val="00C36966"/>
    <w:rsid w:val="00C36B43"/>
    <w:rsid w:val="00C36C44"/>
    <w:rsid w:val="00C37524"/>
    <w:rsid w:val="00C3775E"/>
    <w:rsid w:val="00C37AE2"/>
    <w:rsid w:val="00C37C66"/>
    <w:rsid w:val="00C402DD"/>
    <w:rsid w:val="00C4049B"/>
    <w:rsid w:val="00C404D3"/>
    <w:rsid w:val="00C405CF"/>
    <w:rsid w:val="00C406B2"/>
    <w:rsid w:val="00C40780"/>
    <w:rsid w:val="00C40A42"/>
    <w:rsid w:val="00C40AA5"/>
    <w:rsid w:val="00C410E7"/>
    <w:rsid w:val="00C41732"/>
    <w:rsid w:val="00C41998"/>
    <w:rsid w:val="00C41BA7"/>
    <w:rsid w:val="00C41FE0"/>
    <w:rsid w:val="00C423B9"/>
    <w:rsid w:val="00C438AF"/>
    <w:rsid w:val="00C43E29"/>
    <w:rsid w:val="00C43F97"/>
    <w:rsid w:val="00C44160"/>
    <w:rsid w:val="00C44194"/>
    <w:rsid w:val="00C447C6"/>
    <w:rsid w:val="00C44858"/>
    <w:rsid w:val="00C44AC1"/>
    <w:rsid w:val="00C44BBE"/>
    <w:rsid w:val="00C46568"/>
    <w:rsid w:val="00C46784"/>
    <w:rsid w:val="00C46F70"/>
    <w:rsid w:val="00C47215"/>
    <w:rsid w:val="00C474FD"/>
    <w:rsid w:val="00C4751C"/>
    <w:rsid w:val="00C476D0"/>
    <w:rsid w:val="00C47758"/>
    <w:rsid w:val="00C47778"/>
    <w:rsid w:val="00C5006C"/>
    <w:rsid w:val="00C50BF0"/>
    <w:rsid w:val="00C50F93"/>
    <w:rsid w:val="00C51173"/>
    <w:rsid w:val="00C51189"/>
    <w:rsid w:val="00C513D5"/>
    <w:rsid w:val="00C5168A"/>
    <w:rsid w:val="00C5274B"/>
    <w:rsid w:val="00C52A0F"/>
    <w:rsid w:val="00C52AF5"/>
    <w:rsid w:val="00C52B4A"/>
    <w:rsid w:val="00C52E52"/>
    <w:rsid w:val="00C531F1"/>
    <w:rsid w:val="00C532F2"/>
    <w:rsid w:val="00C53463"/>
    <w:rsid w:val="00C54940"/>
    <w:rsid w:val="00C54B54"/>
    <w:rsid w:val="00C54E74"/>
    <w:rsid w:val="00C54F40"/>
    <w:rsid w:val="00C559FD"/>
    <w:rsid w:val="00C55E09"/>
    <w:rsid w:val="00C560D4"/>
    <w:rsid w:val="00C5620E"/>
    <w:rsid w:val="00C564EF"/>
    <w:rsid w:val="00C5656A"/>
    <w:rsid w:val="00C567FC"/>
    <w:rsid w:val="00C569DC"/>
    <w:rsid w:val="00C56DC3"/>
    <w:rsid w:val="00C56E33"/>
    <w:rsid w:val="00C57098"/>
    <w:rsid w:val="00C57105"/>
    <w:rsid w:val="00C57125"/>
    <w:rsid w:val="00C57748"/>
    <w:rsid w:val="00C57AB6"/>
    <w:rsid w:val="00C57BB5"/>
    <w:rsid w:val="00C6041D"/>
    <w:rsid w:val="00C60756"/>
    <w:rsid w:val="00C60A07"/>
    <w:rsid w:val="00C61550"/>
    <w:rsid w:val="00C61AC1"/>
    <w:rsid w:val="00C61F65"/>
    <w:rsid w:val="00C62306"/>
    <w:rsid w:val="00C628B9"/>
    <w:rsid w:val="00C6296C"/>
    <w:rsid w:val="00C62AB3"/>
    <w:rsid w:val="00C62D71"/>
    <w:rsid w:val="00C6342C"/>
    <w:rsid w:val="00C635A7"/>
    <w:rsid w:val="00C6368B"/>
    <w:rsid w:val="00C638C3"/>
    <w:rsid w:val="00C63BC7"/>
    <w:rsid w:val="00C63BDD"/>
    <w:rsid w:val="00C63FB7"/>
    <w:rsid w:val="00C64A8E"/>
    <w:rsid w:val="00C64A95"/>
    <w:rsid w:val="00C64AEC"/>
    <w:rsid w:val="00C651E9"/>
    <w:rsid w:val="00C655C8"/>
    <w:rsid w:val="00C65B0F"/>
    <w:rsid w:val="00C6605D"/>
    <w:rsid w:val="00C663FD"/>
    <w:rsid w:val="00C66D0B"/>
    <w:rsid w:val="00C671FF"/>
    <w:rsid w:val="00C67533"/>
    <w:rsid w:val="00C6765C"/>
    <w:rsid w:val="00C67D98"/>
    <w:rsid w:val="00C67DF7"/>
    <w:rsid w:val="00C7008D"/>
    <w:rsid w:val="00C700BE"/>
    <w:rsid w:val="00C71474"/>
    <w:rsid w:val="00C71522"/>
    <w:rsid w:val="00C71D89"/>
    <w:rsid w:val="00C71F9A"/>
    <w:rsid w:val="00C72B11"/>
    <w:rsid w:val="00C72B37"/>
    <w:rsid w:val="00C72B8A"/>
    <w:rsid w:val="00C72EB1"/>
    <w:rsid w:val="00C73166"/>
    <w:rsid w:val="00C734C7"/>
    <w:rsid w:val="00C73593"/>
    <w:rsid w:val="00C735E0"/>
    <w:rsid w:val="00C73BD6"/>
    <w:rsid w:val="00C73CB4"/>
    <w:rsid w:val="00C73DCC"/>
    <w:rsid w:val="00C73E28"/>
    <w:rsid w:val="00C741E4"/>
    <w:rsid w:val="00C7482A"/>
    <w:rsid w:val="00C74BCC"/>
    <w:rsid w:val="00C751BB"/>
    <w:rsid w:val="00C754AA"/>
    <w:rsid w:val="00C754B0"/>
    <w:rsid w:val="00C75E8D"/>
    <w:rsid w:val="00C75F19"/>
    <w:rsid w:val="00C76432"/>
    <w:rsid w:val="00C765F5"/>
    <w:rsid w:val="00C77398"/>
    <w:rsid w:val="00C77457"/>
    <w:rsid w:val="00C77611"/>
    <w:rsid w:val="00C776F2"/>
    <w:rsid w:val="00C77C46"/>
    <w:rsid w:val="00C77E94"/>
    <w:rsid w:val="00C80AA8"/>
    <w:rsid w:val="00C80B61"/>
    <w:rsid w:val="00C81882"/>
    <w:rsid w:val="00C81D87"/>
    <w:rsid w:val="00C821B2"/>
    <w:rsid w:val="00C82286"/>
    <w:rsid w:val="00C82327"/>
    <w:rsid w:val="00C823AD"/>
    <w:rsid w:val="00C82795"/>
    <w:rsid w:val="00C82A4E"/>
    <w:rsid w:val="00C82A65"/>
    <w:rsid w:val="00C82B3E"/>
    <w:rsid w:val="00C830A7"/>
    <w:rsid w:val="00C832B0"/>
    <w:rsid w:val="00C8350B"/>
    <w:rsid w:val="00C836E3"/>
    <w:rsid w:val="00C8370F"/>
    <w:rsid w:val="00C83C9C"/>
    <w:rsid w:val="00C84235"/>
    <w:rsid w:val="00C84396"/>
    <w:rsid w:val="00C8467F"/>
    <w:rsid w:val="00C852A6"/>
    <w:rsid w:val="00C85550"/>
    <w:rsid w:val="00C85553"/>
    <w:rsid w:val="00C85C7B"/>
    <w:rsid w:val="00C86577"/>
    <w:rsid w:val="00C86973"/>
    <w:rsid w:val="00C874EA"/>
    <w:rsid w:val="00C874EC"/>
    <w:rsid w:val="00C879F5"/>
    <w:rsid w:val="00C87A87"/>
    <w:rsid w:val="00C90015"/>
    <w:rsid w:val="00C905FA"/>
    <w:rsid w:val="00C90F93"/>
    <w:rsid w:val="00C910AD"/>
    <w:rsid w:val="00C911C7"/>
    <w:rsid w:val="00C918D0"/>
    <w:rsid w:val="00C918F7"/>
    <w:rsid w:val="00C91A7F"/>
    <w:rsid w:val="00C91B7A"/>
    <w:rsid w:val="00C91C85"/>
    <w:rsid w:val="00C91D2A"/>
    <w:rsid w:val="00C92194"/>
    <w:rsid w:val="00C92273"/>
    <w:rsid w:val="00C923C2"/>
    <w:rsid w:val="00C9256A"/>
    <w:rsid w:val="00C92E07"/>
    <w:rsid w:val="00C930F8"/>
    <w:rsid w:val="00C93421"/>
    <w:rsid w:val="00C9395D"/>
    <w:rsid w:val="00C93AB0"/>
    <w:rsid w:val="00C94382"/>
    <w:rsid w:val="00C9456B"/>
    <w:rsid w:val="00C94A40"/>
    <w:rsid w:val="00C95575"/>
    <w:rsid w:val="00C95A22"/>
    <w:rsid w:val="00C96392"/>
    <w:rsid w:val="00C96628"/>
    <w:rsid w:val="00C96868"/>
    <w:rsid w:val="00C972DA"/>
    <w:rsid w:val="00C97329"/>
    <w:rsid w:val="00C9739A"/>
    <w:rsid w:val="00C97D9B"/>
    <w:rsid w:val="00C97EB2"/>
    <w:rsid w:val="00CA018E"/>
    <w:rsid w:val="00CA0313"/>
    <w:rsid w:val="00CA0416"/>
    <w:rsid w:val="00CA0711"/>
    <w:rsid w:val="00CA089F"/>
    <w:rsid w:val="00CA128F"/>
    <w:rsid w:val="00CA1470"/>
    <w:rsid w:val="00CA15CC"/>
    <w:rsid w:val="00CA18D7"/>
    <w:rsid w:val="00CA1B1A"/>
    <w:rsid w:val="00CA24A5"/>
    <w:rsid w:val="00CA26CB"/>
    <w:rsid w:val="00CA2746"/>
    <w:rsid w:val="00CA2859"/>
    <w:rsid w:val="00CA289F"/>
    <w:rsid w:val="00CA2928"/>
    <w:rsid w:val="00CA3093"/>
    <w:rsid w:val="00CA3106"/>
    <w:rsid w:val="00CA3148"/>
    <w:rsid w:val="00CA3209"/>
    <w:rsid w:val="00CA3722"/>
    <w:rsid w:val="00CA37BE"/>
    <w:rsid w:val="00CA3ACE"/>
    <w:rsid w:val="00CA3B7A"/>
    <w:rsid w:val="00CA3FA7"/>
    <w:rsid w:val="00CA4250"/>
    <w:rsid w:val="00CA4491"/>
    <w:rsid w:val="00CA4770"/>
    <w:rsid w:val="00CA52D9"/>
    <w:rsid w:val="00CA54A3"/>
    <w:rsid w:val="00CA641D"/>
    <w:rsid w:val="00CA64BB"/>
    <w:rsid w:val="00CA65CD"/>
    <w:rsid w:val="00CA670B"/>
    <w:rsid w:val="00CA67B0"/>
    <w:rsid w:val="00CA6842"/>
    <w:rsid w:val="00CA7469"/>
    <w:rsid w:val="00CA7E89"/>
    <w:rsid w:val="00CB060A"/>
    <w:rsid w:val="00CB0C0C"/>
    <w:rsid w:val="00CB11A2"/>
    <w:rsid w:val="00CB13FA"/>
    <w:rsid w:val="00CB152D"/>
    <w:rsid w:val="00CB163E"/>
    <w:rsid w:val="00CB1E24"/>
    <w:rsid w:val="00CB2098"/>
    <w:rsid w:val="00CB216C"/>
    <w:rsid w:val="00CB2391"/>
    <w:rsid w:val="00CB2539"/>
    <w:rsid w:val="00CB25E8"/>
    <w:rsid w:val="00CB27FE"/>
    <w:rsid w:val="00CB28E6"/>
    <w:rsid w:val="00CB2CA4"/>
    <w:rsid w:val="00CB2F42"/>
    <w:rsid w:val="00CB313B"/>
    <w:rsid w:val="00CB3CDD"/>
    <w:rsid w:val="00CB4524"/>
    <w:rsid w:val="00CB456F"/>
    <w:rsid w:val="00CB49B2"/>
    <w:rsid w:val="00CB5196"/>
    <w:rsid w:val="00CB58A0"/>
    <w:rsid w:val="00CB5A47"/>
    <w:rsid w:val="00CB5CD3"/>
    <w:rsid w:val="00CB5DBA"/>
    <w:rsid w:val="00CB62D7"/>
    <w:rsid w:val="00CB6874"/>
    <w:rsid w:val="00CB703B"/>
    <w:rsid w:val="00CB7471"/>
    <w:rsid w:val="00CB7762"/>
    <w:rsid w:val="00CB7814"/>
    <w:rsid w:val="00CB78CA"/>
    <w:rsid w:val="00CB7987"/>
    <w:rsid w:val="00CB7BDB"/>
    <w:rsid w:val="00CC00F7"/>
    <w:rsid w:val="00CC0272"/>
    <w:rsid w:val="00CC0489"/>
    <w:rsid w:val="00CC048A"/>
    <w:rsid w:val="00CC0E23"/>
    <w:rsid w:val="00CC0EA7"/>
    <w:rsid w:val="00CC143E"/>
    <w:rsid w:val="00CC15D2"/>
    <w:rsid w:val="00CC18B9"/>
    <w:rsid w:val="00CC18C4"/>
    <w:rsid w:val="00CC1A90"/>
    <w:rsid w:val="00CC1AED"/>
    <w:rsid w:val="00CC1D8D"/>
    <w:rsid w:val="00CC1F8F"/>
    <w:rsid w:val="00CC1FB4"/>
    <w:rsid w:val="00CC22BF"/>
    <w:rsid w:val="00CC295D"/>
    <w:rsid w:val="00CC2CB1"/>
    <w:rsid w:val="00CC301F"/>
    <w:rsid w:val="00CC43E9"/>
    <w:rsid w:val="00CC4C2B"/>
    <w:rsid w:val="00CC51D6"/>
    <w:rsid w:val="00CC52E4"/>
    <w:rsid w:val="00CC53F5"/>
    <w:rsid w:val="00CC560B"/>
    <w:rsid w:val="00CC5E3F"/>
    <w:rsid w:val="00CC697A"/>
    <w:rsid w:val="00CC6AA3"/>
    <w:rsid w:val="00CC6B0A"/>
    <w:rsid w:val="00CC70A8"/>
    <w:rsid w:val="00CC75E2"/>
    <w:rsid w:val="00CC7778"/>
    <w:rsid w:val="00CC78F5"/>
    <w:rsid w:val="00CC7DCD"/>
    <w:rsid w:val="00CD007D"/>
    <w:rsid w:val="00CD0871"/>
    <w:rsid w:val="00CD08C0"/>
    <w:rsid w:val="00CD0B49"/>
    <w:rsid w:val="00CD0F86"/>
    <w:rsid w:val="00CD10F5"/>
    <w:rsid w:val="00CD155B"/>
    <w:rsid w:val="00CD1C66"/>
    <w:rsid w:val="00CD1CAE"/>
    <w:rsid w:val="00CD1E78"/>
    <w:rsid w:val="00CD22FF"/>
    <w:rsid w:val="00CD28FF"/>
    <w:rsid w:val="00CD2A48"/>
    <w:rsid w:val="00CD38A2"/>
    <w:rsid w:val="00CD3F99"/>
    <w:rsid w:val="00CD4637"/>
    <w:rsid w:val="00CD46EB"/>
    <w:rsid w:val="00CD48C6"/>
    <w:rsid w:val="00CD4985"/>
    <w:rsid w:val="00CD49AC"/>
    <w:rsid w:val="00CD4A22"/>
    <w:rsid w:val="00CD5412"/>
    <w:rsid w:val="00CD552A"/>
    <w:rsid w:val="00CD572E"/>
    <w:rsid w:val="00CD57A3"/>
    <w:rsid w:val="00CD5845"/>
    <w:rsid w:val="00CD60D2"/>
    <w:rsid w:val="00CD619B"/>
    <w:rsid w:val="00CD65AB"/>
    <w:rsid w:val="00CD6C84"/>
    <w:rsid w:val="00CD734A"/>
    <w:rsid w:val="00CD7428"/>
    <w:rsid w:val="00CD74DF"/>
    <w:rsid w:val="00CD7534"/>
    <w:rsid w:val="00CD78A1"/>
    <w:rsid w:val="00CD7901"/>
    <w:rsid w:val="00CD7BFF"/>
    <w:rsid w:val="00CD7EBF"/>
    <w:rsid w:val="00CE01D2"/>
    <w:rsid w:val="00CE06F0"/>
    <w:rsid w:val="00CE0D0B"/>
    <w:rsid w:val="00CE186B"/>
    <w:rsid w:val="00CE1891"/>
    <w:rsid w:val="00CE1DE1"/>
    <w:rsid w:val="00CE2327"/>
    <w:rsid w:val="00CE25CE"/>
    <w:rsid w:val="00CE263E"/>
    <w:rsid w:val="00CE264E"/>
    <w:rsid w:val="00CE2E56"/>
    <w:rsid w:val="00CE2FA5"/>
    <w:rsid w:val="00CE3268"/>
    <w:rsid w:val="00CE34CE"/>
    <w:rsid w:val="00CE3913"/>
    <w:rsid w:val="00CE39C2"/>
    <w:rsid w:val="00CE3C46"/>
    <w:rsid w:val="00CE3E6F"/>
    <w:rsid w:val="00CE4523"/>
    <w:rsid w:val="00CE474A"/>
    <w:rsid w:val="00CE4A13"/>
    <w:rsid w:val="00CE4EE2"/>
    <w:rsid w:val="00CE4F6D"/>
    <w:rsid w:val="00CE5907"/>
    <w:rsid w:val="00CE5A42"/>
    <w:rsid w:val="00CE5AE0"/>
    <w:rsid w:val="00CE5C8A"/>
    <w:rsid w:val="00CE6174"/>
    <w:rsid w:val="00CE62FF"/>
    <w:rsid w:val="00CE64FF"/>
    <w:rsid w:val="00CE65F4"/>
    <w:rsid w:val="00CE66DD"/>
    <w:rsid w:val="00CE699C"/>
    <w:rsid w:val="00CE6AA3"/>
    <w:rsid w:val="00CE6AC3"/>
    <w:rsid w:val="00CE6B40"/>
    <w:rsid w:val="00CE738D"/>
    <w:rsid w:val="00CE774C"/>
    <w:rsid w:val="00CE7CAE"/>
    <w:rsid w:val="00CF055E"/>
    <w:rsid w:val="00CF0907"/>
    <w:rsid w:val="00CF0A9D"/>
    <w:rsid w:val="00CF0C5B"/>
    <w:rsid w:val="00CF0E3C"/>
    <w:rsid w:val="00CF103E"/>
    <w:rsid w:val="00CF1265"/>
    <w:rsid w:val="00CF1286"/>
    <w:rsid w:val="00CF155D"/>
    <w:rsid w:val="00CF25A4"/>
    <w:rsid w:val="00CF25FD"/>
    <w:rsid w:val="00CF263E"/>
    <w:rsid w:val="00CF26C1"/>
    <w:rsid w:val="00CF2AC6"/>
    <w:rsid w:val="00CF3741"/>
    <w:rsid w:val="00CF3959"/>
    <w:rsid w:val="00CF3961"/>
    <w:rsid w:val="00CF3F12"/>
    <w:rsid w:val="00CF4980"/>
    <w:rsid w:val="00CF4A82"/>
    <w:rsid w:val="00CF4B68"/>
    <w:rsid w:val="00CF5146"/>
    <w:rsid w:val="00CF52E5"/>
    <w:rsid w:val="00CF5626"/>
    <w:rsid w:val="00CF5DF0"/>
    <w:rsid w:val="00CF6398"/>
    <w:rsid w:val="00CF6563"/>
    <w:rsid w:val="00CF6943"/>
    <w:rsid w:val="00CF6A15"/>
    <w:rsid w:val="00CF6C80"/>
    <w:rsid w:val="00CF7AB5"/>
    <w:rsid w:val="00CF7C9F"/>
    <w:rsid w:val="00CF7D28"/>
    <w:rsid w:val="00CF7EAD"/>
    <w:rsid w:val="00D00892"/>
    <w:rsid w:val="00D0125B"/>
    <w:rsid w:val="00D01296"/>
    <w:rsid w:val="00D0132F"/>
    <w:rsid w:val="00D01A2A"/>
    <w:rsid w:val="00D01C10"/>
    <w:rsid w:val="00D01E84"/>
    <w:rsid w:val="00D0263A"/>
    <w:rsid w:val="00D027FB"/>
    <w:rsid w:val="00D02C34"/>
    <w:rsid w:val="00D03343"/>
    <w:rsid w:val="00D0334C"/>
    <w:rsid w:val="00D0340B"/>
    <w:rsid w:val="00D03BE7"/>
    <w:rsid w:val="00D03CBC"/>
    <w:rsid w:val="00D04D9F"/>
    <w:rsid w:val="00D04DD8"/>
    <w:rsid w:val="00D05371"/>
    <w:rsid w:val="00D0559B"/>
    <w:rsid w:val="00D056DF"/>
    <w:rsid w:val="00D056F1"/>
    <w:rsid w:val="00D05C04"/>
    <w:rsid w:val="00D05E34"/>
    <w:rsid w:val="00D062DE"/>
    <w:rsid w:val="00D06416"/>
    <w:rsid w:val="00D065F9"/>
    <w:rsid w:val="00D0667F"/>
    <w:rsid w:val="00D0736B"/>
    <w:rsid w:val="00D075E9"/>
    <w:rsid w:val="00D07BC3"/>
    <w:rsid w:val="00D10604"/>
    <w:rsid w:val="00D10C50"/>
    <w:rsid w:val="00D11171"/>
    <w:rsid w:val="00D115D4"/>
    <w:rsid w:val="00D116F8"/>
    <w:rsid w:val="00D1179C"/>
    <w:rsid w:val="00D11A2D"/>
    <w:rsid w:val="00D11A46"/>
    <w:rsid w:val="00D11CB3"/>
    <w:rsid w:val="00D120A9"/>
    <w:rsid w:val="00D12905"/>
    <w:rsid w:val="00D12995"/>
    <w:rsid w:val="00D12E91"/>
    <w:rsid w:val="00D12F0F"/>
    <w:rsid w:val="00D13323"/>
    <w:rsid w:val="00D13E07"/>
    <w:rsid w:val="00D1467C"/>
    <w:rsid w:val="00D1494E"/>
    <w:rsid w:val="00D14C0B"/>
    <w:rsid w:val="00D14C22"/>
    <w:rsid w:val="00D1501F"/>
    <w:rsid w:val="00D1557C"/>
    <w:rsid w:val="00D159D7"/>
    <w:rsid w:val="00D15A7B"/>
    <w:rsid w:val="00D15F8C"/>
    <w:rsid w:val="00D1610D"/>
    <w:rsid w:val="00D161C2"/>
    <w:rsid w:val="00D163D7"/>
    <w:rsid w:val="00D16511"/>
    <w:rsid w:val="00D17186"/>
    <w:rsid w:val="00D1748E"/>
    <w:rsid w:val="00D17500"/>
    <w:rsid w:val="00D1758F"/>
    <w:rsid w:val="00D17725"/>
    <w:rsid w:val="00D209B7"/>
    <w:rsid w:val="00D221F0"/>
    <w:rsid w:val="00D223BC"/>
    <w:rsid w:val="00D2294A"/>
    <w:rsid w:val="00D22F3C"/>
    <w:rsid w:val="00D2311E"/>
    <w:rsid w:val="00D232D5"/>
    <w:rsid w:val="00D235BC"/>
    <w:rsid w:val="00D23A37"/>
    <w:rsid w:val="00D23ACD"/>
    <w:rsid w:val="00D23DB6"/>
    <w:rsid w:val="00D23E5C"/>
    <w:rsid w:val="00D2427A"/>
    <w:rsid w:val="00D24736"/>
    <w:rsid w:val="00D251B8"/>
    <w:rsid w:val="00D2584F"/>
    <w:rsid w:val="00D25A07"/>
    <w:rsid w:val="00D25CD4"/>
    <w:rsid w:val="00D261A0"/>
    <w:rsid w:val="00D262A5"/>
    <w:rsid w:val="00D2639D"/>
    <w:rsid w:val="00D2786E"/>
    <w:rsid w:val="00D278B5"/>
    <w:rsid w:val="00D27994"/>
    <w:rsid w:val="00D27FB0"/>
    <w:rsid w:val="00D301C0"/>
    <w:rsid w:val="00D302D9"/>
    <w:rsid w:val="00D30515"/>
    <w:rsid w:val="00D3060B"/>
    <w:rsid w:val="00D30C93"/>
    <w:rsid w:val="00D31B36"/>
    <w:rsid w:val="00D31C7E"/>
    <w:rsid w:val="00D3209A"/>
    <w:rsid w:val="00D3218C"/>
    <w:rsid w:val="00D32D3F"/>
    <w:rsid w:val="00D32D70"/>
    <w:rsid w:val="00D33507"/>
    <w:rsid w:val="00D336CF"/>
    <w:rsid w:val="00D336D3"/>
    <w:rsid w:val="00D339E6"/>
    <w:rsid w:val="00D33D01"/>
    <w:rsid w:val="00D33E0F"/>
    <w:rsid w:val="00D33FD1"/>
    <w:rsid w:val="00D34459"/>
    <w:rsid w:val="00D34684"/>
    <w:rsid w:val="00D34AFC"/>
    <w:rsid w:val="00D34C58"/>
    <w:rsid w:val="00D3519B"/>
    <w:rsid w:val="00D3540B"/>
    <w:rsid w:val="00D363FE"/>
    <w:rsid w:val="00D36854"/>
    <w:rsid w:val="00D36A91"/>
    <w:rsid w:val="00D36AE7"/>
    <w:rsid w:val="00D36B6D"/>
    <w:rsid w:val="00D36CE9"/>
    <w:rsid w:val="00D37124"/>
    <w:rsid w:val="00D372A8"/>
    <w:rsid w:val="00D3784F"/>
    <w:rsid w:val="00D3787D"/>
    <w:rsid w:val="00D400FF"/>
    <w:rsid w:val="00D403F4"/>
    <w:rsid w:val="00D408C9"/>
    <w:rsid w:val="00D40B72"/>
    <w:rsid w:val="00D40CA7"/>
    <w:rsid w:val="00D40DF0"/>
    <w:rsid w:val="00D411EF"/>
    <w:rsid w:val="00D41207"/>
    <w:rsid w:val="00D4122C"/>
    <w:rsid w:val="00D412E3"/>
    <w:rsid w:val="00D41351"/>
    <w:rsid w:val="00D414B8"/>
    <w:rsid w:val="00D41530"/>
    <w:rsid w:val="00D41575"/>
    <w:rsid w:val="00D4158A"/>
    <w:rsid w:val="00D41748"/>
    <w:rsid w:val="00D417D7"/>
    <w:rsid w:val="00D41ECC"/>
    <w:rsid w:val="00D42D86"/>
    <w:rsid w:val="00D43269"/>
    <w:rsid w:val="00D4350B"/>
    <w:rsid w:val="00D43564"/>
    <w:rsid w:val="00D43870"/>
    <w:rsid w:val="00D439B0"/>
    <w:rsid w:val="00D43B56"/>
    <w:rsid w:val="00D43CEA"/>
    <w:rsid w:val="00D43ECF"/>
    <w:rsid w:val="00D43FE6"/>
    <w:rsid w:val="00D4428F"/>
    <w:rsid w:val="00D44876"/>
    <w:rsid w:val="00D44E9F"/>
    <w:rsid w:val="00D44F0D"/>
    <w:rsid w:val="00D4505E"/>
    <w:rsid w:val="00D455C8"/>
    <w:rsid w:val="00D45861"/>
    <w:rsid w:val="00D461F3"/>
    <w:rsid w:val="00D4662D"/>
    <w:rsid w:val="00D46C1D"/>
    <w:rsid w:val="00D47061"/>
    <w:rsid w:val="00D4748D"/>
    <w:rsid w:val="00D4759F"/>
    <w:rsid w:val="00D4762F"/>
    <w:rsid w:val="00D47A54"/>
    <w:rsid w:val="00D47B7D"/>
    <w:rsid w:val="00D47C8C"/>
    <w:rsid w:val="00D5072D"/>
    <w:rsid w:val="00D50A1E"/>
    <w:rsid w:val="00D50D47"/>
    <w:rsid w:val="00D51285"/>
    <w:rsid w:val="00D513A5"/>
    <w:rsid w:val="00D5174A"/>
    <w:rsid w:val="00D51A95"/>
    <w:rsid w:val="00D52950"/>
    <w:rsid w:val="00D52B25"/>
    <w:rsid w:val="00D531CC"/>
    <w:rsid w:val="00D538DA"/>
    <w:rsid w:val="00D53A80"/>
    <w:rsid w:val="00D53A95"/>
    <w:rsid w:val="00D53E4B"/>
    <w:rsid w:val="00D53E84"/>
    <w:rsid w:val="00D54BBA"/>
    <w:rsid w:val="00D5512F"/>
    <w:rsid w:val="00D551A0"/>
    <w:rsid w:val="00D5524F"/>
    <w:rsid w:val="00D55444"/>
    <w:rsid w:val="00D557C0"/>
    <w:rsid w:val="00D55D42"/>
    <w:rsid w:val="00D56360"/>
    <w:rsid w:val="00D56464"/>
    <w:rsid w:val="00D56497"/>
    <w:rsid w:val="00D566CE"/>
    <w:rsid w:val="00D56807"/>
    <w:rsid w:val="00D57569"/>
    <w:rsid w:val="00D57A2B"/>
    <w:rsid w:val="00D57A47"/>
    <w:rsid w:val="00D57BD6"/>
    <w:rsid w:val="00D57D9A"/>
    <w:rsid w:val="00D604D0"/>
    <w:rsid w:val="00D60568"/>
    <w:rsid w:val="00D607B8"/>
    <w:rsid w:val="00D608CE"/>
    <w:rsid w:val="00D60ADA"/>
    <w:rsid w:val="00D60D01"/>
    <w:rsid w:val="00D60DE3"/>
    <w:rsid w:val="00D60EC0"/>
    <w:rsid w:val="00D6107C"/>
    <w:rsid w:val="00D611A1"/>
    <w:rsid w:val="00D61351"/>
    <w:rsid w:val="00D614CF"/>
    <w:rsid w:val="00D61561"/>
    <w:rsid w:val="00D616BF"/>
    <w:rsid w:val="00D61C4C"/>
    <w:rsid w:val="00D61E64"/>
    <w:rsid w:val="00D61FEE"/>
    <w:rsid w:val="00D62737"/>
    <w:rsid w:val="00D62783"/>
    <w:rsid w:val="00D62920"/>
    <w:rsid w:val="00D62A53"/>
    <w:rsid w:val="00D63380"/>
    <w:rsid w:val="00D636CE"/>
    <w:rsid w:val="00D638B5"/>
    <w:rsid w:val="00D63BA0"/>
    <w:rsid w:val="00D63C12"/>
    <w:rsid w:val="00D63D76"/>
    <w:rsid w:val="00D63DC2"/>
    <w:rsid w:val="00D63EC8"/>
    <w:rsid w:val="00D64299"/>
    <w:rsid w:val="00D644C1"/>
    <w:rsid w:val="00D6468C"/>
    <w:rsid w:val="00D65238"/>
    <w:rsid w:val="00D6570C"/>
    <w:rsid w:val="00D65E8E"/>
    <w:rsid w:val="00D66264"/>
    <w:rsid w:val="00D66DDD"/>
    <w:rsid w:val="00D67002"/>
    <w:rsid w:val="00D67477"/>
    <w:rsid w:val="00D67540"/>
    <w:rsid w:val="00D67743"/>
    <w:rsid w:val="00D67B05"/>
    <w:rsid w:val="00D67C17"/>
    <w:rsid w:val="00D703A3"/>
    <w:rsid w:val="00D703ED"/>
    <w:rsid w:val="00D70625"/>
    <w:rsid w:val="00D70635"/>
    <w:rsid w:val="00D70C7A"/>
    <w:rsid w:val="00D70E3D"/>
    <w:rsid w:val="00D70F1E"/>
    <w:rsid w:val="00D7134A"/>
    <w:rsid w:val="00D71686"/>
    <w:rsid w:val="00D71B61"/>
    <w:rsid w:val="00D71F12"/>
    <w:rsid w:val="00D71F40"/>
    <w:rsid w:val="00D7200B"/>
    <w:rsid w:val="00D72430"/>
    <w:rsid w:val="00D726B7"/>
    <w:rsid w:val="00D72A59"/>
    <w:rsid w:val="00D72D3C"/>
    <w:rsid w:val="00D72F16"/>
    <w:rsid w:val="00D72FE2"/>
    <w:rsid w:val="00D73003"/>
    <w:rsid w:val="00D738B6"/>
    <w:rsid w:val="00D74111"/>
    <w:rsid w:val="00D742AD"/>
    <w:rsid w:val="00D74A06"/>
    <w:rsid w:val="00D76013"/>
    <w:rsid w:val="00D7605C"/>
    <w:rsid w:val="00D76441"/>
    <w:rsid w:val="00D768D9"/>
    <w:rsid w:val="00D76D8A"/>
    <w:rsid w:val="00D77808"/>
    <w:rsid w:val="00D77856"/>
    <w:rsid w:val="00D77A76"/>
    <w:rsid w:val="00D80246"/>
    <w:rsid w:val="00D80CCF"/>
    <w:rsid w:val="00D80CF1"/>
    <w:rsid w:val="00D80F33"/>
    <w:rsid w:val="00D81507"/>
    <w:rsid w:val="00D815D5"/>
    <w:rsid w:val="00D8181E"/>
    <w:rsid w:val="00D81D38"/>
    <w:rsid w:val="00D81EDA"/>
    <w:rsid w:val="00D82233"/>
    <w:rsid w:val="00D82BAB"/>
    <w:rsid w:val="00D83570"/>
    <w:rsid w:val="00D83712"/>
    <w:rsid w:val="00D8378C"/>
    <w:rsid w:val="00D83DDA"/>
    <w:rsid w:val="00D8403D"/>
    <w:rsid w:val="00D840FF"/>
    <w:rsid w:val="00D845CD"/>
    <w:rsid w:val="00D84889"/>
    <w:rsid w:val="00D84AFD"/>
    <w:rsid w:val="00D84E7C"/>
    <w:rsid w:val="00D8536C"/>
    <w:rsid w:val="00D853D8"/>
    <w:rsid w:val="00D856AC"/>
    <w:rsid w:val="00D85A29"/>
    <w:rsid w:val="00D85FC0"/>
    <w:rsid w:val="00D866E0"/>
    <w:rsid w:val="00D8673B"/>
    <w:rsid w:val="00D86AD6"/>
    <w:rsid w:val="00D86F69"/>
    <w:rsid w:val="00D8761C"/>
    <w:rsid w:val="00D87A1D"/>
    <w:rsid w:val="00D87C96"/>
    <w:rsid w:val="00D908B8"/>
    <w:rsid w:val="00D90C38"/>
    <w:rsid w:val="00D90F7F"/>
    <w:rsid w:val="00D91443"/>
    <w:rsid w:val="00D916B0"/>
    <w:rsid w:val="00D91888"/>
    <w:rsid w:val="00D919BA"/>
    <w:rsid w:val="00D9247A"/>
    <w:rsid w:val="00D92578"/>
    <w:rsid w:val="00D934CA"/>
    <w:rsid w:val="00D9362A"/>
    <w:rsid w:val="00D93877"/>
    <w:rsid w:val="00D93D31"/>
    <w:rsid w:val="00D942A1"/>
    <w:rsid w:val="00D95178"/>
    <w:rsid w:val="00D9546F"/>
    <w:rsid w:val="00D954C1"/>
    <w:rsid w:val="00D95595"/>
    <w:rsid w:val="00D958E5"/>
    <w:rsid w:val="00D95CF2"/>
    <w:rsid w:val="00D9620E"/>
    <w:rsid w:val="00D963C5"/>
    <w:rsid w:val="00D96903"/>
    <w:rsid w:val="00D96930"/>
    <w:rsid w:val="00D96A7C"/>
    <w:rsid w:val="00D97088"/>
    <w:rsid w:val="00D9737D"/>
    <w:rsid w:val="00D97436"/>
    <w:rsid w:val="00D9797E"/>
    <w:rsid w:val="00D97CA6"/>
    <w:rsid w:val="00DA0031"/>
    <w:rsid w:val="00DA0458"/>
    <w:rsid w:val="00DA0658"/>
    <w:rsid w:val="00DA06FC"/>
    <w:rsid w:val="00DA0AE7"/>
    <w:rsid w:val="00DA0D6E"/>
    <w:rsid w:val="00DA10A8"/>
    <w:rsid w:val="00DA10C8"/>
    <w:rsid w:val="00DA13B2"/>
    <w:rsid w:val="00DA1C3B"/>
    <w:rsid w:val="00DA2173"/>
    <w:rsid w:val="00DA23DA"/>
    <w:rsid w:val="00DA2946"/>
    <w:rsid w:val="00DA2A56"/>
    <w:rsid w:val="00DA2C9E"/>
    <w:rsid w:val="00DA2DE8"/>
    <w:rsid w:val="00DA31A0"/>
    <w:rsid w:val="00DA32C1"/>
    <w:rsid w:val="00DA337F"/>
    <w:rsid w:val="00DA352B"/>
    <w:rsid w:val="00DA3767"/>
    <w:rsid w:val="00DA377A"/>
    <w:rsid w:val="00DA3B5A"/>
    <w:rsid w:val="00DA3D8F"/>
    <w:rsid w:val="00DA40AB"/>
    <w:rsid w:val="00DA501D"/>
    <w:rsid w:val="00DA50A9"/>
    <w:rsid w:val="00DA5144"/>
    <w:rsid w:val="00DA55F6"/>
    <w:rsid w:val="00DA572E"/>
    <w:rsid w:val="00DA57F7"/>
    <w:rsid w:val="00DA5A27"/>
    <w:rsid w:val="00DA5A32"/>
    <w:rsid w:val="00DA5AA4"/>
    <w:rsid w:val="00DA5AE3"/>
    <w:rsid w:val="00DA5D02"/>
    <w:rsid w:val="00DA5D72"/>
    <w:rsid w:val="00DA5E04"/>
    <w:rsid w:val="00DA60B9"/>
    <w:rsid w:val="00DA6833"/>
    <w:rsid w:val="00DA6AA2"/>
    <w:rsid w:val="00DA6CD8"/>
    <w:rsid w:val="00DA7997"/>
    <w:rsid w:val="00DA7A15"/>
    <w:rsid w:val="00DB02BC"/>
    <w:rsid w:val="00DB0932"/>
    <w:rsid w:val="00DB0A4B"/>
    <w:rsid w:val="00DB1766"/>
    <w:rsid w:val="00DB1E08"/>
    <w:rsid w:val="00DB25CD"/>
    <w:rsid w:val="00DB26D7"/>
    <w:rsid w:val="00DB2898"/>
    <w:rsid w:val="00DB2973"/>
    <w:rsid w:val="00DB3709"/>
    <w:rsid w:val="00DB3A93"/>
    <w:rsid w:val="00DB400B"/>
    <w:rsid w:val="00DB42A4"/>
    <w:rsid w:val="00DB448B"/>
    <w:rsid w:val="00DB4AEC"/>
    <w:rsid w:val="00DB5093"/>
    <w:rsid w:val="00DB5453"/>
    <w:rsid w:val="00DB5C11"/>
    <w:rsid w:val="00DB6AC6"/>
    <w:rsid w:val="00DB713F"/>
    <w:rsid w:val="00DB7240"/>
    <w:rsid w:val="00DB7300"/>
    <w:rsid w:val="00DB7508"/>
    <w:rsid w:val="00DB75C6"/>
    <w:rsid w:val="00DB76A8"/>
    <w:rsid w:val="00DB780E"/>
    <w:rsid w:val="00DB7CED"/>
    <w:rsid w:val="00DB7D0F"/>
    <w:rsid w:val="00DC021D"/>
    <w:rsid w:val="00DC03CB"/>
    <w:rsid w:val="00DC05C7"/>
    <w:rsid w:val="00DC090B"/>
    <w:rsid w:val="00DC0A77"/>
    <w:rsid w:val="00DC0B33"/>
    <w:rsid w:val="00DC0DE7"/>
    <w:rsid w:val="00DC114A"/>
    <w:rsid w:val="00DC1382"/>
    <w:rsid w:val="00DC16F0"/>
    <w:rsid w:val="00DC1824"/>
    <w:rsid w:val="00DC18F9"/>
    <w:rsid w:val="00DC1A4F"/>
    <w:rsid w:val="00DC1B56"/>
    <w:rsid w:val="00DC2129"/>
    <w:rsid w:val="00DC226E"/>
    <w:rsid w:val="00DC22C4"/>
    <w:rsid w:val="00DC26D6"/>
    <w:rsid w:val="00DC2967"/>
    <w:rsid w:val="00DC2EC2"/>
    <w:rsid w:val="00DC2F55"/>
    <w:rsid w:val="00DC3383"/>
    <w:rsid w:val="00DC36A7"/>
    <w:rsid w:val="00DC3B63"/>
    <w:rsid w:val="00DC3DFC"/>
    <w:rsid w:val="00DC3E08"/>
    <w:rsid w:val="00DC4958"/>
    <w:rsid w:val="00DC497F"/>
    <w:rsid w:val="00DC49CA"/>
    <w:rsid w:val="00DC4BC5"/>
    <w:rsid w:val="00DC5168"/>
    <w:rsid w:val="00DC548A"/>
    <w:rsid w:val="00DC566F"/>
    <w:rsid w:val="00DC5704"/>
    <w:rsid w:val="00DC5AF5"/>
    <w:rsid w:val="00DC6043"/>
    <w:rsid w:val="00DC62E0"/>
    <w:rsid w:val="00DC6570"/>
    <w:rsid w:val="00DC661F"/>
    <w:rsid w:val="00DC701E"/>
    <w:rsid w:val="00DC7191"/>
    <w:rsid w:val="00DC71BB"/>
    <w:rsid w:val="00DC74A8"/>
    <w:rsid w:val="00DC7631"/>
    <w:rsid w:val="00DC7E8D"/>
    <w:rsid w:val="00DD0320"/>
    <w:rsid w:val="00DD040A"/>
    <w:rsid w:val="00DD0B31"/>
    <w:rsid w:val="00DD1115"/>
    <w:rsid w:val="00DD1647"/>
    <w:rsid w:val="00DD1887"/>
    <w:rsid w:val="00DD18EA"/>
    <w:rsid w:val="00DD1A11"/>
    <w:rsid w:val="00DD1AD6"/>
    <w:rsid w:val="00DD2546"/>
    <w:rsid w:val="00DD2714"/>
    <w:rsid w:val="00DD289E"/>
    <w:rsid w:val="00DD28D1"/>
    <w:rsid w:val="00DD29E1"/>
    <w:rsid w:val="00DD2A02"/>
    <w:rsid w:val="00DD2E7C"/>
    <w:rsid w:val="00DD30B8"/>
    <w:rsid w:val="00DD334F"/>
    <w:rsid w:val="00DD3650"/>
    <w:rsid w:val="00DD376F"/>
    <w:rsid w:val="00DD3906"/>
    <w:rsid w:val="00DD3B16"/>
    <w:rsid w:val="00DD3C5E"/>
    <w:rsid w:val="00DD3D7A"/>
    <w:rsid w:val="00DD436D"/>
    <w:rsid w:val="00DD4376"/>
    <w:rsid w:val="00DD4989"/>
    <w:rsid w:val="00DD4CD6"/>
    <w:rsid w:val="00DD4DEB"/>
    <w:rsid w:val="00DD4F53"/>
    <w:rsid w:val="00DD530C"/>
    <w:rsid w:val="00DD5976"/>
    <w:rsid w:val="00DD5DF4"/>
    <w:rsid w:val="00DD5F46"/>
    <w:rsid w:val="00DD5FDD"/>
    <w:rsid w:val="00DD60EE"/>
    <w:rsid w:val="00DD64BD"/>
    <w:rsid w:val="00DD6620"/>
    <w:rsid w:val="00DD66CD"/>
    <w:rsid w:val="00DD66E6"/>
    <w:rsid w:val="00DD681E"/>
    <w:rsid w:val="00DD6834"/>
    <w:rsid w:val="00DD6EE4"/>
    <w:rsid w:val="00DD6F16"/>
    <w:rsid w:val="00DD7D9A"/>
    <w:rsid w:val="00DD7E00"/>
    <w:rsid w:val="00DE0056"/>
    <w:rsid w:val="00DE01EA"/>
    <w:rsid w:val="00DE01EC"/>
    <w:rsid w:val="00DE0CDB"/>
    <w:rsid w:val="00DE123E"/>
    <w:rsid w:val="00DE1BD0"/>
    <w:rsid w:val="00DE1DB8"/>
    <w:rsid w:val="00DE1E63"/>
    <w:rsid w:val="00DE2148"/>
    <w:rsid w:val="00DE25A1"/>
    <w:rsid w:val="00DE2978"/>
    <w:rsid w:val="00DE2C71"/>
    <w:rsid w:val="00DE3367"/>
    <w:rsid w:val="00DE34FC"/>
    <w:rsid w:val="00DE358C"/>
    <w:rsid w:val="00DE38B1"/>
    <w:rsid w:val="00DE3AA1"/>
    <w:rsid w:val="00DE3E8E"/>
    <w:rsid w:val="00DE41EF"/>
    <w:rsid w:val="00DE4233"/>
    <w:rsid w:val="00DE42E1"/>
    <w:rsid w:val="00DE45F6"/>
    <w:rsid w:val="00DE4BE8"/>
    <w:rsid w:val="00DE4C03"/>
    <w:rsid w:val="00DE4D26"/>
    <w:rsid w:val="00DE5404"/>
    <w:rsid w:val="00DE5AC7"/>
    <w:rsid w:val="00DE5BC8"/>
    <w:rsid w:val="00DE5C4B"/>
    <w:rsid w:val="00DE5DE7"/>
    <w:rsid w:val="00DE5E4D"/>
    <w:rsid w:val="00DE5E9A"/>
    <w:rsid w:val="00DE5EBB"/>
    <w:rsid w:val="00DE5F78"/>
    <w:rsid w:val="00DE636C"/>
    <w:rsid w:val="00DE6520"/>
    <w:rsid w:val="00DE66DA"/>
    <w:rsid w:val="00DE6B8D"/>
    <w:rsid w:val="00DE7055"/>
    <w:rsid w:val="00DE70DE"/>
    <w:rsid w:val="00DE7192"/>
    <w:rsid w:val="00DE7577"/>
    <w:rsid w:val="00DE77BA"/>
    <w:rsid w:val="00DE789D"/>
    <w:rsid w:val="00DE7F07"/>
    <w:rsid w:val="00DE7FAA"/>
    <w:rsid w:val="00DE7FCF"/>
    <w:rsid w:val="00DF0A8F"/>
    <w:rsid w:val="00DF1E23"/>
    <w:rsid w:val="00DF1ED3"/>
    <w:rsid w:val="00DF1F13"/>
    <w:rsid w:val="00DF20B8"/>
    <w:rsid w:val="00DF2116"/>
    <w:rsid w:val="00DF2135"/>
    <w:rsid w:val="00DF22C2"/>
    <w:rsid w:val="00DF25C3"/>
    <w:rsid w:val="00DF2670"/>
    <w:rsid w:val="00DF27BF"/>
    <w:rsid w:val="00DF2843"/>
    <w:rsid w:val="00DF288A"/>
    <w:rsid w:val="00DF29C6"/>
    <w:rsid w:val="00DF2EFE"/>
    <w:rsid w:val="00DF301A"/>
    <w:rsid w:val="00DF35C4"/>
    <w:rsid w:val="00DF3714"/>
    <w:rsid w:val="00DF3FF7"/>
    <w:rsid w:val="00DF41EF"/>
    <w:rsid w:val="00DF4228"/>
    <w:rsid w:val="00DF4A66"/>
    <w:rsid w:val="00DF4F85"/>
    <w:rsid w:val="00DF5381"/>
    <w:rsid w:val="00DF5A3E"/>
    <w:rsid w:val="00DF5AA6"/>
    <w:rsid w:val="00DF605C"/>
    <w:rsid w:val="00DF6186"/>
    <w:rsid w:val="00DF62D9"/>
    <w:rsid w:val="00DF638A"/>
    <w:rsid w:val="00DF6405"/>
    <w:rsid w:val="00DF6458"/>
    <w:rsid w:val="00DF65AB"/>
    <w:rsid w:val="00DF6746"/>
    <w:rsid w:val="00DF6835"/>
    <w:rsid w:val="00DF68D2"/>
    <w:rsid w:val="00DF6B98"/>
    <w:rsid w:val="00DF6D6E"/>
    <w:rsid w:val="00DF6DE2"/>
    <w:rsid w:val="00DF6EA0"/>
    <w:rsid w:val="00DF6F88"/>
    <w:rsid w:val="00DF6FB1"/>
    <w:rsid w:val="00DF715E"/>
    <w:rsid w:val="00DF722A"/>
    <w:rsid w:val="00DF77DE"/>
    <w:rsid w:val="00DF7E35"/>
    <w:rsid w:val="00E000EB"/>
    <w:rsid w:val="00E00FF2"/>
    <w:rsid w:val="00E0103C"/>
    <w:rsid w:val="00E018D4"/>
    <w:rsid w:val="00E019BB"/>
    <w:rsid w:val="00E01DCC"/>
    <w:rsid w:val="00E0200F"/>
    <w:rsid w:val="00E02744"/>
    <w:rsid w:val="00E027E0"/>
    <w:rsid w:val="00E028A1"/>
    <w:rsid w:val="00E02FE1"/>
    <w:rsid w:val="00E02FFD"/>
    <w:rsid w:val="00E0357F"/>
    <w:rsid w:val="00E03B48"/>
    <w:rsid w:val="00E03C17"/>
    <w:rsid w:val="00E03F12"/>
    <w:rsid w:val="00E04062"/>
    <w:rsid w:val="00E0438E"/>
    <w:rsid w:val="00E04B0D"/>
    <w:rsid w:val="00E05051"/>
    <w:rsid w:val="00E05364"/>
    <w:rsid w:val="00E0560B"/>
    <w:rsid w:val="00E059C9"/>
    <w:rsid w:val="00E05CCF"/>
    <w:rsid w:val="00E05D89"/>
    <w:rsid w:val="00E05EBE"/>
    <w:rsid w:val="00E0607C"/>
    <w:rsid w:val="00E063C6"/>
    <w:rsid w:val="00E066BA"/>
    <w:rsid w:val="00E06F39"/>
    <w:rsid w:val="00E072B3"/>
    <w:rsid w:val="00E0749F"/>
    <w:rsid w:val="00E07AAE"/>
    <w:rsid w:val="00E07D1C"/>
    <w:rsid w:val="00E103F5"/>
    <w:rsid w:val="00E104AB"/>
    <w:rsid w:val="00E10833"/>
    <w:rsid w:val="00E10985"/>
    <w:rsid w:val="00E10B0E"/>
    <w:rsid w:val="00E11413"/>
    <w:rsid w:val="00E1180D"/>
    <w:rsid w:val="00E11C8D"/>
    <w:rsid w:val="00E12243"/>
    <w:rsid w:val="00E12622"/>
    <w:rsid w:val="00E12977"/>
    <w:rsid w:val="00E12B0D"/>
    <w:rsid w:val="00E12FD3"/>
    <w:rsid w:val="00E13E1E"/>
    <w:rsid w:val="00E13FAB"/>
    <w:rsid w:val="00E143A0"/>
    <w:rsid w:val="00E14A7F"/>
    <w:rsid w:val="00E14E35"/>
    <w:rsid w:val="00E1583F"/>
    <w:rsid w:val="00E15D1C"/>
    <w:rsid w:val="00E161B0"/>
    <w:rsid w:val="00E16439"/>
    <w:rsid w:val="00E166B1"/>
    <w:rsid w:val="00E1694F"/>
    <w:rsid w:val="00E16A08"/>
    <w:rsid w:val="00E16D46"/>
    <w:rsid w:val="00E1709D"/>
    <w:rsid w:val="00E17225"/>
    <w:rsid w:val="00E17492"/>
    <w:rsid w:val="00E17659"/>
    <w:rsid w:val="00E1771F"/>
    <w:rsid w:val="00E179F8"/>
    <w:rsid w:val="00E2003B"/>
    <w:rsid w:val="00E20139"/>
    <w:rsid w:val="00E203C2"/>
    <w:rsid w:val="00E20563"/>
    <w:rsid w:val="00E20A16"/>
    <w:rsid w:val="00E20B70"/>
    <w:rsid w:val="00E20BCB"/>
    <w:rsid w:val="00E20C37"/>
    <w:rsid w:val="00E20EC5"/>
    <w:rsid w:val="00E20F92"/>
    <w:rsid w:val="00E2122D"/>
    <w:rsid w:val="00E2133E"/>
    <w:rsid w:val="00E213FE"/>
    <w:rsid w:val="00E2143E"/>
    <w:rsid w:val="00E21639"/>
    <w:rsid w:val="00E219D3"/>
    <w:rsid w:val="00E220B7"/>
    <w:rsid w:val="00E2222F"/>
    <w:rsid w:val="00E2271D"/>
    <w:rsid w:val="00E2297C"/>
    <w:rsid w:val="00E22A19"/>
    <w:rsid w:val="00E22D2E"/>
    <w:rsid w:val="00E23670"/>
    <w:rsid w:val="00E23790"/>
    <w:rsid w:val="00E23D50"/>
    <w:rsid w:val="00E23D67"/>
    <w:rsid w:val="00E242CB"/>
    <w:rsid w:val="00E24747"/>
    <w:rsid w:val="00E24898"/>
    <w:rsid w:val="00E24C21"/>
    <w:rsid w:val="00E24FF8"/>
    <w:rsid w:val="00E25289"/>
    <w:rsid w:val="00E2558C"/>
    <w:rsid w:val="00E25598"/>
    <w:rsid w:val="00E25658"/>
    <w:rsid w:val="00E259DA"/>
    <w:rsid w:val="00E25B6E"/>
    <w:rsid w:val="00E25CB1"/>
    <w:rsid w:val="00E25F0E"/>
    <w:rsid w:val="00E26166"/>
    <w:rsid w:val="00E2631A"/>
    <w:rsid w:val="00E26745"/>
    <w:rsid w:val="00E2694E"/>
    <w:rsid w:val="00E26CC0"/>
    <w:rsid w:val="00E26CEA"/>
    <w:rsid w:val="00E2744B"/>
    <w:rsid w:val="00E275D8"/>
    <w:rsid w:val="00E279D8"/>
    <w:rsid w:val="00E27AA1"/>
    <w:rsid w:val="00E27C01"/>
    <w:rsid w:val="00E30432"/>
    <w:rsid w:val="00E31036"/>
    <w:rsid w:val="00E31220"/>
    <w:rsid w:val="00E31255"/>
    <w:rsid w:val="00E315F3"/>
    <w:rsid w:val="00E319B1"/>
    <w:rsid w:val="00E324A4"/>
    <w:rsid w:val="00E326FB"/>
    <w:rsid w:val="00E32A5C"/>
    <w:rsid w:val="00E32A70"/>
    <w:rsid w:val="00E32AA9"/>
    <w:rsid w:val="00E32FE8"/>
    <w:rsid w:val="00E32FEA"/>
    <w:rsid w:val="00E334A7"/>
    <w:rsid w:val="00E3365B"/>
    <w:rsid w:val="00E33823"/>
    <w:rsid w:val="00E34549"/>
    <w:rsid w:val="00E34952"/>
    <w:rsid w:val="00E34A93"/>
    <w:rsid w:val="00E34C66"/>
    <w:rsid w:val="00E352F9"/>
    <w:rsid w:val="00E355F2"/>
    <w:rsid w:val="00E356A3"/>
    <w:rsid w:val="00E357D9"/>
    <w:rsid w:val="00E35875"/>
    <w:rsid w:val="00E35CB3"/>
    <w:rsid w:val="00E35DAB"/>
    <w:rsid w:val="00E36128"/>
    <w:rsid w:val="00E367E7"/>
    <w:rsid w:val="00E37084"/>
    <w:rsid w:val="00E37245"/>
    <w:rsid w:val="00E37630"/>
    <w:rsid w:val="00E37F3A"/>
    <w:rsid w:val="00E401AB"/>
    <w:rsid w:val="00E402C7"/>
    <w:rsid w:val="00E40B95"/>
    <w:rsid w:val="00E4124A"/>
    <w:rsid w:val="00E416EA"/>
    <w:rsid w:val="00E4181C"/>
    <w:rsid w:val="00E41994"/>
    <w:rsid w:val="00E421F3"/>
    <w:rsid w:val="00E422A0"/>
    <w:rsid w:val="00E42B80"/>
    <w:rsid w:val="00E42C47"/>
    <w:rsid w:val="00E43289"/>
    <w:rsid w:val="00E44647"/>
    <w:rsid w:val="00E44E0D"/>
    <w:rsid w:val="00E45273"/>
    <w:rsid w:val="00E457FB"/>
    <w:rsid w:val="00E45F9B"/>
    <w:rsid w:val="00E46864"/>
    <w:rsid w:val="00E468B8"/>
    <w:rsid w:val="00E46DFC"/>
    <w:rsid w:val="00E46FED"/>
    <w:rsid w:val="00E47127"/>
    <w:rsid w:val="00E47A0E"/>
    <w:rsid w:val="00E500DC"/>
    <w:rsid w:val="00E50736"/>
    <w:rsid w:val="00E50BF6"/>
    <w:rsid w:val="00E50CC3"/>
    <w:rsid w:val="00E50D28"/>
    <w:rsid w:val="00E50F91"/>
    <w:rsid w:val="00E51058"/>
    <w:rsid w:val="00E5122B"/>
    <w:rsid w:val="00E512AB"/>
    <w:rsid w:val="00E51DE9"/>
    <w:rsid w:val="00E52CD2"/>
    <w:rsid w:val="00E52F50"/>
    <w:rsid w:val="00E53DA6"/>
    <w:rsid w:val="00E53E0B"/>
    <w:rsid w:val="00E54909"/>
    <w:rsid w:val="00E5492F"/>
    <w:rsid w:val="00E54A3D"/>
    <w:rsid w:val="00E54F95"/>
    <w:rsid w:val="00E55179"/>
    <w:rsid w:val="00E553CD"/>
    <w:rsid w:val="00E5563B"/>
    <w:rsid w:val="00E55D5B"/>
    <w:rsid w:val="00E565D2"/>
    <w:rsid w:val="00E5685A"/>
    <w:rsid w:val="00E5694D"/>
    <w:rsid w:val="00E57155"/>
    <w:rsid w:val="00E57243"/>
    <w:rsid w:val="00E577C4"/>
    <w:rsid w:val="00E57F6E"/>
    <w:rsid w:val="00E57FA5"/>
    <w:rsid w:val="00E60261"/>
    <w:rsid w:val="00E6049D"/>
    <w:rsid w:val="00E60865"/>
    <w:rsid w:val="00E611C6"/>
    <w:rsid w:val="00E612F1"/>
    <w:rsid w:val="00E61AC0"/>
    <w:rsid w:val="00E61C70"/>
    <w:rsid w:val="00E62719"/>
    <w:rsid w:val="00E62BED"/>
    <w:rsid w:val="00E62DEF"/>
    <w:rsid w:val="00E62E25"/>
    <w:rsid w:val="00E62E7A"/>
    <w:rsid w:val="00E6305F"/>
    <w:rsid w:val="00E6366F"/>
    <w:rsid w:val="00E63C3A"/>
    <w:rsid w:val="00E63F75"/>
    <w:rsid w:val="00E6426E"/>
    <w:rsid w:val="00E64873"/>
    <w:rsid w:val="00E64DC4"/>
    <w:rsid w:val="00E6516F"/>
    <w:rsid w:val="00E654F9"/>
    <w:rsid w:val="00E65ACB"/>
    <w:rsid w:val="00E65AF4"/>
    <w:rsid w:val="00E666E1"/>
    <w:rsid w:val="00E6681C"/>
    <w:rsid w:val="00E66AA6"/>
    <w:rsid w:val="00E66B0E"/>
    <w:rsid w:val="00E66D09"/>
    <w:rsid w:val="00E66D5E"/>
    <w:rsid w:val="00E673F6"/>
    <w:rsid w:val="00E67730"/>
    <w:rsid w:val="00E67828"/>
    <w:rsid w:val="00E679BB"/>
    <w:rsid w:val="00E679E7"/>
    <w:rsid w:val="00E67A8C"/>
    <w:rsid w:val="00E67AD4"/>
    <w:rsid w:val="00E7075A"/>
    <w:rsid w:val="00E707B9"/>
    <w:rsid w:val="00E70A86"/>
    <w:rsid w:val="00E71113"/>
    <w:rsid w:val="00E711D5"/>
    <w:rsid w:val="00E71278"/>
    <w:rsid w:val="00E715E7"/>
    <w:rsid w:val="00E71701"/>
    <w:rsid w:val="00E718AB"/>
    <w:rsid w:val="00E71B8D"/>
    <w:rsid w:val="00E71C89"/>
    <w:rsid w:val="00E71F87"/>
    <w:rsid w:val="00E720AE"/>
    <w:rsid w:val="00E7217D"/>
    <w:rsid w:val="00E72587"/>
    <w:rsid w:val="00E725A2"/>
    <w:rsid w:val="00E735EE"/>
    <w:rsid w:val="00E74088"/>
    <w:rsid w:val="00E74677"/>
    <w:rsid w:val="00E746ED"/>
    <w:rsid w:val="00E74710"/>
    <w:rsid w:val="00E74791"/>
    <w:rsid w:val="00E74B87"/>
    <w:rsid w:val="00E75853"/>
    <w:rsid w:val="00E75A5A"/>
    <w:rsid w:val="00E75C8E"/>
    <w:rsid w:val="00E75F0C"/>
    <w:rsid w:val="00E7646C"/>
    <w:rsid w:val="00E76725"/>
    <w:rsid w:val="00E7682C"/>
    <w:rsid w:val="00E76A29"/>
    <w:rsid w:val="00E76B7C"/>
    <w:rsid w:val="00E76F88"/>
    <w:rsid w:val="00E76FB3"/>
    <w:rsid w:val="00E770D0"/>
    <w:rsid w:val="00E773F8"/>
    <w:rsid w:val="00E775C9"/>
    <w:rsid w:val="00E77741"/>
    <w:rsid w:val="00E777CC"/>
    <w:rsid w:val="00E777EC"/>
    <w:rsid w:val="00E80577"/>
    <w:rsid w:val="00E80FCD"/>
    <w:rsid w:val="00E810AF"/>
    <w:rsid w:val="00E8141A"/>
    <w:rsid w:val="00E8284D"/>
    <w:rsid w:val="00E82CAC"/>
    <w:rsid w:val="00E83694"/>
    <w:rsid w:val="00E83FFB"/>
    <w:rsid w:val="00E84676"/>
    <w:rsid w:val="00E851D7"/>
    <w:rsid w:val="00E8595E"/>
    <w:rsid w:val="00E85B8A"/>
    <w:rsid w:val="00E85F09"/>
    <w:rsid w:val="00E86A38"/>
    <w:rsid w:val="00E86B2A"/>
    <w:rsid w:val="00E876B3"/>
    <w:rsid w:val="00E878FD"/>
    <w:rsid w:val="00E87AF9"/>
    <w:rsid w:val="00E90121"/>
    <w:rsid w:val="00E90541"/>
    <w:rsid w:val="00E90577"/>
    <w:rsid w:val="00E90645"/>
    <w:rsid w:val="00E90F83"/>
    <w:rsid w:val="00E90FFD"/>
    <w:rsid w:val="00E9112A"/>
    <w:rsid w:val="00E9188D"/>
    <w:rsid w:val="00E919E2"/>
    <w:rsid w:val="00E91D01"/>
    <w:rsid w:val="00E91F3E"/>
    <w:rsid w:val="00E929FA"/>
    <w:rsid w:val="00E9370D"/>
    <w:rsid w:val="00E93E0E"/>
    <w:rsid w:val="00E944EF"/>
    <w:rsid w:val="00E94B04"/>
    <w:rsid w:val="00E94FE7"/>
    <w:rsid w:val="00E95B98"/>
    <w:rsid w:val="00E961CF"/>
    <w:rsid w:val="00E96297"/>
    <w:rsid w:val="00E964D1"/>
    <w:rsid w:val="00E96862"/>
    <w:rsid w:val="00E96AD3"/>
    <w:rsid w:val="00E96F10"/>
    <w:rsid w:val="00E970A3"/>
    <w:rsid w:val="00E971C4"/>
    <w:rsid w:val="00E97272"/>
    <w:rsid w:val="00E9797F"/>
    <w:rsid w:val="00E97F25"/>
    <w:rsid w:val="00EA05CE"/>
    <w:rsid w:val="00EA0CC0"/>
    <w:rsid w:val="00EA18F1"/>
    <w:rsid w:val="00EA1BF2"/>
    <w:rsid w:val="00EA1DD2"/>
    <w:rsid w:val="00EA202B"/>
    <w:rsid w:val="00EA2DCC"/>
    <w:rsid w:val="00EA32EC"/>
    <w:rsid w:val="00EA385C"/>
    <w:rsid w:val="00EA3943"/>
    <w:rsid w:val="00EA3BF3"/>
    <w:rsid w:val="00EA3C62"/>
    <w:rsid w:val="00EA3E2E"/>
    <w:rsid w:val="00EA3FEF"/>
    <w:rsid w:val="00EA409F"/>
    <w:rsid w:val="00EA451A"/>
    <w:rsid w:val="00EA48F8"/>
    <w:rsid w:val="00EA4A48"/>
    <w:rsid w:val="00EA4E96"/>
    <w:rsid w:val="00EA509D"/>
    <w:rsid w:val="00EA5103"/>
    <w:rsid w:val="00EA5432"/>
    <w:rsid w:val="00EA5BFA"/>
    <w:rsid w:val="00EA5C90"/>
    <w:rsid w:val="00EA5F52"/>
    <w:rsid w:val="00EA73B7"/>
    <w:rsid w:val="00EA7A63"/>
    <w:rsid w:val="00EA7CB4"/>
    <w:rsid w:val="00EA7F2F"/>
    <w:rsid w:val="00EA7FA1"/>
    <w:rsid w:val="00EB0072"/>
    <w:rsid w:val="00EB089E"/>
    <w:rsid w:val="00EB0D28"/>
    <w:rsid w:val="00EB0F53"/>
    <w:rsid w:val="00EB1761"/>
    <w:rsid w:val="00EB1A63"/>
    <w:rsid w:val="00EB1BBC"/>
    <w:rsid w:val="00EB22B6"/>
    <w:rsid w:val="00EB2312"/>
    <w:rsid w:val="00EB27CF"/>
    <w:rsid w:val="00EB2916"/>
    <w:rsid w:val="00EB339B"/>
    <w:rsid w:val="00EB3418"/>
    <w:rsid w:val="00EB3B66"/>
    <w:rsid w:val="00EB3C5A"/>
    <w:rsid w:val="00EB44D6"/>
    <w:rsid w:val="00EB45C8"/>
    <w:rsid w:val="00EB4A3D"/>
    <w:rsid w:val="00EB4CB4"/>
    <w:rsid w:val="00EB5423"/>
    <w:rsid w:val="00EB55B6"/>
    <w:rsid w:val="00EB56A6"/>
    <w:rsid w:val="00EB5CED"/>
    <w:rsid w:val="00EB6676"/>
    <w:rsid w:val="00EB69CB"/>
    <w:rsid w:val="00EB6A40"/>
    <w:rsid w:val="00EB6B82"/>
    <w:rsid w:val="00EB73BE"/>
    <w:rsid w:val="00EB73D0"/>
    <w:rsid w:val="00EB774B"/>
    <w:rsid w:val="00EB7C3D"/>
    <w:rsid w:val="00EBC269"/>
    <w:rsid w:val="00EC00DE"/>
    <w:rsid w:val="00EC1F42"/>
    <w:rsid w:val="00EC21C8"/>
    <w:rsid w:val="00EC27FC"/>
    <w:rsid w:val="00EC30E1"/>
    <w:rsid w:val="00EC3855"/>
    <w:rsid w:val="00EC38A7"/>
    <w:rsid w:val="00EC3AD7"/>
    <w:rsid w:val="00EC406A"/>
    <w:rsid w:val="00EC41ED"/>
    <w:rsid w:val="00EC451A"/>
    <w:rsid w:val="00EC4778"/>
    <w:rsid w:val="00EC524A"/>
    <w:rsid w:val="00EC5CB5"/>
    <w:rsid w:val="00EC6591"/>
    <w:rsid w:val="00EC6837"/>
    <w:rsid w:val="00EC68E9"/>
    <w:rsid w:val="00EC69C2"/>
    <w:rsid w:val="00EC6A73"/>
    <w:rsid w:val="00EC6DDD"/>
    <w:rsid w:val="00EC705B"/>
    <w:rsid w:val="00EC7229"/>
    <w:rsid w:val="00EC75DE"/>
    <w:rsid w:val="00EC7800"/>
    <w:rsid w:val="00EC7F62"/>
    <w:rsid w:val="00ED00CD"/>
    <w:rsid w:val="00ED08B1"/>
    <w:rsid w:val="00ED0C7D"/>
    <w:rsid w:val="00ED1480"/>
    <w:rsid w:val="00ED172A"/>
    <w:rsid w:val="00ED1803"/>
    <w:rsid w:val="00ED2425"/>
    <w:rsid w:val="00ED29E0"/>
    <w:rsid w:val="00ED2DA5"/>
    <w:rsid w:val="00ED2DBC"/>
    <w:rsid w:val="00ED2F3D"/>
    <w:rsid w:val="00ED2F89"/>
    <w:rsid w:val="00ED3030"/>
    <w:rsid w:val="00ED320B"/>
    <w:rsid w:val="00ED43CF"/>
    <w:rsid w:val="00ED44E9"/>
    <w:rsid w:val="00ED4532"/>
    <w:rsid w:val="00ED48E7"/>
    <w:rsid w:val="00ED493E"/>
    <w:rsid w:val="00ED4CCE"/>
    <w:rsid w:val="00ED4DDF"/>
    <w:rsid w:val="00ED56DD"/>
    <w:rsid w:val="00ED58F2"/>
    <w:rsid w:val="00ED5931"/>
    <w:rsid w:val="00ED5A30"/>
    <w:rsid w:val="00ED5AD2"/>
    <w:rsid w:val="00ED5BD2"/>
    <w:rsid w:val="00ED60A2"/>
    <w:rsid w:val="00ED7501"/>
    <w:rsid w:val="00ED77DD"/>
    <w:rsid w:val="00ED7EFF"/>
    <w:rsid w:val="00EE01A5"/>
    <w:rsid w:val="00EE0338"/>
    <w:rsid w:val="00EE0344"/>
    <w:rsid w:val="00EE0505"/>
    <w:rsid w:val="00EE06AB"/>
    <w:rsid w:val="00EE0777"/>
    <w:rsid w:val="00EE14F0"/>
    <w:rsid w:val="00EE1788"/>
    <w:rsid w:val="00EE1A8E"/>
    <w:rsid w:val="00EE21B5"/>
    <w:rsid w:val="00EE2374"/>
    <w:rsid w:val="00EE23F6"/>
    <w:rsid w:val="00EE246C"/>
    <w:rsid w:val="00EE270C"/>
    <w:rsid w:val="00EE2974"/>
    <w:rsid w:val="00EE29EC"/>
    <w:rsid w:val="00EE379B"/>
    <w:rsid w:val="00EE3C20"/>
    <w:rsid w:val="00EE3F5C"/>
    <w:rsid w:val="00EE3F97"/>
    <w:rsid w:val="00EE40C1"/>
    <w:rsid w:val="00EE40C3"/>
    <w:rsid w:val="00EE4283"/>
    <w:rsid w:val="00EE43D7"/>
    <w:rsid w:val="00EE4469"/>
    <w:rsid w:val="00EE4A86"/>
    <w:rsid w:val="00EE4D48"/>
    <w:rsid w:val="00EE4DAE"/>
    <w:rsid w:val="00EE5A22"/>
    <w:rsid w:val="00EE5C58"/>
    <w:rsid w:val="00EE5C87"/>
    <w:rsid w:val="00EE5F21"/>
    <w:rsid w:val="00EE617C"/>
    <w:rsid w:val="00EE6302"/>
    <w:rsid w:val="00EE6653"/>
    <w:rsid w:val="00EE69D3"/>
    <w:rsid w:val="00EE6D46"/>
    <w:rsid w:val="00EE7D84"/>
    <w:rsid w:val="00EF002B"/>
    <w:rsid w:val="00EF04E2"/>
    <w:rsid w:val="00EF0639"/>
    <w:rsid w:val="00EF0E22"/>
    <w:rsid w:val="00EF10D7"/>
    <w:rsid w:val="00EF132B"/>
    <w:rsid w:val="00EF23E9"/>
    <w:rsid w:val="00EF2966"/>
    <w:rsid w:val="00EF393A"/>
    <w:rsid w:val="00EF3BB0"/>
    <w:rsid w:val="00EF3CA0"/>
    <w:rsid w:val="00EF499C"/>
    <w:rsid w:val="00EF50BD"/>
    <w:rsid w:val="00EF51D0"/>
    <w:rsid w:val="00EF53A6"/>
    <w:rsid w:val="00EF53E3"/>
    <w:rsid w:val="00EF6520"/>
    <w:rsid w:val="00EF7020"/>
    <w:rsid w:val="00EF759B"/>
    <w:rsid w:val="00EF764B"/>
    <w:rsid w:val="00EF78C1"/>
    <w:rsid w:val="00F00863"/>
    <w:rsid w:val="00F00926"/>
    <w:rsid w:val="00F00A52"/>
    <w:rsid w:val="00F00FAC"/>
    <w:rsid w:val="00F01006"/>
    <w:rsid w:val="00F01776"/>
    <w:rsid w:val="00F01847"/>
    <w:rsid w:val="00F01A2B"/>
    <w:rsid w:val="00F01BA8"/>
    <w:rsid w:val="00F01BDF"/>
    <w:rsid w:val="00F01DCC"/>
    <w:rsid w:val="00F01F6E"/>
    <w:rsid w:val="00F02419"/>
    <w:rsid w:val="00F02B59"/>
    <w:rsid w:val="00F02C40"/>
    <w:rsid w:val="00F0302E"/>
    <w:rsid w:val="00F0317C"/>
    <w:rsid w:val="00F03472"/>
    <w:rsid w:val="00F035C5"/>
    <w:rsid w:val="00F037DF"/>
    <w:rsid w:val="00F03A87"/>
    <w:rsid w:val="00F03C9F"/>
    <w:rsid w:val="00F03D56"/>
    <w:rsid w:val="00F03F19"/>
    <w:rsid w:val="00F042E2"/>
    <w:rsid w:val="00F04515"/>
    <w:rsid w:val="00F04839"/>
    <w:rsid w:val="00F04EEF"/>
    <w:rsid w:val="00F053C0"/>
    <w:rsid w:val="00F05852"/>
    <w:rsid w:val="00F05A61"/>
    <w:rsid w:val="00F06A63"/>
    <w:rsid w:val="00F06CE1"/>
    <w:rsid w:val="00F076BE"/>
    <w:rsid w:val="00F07A86"/>
    <w:rsid w:val="00F07F90"/>
    <w:rsid w:val="00F100FD"/>
    <w:rsid w:val="00F1014C"/>
    <w:rsid w:val="00F103A6"/>
    <w:rsid w:val="00F106BD"/>
    <w:rsid w:val="00F1096D"/>
    <w:rsid w:val="00F10ED7"/>
    <w:rsid w:val="00F11112"/>
    <w:rsid w:val="00F113E1"/>
    <w:rsid w:val="00F1140E"/>
    <w:rsid w:val="00F11CA7"/>
    <w:rsid w:val="00F11F6C"/>
    <w:rsid w:val="00F123F6"/>
    <w:rsid w:val="00F125DB"/>
    <w:rsid w:val="00F12656"/>
    <w:rsid w:val="00F1267D"/>
    <w:rsid w:val="00F12927"/>
    <w:rsid w:val="00F12990"/>
    <w:rsid w:val="00F12AD3"/>
    <w:rsid w:val="00F131C8"/>
    <w:rsid w:val="00F133B8"/>
    <w:rsid w:val="00F134BC"/>
    <w:rsid w:val="00F135D0"/>
    <w:rsid w:val="00F1363F"/>
    <w:rsid w:val="00F13AAD"/>
    <w:rsid w:val="00F13AED"/>
    <w:rsid w:val="00F13B76"/>
    <w:rsid w:val="00F14045"/>
    <w:rsid w:val="00F140F3"/>
    <w:rsid w:val="00F14112"/>
    <w:rsid w:val="00F144B6"/>
    <w:rsid w:val="00F149E8"/>
    <w:rsid w:val="00F14AA1"/>
    <w:rsid w:val="00F14BEC"/>
    <w:rsid w:val="00F14BFA"/>
    <w:rsid w:val="00F14E73"/>
    <w:rsid w:val="00F15985"/>
    <w:rsid w:val="00F16028"/>
    <w:rsid w:val="00F1642B"/>
    <w:rsid w:val="00F167DD"/>
    <w:rsid w:val="00F169E6"/>
    <w:rsid w:val="00F16DE4"/>
    <w:rsid w:val="00F16FA7"/>
    <w:rsid w:val="00F176B1"/>
    <w:rsid w:val="00F17B66"/>
    <w:rsid w:val="00F17ED9"/>
    <w:rsid w:val="00F17F59"/>
    <w:rsid w:val="00F20A25"/>
    <w:rsid w:val="00F20BDE"/>
    <w:rsid w:val="00F20D8C"/>
    <w:rsid w:val="00F20EBF"/>
    <w:rsid w:val="00F213E2"/>
    <w:rsid w:val="00F219E8"/>
    <w:rsid w:val="00F21B26"/>
    <w:rsid w:val="00F224C1"/>
    <w:rsid w:val="00F225C5"/>
    <w:rsid w:val="00F233CD"/>
    <w:rsid w:val="00F234D4"/>
    <w:rsid w:val="00F23BE4"/>
    <w:rsid w:val="00F23F95"/>
    <w:rsid w:val="00F24379"/>
    <w:rsid w:val="00F243BC"/>
    <w:rsid w:val="00F245D4"/>
    <w:rsid w:val="00F247F4"/>
    <w:rsid w:val="00F24CE1"/>
    <w:rsid w:val="00F24DA6"/>
    <w:rsid w:val="00F2505A"/>
    <w:rsid w:val="00F250BA"/>
    <w:rsid w:val="00F2516C"/>
    <w:rsid w:val="00F251E3"/>
    <w:rsid w:val="00F25316"/>
    <w:rsid w:val="00F25773"/>
    <w:rsid w:val="00F2587A"/>
    <w:rsid w:val="00F25AD1"/>
    <w:rsid w:val="00F25CC1"/>
    <w:rsid w:val="00F25CCA"/>
    <w:rsid w:val="00F26E5D"/>
    <w:rsid w:val="00F2756D"/>
    <w:rsid w:val="00F27F77"/>
    <w:rsid w:val="00F27F8E"/>
    <w:rsid w:val="00F27FFD"/>
    <w:rsid w:val="00F3012E"/>
    <w:rsid w:val="00F303B2"/>
    <w:rsid w:val="00F307DF"/>
    <w:rsid w:val="00F308DE"/>
    <w:rsid w:val="00F309A7"/>
    <w:rsid w:val="00F30BF0"/>
    <w:rsid w:val="00F31FA7"/>
    <w:rsid w:val="00F3204D"/>
    <w:rsid w:val="00F32413"/>
    <w:rsid w:val="00F3242C"/>
    <w:rsid w:val="00F324DB"/>
    <w:rsid w:val="00F3285C"/>
    <w:rsid w:val="00F32A8B"/>
    <w:rsid w:val="00F32DB8"/>
    <w:rsid w:val="00F336B4"/>
    <w:rsid w:val="00F33702"/>
    <w:rsid w:val="00F338C4"/>
    <w:rsid w:val="00F33ABD"/>
    <w:rsid w:val="00F33AEC"/>
    <w:rsid w:val="00F33BDA"/>
    <w:rsid w:val="00F33DB8"/>
    <w:rsid w:val="00F343C5"/>
    <w:rsid w:val="00F34794"/>
    <w:rsid w:val="00F34B86"/>
    <w:rsid w:val="00F34CA0"/>
    <w:rsid w:val="00F3549B"/>
    <w:rsid w:val="00F359C3"/>
    <w:rsid w:val="00F359CA"/>
    <w:rsid w:val="00F35BD2"/>
    <w:rsid w:val="00F35FB3"/>
    <w:rsid w:val="00F36048"/>
    <w:rsid w:val="00F36649"/>
    <w:rsid w:val="00F369FA"/>
    <w:rsid w:val="00F36C42"/>
    <w:rsid w:val="00F37153"/>
    <w:rsid w:val="00F3715D"/>
    <w:rsid w:val="00F37183"/>
    <w:rsid w:val="00F3741A"/>
    <w:rsid w:val="00F378FE"/>
    <w:rsid w:val="00F40523"/>
    <w:rsid w:val="00F407A4"/>
    <w:rsid w:val="00F4096E"/>
    <w:rsid w:val="00F40D48"/>
    <w:rsid w:val="00F4110D"/>
    <w:rsid w:val="00F41248"/>
    <w:rsid w:val="00F41250"/>
    <w:rsid w:val="00F414F7"/>
    <w:rsid w:val="00F416F9"/>
    <w:rsid w:val="00F41931"/>
    <w:rsid w:val="00F4206F"/>
    <w:rsid w:val="00F420C8"/>
    <w:rsid w:val="00F425F5"/>
    <w:rsid w:val="00F42A4C"/>
    <w:rsid w:val="00F42B00"/>
    <w:rsid w:val="00F42B65"/>
    <w:rsid w:val="00F42F19"/>
    <w:rsid w:val="00F4307A"/>
    <w:rsid w:val="00F438A5"/>
    <w:rsid w:val="00F438EE"/>
    <w:rsid w:val="00F438F1"/>
    <w:rsid w:val="00F43CF0"/>
    <w:rsid w:val="00F43DED"/>
    <w:rsid w:val="00F44051"/>
    <w:rsid w:val="00F444B0"/>
    <w:rsid w:val="00F44737"/>
    <w:rsid w:val="00F44D95"/>
    <w:rsid w:val="00F44EC0"/>
    <w:rsid w:val="00F44FA6"/>
    <w:rsid w:val="00F45008"/>
    <w:rsid w:val="00F45382"/>
    <w:rsid w:val="00F457A8"/>
    <w:rsid w:val="00F458B0"/>
    <w:rsid w:val="00F459B5"/>
    <w:rsid w:val="00F45C1E"/>
    <w:rsid w:val="00F460E9"/>
    <w:rsid w:val="00F46250"/>
    <w:rsid w:val="00F463BC"/>
    <w:rsid w:val="00F4645D"/>
    <w:rsid w:val="00F46500"/>
    <w:rsid w:val="00F466E5"/>
    <w:rsid w:val="00F46C56"/>
    <w:rsid w:val="00F4720D"/>
    <w:rsid w:val="00F4758A"/>
    <w:rsid w:val="00F47829"/>
    <w:rsid w:val="00F4792C"/>
    <w:rsid w:val="00F47948"/>
    <w:rsid w:val="00F47EA0"/>
    <w:rsid w:val="00F47EBC"/>
    <w:rsid w:val="00F50083"/>
    <w:rsid w:val="00F50DB1"/>
    <w:rsid w:val="00F5131D"/>
    <w:rsid w:val="00F51336"/>
    <w:rsid w:val="00F514B7"/>
    <w:rsid w:val="00F51526"/>
    <w:rsid w:val="00F51C1E"/>
    <w:rsid w:val="00F51D1B"/>
    <w:rsid w:val="00F51F55"/>
    <w:rsid w:val="00F520EB"/>
    <w:rsid w:val="00F521D3"/>
    <w:rsid w:val="00F52701"/>
    <w:rsid w:val="00F53489"/>
    <w:rsid w:val="00F53D22"/>
    <w:rsid w:val="00F54736"/>
    <w:rsid w:val="00F54B41"/>
    <w:rsid w:val="00F54E40"/>
    <w:rsid w:val="00F55C9F"/>
    <w:rsid w:val="00F55EB9"/>
    <w:rsid w:val="00F56766"/>
    <w:rsid w:val="00F56986"/>
    <w:rsid w:val="00F56987"/>
    <w:rsid w:val="00F57145"/>
    <w:rsid w:val="00F57AE5"/>
    <w:rsid w:val="00F57DA9"/>
    <w:rsid w:val="00F6004A"/>
    <w:rsid w:val="00F604AE"/>
    <w:rsid w:val="00F604DE"/>
    <w:rsid w:val="00F60A4C"/>
    <w:rsid w:val="00F60DDF"/>
    <w:rsid w:val="00F61186"/>
    <w:rsid w:val="00F611CC"/>
    <w:rsid w:val="00F615C0"/>
    <w:rsid w:val="00F61636"/>
    <w:rsid w:val="00F61854"/>
    <w:rsid w:val="00F61C05"/>
    <w:rsid w:val="00F61E88"/>
    <w:rsid w:val="00F61FD6"/>
    <w:rsid w:val="00F62597"/>
    <w:rsid w:val="00F625F8"/>
    <w:rsid w:val="00F62867"/>
    <w:rsid w:val="00F62940"/>
    <w:rsid w:val="00F62F68"/>
    <w:rsid w:val="00F63116"/>
    <w:rsid w:val="00F63EC8"/>
    <w:rsid w:val="00F63FEB"/>
    <w:rsid w:val="00F640C4"/>
    <w:rsid w:val="00F641BA"/>
    <w:rsid w:val="00F64B88"/>
    <w:rsid w:val="00F64D84"/>
    <w:rsid w:val="00F654F4"/>
    <w:rsid w:val="00F65785"/>
    <w:rsid w:val="00F658E1"/>
    <w:rsid w:val="00F6602E"/>
    <w:rsid w:val="00F66071"/>
    <w:rsid w:val="00F661F4"/>
    <w:rsid w:val="00F66419"/>
    <w:rsid w:val="00F666D5"/>
    <w:rsid w:val="00F66A01"/>
    <w:rsid w:val="00F66AA8"/>
    <w:rsid w:val="00F66AFB"/>
    <w:rsid w:val="00F66B6C"/>
    <w:rsid w:val="00F66F74"/>
    <w:rsid w:val="00F67467"/>
    <w:rsid w:val="00F6755E"/>
    <w:rsid w:val="00F676EA"/>
    <w:rsid w:val="00F67A85"/>
    <w:rsid w:val="00F67B53"/>
    <w:rsid w:val="00F67C0D"/>
    <w:rsid w:val="00F67C87"/>
    <w:rsid w:val="00F70533"/>
    <w:rsid w:val="00F705FE"/>
    <w:rsid w:val="00F707B3"/>
    <w:rsid w:val="00F70F7C"/>
    <w:rsid w:val="00F71A26"/>
    <w:rsid w:val="00F71A93"/>
    <w:rsid w:val="00F71BD1"/>
    <w:rsid w:val="00F71DBF"/>
    <w:rsid w:val="00F71E13"/>
    <w:rsid w:val="00F71F40"/>
    <w:rsid w:val="00F71F5C"/>
    <w:rsid w:val="00F722A1"/>
    <w:rsid w:val="00F724E9"/>
    <w:rsid w:val="00F72B4F"/>
    <w:rsid w:val="00F72C7A"/>
    <w:rsid w:val="00F72DC3"/>
    <w:rsid w:val="00F73303"/>
    <w:rsid w:val="00F7332D"/>
    <w:rsid w:val="00F73402"/>
    <w:rsid w:val="00F7384D"/>
    <w:rsid w:val="00F74004"/>
    <w:rsid w:val="00F7440C"/>
    <w:rsid w:val="00F7532B"/>
    <w:rsid w:val="00F75666"/>
    <w:rsid w:val="00F75D9E"/>
    <w:rsid w:val="00F7614F"/>
    <w:rsid w:val="00F7618F"/>
    <w:rsid w:val="00F77354"/>
    <w:rsid w:val="00F77A29"/>
    <w:rsid w:val="00F77E41"/>
    <w:rsid w:val="00F80445"/>
    <w:rsid w:val="00F80A93"/>
    <w:rsid w:val="00F80F37"/>
    <w:rsid w:val="00F81217"/>
    <w:rsid w:val="00F81239"/>
    <w:rsid w:val="00F81739"/>
    <w:rsid w:val="00F81B0A"/>
    <w:rsid w:val="00F81B5D"/>
    <w:rsid w:val="00F822D3"/>
    <w:rsid w:val="00F82486"/>
    <w:rsid w:val="00F82514"/>
    <w:rsid w:val="00F828E7"/>
    <w:rsid w:val="00F82E9F"/>
    <w:rsid w:val="00F83225"/>
    <w:rsid w:val="00F83AB7"/>
    <w:rsid w:val="00F83AC3"/>
    <w:rsid w:val="00F83FFE"/>
    <w:rsid w:val="00F8400D"/>
    <w:rsid w:val="00F8426C"/>
    <w:rsid w:val="00F84A1C"/>
    <w:rsid w:val="00F84CDB"/>
    <w:rsid w:val="00F84F07"/>
    <w:rsid w:val="00F84F37"/>
    <w:rsid w:val="00F84F8B"/>
    <w:rsid w:val="00F857D4"/>
    <w:rsid w:val="00F85EE8"/>
    <w:rsid w:val="00F86288"/>
    <w:rsid w:val="00F86A8E"/>
    <w:rsid w:val="00F86BA3"/>
    <w:rsid w:val="00F87003"/>
    <w:rsid w:val="00F8709F"/>
    <w:rsid w:val="00F8730D"/>
    <w:rsid w:val="00F87694"/>
    <w:rsid w:val="00F87D4F"/>
    <w:rsid w:val="00F902CD"/>
    <w:rsid w:val="00F903F1"/>
    <w:rsid w:val="00F90957"/>
    <w:rsid w:val="00F90ACA"/>
    <w:rsid w:val="00F90B72"/>
    <w:rsid w:val="00F92294"/>
    <w:rsid w:val="00F928C2"/>
    <w:rsid w:val="00F92B35"/>
    <w:rsid w:val="00F92E01"/>
    <w:rsid w:val="00F92F78"/>
    <w:rsid w:val="00F935C7"/>
    <w:rsid w:val="00F93900"/>
    <w:rsid w:val="00F941F9"/>
    <w:rsid w:val="00F9524A"/>
    <w:rsid w:val="00F95477"/>
    <w:rsid w:val="00F955D7"/>
    <w:rsid w:val="00F95791"/>
    <w:rsid w:val="00F95BA5"/>
    <w:rsid w:val="00F95F96"/>
    <w:rsid w:val="00F962AB"/>
    <w:rsid w:val="00F9737B"/>
    <w:rsid w:val="00F97E74"/>
    <w:rsid w:val="00F97F2B"/>
    <w:rsid w:val="00FA0012"/>
    <w:rsid w:val="00FA013B"/>
    <w:rsid w:val="00FA01B2"/>
    <w:rsid w:val="00FA0682"/>
    <w:rsid w:val="00FA0AA8"/>
    <w:rsid w:val="00FA0BE9"/>
    <w:rsid w:val="00FA0FBF"/>
    <w:rsid w:val="00FA1159"/>
    <w:rsid w:val="00FA1277"/>
    <w:rsid w:val="00FA200D"/>
    <w:rsid w:val="00FA2301"/>
    <w:rsid w:val="00FA24F3"/>
    <w:rsid w:val="00FA250B"/>
    <w:rsid w:val="00FA26CA"/>
    <w:rsid w:val="00FA2AB1"/>
    <w:rsid w:val="00FA2B26"/>
    <w:rsid w:val="00FA2E2D"/>
    <w:rsid w:val="00FA2E91"/>
    <w:rsid w:val="00FA3329"/>
    <w:rsid w:val="00FA44AE"/>
    <w:rsid w:val="00FA45EC"/>
    <w:rsid w:val="00FA4760"/>
    <w:rsid w:val="00FA48AD"/>
    <w:rsid w:val="00FA49BF"/>
    <w:rsid w:val="00FA4FB5"/>
    <w:rsid w:val="00FA54AF"/>
    <w:rsid w:val="00FA54B6"/>
    <w:rsid w:val="00FA5674"/>
    <w:rsid w:val="00FA5A98"/>
    <w:rsid w:val="00FA5B85"/>
    <w:rsid w:val="00FA5C6B"/>
    <w:rsid w:val="00FA5DAA"/>
    <w:rsid w:val="00FA614C"/>
    <w:rsid w:val="00FA6302"/>
    <w:rsid w:val="00FA7254"/>
    <w:rsid w:val="00FA754A"/>
    <w:rsid w:val="00FA7737"/>
    <w:rsid w:val="00FA7B0E"/>
    <w:rsid w:val="00FA7DF0"/>
    <w:rsid w:val="00FA7FCF"/>
    <w:rsid w:val="00FB0243"/>
    <w:rsid w:val="00FB051A"/>
    <w:rsid w:val="00FB0A27"/>
    <w:rsid w:val="00FB0E51"/>
    <w:rsid w:val="00FB1418"/>
    <w:rsid w:val="00FB175A"/>
    <w:rsid w:val="00FB217B"/>
    <w:rsid w:val="00FB223C"/>
    <w:rsid w:val="00FB2BDD"/>
    <w:rsid w:val="00FB2D15"/>
    <w:rsid w:val="00FB3217"/>
    <w:rsid w:val="00FB34BF"/>
    <w:rsid w:val="00FB35AB"/>
    <w:rsid w:val="00FB379E"/>
    <w:rsid w:val="00FB3DDD"/>
    <w:rsid w:val="00FB41B2"/>
    <w:rsid w:val="00FB453F"/>
    <w:rsid w:val="00FB4746"/>
    <w:rsid w:val="00FB4D61"/>
    <w:rsid w:val="00FB4DF2"/>
    <w:rsid w:val="00FB57D8"/>
    <w:rsid w:val="00FB5BEE"/>
    <w:rsid w:val="00FB5D74"/>
    <w:rsid w:val="00FB6268"/>
    <w:rsid w:val="00FB6863"/>
    <w:rsid w:val="00FB71F7"/>
    <w:rsid w:val="00FB7347"/>
    <w:rsid w:val="00FB7512"/>
    <w:rsid w:val="00FB76BE"/>
    <w:rsid w:val="00FB77CB"/>
    <w:rsid w:val="00FB7937"/>
    <w:rsid w:val="00FC0010"/>
    <w:rsid w:val="00FC01B4"/>
    <w:rsid w:val="00FC034F"/>
    <w:rsid w:val="00FC04E5"/>
    <w:rsid w:val="00FC0B5E"/>
    <w:rsid w:val="00FC0D33"/>
    <w:rsid w:val="00FC16AA"/>
    <w:rsid w:val="00FC1F89"/>
    <w:rsid w:val="00FC2472"/>
    <w:rsid w:val="00FC280B"/>
    <w:rsid w:val="00FC3536"/>
    <w:rsid w:val="00FC38B3"/>
    <w:rsid w:val="00FC3B02"/>
    <w:rsid w:val="00FC3E36"/>
    <w:rsid w:val="00FC3E61"/>
    <w:rsid w:val="00FC40BB"/>
    <w:rsid w:val="00FC452B"/>
    <w:rsid w:val="00FC46B2"/>
    <w:rsid w:val="00FC4AB8"/>
    <w:rsid w:val="00FC4ACB"/>
    <w:rsid w:val="00FC4C0A"/>
    <w:rsid w:val="00FC4E40"/>
    <w:rsid w:val="00FC515B"/>
    <w:rsid w:val="00FC5189"/>
    <w:rsid w:val="00FC5382"/>
    <w:rsid w:val="00FC573E"/>
    <w:rsid w:val="00FC58B6"/>
    <w:rsid w:val="00FC5EE8"/>
    <w:rsid w:val="00FC608A"/>
    <w:rsid w:val="00FC60C1"/>
    <w:rsid w:val="00FC6199"/>
    <w:rsid w:val="00FC6558"/>
    <w:rsid w:val="00FC68C9"/>
    <w:rsid w:val="00FC6929"/>
    <w:rsid w:val="00FC6998"/>
    <w:rsid w:val="00FC6D59"/>
    <w:rsid w:val="00FC704C"/>
    <w:rsid w:val="00FD024B"/>
    <w:rsid w:val="00FD0841"/>
    <w:rsid w:val="00FD0A8A"/>
    <w:rsid w:val="00FD0E86"/>
    <w:rsid w:val="00FD158C"/>
    <w:rsid w:val="00FD15BA"/>
    <w:rsid w:val="00FD16BF"/>
    <w:rsid w:val="00FD1A87"/>
    <w:rsid w:val="00FD1B60"/>
    <w:rsid w:val="00FD206A"/>
    <w:rsid w:val="00FD20E9"/>
    <w:rsid w:val="00FD2239"/>
    <w:rsid w:val="00FD26F9"/>
    <w:rsid w:val="00FD2BAB"/>
    <w:rsid w:val="00FD2FF8"/>
    <w:rsid w:val="00FD343F"/>
    <w:rsid w:val="00FD3B64"/>
    <w:rsid w:val="00FD3BEF"/>
    <w:rsid w:val="00FD3F46"/>
    <w:rsid w:val="00FD4324"/>
    <w:rsid w:val="00FD4599"/>
    <w:rsid w:val="00FD4B30"/>
    <w:rsid w:val="00FD4EA1"/>
    <w:rsid w:val="00FD4FA2"/>
    <w:rsid w:val="00FD5322"/>
    <w:rsid w:val="00FD575E"/>
    <w:rsid w:val="00FD5AF2"/>
    <w:rsid w:val="00FD643B"/>
    <w:rsid w:val="00FD65DF"/>
    <w:rsid w:val="00FD67DB"/>
    <w:rsid w:val="00FD68E3"/>
    <w:rsid w:val="00FD6B30"/>
    <w:rsid w:val="00FD6C51"/>
    <w:rsid w:val="00FD7547"/>
    <w:rsid w:val="00FD79AF"/>
    <w:rsid w:val="00FD7BB6"/>
    <w:rsid w:val="00FE08C9"/>
    <w:rsid w:val="00FE0B72"/>
    <w:rsid w:val="00FE0B95"/>
    <w:rsid w:val="00FE0D5C"/>
    <w:rsid w:val="00FE0D92"/>
    <w:rsid w:val="00FE12C2"/>
    <w:rsid w:val="00FE157F"/>
    <w:rsid w:val="00FE1605"/>
    <w:rsid w:val="00FE1765"/>
    <w:rsid w:val="00FE1CB1"/>
    <w:rsid w:val="00FE1E5A"/>
    <w:rsid w:val="00FE27E5"/>
    <w:rsid w:val="00FE27EF"/>
    <w:rsid w:val="00FE2D4E"/>
    <w:rsid w:val="00FE2EE5"/>
    <w:rsid w:val="00FE33C0"/>
    <w:rsid w:val="00FE3518"/>
    <w:rsid w:val="00FE36B9"/>
    <w:rsid w:val="00FE3A9F"/>
    <w:rsid w:val="00FE3E92"/>
    <w:rsid w:val="00FE45D1"/>
    <w:rsid w:val="00FE4661"/>
    <w:rsid w:val="00FE4B62"/>
    <w:rsid w:val="00FE5005"/>
    <w:rsid w:val="00FE55FF"/>
    <w:rsid w:val="00FE5E18"/>
    <w:rsid w:val="00FE6135"/>
    <w:rsid w:val="00FE6221"/>
    <w:rsid w:val="00FE6283"/>
    <w:rsid w:val="00FE6399"/>
    <w:rsid w:val="00FE6B80"/>
    <w:rsid w:val="00FE6E84"/>
    <w:rsid w:val="00FE6F36"/>
    <w:rsid w:val="00FE74C0"/>
    <w:rsid w:val="00FE7696"/>
    <w:rsid w:val="00FE775A"/>
    <w:rsid w:val="00FE7A1A"/>
    <w:rsid w:val="00FE7B45"/>
    <w:rsid w:val="00FE7CB4"/>
    <w:rsid w:val="00FF021B"/>
    <w:rsid w:val="00FF0431"/>
    <w:rsid w:val="00FF04FC"/>
    <w:rsid w:val="00FF0688"/>
    <w:rsid w:val="00FF07AA"/>
    <w:rsid w:val="00FF0DCD"/>
    <w:rsid w:val="00FF0FB5"/>
    <w:rsid w:val="00FF153D"/>
    <w:rsid w:val="00FF1A0D"/>
    <w:rsid w:val="00FF1B5F"/>
    <w:rsid w:val="00FF1C2C"/>
    <w:rsid w:val="00FF219C"/>
    <w:rsid w:val="00FF2276"/>
    <w:rsid w:val="00FF2310"/>
    <w:rsid w:val="00FF2CFB"/>
    <w:rsid w:val="00FF35AB"/>
    <w:rsid w:val="00FF36AD"/>
    <w:rsid w:val="00FF4079"/>
    <w:rsid w:val="00FF415C"/>
    <w:rsid w:val="00FF430B"/>
    <w:rsid w:val="00FF4641"/>
    <w:rsid w:val="00FF4991"/>
    <w:rsid w:val="00FF4A14"/>
    <w:rsid w:val="00FF5859"/>
    <w:rsid w:val="00FF58C1"/>
    <w:rsid w:val="00FF5F5C"/>
    <w:rsid w:val="00FF6361"/>
    <w:rsid w:val="00FF6569"/>
    <w:rsid w:val="00FF6911"/>
    <w:rsid w:val="00FF69DC"/>
    <w:rsid w:val="00FF6A1C"/>
    <w:rsid w:val="00FF6BDB"/>
    <w:rsid w:val="00FF6C09"/>
    <w:rsid w:val="00FF6CFF"/>
    <w:rsid w:val="00FF6F9B"/>
    <w:rsid w:val="00FF7160"/>
    <w:rsid w:val="00FF7180"/>
    <w:rsid w:val="00FF73BE"/>
    <w:rsid w:val="00FF7B70"/>
    <w:rsid w:val="00FF7D18"/>
    <w:rsid w:val="00FF7D6C"/>
    <w:rsid w:val="00FF7FE1"/>
    <w:rsid w:val="01012E76"/>
    <w:rsid w:val="0105C915"/>
    <w:rsid w:val="01084127"/>
    <w:rsid w:val="0118CFCE"/>
    <w:rsid w:val="0129F76C"/>
    <w:rsid w:val="013EB02C"/>
    <w:rsid w:val="014DCA22"/>
    <w:rsid w:val="015EB815"/>
    <w:rsid w:val="01674CF8"/>
    <w:rsid w:val="018E8279"/>
    <w:rsid w:val="01977C83"/>
    <w:rsid w:val="01A32A75"/>
    <w:rsid w:val="01B6059C"/>
    <w:rsid w:val="01C35665"/>
    <w:rsid w:val="01D94169"/>
    <w:rsid w:val="01E51382"/>
    <w:rsid w:val="01F24BA9"/>
    <w:rsid w:val="01F365CF"/>
    <w:rsid w:val="01FABAF8"/>
    <w:rsid w:val="020068D7"/>
    <w:rsid w:val="02059CDB"/>
    <w:rsid w:val="0213028C"/>
    <w:rsid w:val="021844B4"/>
    <w:rsid w:val="02206AEE"/>
    <w:rsid w:val="0225AAC5"/>
    <w:rsid w:val="02277185"/>
    <w:rsid w:val="02348188"/>
    <w:rsid w:val="0246CE2A"/>
    <w:rsid w:val="02656EF3"/>
    <w:rsid w:val="02785A9A"/>
    <w:rsid w:val="027888AE"/>
    <w:rsid w:val="027F2884"/>
    <w:rsid w:val="029E158B"/>
    <w:rsid w:val="02A1C0BE"/>
    <w:rsid w:val="02A2F61B"/>
    <w:rsid w:val="02A4C0A4"/>
    <w:rsid w:val="02A9A38C"/>
    <w:rsid w:val="02AA161C"/>
    <w:rsid w:val="02AFAE1A"/>
    <w:rsid w:val="02C7FDBA"/>
    <w:rsid w:val="02CBD2CE"/>
    <w:rsid w:val="02CCD4FC"/>
    <w:rsid w:val="02D01CD0"/>
    <w:rsid w:val="02D478F9"/>
    <w:rsid w:val="02DDBF3D"/>
    <w:rsid w:val="02E09825"/>
    <w:rsid w:val="02EC2136"/>
    <w:rsid w:val="03172836"/>
    <w:rsid w:val="031B4006"/>
    <w:rsid w:val="03269FBF"/>
    <w:rsid w:val="032FB53D"/>
    <w:rsid w:val="03305579"/>
    <w:rsid w:val="034480C6"/>
    <w:rsid w:val="034F7250"/>
    <w:rsid w:val="035115A5"/>
    <w:rsid w:val="035EABF4"/>
    <w:rsid w:val="0374D251"/>
    <w:rsid w:val="037C3E4D"/>
    <w:rsid w:val="038A8CC2"/>
    <w:rsid w:val="038CF0B1"/>
    <w:rsid w:val="038E5658"/>
    <w:rsid w:val="039000CE"/>
    <w:rsid w:val="039AC83B"/>
    <w:rsid w:val="03A33E3C"/>
    <w:rsid w:val="03A80399"/>
    <w:rsid w:val="03A99932"/>
    <w:rsid w:val="03B2A4EC"/>
    <w:rsid w:val="03CC9ECB"/>
    <w:rsid w:val="03D95723"/>
    <w:rsid w:val="03E9C02C"/>
    <w:rsid w:val="03ECA16D"/>
    <w:rsid w:val="03F279CE"/>
    <w:rsid w:val="0416CCD4"/>
    <w:rsid w:val="042C52A7"/>
    <w:rsid w:val="043B0CF2"/>
    <w:rsid w:val="0443C3B0"/>
    <w:rsid w:val="0449209B"/>
    <w:rsid w:val="044D097C"/>
    <w:rsid w:val="045B826C"/>
    <w:rsid w:val="04699C33"/>
    <w:rsid w:val="04732C05"/>
    <w:rsid w:val="049BCD95"/>
    <w:rsid w:val="04DF316B"/>
    <w:rsid w:val="04E14963"/>
    <w:rsid w:val="04E4AD36"/>
    <w:rsid w:val="05020DF1"/>
    <w:rsid w:val="050C4EA4"/>
    <w:rsid w:val="05159CF0"/>
    <w:rsid w:val="0528BC49"/>
    <w:rsid w:val="053B06FE"/>
    <w:rsid w:val="05419E53"/>
    <w:rsid w:val="05449E43"/>
    <w:rsid w:val="054B3F38"/>
    <w:rsid w:val="055083EF"/>
    <w:rsid w:val="055739E0"/>
    <w:rsid w:val="0560E73B"/>
    <w:rsid w:val="057E5940"/>
    <w:rsid w:val="05962A74"/>
    <w:rsid w:val="059FA44D"/>
    <w:rsid w:val="05A2EF65"/>
    <w:rsid w:val="05AEB585"/>
    <w:rsid w:val="05D9E5FA"/>
    <w:rsid w:val="05DA7D4E"/>
    <w:rsid w:val="05E1861B"/>
    <w:rsid w:val="05EAEC4A"/>
    <w:rsid w:val="05F8C937"/>
    <w:rsid w:val="05FE2540"/>
    <w:rsid w:val="06044AC7"/>
    <w:rsid w:val="06103098"/>
    <w:rsid w:val="0625228E"/>
    <w:rsid w:val="062B56A2"/>
    <w:rsid w:val="062C405D"/>
    <w:rsid w:val="0635D671"/>
    <w:rsid w:val="065A5AB5"/>
    <w:rsid w:val="065C9384"/>
    <w:rsid w:val="065E39C7"/>
    <w:rsid w:val="066131DA"/>
    <w:rsid w:val="06735894"/>
    <w:rsid w:val="067AA2BE"/>
    <w:rsid w:val="0682D99A"/>
    <w:rsid w:val="06A626C7"/>
    <w:rsid w:val="06A80C44"/>
    <w:rsid w:val="06C19BA6"/>
    <w:rsid w:val="06D29528"/>
    <w:rsid w:val="06DD2718"/>
    <w:rsid w:val="06E1EFEA"/>
    <w:rsid w:val="06E266E2"/>
    <w:rsid w:val="06E85B2F"/>
    <w:rsid w:val="06EBAABF"/>
    <w:rsid w:val="06EC4C1C"/>
    <w:rsid w:val="07010144"/>
    <w:rsid w:val="070F4C61"/>
    <w:rsid w:val="0727A926"/>
    <w:rsid w:val="073014A5"/>
    <w:rsid w:val="0731429A"/>
    <w:rsid w:val="0739B08B"/>
    <w:rsid w:val="07446FEC"/>
    <w:rsid w:val="07789100"/>
    <w:rsid w:val="07881789"/>
    <w:rsid w:val="078A0FA9"/>
    <w:rsid w:val="07A29063"/>
    <w:rsid w:val="07AC00F9"/>
    <w:rsid w:val="07B5A147"/>
    <w:rsid w:val="07BC9E24"/>
    <w:rsid w:val="07BEEF1E"/>
    <w:rsid w:val="07DAEF32"/>
    <w:rsid w:val="07DEAFDA"/>
    <w:rsid w:val="07EC2446"/>
    <w:rsid w:val="07FD25E2"/>
    <w:rsid w:val="0807B9E3"/>
    <w:rsid w:val="081B1263"/>
    <w:rsid w:val="08204314"/>
    <w:rsid w:val="08363083"/>
    <w:rsid w:val="084E13AA"/>
    <w:rsid w:val="08556902"/>
    <w:rsid w:val="086067F1"/>
    <w:rsid w:val="08628AC3"/>
    <w:rsid w:val="086AB43B"/>
    <w:rsid w:val="0872BDE8"/>
    <w:rsid w:val="087701B5"/>
    <w:rsid w:val="087801D0"/>
    <w:rsid w:val="08849888"/>
    <w:rsid w:val="0893117C"/>
    <w:rsid w:val="089BE505"/>
    <w:rsid w:val="08A1652C"/>
    <w:rsid w:val="08A6CDF4"/>
    <w:rsid w:val="08AA43F3"/>
    <w:rsid w:val="08C2E29E"/>
    <w:rsid w:val="08CBE506"/>
    <w:rsid w:val="08D64555"/>
    <w:rsid w:val="08DC5679"/>
    <w:rsid w:val="08F6E94F"/>
    <w:rsid w:val="08FB0501"/>
    <w:rsid w:val="09029DFD"/>
    <w:rsid w:val="09093174"/>
    <w:rsid w:val="0910489C"/>
    <w:rsid w:val="09230477"/>
    <w:rsid w:val="0946A647"/>
    <w:rsid w:val="094E00A8"/>
    <w:rsid w:val="095984ED"/>
    <w:rsid w:val="095D7BFB"/>
    <w:rsid w:val="096B76B7"/>
    <w:rsid w:val="097E1E41"/>
    <w:rsid w:val="0984847D"/>
    <w:rsid w:val="098641E0"/>
    <w:rsid w:val="098E7510"/>
    <w:rsid w:val="09AB0FBB"/>
    <w:rsid w:val="09B2A28E"/>
    <w:rsid w:val="09B4D8D3"/>
    <w:rsid w:val="09B886AD"/>
    <w:rsid w:val="09C0799D"/>
    <w:rsid w:val="09C10029"/>
    <w:rsid w:val="09C87751"/>
    <w:rsid w:val="09CF513B"/>
    <w:rsid w:val="09D8DB8A"/>
    <w:rsid w:val="09EA8567"/>
    <w:rsid w:val="0A0B5C83"/>
    <w:rsid w:val="0A2CC404"/>
    <w:rsid w:val="0A32125A"/>
    <w:rsid w:val="0A4047A1"/>
    <w:rsid w:val="0A6544DF"/>
    <w:rsid w:val="0A7FE0AA"/>
    <w:rsid w:val="0A8B7C42"/>
    <w:rsid w:val="0A99080C"/>
    <w:rsid w:val="0A9BC3D5"/>
    <w:rsid w:val="0AA09B83"/>
    <w:rsid w:val="0AADA875"/>
    <w:rsid w:val="0AB33720"/>
    <w:rsid w:val="0AB53059"/>
    <w:rsid w:val="0ABE878F"/>
    <w:rsid w:val="0ACFC414"/>
    <w:rsid w:val="0ACFEEEF"/>
    <w:rsid w:val="0AE0C384"/>
    <w:rsid w:val="0AEBADFD"/>
    <w:rsid w:val="0AEC5902"/>
    <w:rsid w:val="0AEEE0BE"/>
    <w:rsid w:val="0B1181F9"/>
    <w:rsid w:val="0B121FBA"/>
    <w:rsid w:val="0B128C2D"/>
    <w:rsid w:val="0B1814AF"/>
    <w:rsid w:val="0B241960"/>
    <w:rsid w:val="0B268C05"/>
    <w:rsid w:val="0B2BDEB7"/>
    <w:rsid w:val="0B3C4E85"/>
    <w:rsid w:val="0B48A1C3"/>
    <w:rsid w:val="0B4E0930"/>
    <w:rsid w:val="0B69DE9C"/>
    <w:rsid w:val="0B87BE7A"/>
    <w:rsid w:val="0B8C9CC9"/>
    <w:rsid w:val="0B9EE76A"/>
    <w:rsid w:val="0BA374BD"/>
    <w:rsid w:val="0BC99881"/>
    <w:rsid w:val="0BCDBD09"/>
    <w:rsid w:val="0BCEB0A8"/>
    <w:rsid w:val="0BD5FE0F"/>
    <w:rsid w:val="0BE1F089"/>
    <w:rsid w:val="0BE3EA59"/>
    <w:rsid w:val="0BF049AA"/>
    <w:rsid w:val="0BF5EB2D"/>
    <w:rsid w:val="0C0A0E67"/>
    <w:rsid w:val="0C0AF106"/>
    <w:rsid w:val="0C0DC87A"/>
    <w:rsid w:val="0C10F811"/>
    <w:rsid w:val="0C121EDB"/>
    <w:rsid w:val="0C16CD9B"/>
    <w:rsid w:val="0C28C5AD"/>
    <w:rsid w:val="0C29AA25"/>
    <w:rsid w:val="0C3536B9"/>
    <w:rsid w:val="0C3927CD"/>
    <w:rsid w:val="0C45B0F3"/>
    <w:rsid w:val="0C55D058"/>
    <w:rsid w:val="0C5716B0"/>
    <w:rsid w:val="0C5F0BCD"/>
    <w:rsid w:val="0C680ABB"/>
    <w:rsid w:val="0C757051"/>
    <w:rsid w:val="0C77CE88"/>
    <w:rsid w:val="0C84A665"/>
    <w:rsid w:val="0C85EA2F"/>
    <w:rsid w:val="0C9A03B6"/>
    <w:rsid w:val="0CAC5C84"/>
    <w:rsid w:val="0CB07B6C"/>
    <w:rsid w:val="0CB33982"/>
    <w:rsid w:val="0CB7AB8E"/>
    <w:rsid w:val="0CBEF25E"/>
    <w:rsid w:val="0CC03503"/>
    <w:rsid w:val="0CC0415B"/>
    <w:rsid w:val="0CC64E2F"/>
    <w:rsid w:val="0CCD3B8B"/>
    <w:rsid w:val="0CD60102"/>
    <w:rsid w:val="0CEEDD3C"/>
    <w:rsid w:val="0CF5F192"/>
    <w:rsid w:val="0D02B8FA"/>
    <w:rsid w:val="0D0DD7D1"/>
    <w:rsid w:val="0D1E912F"/>
    <w:rsid w:val="0D21B083"/>
    <w:rsid w:val="0D2EB02D"/>
    <w:rsid w:val="0D4E3313"/>
    <w:rsid w:val="0D4E5D19"/>
    <w:rsid w:val="0D6C635F"/>
    <w:rsid w:val="0D7FBABA"/>
    <w:rsid w:val="0DB1CD6F"/>
    <w:rsid w:val="0DB4EF84"/>
    <w:rsid w:val="0DB576DD"/>
    <w:rsid w:val="0DBC0C5D"/>
    <w:rsid w:val="0DD2AEA1"/>
    <w:rsid w:val="0DDD5BB1"/>
    <w:rsid w:val="0DF4ACED"/>
    <w:rsid w:val="0DF57037"/>
    <w:rsid w:val="0E02FB8A"/>
    <w:rsid w:val="0E03DB1C"/>
    <w:rsid w:val="0E220F6C"/>
    <w:rsid w:val="0E24F7E2"/>
    <w:rsid w:val="0E3DC919"/>
    <w:rsid w:val="0E63E5A8"/>
    <w:rsid w:val="0E741ADA"/>
    <w:rsid w:val="0E74C322"/>
    <w:rsid w:val="0E835F8B"/>
    <w:rsid w:val="0E914453"/>
    <w:rsid w:val="0E9AA005"/>
    <w:rsid w:val="0EB27FBB"/>
    <w:rsid w:val="0EB58ECA"/>
    <w:rsid w:val="0EF6E7D6"/>
    <w:rsid w:val="0EF6F076"/>
    <w:rsid w:val="0EFE81B2"/>
    <w:rsid w:val="0F0286DC"/>
    <w:rsid w:val="0F031656"/>
    <w:rsid w:val="0F13DF34"/>
    <w:rsid w:val="0F2D8BEF"/>
    <w:rsid w:val="0F4F9529"/>
    <w:rsid w:val="0F5AF6DD"/>
    <w:rsid w:val="0F6D859D"/>
    <w:rsid w:val="0F76CF2D"/>
    <w:rsid w:val="0F868320"/>
    <w:rsid w:val="0F8CCF61"/>
    <w:rsid w:val="0F906BC7"/>
    <w:rsid w:val="0F9CFCC3"/>
    <w:rsid w:val="0F9D6501"/>
    <w:rsid w:val="0FA1216A"/>
    <w:rsid w:val="0FA3F79A"/>
    <w:rsid w:val="0FA4890F"/>
    <w:rsid w:val="0FBCB5A9"/>
    <w:rsid w:val="0FDEE872"/>
    <w:rsid w:val="0FF16381"/>
    <w:rsid w:val="1005E982"/>
    <w:rsid w:val="100D0A4C"/>
    <w:rsid w:val="1010C05C"/>
    <w:rsid w:val="102B0A0F"/>
    <w:rsid w:val="1042BEA2"/>
    <w:rsid w:val="10433931"/>
    <w:rsid w:val="1048CFF6"/>
    <w:rsid w:val="1054558A"/>
    <w:rsid w:val="105ACCB5"/>
    <w:rsid w:val="1064A9BD"/>
    <w:rsid w:val="1065FE99"/>
    <w:rsid w:val="106D7D31"/>
    <w:rsid w:val="107D39FD"/>
    <w:rsid w:val="1086EF3B"/>
    <w:rsid w:val="108AFC87"/>
    <w:rsid w:val="108E6166"/>
    <w:rsid w:val="1096BB1A"/>
    <w:rsid w:val="10A69040"/>
    <w:rsid w:val="10A9EFD8"/>
    <w:rsid w:val="10B1507E"/>
    <w:rsid w:val="10CB72F8"/>
    <w:rsid w:val="10CDDA75"/>
    <w:rsid w:val="10D754BB"/>
    <w:rsid w:val="10D9348C"/>
    <w:rsid w:val="10E67E74"/>
    <w:rsid w:val="10F929AB"/>
    <w:rsid w:val="11009A6E"/>
    <w:rsid w:val="110A78E8"/>
    <w:rsid w:val="110D6B7D"/>
    <w:rsid w:val="110EACE7"/>
    <w:rsid w:val="1111CDCA"/>
    <w:rsid w:val="11131A60"/>
    <w:rsid w:val="1117A4EF"/>
    <w:rsid w:val="1130ABBB"/>
    <w:rsid w:val="113A695C"/>
    <w:rsid w:val="1151A21A"/>
    <w:rsid w:val="1154DE23"/>
    <w:rsid w:val="1159B02E"/>
    <w:rsid w:val="11701511"/>
    <w:rsid w:val="117558ED"/>
    <w:rsid w:val="117B5BDE"/>
    <w:rsid w:val="117B6DF9"/>
    <w:rsid w:val="1185B002"/>
    <w:rsid w:val="1186DE3C"/>
    <w:rsid w:val="11899E4C"/>
    <w:rsid w:val="11967846"/>
    <w:rsid w:val="11A69CDD"/>
    <w:rsid w:val="11D1452F"/>
    <w:rsid w:val="11EABEEB"/>
    <w:rsid w:val="11EBD34D"/>
    <w:rsid w:val="11F42F0D"/>
    <w:rsid w:val="11F6E19D"/>
    <w:rsid w:val="11F77BF9"/>
    <w:rsid w:val="11FF02A0"/>
    <w:rsid w:val="120129C0"/>
    <w:rsid w:val="120EBFF6"/>
    <w:rsid w:val="121BF98F"/>
    <w:rsid w:val="121D665B"/>
    <w:rsid w:val="1226E9F6"/>
    <w:rsid w:val="12337046"/>
    <w:rsid w:val="12343AD3"/>
    <w:rsid w:val="12355AF7"/>
    <w:rsid w:val="12383692"/>
    <w:rsid w:val="12457EF5"/>
    <w:rsid w:val="1253A58F"/>
    <w:rsid w:val="125AB139"/>
    <w:rsid w:val="1262A286"/>
    <w:rsid w:val="126DC351"/>
    <w:rsid w:val="1273251C"/>
    <w:rsid w:val="12824ED5"/>
    <w:rsid w:val="128FAF56"/>
    <w:rsid w:val="128FFA64"/>
    <w:rsid w:val="129D0F83"/>
    <w:rsid w:val="12B04A98"/>
    <w:rsid w:val="12BB56AA"/>
    <w:rsid w:val="12CB1C09"/>
    <w:rsid w:val="1315ECE5"/>
    <w:rsid w:val="1316D4BD"/>
    <w:rsid w:val="13190E52"/>
    <w:rsid w:val="1320BB48"/>
    <w:rsid w:val="1335A5B4"/>
    <w:rsid w:val="1337EF95"/>
    <w:rsid w:val="13422420"/>
    <w:rsid w:val="136B58BC"/>
    <w:rsid w:val="136EF9D9"/>
    <w:rsid w:val="1374F41B"/>
    <w:rsid w:val="13787B96"/>
    <w:rsid w:val="137E3097"/>
    <w:rsid w:val="1380EB29"/>
    <w:rsid w:val="1390343A"/>
    <w:rsid w:val="13A45793"/>
    <w:rsid w:val="13BE8120"/>
    <w:rsid w:val="13C072F2"/>
    <w:rsid w:val="13C52DFA"/>
    <w:rsid w:val="13CA2FA0"/>
    <w:rsid w:val="13CA7193"/>
    <w:rsid w:val="13D4245F"/>
    <w:rsid w:val="13D8190E"/>
    <w:rsid w:val="13FA4FF6"/>
    <w:rsid w:val="13FF4306"/>
    <w:rsid w:val="1409C9BE"/>
    <w:rsid w:val="141E8017"/>
    <w:rsid w:val="14236BEE"/>
    <w:rsid w:val="142A8C2E"/>
    <w:rsid w:val="142BEDEF"/>
    <w:rsid w:val="143488FF"/>
    <w:rsid w:val="14486F50"/>
    <w:rsid w:val="145FB1BA"/>
    <w:rsid w:val="148267BF"/>
    <w:rsid w:val="149329BD"/>
    <w:rsid w:val="149DAF8F"/>
    <w:rsid w:val="14A5ED53"/>
    <w:rsid w:val="14ADA9D7"/>
    <w:rsid w:val="14B24EFD"/>
    <w:rsid w:val="14C785E3"/>
    <w:rsid w:val="14CFC91A"/>
    <w:rsid w:val="14D09DC3"/>
    <w:rsid w:val="14D983D0"/>
    <w:rsid w:val="14DE0A61"/>
    <w:rsid w:val="14EF8B37"/>
    <w:rsid w:val="15151700"/>
    <w:rsid w:val="1515A28B"/>
    <w:rsid w:val="15179C52"/>
    <w:rsid w:val="15200120"/>
    <w:rsid w:val="15236E8D"/>
    <w:rsid w:val="152BFCC1"/>
    <w:rsid w:val="152C959B"/>
    <w:rsid w:val="15340431"/>
    <w:rsid w:val="153746AF"/>
    <w:rsid w:val="154FE649"/>
    <w:rsid w:val="15529450"/>
    <w:rsid w:val="155B594B"/>
    <w:rsid w:val="1578867F"/>
    <w:rsid w:val="157D814C"/>
    <w:rsid w:val="15938928"/>
    <w:rsid w:val="15985856"/>
    <w:rsid w:val="159AA8D6"/>
    <w:rsid w:val="159B1367"/>
    <w:rsid w:val="15A70579"/>
    <w:rsid w:val="15AC030F"/>
    <w:rsid w:val="15B43BC4"/>
    <w:rsid w:val="15B4B1EC"/>
    <w:rsid w:val="15CC35EF"/>
    <w:rsid w:val="15D51BAA"/>
    <w:rsid w:val="15DCFE7C"/>
    <w:rsid w:val="15EDB214"/>
    <w:rsid w:val="15F1C67A"/>
    <w:rsid w:val="15F9B186"/>
    <w:rsid w:val="1615783E"/>
    <w:rsid w:val="161CF2FC"/>
    <w:rsid w:val="1622EA02"/>
    <w:rsid w:val="164A87F6"/>
    <w:rsid w:val="164D29C6"/>
    <w:rsid w:val="165FAB6E"/>
    <w:rsid w:val="16879F0B"/>
    <w:rsid w:val="16891D5B"/>
    <w:rsid w:val="1695BF82"/>
    <w:rsid w:val="16D443FE"/>
    <w:rsid w:val="16D8FEC3"/>
    <w:rsid w:val="16D90B5D"/>
    <w:rsid w:val="16E207ED"/>
    <w:rsid w:val="16E3EFBF"/>
    <w:rsid w:val="16E4086A"/>
    <w:rsid w:val="16EEDBB4"/>
    <w:rsid w:val="16F7EA9E"/>
    <w:rsid w:val="16F8BC82"/>
    <w:rsid w:val="1703533D"/>
    <w:rsid w:val="17130B39"/>
    <w:rsid w:val="17168162"/>
    <w:rsid w:val="171F9236"/>
    <w:rsid w:val="174A9925"/>
    <w:rsid w:val="175D8D3C"/>
    <w:rsid w:val="1768E9F2"/>
    <w:rsid w:val="176DEF9B"/>
    <w:rsid w:val="179AA6AE"/>
    <w:rsid w:val="17A5790B"/>
    <w:rsid w:val="17A80193"/>
    <w:rsid w:val="17B0F53A"/>
    <w:rsid w:val="17B6B57A"/>
    <w:rsid w:val="17D35F9A"/>
    <w:rsid w:val="17D490D2"/>
    <w:rsid w:val="17E8F3A0"/>
    <w:rsid w:val="17F27E98"/>
    <w:rsid w:val="17F3C703"/>
    <w:rsid w:val="17FA2EE9"/>
    <w:rsid w:val="17FD370F"/>
    <w:rsid w:val="18053791"/>
    <w:rsid w:val="1805F124"/>
    <w:rsid w:val="18100EF4"/>
    <w:rsid w:val="18115DB1"/>
    <w:rsid w:val="181D653B"/>
    <w:rsid w:val="1820FBB9"/>
    <w:rsid w:val="18368745"/>
    <w:rsid w:val="1839016E"/>
    <w:rsid w:val="1848A16B"/>
    <w:rsid w:val="185D77C7"/>
    <w:rsid w:val="185F0380"/>
    <w:rsid w:val="1864038C"/>
    <w:rsid w:val="1888C3DC"/>
    <w:rsid w:val="189A52C5"/>
    <w:rsid w:val="18AD33E4"/>
    <w:rsid w:val="18B4183C"/>
    <w:rsid w:val="18B59D2C"/>
    <w:rsid w:val="18D5BA94"/>
    <w:rsid w:val="18D9E165"/>
    <w:rsid w:val="18E29821"/>
    <w:rsid w:val="18FF91B7"/>
    <w:rsid w:val="1945B8C9"/>
    <w:rsid w:val="19519F61"/>
    <w:rsid w:val="196E0C25"/>
    <w:rsid w:val="196F755B"/>
    <w:rsid w:val="19721CD1"/>
    <w:rsid w:val="197B206A"/>
    <w:rsid w:val="19946413"/>
    <w:rsid w:val="199D2BE4"/>
    <w:rsid w:val="199F1A53"/>
    <w:rsid w:val="19A50326"/>
    <w:rsid w:val="19AE8408"/>
    <w:rsid w:val="19B01E01"/>
    <w:rsid w:val="19CB9B6E"/>
    <w:rsid w:val="19CCD988"/>
    <w:rsid w:val="19DB5CE9"/>
    <w:rsid w:val="19E9A0E8"/>
    <w:rsid w:val="19ECDD4A"/>
    <w:rsid w:val="19FC36CD"/>
    <w:rsid w:val="1A02965E"/>
    <w:rsid w:val="1A031704"/>
    <w:rsid w:val="1A1D894B"/>
    <w:rsid w:val="1A1EE1DD"/>
    <w:rsid w:val="1A29B212"/>
    <w:rsid w:val="1A395908"/>
    <w:rsid w:val="1A3AC561"/>
    <w:rsid w:val="1A481072"/>
    <w:rsid w:val="1A4D4675"/>
    <w:rsid w:val="1A5A919A"/>
    <w:rsid w:val="1A62C265"/>
    <w:rsid w:val="1A6C06E2"/>
    <w:rsid w:val="1A6E63C7"/>
    <w:rsid w:val="1A7A948A"/>
    <w:rsid w:val="1A8621CD"/>
    <w:rsid w:val="1A8A3686"/>
    <w:rsid w:val="1A99B043"/>
    <w:rsid w:val="1AA78CCC"/>
    <w:rsid w:val="1AB0BDD7"/>
    <w:rsid w:val="1AB68C7C"/>
    <w:rsid w:val="1AB885B5"/>
    <w:rsid w:val="1AD04646"/>
    <w:rsid w:val="1AD1FC78"/>
    <w:rsid w:val="1AD30DDD"/>
    <w:rsid w:val="1ADC8E34"/>
    <w:rsid w:val="1AF94005"/>
    <w:rsid w:val="1AFC338E"/>
    <w:rsid w:val="1B0320C7"/>
    <w:rsid w:val="1B06DEC8"/>
    <w:rsid w:val="1B0B674B"/>
    <w:rsid w:val="1B1BA458"/>
    <w:rsid w:val="1B23A3D0"/>
    <w:rsid w:val="1B23DFA7"/>
    <w:rsid w:val="1B435D61"/>
    <w:rsid w:val="1B4CE510"/>
    <w:rsid w:val="1B5732FB"/>
    <w:rsid w:val="1BBAB23E"/>
    <w:rsid w:val="1BCD2229"/>
    <w:rsid w:val="1BCF129A"/>
    <w:rsid w:val="1BD446F7"/>
    <w:rsid w:val="1BDE6596"/>
    <w:rsid w:val="1BE6BE4F"/>
    <w:rsid w:val="1BF8B52A"/>
    <w:rsid w:val="1BFD945F"/>
    <w:rsid w:val="1BFEB035"/>
    <w:rsid w:val="1C12422E"/>
    <w:rsid w:val="1C1AB843"/>
    <w:rsid w:val="1C30FE5F"/>
    <w:rsid w:val="1C4E1189"/>
    <w:rsid w:val="1C7C6D89"/>
    <w:rsid w:val="1C86BF54"/>
    <w:rsid w:val="1C887225"/>
    <w:rsid w:val="1C8D22E0"/>
    <w:rsid w:val="1C95CCE8"/>
    <w:rsid w:val="1C9FE362"/>
    <w:rsid w:val="1CA899A0"/>
    <w:rsid w:val="1CBF8A5C"/>
    <w:rsid w:val="1CCC131D"/>
    <w:rsid w:val="1CCC3799"/>
    <w:rsid w:val="1CD50BF9"/>
    <w:rsid w:val="1CDCD99D"/>
    <w:rsid w:val="1CDDE054"/>
    <w:rsid w:val="1CE7A6A7"/>
    <w:rsid w:val="1CE957AD"/>
    <w:rsid w:val="1CF2E0B1"/>
    <w:rsid w:val="1D022500"/>
    <w:rsid w:val="1D0BDCD2"/>
    <w:rsid w:val="1D1554A1"/>
    <w:rsid w:val="1D17DA1A"/>
    <w:rsid w:val="1D2639D8"/>
    <w:rsid w:val="1D471BEF"/>
    <w:rsid w:val="1D60DDC6"/>
    <w:rsid w:val="1D67C887"/>
    <w:rsid w:val="1D685B12"/>
    <w:rsid w:val="1D6B8BFD"/>
    <w:rsid w:val="1D74208B"/>
    <w:rsid w:val="1D7BA155"/>
    <w:rsid w:val="1D8E3557"/>
    <w:rsid w:val="1D95B264"/>
    <w:rsid w:val="1D992098"/>
    <w:rsid w:val="1DA0B28D"/>
    <w:rsid w:val="1DA4B4A7"/>
    <w:rsid w:val="1DA6254C"/>
    <w:rsid w:val="1DAB8B99"/>
    <w:rsid w:val="1DABC700"/>
    <w:rsid w:val="1DADC6A1"/>
    <w:rsid w:val="1DB5D41D"/>
    <w:rsid w:val="1DCE5C08"/>
    <w:rsid w:val="1DDD570E"/>
    <w:rsid w:val="1DF23D1D"/>
    <w:rsid w:val="1DFD6B14"/>
    <w:rsid w:val="1E08B746"/>
    <w:rsid w:val="1E0D7EBB"/>
    <w:rsid w:val="1E34E3EE"/>
    <w:rsid w:val="1E3C3D0A"/>
    <w:rsid w:val="1E464913"/>
    <w:rsid w:val="1E57D07D"/>
    <w:rsid w:val="1E7172B1"/>
    <w:rsid w:val="1E733919"/>
    <w:rsid w:val="1E987DD7"/>
    <w:rsid w:val="1E9BA24B"/>
    <w:rsid w:val="1EA27E50"/>
    <w:rsid w:val="1EAB7235"/>
    <w:rsid w:val="1ED8EAE1"/>
    <w:rsid w:val="1EDCC532"/>
    <w:rsid w:val="1EE44EC1"/>
    <w:rsid w:val="1EE74D06"/>
    <w:rsid w:val="1EFE0455"/>
    <w:rsid w:val="1EFF29CD"/>
    <w:rsid w:val="1F0C865A"/>
    <w:rsid w:val="1F15B05A"/>
    <w:rsid w:val="1F1E2F00"/>
    <w:rsid w:val="1F2066E3"/>
    <w:rsid w:val="1F2D0BBE"/>
    <w:rsid w:val="1F369D59"/>
    <w:rsid w:val="1F3D3E95"/>
    <w:rsid w:val="1F494B78"/>
    <w:rsid w:val="1F534D2A"/>
    <w:rsid w:val="1F557A3B"/>
    <w:rsid w:val="1F5995AA"/>
    <w:rsid w:val="1F638328"/>
    <w:rsid w:val="1F696E53"/>
    <w:rsid w:val="1F8F7A17"/>
    <w:rsid w:val="1F9BEE56"/>
    <w:rsid w:val="1FAB69B5"/>
    <w:rsid w:val="1FBAB0CD"/>
    <w:rsid w:val="1FDCD2D0"/>
    <w:rsid w:val="1FE32F55"/>
    <w:rsid w:val="1FFF261D"/>
    <w:rsid w:val="200597CF"/>
    <w:rsid w:val="20086DFC"/>
    <w:rsid w:val="2008F66C"/>
    <w:rsid w:val="200B1803"/>
    <w:rsid w:val="200D659D"/>
    <w:rsid w:val="202547BE"/>
    <w:rsid w:val="2025C864"/>
    <w:rsid w:val="203551B9"/>
    <w:rsid w:val="2055BF76"/>
    <w:rsid w:val="2057FC78"/>
    <w:rsid w:val="205DE294"/>
    <w:rsid w:val="20704461"/>
    <w:rsid w:val="207D72C6"/>
    <w:rsid w:val="208D7E55"/>
    <w:rsid w:val="2099F80C"/>
    <w:rsid w:val="209D0D3A"/>
    <w:rsid w:val="20A000A1"/>
    <w:rsid w:val="20A57670"/>
    <w:rsid w:val="20B88695"/>
    <w:rsid w:val="20C0F7A4"/>
    <w:rsid w:val="20C33B86"/>
    <w:rsid w:val="20C4A190"/>
    <w:rsid w:val="20C5B771"/>
    <w:rsid w:val="20E11B5B"/>
    <w:rsid w:val="20EC9CBC"/>
    <w:rsid w:val="20F220E9"/>
    <w:rsid w:val="210BB9F7"/>
    <w:rsid w:val="210E9EDC"/>
    <w:rsid w:val="2116B3A3"/>
    <w:rsid w:val="2124B0CA"/>
    <w:rsid w:val="21281777"/>
    <w:rsid w:val="213091D4"/>
    <w:rsid w:val="2135FD94"/>
    <w:rsid w:val="214BB041"/>
    <w:rsid w:val="215DA4CF"/>
    <w:rsid w:val="21690709"/>
    <w:rsid w:val="217141FD"/>
    <w:rsid w:val="217CE520"/>
    <w:rsid w:val="217DE9D5"/>
    <w:rsid w:val="21917BF8"/>
    <w:rsid w:val="21968553"/>
    <w:rsid w:val="219D6470"/>
    <w:rsid w:val="219F156A"/>
    <w:rsid w:val="21AA9C18"/>
    <w:rsid w:val="21AE84F7"/>
    <w:rsid w:val="21F40D92"/>
    <w:rsid w:val="21F96125"/>
    <w:rsid w:val="21FF2678"/>
    <w:rsid w:val="220390BF"/>
    <w:rsid w:val="2229F3C2"/>
    <w:rsid w:val="222FC8B4"/>
    <w:rsid w:val="2237D3E6"/>
    <w:rsid w:val="2245370E"/>
    <w:rsid w:val="22509B90"/>
    <w:rsid w:val="2271BDF4"/>
    <w:rsid w:val="2275DB76"/>
    <w:rsid w:val="227DEBC4"/>
    <w:rsid w:val="2280C91C"/>
    <w:rsid w:val="22933D7B"/>
    <w:rsid w:val="22B402D7"/>
    <w:rsid w:val="22C7A870"/>
    <w:rsid w:val="22CBB6E0"/>
    <w:rsid w:val="22E93678"/>
    <w:rsid w:val="22F026E4"/>
    <w:rsid w:val="22FD12DA"/>
    <w:rsid w:val="23029941"/>
    <w:rsid w:val="2307916F"/>
    <w:rsid w:val="232712C0"/>
    <w:rsid w:val="2330AA1F"/>
    <w:rsid w:val="235F3B8D"/>
    <w:rsid w:val="235F5B12"/>
    <w:rsid w:val="237E2769"/>
    <w:rsid w:val="2382CB96"/>
    <w:rsid w:val="2385B86C"/>
    <w:rsid w:val="23A207B1"/>
    <w:rsid w:val="23A398D4"/>
    <w:rsid w:val="23AE3B49"/>
    <w:rsid w:val="23B8F0AA"/>
    <w:rsid w:val="23BA1CE4"/>
    <w:rsid w:val="23D15F6F"/>
    <w:rsid w:val="23D53879"/>
    <w:rsid w:val="23F43B66"/>
    <w:rsid w:val="2404A2AE"/>
    <w:rsid w:val="24166C67"/>
    <w:rsid w:val="24180A96"/>
    <w:rsid w:val="2436658D"/>
    <w:rsid w:val="2437F686"/>
    <w:rsid w:val="243CDF76"/>
    <w:rsid w:val="24432C40"/>
    <w:rsid w:val="24467D07"/>
    <w:rsid w:val="244F2FB8"/>
    <w:rsid w:val="2456E2FD"/>
    <w:rsid w:val="247189B7"/>
    <w:rsid w:val="2478F358"/>
    <w:rsid w:val="24827FB9"/>
    <w:rsid w:val="24835103"/>
    <w:rsid w:val="248FE8BC"/>
    <w:rsid w:val="24928BA0"/>
    <w:rsid w:val="24AEE5C3"/>
    <w:rsid w:val="24AF6240"/>
    <w:rsid w:val="24B890E4"/>
    <w:rsid w:val="24C2B34D"/>
    <w:rsid w:val="24D4DFAB"/>
    <w:rsid w:val="24E2290B"/>
    <w:rsid w:val="24EB14EC"/>
    <w:rsid w:val="24EE96FE"/>
    <w:rsid w:val="24F2BDFB"/>
    <w:rsid w:val="24F9A7FC"/>
    <w:rsid w:val="25000418"/>
    <w:rsid w:val="25063523"/>
    <w:rsid w:val="251A649A"/>
    <w:rsid w:val="251C4278"/>
    <w:rsid w:val="25292C61"/>
    <w:rsid w:val="25381DE9"/>
    <w:rsid w:val="25448840"/>
    <w:rsid w:val="2547C8E7"/>
    <w:rsid w:val="254CFB3A"/>
    <w:rsid w:val="25581789"/>
    <w:rsid w:val="2562DFD6"/>
    <w:rsid w:val="258E83D7"/>
    <w:rsid w:val="25923420"/>
    <w:rsid w:val="259E47EA"/>
    <w:rsid w:val="25B282C7"/>
    <w:rsid w:val="25BD3522"/>
    <w:rsid w:val="25BF4B67"/>
    <w:rsid w:val="25CF1FC3"/>
    <w:rsid w:val="25DD0306"/>
    <w:rsid w:val="25EB9CED"/>
    <w:rsid w:val="2618754C"/>
    <w:rsid w:val="2629CB77"/>
    <w:rsid w:val="263316F3"/>
    <w:rsid w:val="263A46F9"/>
    <w:rsid w:val="2650CAF4"/>
    <w:rsid w:val="26587169"/>
    <w:rsid w:val="26607DCE"/>
    <w:rsid w:val="2668A748"/>
    <w:rsid w:val="2670E3BA"/>
    <w:rsid w:val="26865EC7"/>
    <w:rsid w:val="26980637"/>
    <w:rsid w:val="26B4FD28"/>
    <w:rsid w:val="26BA2EAF"/>
    <w:rsid w:val="26BA451A"/>
    <w:rsid w:val="26D025DD"/>
    <w:rsid w:val="26D1ED0E"/>
    <w:rsid w:val="26DD9F65"/>
    <w:rsid w:val="26E1D8D1"/>
    <w:rsid w:val="26E66AD7"/>
    <w:rsid w:val="26E78B23"/>
    <w:rsid w:val="26EC7222"/>
    <w:rsid w:val="26EC8FF5"/>
    <w:rsid w:val="26F30FE2"/>
    <w:rsid w:val="26F555F1"/>
    <w:rsid w:val="26FD64E5"/>
    <w:rsid w:val="27045973"/>
    <w:rsid w:val="272EE5A7"/>
    <w:rsid w:val="273C576A"/>
    <w:rsid w:val="273D69CA"/>
    <w:rsid w:val="273DA733"/>
    <w:rsid w:val="27412735"/>
    <w:rsid w:val="275ECC38"/>
    <w:rsid w:val="2760B39D"/>
    <w:rsid w:val="276D35C1"/>
    <w:rsid w:val="276D35F2"/>
    <w:rsid w:val="277CF95E"/>
    <w:rsid w:val="278F7C77"/>
    <w:rsid w:val="27A24E1B"/>
    <w:rsid w:val="27AA2981"/>
    <w:rsid w:val="27B445AD"/>
    <w:rsid w:val="27BF6A22"/>
    <w:rsid w:val="27C679A9"/>
    <w:rsid w:val="27D0AD8F"/>
    <w:rsid w:val="27D177D8"/>
    <w:rsid w:val="27DAF98F"/>
    <w:rsid w:val="27E47AB2"/>
    <w:rsid w:val="27E54FFA"/>
    <w:rsid w:val="27EC560C"/>
    <w:rsid w:val="27F4F7A7"/>
    <w:rsid w:val="27FFB3AF"/>
    <w:rsid w:val="28052738"/>
    <w:rsid w:val="2806B4B0"/>
    <w:rsid w:val="280B8718"/>
    <w:rsid w:val="280C6586"/>
    <w:rsid w:val="2823248D"/>
    <w:rsid w:val="282D6D1C"/>
    <w:rsid w:val="283CEB1C"/>
    <w:rsid w:val="2846A242"/>
    <w:rsid w:val="28496697"/>
    <w:rsid w:val="284B5606"/>
    <w:rsid w:val="285A9B6D"/>
    <w:rsid w:val="285D718E"/>
    <w:rsid w:val="285ED8A6"/>
    <w:rsid w:val="286AB2E7"/>
    <w:rsid w:val="28907A89"/>
    <w:rsid w:val="28938486"/>
    <w:rsid w:val="28B7ACA3"/>
    <w:rsid w:val="28C2D455"/>
    <w:rsid w:val="28C67EEB"/>
    <w:rsid w:val="28D632B4"/>
    <w:rsid w:val="28F7AEA1"/>
    <w:rsid w:val="28FD4E08"/>
    <w:rsid w:val="291284EE"/>
    <w:rsid w:val="29136C34"/>
    <w:rsid w:val="2916CE83"/>
    <w:rsid w:val="292079EE"/>
    <w:rsid w:val="2926C84B"/>
    <w:rsid w:val="29411607"/>
    <w:rsid w:val="2954C1C8"/>
    <w:rsid w:val="29575508"/>
    <w:rsid w:val="2959C6C1"/>
    <w:rsid w:val="2976CA5D"/>
    <w:rsid w:val="29811131"/>
    <w:rsid w:val="2999BD97"/>
    <w:rsid w:val="299E210B"/>
    <w:rsid w:val="29A2D456"/>
    <w:rsid w:val="29A4DA1B"/>
    <w:rsid w:val="29A90341"/>
    <w:rsid w:val="29C02A98"/>
    <w:rsid w:val="29C8AF96"/>
    <w:rsid w:val="29CB7A0C"/>
    <w:rsid w:val="29CD503D"/>
    <w:rsid w:val="29D23E32"/>
    <w:rsid w:val="29D54E50"/>
    <w:rsid w:val="29DC9AE6"/>
    <w:rsid w:val="29F3D9AE"/>
    <w:rsid w:val="29F5C47F"/>
    <w:rsid w:val="29F611BF"/>
    <w:rsid w:val="2A08671D"/>
    <w:rsid w:val="2A087A22"/>
    <w:rsid w:val="2A0891B1"/>
    <w:rsid w:val="2A344A18"/>
    <w:rsid w:val="2A42E1CB"/>
    <w:rsid w:val="2A703827"/>
    <w:rsid w:val="2A77771F"/>
    <w:rsid w:val="2A8FDBB0"/>
    <w:rsid w:val="2A9700AD"/>
    <w:rsid w:val="2A9BE4CE"/>
    <w:rsid w:val="2AA4331D"/>
    <w:rsid w:val="2ABD3BD7"/>
    <w:rsid w:val="2ABE1EA4"/>
    <w:rsid w:val="2AE42BBE"/>
    <w:rsid w:val="2AE70793"/>
    <w:rsid w:val="2AE70A02"/>
    <w:rsid w:val="2AF599AA"/>
    <w:rsid w:val="2AF9A532"/>
    <w:rsid w:val="2B07FBC9"/>
    <w:rsid w:val="2B0B80FC"/>
    <w:rsid w:val="2B138A2D"/>
    <w:rsid w:val="2B15A344"/>
    <w:rsid w:val="2B323CE3"/>
    <w:rsid w:val="2B3A32EE"/>
    <w:rsid w:val="2B445B37"/>
    <w:rsid w:val="2B4471BC"/>
    <w:rsid w:val="2B52EFBE"/>
    <w:rsid w:val="2B5C22E6"/>
    <w:rsid w:val="2B8CBB82"/>
    <w:rsid w:val="2BB1E07A"/>
    <w:rsid w:val="2BB6A3A0"/>
    <w:rsid w:val="2BC43C77"/>
    <w:rsid w:val="2BC506C0"/>
    <w:rsid w:val="2BC68105"/>
    <w:rsid w:val="2BC6DDF2"/>
    <w:rsid w:val="2BC9D80A"/>
    <w:rsid w:val="2BCD556A"/>
    <w:rsid w:val="2BD2F0F7"/>
    <w:rsid w:val="2BD39492"/>
    <w:rsid w:val="2BD3A64E"/>
    <w:rsid w:val="2BEC07CC"/>
    <w:rsid w:val="2BF3E40D"/>
    <w:rsid w:val="2BF8DC5A"/>
    <w:rsid w:val="2C0AB6FD"/>
    <w:rsid w:val="2C1EF405"/>
    <w:rsid w:val="2C26A5A2"/>
    <w:rsid w:val="2C2BB355"/>
    <w:rsid w:val="2C38C920"/>
    <w:rsid w:val="2C3CA97F"/>
    <w:rsid w:val="2C5A9739"/>
    <w:rsid w:val="2C5E5435"/>
    <w:rsid w:val="2C695952"/>
    <w:rsid w:val="2C898221"/>
    <w:rsid w:val="2C990263"/>
    <w:rsid w:val="2CA9D970"/>
    <w:rsid w:val="2CB2EA96"/>
    <w:rsid w:val="2CC14DB6"/>
    <w:rsid w:val="2CD0226D"/>
    <w:rsid w:val="2CD65D5E"/>
    <w:rsid w:val="2CDFF256"/>
    <w:rsid w:val="2CE236E7"/>
    <w:rsid w:val="2CFBB613"/>
    <w:rsid w:val="2D036FD0"/>
    <w:rsid w:val="2D1CFCD1"/>
    <w:rsid w:val="2D36C566"/>
    <w:rsid w:val="2D3FE1EC"/>
    <w:rsid w:val="2D5BAC22"/>
    <w:rsid w:val="2D628F28"/>
    <w:rsid w:val="2D6E0B8B"/>
    <w:rsid w:val="2D73289A"/>
    <w:rsid w:val="2D91F0E7"/>
    <w:rsid w:val="2D9C4FAD"/>
    <w:rsid w:val="2D9C6C96"/>
    <w:rsid w:val="2DA0A000"/>
    <w:rsid w:val="2DBEE15D"/>
    <w:rsid w:val="2DCDDE7A"/>
    <w:rsid w:val="2DD37463"/>
    <w:rsid w:val="2DE9FA53"/>
    <w:rsid w:val="2DEE7154"/>
    <w:rsid w:val="2E0066A5"/>
    <w:rsid w:val="2E01C0D4"/>
    <w:rsid w:val="2E09792D"/>
    <w:rsid w:val="2E150781"/>
    <w:rsid w:val="2E2653DE"/>
    <w:rsid w:val="2E3A382F"/>
    <w:rsid w:val="2E49877B"/>
    <w:rsid w:val="2E4B879B"/>
    <w:rsid w:val="2E4BA993"/>
    <w:rsid w:val="2E55C0DB"/>
    <w:rsid w:val="2E67E123"/>
    <w:rsid w:val="2E68F470"/>
    <w:rsid w:val="2E96ABE1"/>
    <w:rsid w:val="2E9AB7CA"/>
    <w:rsid w:val="2EAB46AC"/>
    <w:rsid w:val="2EADA565"/>
    <w:rsid w:val="2EB2B380"/>
    <w:rsid w:val="2EB4F7AA"/>
    <w:rsid w:val="2ED10EEA"/>
    <w:rsid w:val="2ED1B869"/>
    <w:rsid w:val="2EDCFDE4"/>
    <w:rsid w:val="2EE2049D"/>
    <w:rsid w:val="2EF95EA1"/>
    <w:rsid w:val="2F01E090"/>
    <w:rsid w:val="2F0C67D1"/>
    <w:rsid w:val="2F0CEC59"/>
    <w:rsid w:val="2F1081B3"/>
    <w:rsid w:val="2F1F476B"/>
    <w:rsid w:val="2F334E21"/>
    <w:rsid w:val="2F593EEF"/>
    <w:rsid w:val="2F6C5033"/>
    <w:rsid w:val="2F76B165"/>
    <w:rsid w:val="2F7B2179"/>
    <w:rsid w:val="2F823E00"/>
    <w:rsid w:val="2F9627F3"/>
    <w:rsid w:val="2F9CC260"/>
    <w:rsid w:val="2FB0CD4A"/>
    <w:rsid w:val="2FB71BC6"/>
    <w:rsid w:val="2FCF4C82"/>
    <w:rsid w:val="2FE0A06E"/>
    <w:rsid w:val="2FECA7C3"/>
    <w:rsid w:val="2FED9D40"/>
    <w:rsid w:val="2FF1512C"/>
    <w:rsid w:val="2FF961C0"/>
    <w:rsid w:val="3005C899"/>
    <w:rsid w:val="30394748"/>
    <w:rsid w:val="303DECD8"/>
    <w:rsid w:val="30411396"/>
    <w:rsid w:val="305D33E7"/>
    <w:rsid w:val="306629C2"/>
    <w:rsid w:val="307DD4FE"/>
    <w:rsid w:val="30B0FF37"/>
    <w:rsid w:val="30B3E8BC"/>
    <w:rsid w:val="30E719B8"/>
    <w:rsid w:val="311CB744"/>
    <w:rsid w:val="312DAC4B"/>
    <w:rsid w:val="31302B66"/>
    <w:rsid w:val="3135342F"/>
    <w:rsid w:val="3148CB9D"/>
    <w:rsid w:val="3151F2F9"/>
    <w:rsid w:val="315308E1"/>
    <w:rsid w:val="316122E9"/>
    <w:rsid w:val="3172BA5B"/>
    <w:rsid w:val="3177FB7A"/>
    <w:rsid w:val="3185E9DC"/>
    <w:rsid w:val="318EED47"/>
    <w:rsid w:val="319444BC"/>
    <w:rsid w:val="31946E99"/>
    <w:rsid w:val="31B022F0"/>
    <w:rsid w:val="31B3646E"/>
    <w:rsid w:val="31B375E1"/>
    <w:rsid w:val="31BEE6A6"/>
    <w:rsid w:val="31C5ACD7"/>
    <w:rsid w:val="31D1CD85"/>
    <w:rsid w:val="31D25C12"/>
    <w:rsid w:val="31F3F717"/>
    <w:rsid w:val="31F4AF4D"/>
    <w:rsid w:val="32210B9E"/>
    <w:rsid w:val="32231DFC"/>
    <w:rsid w:val="3224F641"/>
    <w:rsid w:val="322773D5"/>
    <w:rsid w:val="322BF82B"/>
    <w:rsid w:val="322F6235"/>
    <w:rsid w:val="323DA4C8"/>
    <w:rsid w:val="32409D0C"/>
    <w:rsid w:val="32479184"/>
    <w:rsid w:val="3251DB2D"/>
    <w:rsid w:val="3254CAF7"/>
    <w:rsid w:val="327695BB"/>
    <w:rsid w:val="328012F9"/>
    <w:rsid w:val="32947907"/>
    <w:rsid w:val="32B6A2AB"/>
    <w:rsid w:val="32B7AE44"/>
    <w:rsid w:val="32C1FE97"/>
    <w:rsid w:val="32CE3F6B"/>
    <w:rsid w:val="32E258E6"/>
    <w:rsid w:val="32E5CD3E"/>
    <w:rsid w:val="32EE121C"/>
    <w:rsid w:val="32F777CD"/>
    <w:rsid w:val="330AF724"/>
    <w:rsid w:val="331013A0"/>
    <w:rsid w:val="3314C3F9"/>
    <w:rsid w:val="3325E0E0"/>
    <w:rsid w:val="332A6377"/>
    <w:rsid w:val="33319015"/>
    <w:rsid w:val="335C8A38"/>
    <w:rsid w:val="33698926"/>
    <w:rsid w:val="33705294"/>
    <w:rsid w:val="3393D5EC"/>
    <w:rsid w:val="33AA654A"/>
    <w:rsid w:val="33B0FF65"/>
    <w:rsid w:val="33B24116"/>
    <w:rsid w:val="33B73134"/>
    <w:rsid w:val="33DE496A"/>
    <w:rsid w:val="3424E8AA"/>
    <w:rsid w:val="342BCBB0"/>
    <w:rsid w:val="342FBD27"/>
    <w:rsid w:val="34398386"/>
    <w:rsid w:val="343F9035"/>
    <w:rsid w:val="344384FD"/>
    <w:rsid w:val="3446B58A"/>
    <w:rsid w:val="345789A2"/>
    <w:rsid w:val="345AAEAF"/>
    <w:rsid w:val="34602CA6"/>
    <w:rsid w:val="347C925C"/>
    <w:rsid w:val="3483C4B8"/>
    <w:rsid w:val="34893CA7"/>
    <w:rsid w:val="34AF9E33"/>
    <w:rsid w:val="34BF0AA8"/>
    <w:rsid w:val="34C1B939"/>
    <w:rsid w:val="34C22BBB"/>
    <w:rsid w:val="34D3AC18"/>
    <w:rsid w:val="34D9C2A9"/>
    <w:rsid w:val="34DCEB3A"/>
    <w:rsid w:val="34DD5F0B"/>
    <w:rsid w:val="34E89766"/>
    <w:rsid w:val="34ED90DD"/>
    <w:rsid w:val="34F776D7"/>
    <w:rsid w:val="350A334D"/>
    <w:rsid w:val="350A7A85"/>
    <w:rsid w:val="35119693"/>
    <w:rsid w:val="35410DFD"/>
    <w:rsid w:val="354B2E2D"/>
    <w:rsid w:val="35544112"/>
    <w:rsid w:val="355FEF6C"/>
    <w:rsid w:val="35648CA1"/>
    <w:rsid w:val="356952A8"/>
    <w:rsid w:val="356E57E3"/>
    <w:rsid w:val="3577A755"/>
    <w:rsid w:val="3579F217"/>
    <w:rsid w:val="35841B63"/>
    <w:rsid w:val="359A770E"/>
    <w:rsid w:val="35C5100E"/>
    <w:rsid w:val="35CCB182"/>
    <w:rsid w:val="35E17999"/>
    <w:rsid w:val="35E4A17E"/>
    <w:rsid w:val="35EA07E7"/>
    <w:rsid w:val="35ECD099"/>
    <w:rsid w:val="35EDA3E5"/>
    <w:rsid w:val="35F3C63C"/>
    <w:rsid w:val="35F86074"/>
    <w:rsid w:val="35F98339"/>
    <w:rsid w:val="36033414"/>
    <w:rsid w:val="3605072C"/>
    <w:rsid w:val="3608A15A"/>
    <w:rsid w:val="361BBD9E"/>
    <w:rsid w:val="3626AB13"/>
    <w:rsid w:val="363016C3"/>
    <w:rsid w:val="364396C6"/>
    <w:rsid w:val="36458AC5"/>
    <w:rsid w:val="36632365"/>
    <w:rsid w:val="366822B0"/>
    <w:rsid w:val="3671EDBC"/>
    <w:rsid w:val="36771382"/>
    <w:rsid w:val="36815A45"/>
    <w:rsid w:val="3682EDF2"/>
    <w:rsid w:val="368F6B07"/>
    <w:rsid w:val="368F9D2C"/>
    <w:rsid w:val="3693ABDF"/>
    <w:rsid w:val="36A231DA"/>
    <w:rsid w:val="36AA7A8F"/>
    <w:rsid w:val="36AB6F6A"/>
    <w:rsid w:val="36BCD02D"/>
    <w:rsid w:val="36BF90B2"/>
    <w:rsid w:val="36D3DE08"/>
    <w:rsid w:val="36D49229"/>
    <w:rsid w:val="36F6D89F"/>
    <w:rsid w:val="36FDCD9B"/>
    <w:rsid w:val="37000920"/>
    <w:rsid w:val="37088D7F"/>
    <w:rsid w:val="370933AC"/>
    <w:rsid w:val="370A5AFC"/>
    <w:rsid w:val="370FDFC4"/>
    <w:rsid w:val="371B74B2"/>
    <w:rsid w:val="371BE02C"/>
    <w:rsid w:val="371C361E"/>
    <w:rsid w:val="373510F8"/>
    <w:rsid w:val="373B4304"/>
    <w:rsid w:val="373C9C5B"/>
    <w:rsid w:val="37451621"/>
    <w:rsid w:val="3746E347"/>
    <w:rsid w:val="37593276"/>
    <w:rsid w:val="376A844E"/>
    <w:rsid w:val="377F776C"/>
    <w:rsid w:val="37986045"/>
    <w:rsid w:val="37AF1C2F"/>
    <w:rsid w:val="37BEF4D9"/>
    <w:rsid w:val="37C12BE7"/>
    <w:rsid w:val="37CF786B"/>
    <w:rsid w:val="37DBBB7C"/>
    <w:rsid w:val="37EBFC58"/>
    <w:rsid w:val="37FA865A"/>
    <w:rsid w:val="3809B741"/>
    <w:rsid w:val="3812EA3B"/>
    <w:rsid w:val="381419A5"/>
    <w:rsid w:val="38221CDC"/>
    <w:rsid w:val="3824F8BD"/>
    <w:rsid w:val="382B5CE3"/>
    <w:rsid w:val="383585D3"/>
    <w:rsid w:val="383C061E"/>
    <w:rsid w:val="383CA07A"/>
    <w:rsid w:val="383F74D5"/>
    <w:rsid w:val="3843EAB5"/>
    <w:rsid w:val="38487DE9"/>
    <w:rsid w:val="385B9D6D"/>
    <w:rsid w:val="385F4103"/>
    <w:rsid w:val="3862D981"/>
    <w:rsid w:val="38819769"/>
    <w:rsid w:val="3893183F"/>
    <w:rsid w:val="389C18BF"/>
    <w:rsid w:val="38A8BCDE"/>
    <w:rsid w:val="38AB4EAB"/>
    <w:rsid w:val="38AF5910"/>
    <w:rsid w:val="38AF99A0"/>
    <w:rsid w:val="38C6306F"/>
    <w:rsid w:val="38DAEEC2"/>
    <w:rsid w:val="38F2E95E"/>
    <w:rsid w:val="391615B1"/>
    <w:rsid w:val="392522D0"/>
    <w:rsid w:val="39312545"/>
    <w:rsid w:val="393B44FB"/>
    <w:rsid w:val="3947F3A1"/>
    <w:rsid w:val="394DC447"/>
    <w:rsid w:val="394FD594"/>
    <w:rsid w:val="3953DF65"/>
    <w:rsid w:val="3959B0DA"/>
    <w:rsid w:val="39651BA4"/>
    <w:rsid w:val="396678D6"/>
    <w:rsid w:val="396D13C2"/>
    <w:rsid w:val="398311F4"/>
    <w:rsid w:val="39963C73"/>
    <w:rsid w:val="39AE1EBF"/>
    <w:rsid w:val="39B167A6"/>
    <w:rsid w:val="39BD4736"/>
    <w:rsid w:val="39BE333E"/>
    <w:rsid w:val="39C6F114"/>
    <w:rsid w:val="39C98A29"/>
    <w:rsid w:val="39DB3362"/>
    <w:rsid w:val="39EE05CA"/>
    <w:rsid w:val="39F5F425"/>
    <w:rsid w:val="39FDB7BD"/>
    <w:rsid w:val="3A01ADB5"/>
    <w:rsid w:val="3A031A0E"/>
    <w:rsid w:val="3A093903"/>
    <w:rsid w:val="3A09B55C"/>
    <w:rsid w:val="3A1BD433"/>
    <w:rsid w:val="3A21C880"/>
    <w:rsid w:val="3A23B031"/>
    <w:rsid w:val="3A25A5E7"/>
    <w:rsid w:val="3A25E225"/>
    <w:rsid w:val="3A440085"/>
    <w:rsid w:val="3A46AE14"/>
    <w:rsid w:val="3A49FCA7"/>
    <w:rsid w:val="3A4AC133"/>
    <w:rsid w:val="3A56660D"/>
    <w:rsid w:val="3A5D2749"/>
    <w:rsid w:val="3A5FE938"/>
    <w:rsid w:val="3A6E78BC"/>
    <w:rsid w:val="3A7776F7"/>
    <w:rsid w:val="3A99A6A6"/>
    <w:rsid w:val="3AA1F051"/>
    <w:rsid w:val="3AA49BA1"/>
    <w:rsid w:val="3AA91C67"/>
    <w:rsid w:val="3AB3360C"/>
    <w:rsid w:val="3AB9B3A3"/>
    <w:rsid w:val="3ABC0038"/>
    <w:rsid w:val="3AC5E572"/>
    <w:rsid w:val="3ACC2246"/>
    <w:rsid w:val="3ACF2253"/>
    <w:rsid w:val="3AD78D86"/>
    <w:rsid w:val="3AE4B8E0"/>
    <w:rsid w:val="3AE994A8"/>
    <w:rsid w:val="3AF1B202"/>
    <w:rsid w:val="3AF1C6C2"/>
    <w:rsid w:val="3AFCF179"/>
    <w:rsid w:val="3AFF527C"/>
    <w:rsid w:val="3B0F3897"/>
    <w:rsid w:val="3B1472C0"/>
    <w:rsid w:val="3B31017C"/>
    <w:rsid w:val="3B360791"/>
    <w:rsid w:val="3B603946"/>
    <w:rsid w:val="3B6810F8"/>
    <w:rsid w:val="3B6D4D39"/>
    <w:rsid w:val="3B73AC8B"/>
    <w:rsid w:val="3B7B7387"/>
    <w:rsid w:val="3BA6DFEF"/>
    <w:rsid w:val="3BB097E5"/>
    <w:rsid w:val="3BB607B7"/>
    <w:rsid w:val="3BBEB45F"/>
    <w:rsid w:val="3BC4B671"/>
    <w:rsid w:val="3BD06D03"/>
    <w:rsid w:val="3BD7BD5D"/>
    <w:rsid w:val="3BDCA4CF"/>
    <w:rsid w:val="3BF72029"/>
    <w:rsid w:val="3C0025C3"/>
    <w:rsid w:val="3C02CB37"/>
    <w:rsid w:val="3C0865C0"/>
    <w:rsid w:val="3C0956FC"/>
    <w:rsid w:val="3C1E0C95"/>
    <w:rsid w:val="3C327380"/>
    <w:rsid w:val="3C505CC0"/>
    <w:rsid w:val="3C510F77"/>
    <w:rsid w:val="3C5BDDEC"/>
    <w:rsid w:val="3C708299"/>
    <w:rsid w:val="3C74230B"/>
    <w:rsid w:val="3C861B5B"/>
    <w:rsid w:val="3C8D1DBC"/>
    <w:rsid w:val="3C8D5C53"/>
    <w:rsid w:val="3C992673"/>
    <w:rsid w:val="3C9C24EE"/>
    <w:rsid w:val="3CB34DCA"/>
    <w:rsid w:val="3CB6546F"/>
    <w:rsid w:val="3CBA12A8"/>
    <w:rsid w:val="3CBB84F4"/>
    <w:rsid w:val="3CC527B3"/>
    <w:rsid w:val="3CCD45BD"/>
    <w:rsid w:val="3CCE308F"/>
    <w:rsid w:val="3CDCD7B4"/>
    <w:rsid w:val="3CF3E522"/>
    <w:rsid w:val="3CFB4B5E"/>
    <w:rsid w:val="3CFB7AC5"/>
    <w:rsid w:val="3D0DE68E"/>
    <w:rsid w:val="3D1BD427"/>
    <w:rsid w:val="3D22A4BD"/>
    <w:rsid w:val="3D27176B"/>
    <w:rsid w:val="3D32A030"/>
    <w:rsid w:val="3D45C6A5"/>
    <w:rsid w:val="3D4BFAA2"/>
    <w:rsid w:val="3D4F3654"/>
    <w:rsid w:val="3D56AF51"/>
    <w:rsid w:val="3D56BEEB"/>
    <w:rsid w:val="3D64D6CA"/>
    <w:rsid w:val="3D8062B6"/>
    <w:rsid w:val="3D8837FD"/>
    <w:rsid w:val="3D91944F"/>
    <w:rsid w:val="3D9B2E52"/>
    <w:rsid w:val="3D9D7AAA"/>
    <w:rsid w:val="3DAA02A2"/>
    <w:rsid w:val="3DAFA39E"/>
    <w:rsid w:val="3DB34CA7"/>
    <w:rsid w:val="3DB722EC"/>
    <w:rsid w:val="3DB8714D"/>
    <w:rsid w:val="3DD24E1F"/>
    <w:rsid w:val="3DEAAD9C"/>
    <w:rsid w:val="3DF627D0"/>
    <w:rsid w:val="3E09E516"/>
    <w:rsid w:val="3E15317C"/>
    <w:rsid w:val="3E1D2EC3"/>
    <w:rsid w:val="3E21CACA"/>
    <w:rsid w:val="3E33325F"/>
    <w:rsid w:val="3E4522D0"/>
    <w:rsid w:val="3E485784"/>
    <w:rsid w:val="3E55E24C"/>
    <w:rsid w:val="3E7D8C4C"/>
    <w:rsid w:val="3E98F1D7"/>
    <w:rsid w:val="3EA4632B"/>
    <w:rsid w:val="3EA8EDA1"/>
    <w:rsid w:val="3EB1FF61"/>
    <w:rsid w:val="3EB951C2"/>
    <w:rsid w:val="3EBEB17A"/>
    <w:rsid w:val="3ED494D5"/>
    <w:rsid w:val="3ED74BE9"/>
    <w:rsid w:val="3ED7A4CF"/>
    <w:rsid w:val="3EDB9265"/>
    <w:rsid w:val="3EDC3007"/>
    <w:rsid w:val="3EE00C29"/>
    <w:rsid w:val="3EE329EB"/>
    <w:rsid w:val="3EEFF95B"/>
    <w:rsid w:val="3EF85811"/>
    <w:rsid w:val="3EF9C292"/>
    <w:rsid w:val="3F0F36E1"/>
    <w:rsid w:val="3F13FA3C"/>
    <w:rsid w:val="3F1B3E17"/>
    <w:rsid w:val="3F275CFB"/>
    <w:rsid w:val="3F2AB2E4"/>
    <w:rsid w:val="3F4A7981"/>
    <w:rsid w:val="3F6218BA"/>
    <w:rsid w:val="3F705C66"/>
    <w:rsid w:val="3F70FAE2"/>
    <w:rsid w:val="3F9678BA"/>
    <w:rsid w:val="3FAC2503"/>
    <w:rsid w:val="3FAE0303"/>
    <w:rsid w:val="3FAED45C"/>
    <w:rsid w:val="3FB0026A"/>
    <w:rsid w:val="3FB5A525"/>
    <w:rsid w:val="3FB7B615"/>
    <w:rsid w:val="3FBF5818"/>
    <w:rsid w:val="3FCCBF22"/>
    <w:rsid w:val="3FCDAE29"/>
    <w:rsid w:val="3FDDF4DE"/>
    <w:rsid w:val="3FDFEB58"/>
    <w:rsid w:val="3FEFCB33"/>
    <w:rsid w:val="400D9AB5"/>
    <w:rsid w:val="401F7A3A"/>
    <w:rsid w:val="4031D929"/>
    <w:rsid w:val="40363298"/>
    <w:rsid w:val="4047EDC6"/>
    <w:rsid w:val="404E673A"/>
    <w:rsid w:val="406C3474"/>
    <w:rsid w:val="406FFDB2"/>
    <w:rsid w:val="40852A00"/>
    <w:rsid w:val="408614C9"/>
    <w:rsid w:val="4099CD71"/>
    <w:rsid w:val="409B8FC0"/>
    <w:rsid w:val="40A06637"/>
    <w:rsid w:val="40A3E1ED"/>
    <w:rsid w:val="40B2F036"/>
    <w:rsid w:val="40C0973C"/>
    <w:rsid w:val="40D5DCDB"/>
    <w:rsid w:val="40D94F1F"/>
    <w:rsid w:val="40E3D707"/>
    <w:rsid w:val="40EB10C5"/>
    <w:rsid w:val="40F995A6"/>
    <w:rsid w:val="410F411E"/>
    <w:rsid w:val="411320A0"/>
    <w:rsid w:val="4155F4FD"/>
    <w:rsid w:val="4158321A"/>
    <w:rsid w:val="415AB9A7"/>
    <w:rsid w:val="417FCE35"/>
    <w:rsid w:val="41A74C20"/>
    <w:rsid w:val="41AE8460"/>
    <w:rsid w:val="41B66937"/>
    <w:rsid w:val="41BF0A98"/>
    <w:rsid w:val="41CA1BBC"/>
    <w:rsid w:val="41CB83BA"/>
    <w:rsid w:val="41CC539C"/>
    <w:rsid w:val="41D07194"/>
    <w:rsid w:val="41D9B823"/>
    <w:rsid w:val="41F4DCB4"/>
    <w:rsid w:val="41FAA0F5"/>
    <w:rsid w:val="420796CD"/>
    <w:rsid w:val="42269E01"/>
    <w:rsid w:val="4241D067"/>
    <w:rsid w:val="424A4F68"/>
    <w:rsid w:val="424BE653"/>
    <w:rsid w:val="4253C6E1"/>
    <w:rsid w:val="4270BEAE"/>
    <w:rsid w:val="4274B29C"/>
    <w:rsid w:val="42A8377C"/>
    <w:rsid w:val="42BEFA04"/>
    <w:rsid w:val="42CBA382"/>
    <w:rsid w:val="42E3E486"/>
    <w:rsid w:val="42EA8CF1"/>
    <w:rsid w:val="42F68A08"/>
    <w:rsid w:val="431F85A4"/>
    <w:rsid w:val="4356B453"/>
    <w:rsid w:val="435C8B6B"/>
    <w:rsid w:val="436129D6"/>
    <w:rsid w:val="4364CF83"/>
    <w:rsid w:val="437181E0"/>
    <w:rsid w:val="4373B20D"/>
    <w:rsid w:val="43762396"/>
    <w:rsid w:val="43773C5B"/>
    <w:rsid w:val="437CA3FA"/>
    <w:rsid w:val="438357E5"/>
    <w:rsid w:val="43870203"/>
    <w:rsid w:val="4387D1C7"/>
    <w:rsid w:val="4392D90B"/>
    <w:rsid w:val="4398F79A"/>
    <w:rsid w:val="439EE62C"/>
    <w:rsid w:val="43A0B2C4"/>
    <w:rsid w:val="43AB91E2"/>
    <w:rsid w:val="43B5152A"/>
    <w:rsid w:val="43C07C0E"/>
    <w:rsid w:val="43C50720"/>
    <w:rsid w:val="43DABE61"/>
    <w:rsid w:val="43E2CF42"/>
    <w:rsid w:val="43E2DF67"/>
    <w:rsid w:val="43EEC072"/>
    <w:rsid w:val="43F8365C"/>
    <w:rsid w:val="440191F2"/>
    <w:rsid w:val="441E6C12"/>
    <w:rsid w:val="44268114"/>
    <w:rsid w:val="44275C28"/>
    <w:rsid w:val="442F8640"/>
    <w:rsid w:val="4433ACC9"/>
    <w:rsid w:val="44461F18"/>
    <w:rsid w:val="44507FEB"/>
    <w:rsid w:val="44556889"/>
    <w:rsid w:val="44738351"/>
    <w:rsid w:val="4473AA50"/>
    <w:rsid w:val="447890E1"/>
    <w:rsid w:val="447CA372"/>
    <w:rsid w:val="448DC890"/>
    <w:rsid w:val="4491A428"/>
    <w:rsid w:val="44925A69"/>
    <w:rsid w:val="44969C0A"/>
    <w:rsid w:val="44AD5826"/>
    <w:rsid w:val="44DBAEBD"/>
    <w:rsid w:val="44DBB769"/>
    <w:rsid w:val="44E17BB3"/>
    <w:rsid w:val="44FC6F5A"/>
    <w:rsid w:val="450B9A3A"/>
    <w:rsid w:val="450CD230"/>
    <w:rsid w:val="450FB9A0"/>
    <w:rsid w:val="4513D60F"/>
    <w:rsid w:val="452444C3"/>
    <w:rsid w:val="4531D316"/>
    <w:rsid w:val="453EE748"/>
    <w:rsid w:val="4554247A"/>
    <w:rsid w:val="455E3EC3"/>
    <w:rsid w:val="45603533"/>
    <w:rsid w:val="4565BF60"/>
    <w:rsid w:val="457FC8C1"/>
    <w:rsid w:val="45A70475"/>
    <w:rsid w:val="45C4243E"/>
    <w:rsid w:val="45C8DC46"/>
    <w:rsid w:val="45D14442"/>
    <w:rsid w:val="45D19E68"/>
    <w:rsid w:val="45D92813"/>
    <w:rsid w:val="45E21298"/>
    <w:rsid w:val="45E841E7"/>
    <w:rsid w:val="45E9FA2F"/>
    <w:rsid w:val="4607E7DE"/>
    <w:rsid w:val="46277FDA"/>
    <w:rsid w:val="463FB565"/>
    <w:rsid w:val="46469C5B"/>
    <w:rsid w:val="46546897"/>
    <w:rsid w:val="466AEBA5"/>
    <w:rsid w:val="4688BC99"/>
    <w:rsid w:val="46A01C0C"/>
    <w:rsid w:val="46C2B06F"/>
    <w:rsid w:val="46CC3A74"/>
    <w:rsid w:val="46CC4255"/>
    <w:rsid w:val="46D865EB"/>
    <w:rsid w:val="46DCDF36"/>
    <w:rsid w:val="46DD5BC9"/>
    <w:rsid w:val="46EDD729"/>
    <w:rsid w:val="46FE831E"/>
    <w:rsid w:val="47018FC1"/>
    <w:rsid w:val="47101BDE"/>
    <w:rsid w:val="47121F29"/>
    <w:rsid w:val="4715BDD5"/>
    <w:rsid w:val="472C37FB"/>
    <w:rsid w:val="475BD163"/>
    <w:rsid w:val="475E8761"/>
    <w:rsid w:val="4760DAE7"/>
    <w:rsid w:val="47763A06"/>
    <w:rsid w:val="477A28B7"/>
    <w:rsid w:val="478BA5BF"/>
    <w:rsid w:val="47B031A3"/>
    <w:rsid w:val="47BA2C97"/>
    <w:rsid w:val="47BFF854"/>
    <w:rsid w:val="47C6CFB6"/>
    <w:rsid w:val="47C9FB2B"/>
    <w:rsid w:val="47D4D485"/>
    <w:rsid w:val="47E1FEC3"/>
    <w:rsid w:val="47FE2EAB"/>
    <w:rsid w:val="48084DEC"/>
    <w:rsid w:val="480A2F1B"/>
    <w:rsid w:val="480AB8C3"/>
    <w:rsid w:val="482253A9"/>
    <w:rsid w:val="48439142"/>
    <w:rsid w:val="48501FB5"/>
    <w:rsid w:val="4862C06A"/>
    <w:rsid w:val="486A3967"/>
    <w:rsid w:val="48749F2F"/>
    <w:rsid w:val="48784B51"/>
    <w:rsid w:val="487E6996"/>
    <w:rsid w:val="4883451E"/>
    <w:rsid w:val="48918835"/>
    <w:rsid w:val="4894F3DC"/>
    <w:rsid w:val="4897D21B"/>
    <w:rsid w:val="489F1141"/>
    <w:rsid w:val="48A056E3"/>
    <w:rsid w:val="48A77CBB"/>
    <w:rsid w:val="48AD6D04"/>
    <w:rsid w:val="48B6887F"/>
    <w:rsid w:val="48BD4634"/>
    <w:rsid w:val="48CDEFE0"/>
    <w:rsid w:val="48D9817C"/>
    <w:rsid w:val="48D98AF4"/>
    <w:rsid w:val="48DD6463"/>
    <w:rsid w:val="48E34770"/>
    <w:rsid w:val="48FC0831"/>
    <w:rsid w:val="4915A0D4"/>
    <w:rsid w:val="49230445"/>
    <w:rsid w:val="492EA2BE"/>
    <w:rsid w:val="4938FC53"/>
    <w:rsid w:val="493A1A53"/>
    <w:rsid w:val="494E95D7"/>
    <w:rsid w:val="49553B14"/>
    <w:rsid w:val="4956835D"/>
    <w:rsid w:val="49584184"/>
    <w:rsid w:val="4962377D"/>
    <w:rsid w:val="496514FF"/>
    <w:rsid w:val="496595A3"/>
    <w:rsid w:val="496FD2E0"/>
    <w:rsid w:val="49735A7E"/>
    <w:rsid w:val="4975F5A7"/>
    <w:rsid w:val="498773B9"/>
    <w:rsid w:val="49885F8E"/>
    <w:rsid w:val="498B7253"/>
    <w:rsid w:val="498C1E34"/>
    <w:rsid w:val="49954447"/>
    <w:rsid w:val="49B3E798"/>
    <w:rsid w:val="49B6E666"/>
    <w:rsid w:val="49BE38F8"/>
    <w:rsid w:val="49C5758E"/>
    <w:rsid w:val="49E6E286"/>
    <w:rsid w:val="49EDF0D0"/>
    <w:rsid w:val="49F44B49"/>
    <w:rsid w:val="49FCDB8A"/>
    <w:rsid w:val="4A08A065"/>
    <w:rsid w:val="4A143141"/>
    <w:rsid w:val="4A1732C3"/>
    <w:rsid w:val="4A17D17F"/>
    <w:rsid w:val="4A3A39E0"/>
    <w:rsid w:val="4A3C647D"/>
    <w:rsid w:val="4A5DD209"/>
    <w:rsid w:val="4A833A2B"/>
    <w:rsid w:val="4A8D179E"/>
    <w:rsid w:val="4A8DBF61"/>
    <w:rsid w:val="4A8F20E8"/>
    <w:rsid w:val="4A90E92D"/>
    <w:rsid w:val="4AA3C491"/>
    <w:rsid w:val="4AC1DE88"/>
    <w:rsid w:val="4AC20A5F"/>
    <w:rsid w:val="4AD0D7D1"/>
    <w:rsid w:val="4AD1C8C4"/>
    <w:rsid w:val="4ADCF8AB"/>
    <w:rsid w:val="4AEF4BFF"/>
    <w:rsid w:val="4AFA5519"/>
    <w:rsid w:val="4B02B62B"/>
    <w:rsid w:val="4B11D9F8"/>
    <w:rsid w:val="4B1488AF"/>
    <w:rsid w:val="4B5BB87F"/>
    <w:rsid w:val="4B62FFC0"/>
    <w:rsid w:val="4B6801BD"/>
    <w:rsid w:val="4B787EA7"/>
    <w:rsid w:val="4B98FA64"/>
    <w:rsid w:val="4B9D70DD"/>
    <w:rsid w:val="4BA4460B"/>
    <w:rsid w:val="4BAC887D"/>
    <w:rsid w:val="4BCD2202"/>
    <w:rsid w:val="4BE98114"/>
    <w:rsid w:val="4BF7D147"/>
    <w:rsid w:val="4BFEBF49"/>
    <w:rsid w:val="4C01D4CA"/>
    <w:rsid w:val="4C0F307B"/>
    <w:rsid w:val="4C2F2408"/>
    <w:rsid w:val="4C36CCD9"/>
    <w:rsid w:val="4C39B522"/>
    <w:rsid w:val="4C5787A8"/>
    <w:rsid w:val="4C5BD202"/>
    <w:rsid w:val="4C5E5E2F"/>
    <w:rsid w:val="4C790590"/>
    <w:rsid w:val="4C7CDBDF"/>
    <w:rsid w:val="4C803E94"/>
    <w:rsid w:val="4C862017"/>
    <w:rsid w:val="4C8E241F"/>
    <w:rsid w:val="4C9070EE"/>
    <w:rsid w:val="4C984D52"/>
    <w:rsid w:val="4CA535A7"/>
    <w:rsid w:val="4CBB3162"/>
    <w:rsid w:val="4CC16D59"/>
    <w:rsid w:val="4CD822FD"/>
    <w:rsid w:val="4CDC010C"/>
    <w:rsid w:val="4CDDA03E"/>
    <w:rsid w:val="4CEA3107"/>
    <w:rsid w:val="4CFA76F2"/>
    <w:rsid w:val="4D02CC30"/>
    <w:rsid w:val="4D1C6C15"/>
    <w:rsid w:val="4D290286"/>
    <w:rsid w:val="4D339DBA"/>
    <w:rsid w:val="4D378C34"/>
    <w:rsid w:val="4D54F46E"/>
    <w:rsid w:val="4D65A546"/>
    <w:rsid w:val="4D6864FF"/>
    <w:rsid w:val="4D730503"/>
    <w:rsid w:val="4D765FC4"/>
    <w:rsid w:val="4D785BED"/>
    <w:rsid w:val="4D7D1029"/>
    <w:rsid w:val="4D84E531"/>
    <w:rsid w:val="4D883CB2"/>
    <w:rsid w:val="4D94D96A"/>
    <w:rsid w:val="4D989715"/>
    <w:rsid w:val="4DA16038"/>
    <w:rsid w:val="4DAE2685"/>
    <w:rsid w:val="4DB29BDA"/>
    <w:rsid w:val="4DB8E0B9"/>
    <w:rsid w:val="4DC5BC08"/>
    <w:rsid w:val="4DD4C5DA"/>
    <w:rsid w:val="4DE4B9FF"/>
    <w:rsid w:val="4DFFDC74"/>
    <w:rsid w:val="4E01C144"/>
    <w:rsid w:val="4E1A37B1"/>
    <w:rsid w:val="4E1AB6D0"/>
    <w:rsid w:val="4E1B4A40"/>
    <w:rsid w:val="4E1C8043"/>
    <w:rsid w:val="4E254151"/>
    <w:rsid w:val="4E2E3DB9"/>
    <w:rsid w:val="4E41E033"/>
    <w:rsid w:val="4E538B37"/>
    <w:rsid w:val="4E53B611"/>
    <w:rsid w:val="4E8CAD9C"/>
    <w:rsid w:val="4E95A110"/>
    <w:rsid w:val="4E977954"/>
    <w:rsid w:val="4EA064FB"/>
    <w:rsid w:val="4EBD5A50"/>
    <w:rsid w:val="4EC2534E"/>
    <w:rsid w:val="4EC85FB7"/>
    <w:rsid w:val="4EEAA3E6"/>
    <w:rsid w:val="4EEDEFE4"/>
    <w:rsid w:val="4EFBDFD3"/>
    <w:rsid w:val="4EFFB03A"/>
    <w:rsid w:val="4F083061"/>
    <w:rsid w:val="4F0CA1A6"/>
    <w:rsid w:val="4F226351"/>
    <w:rsid w:val="4F2DF515"/>
    <w:rsid w:val="4F333CD9"/>
    <w:rsid w:val="4F4079A4"/>
    <w:rsid w:val="4F47B7AA"/>
    <w:rsid w:val="4F5251F8"/>
    <w:rsid w:val="4F60E72E"/>
    <w:rsid w:val="4F62219D"/>
    <w:rsid w:val="4F737DA5"/>
    <w:rsid w:val="4F797F90"/>
    <w:rsid w:val="4F81B092"/>
    <w:rsid w:val="4F8E8A9D"/>
    <w:rsid w:val="4F9328D2"/>
    <w:rsid w:val="4F9C4749"/>
    <w:rsid w:val="4F9FF487"/>
    <w:rsid w:val="4FAF9110"/>
    <w:rsid w:val="4FCA3558"/>
    <w:rsid w:val="4FD254B4"/>
    <w:rsid w:val="4FD35AF9"/>
    <w:rsid w:val="4FE13199"/>
    <w:rsid w:val="4FE42F99"/>
    <w:rsid w:val="4FE43F4A"/>
    <w:rsid w:val="4FE78998"/>
    <w:rsid w:val="50006499"/>
    <w:rsid w:val="500695DF"/>
    <w:rsid w:val="501A7DFC"/>
    <w:rsid w:val="50271A8F"/>
    <w:rsid w:val="502947D4"/>
    <w:rsid w:val="504A6E41"/>
    <w:rsid w:val="504C1D3E"/>
    <w:rsid w:val="50587DF7"/>
    <w:rsid w:val="505C945B"/>
    <w:rsid w:val="5066CEFC"/>
    <w:rsid w:val="506DB5D7"/>
    <w:rsid w:val="5070B366"/>
    <w:rsid w:val="50744F2D"/>
    <w:rsid w:val="50796F94"/>
    <w:rsid w:val="507FE908"/>
    <w:rsid w:val="508120FB"/>
    <w:rsid w:val="5082583E"/>
    <w:rsid w:val="508CAD41"/>
    <w:rsid w:val="50A98BAE"/>
    <w:rsid w:val="50AC70FD"/>
    <w:rsid w:val="50B0FF3F"/>
    <w:rsid w:val="50B5417D"/>
    <w:rsid w:val="50BA08BF"/>
    <w:rsid w:val="50BF64A4"/>
    <w:rsid w:val="50C69156"/>
    <w:rsid w:val="50C93B18"/>
    <w:rsid w:val="50CD465E"/>
    <w:rsid w:val="50E3F151"/>
    <w:rsid w:val="50E8B3C6"/>
    <w:rsid w:val="50EC414A"/>
    <w:rsid w:val="50ED1D77"/>
    <w:rsid w:val="50F221A0"/>
    <w:rsid w:val="50F7985C"/>
    <w:rsid w:val="5102E010"/>
    <w:rsid w:val="510353E1"/>
    <w:rsid w:val="51067B0F"/>
    <w:rsid w:val="51090AD5"/>
    <w:rsid w:val="510E0445"/>
    <w:rsid w:val="510E4DAE"/>
    <w:rsid w:val="5118B32C"/>
    <w:rsid w:val="511D9E79"/>
    <w:rsid w:val="51250041"/>
    <w:rsid w:val="5128125B"/>
    <w:rsid w:val="51284E61"/>
    <w:rsid w:val="512CC7AD"/>
    <w:rsid w:val="51434215"/>
    <w:rsid w:val="51441CEB"/>
    <w:rsid w:val="51449A37"/>
    <w:rsid w:val="514B6171"/>
    <w:rsid w:val="51547969"/>
    <w:rsid w:val="515FD06C"/>
    <w:rsid w:val="51619542"/>
    <w:rsid w:val="518A070F"/>
    <w:rsid w:val="5193041D"/>
    <w:rsid w:val="51B15ACF"/>
    <w:rsid w:val="51B7B821"/>
    <w:rsid w:val="51B8F3C4"/>
    <w:rsid w:val="51C7EEFB"/>
    <w:rsid w:val="51CA868F"/>
    <w:rsid w:val="51E7D0FD"/>
    <w:rsid w:val="51EB0B3A"/>
    <w:rsid w:val="51EC7BD5"/>
    <w:rsid w:val="51F6DEDA"/>
    <w:rsid w:val="51F7CD0D"/>
    <w:rsid w:val="521F75F7"/>
    <w:rsid w:val="5222ADC5"/>
    <w:rsid w:val="524C394D"/>
    <w:rsid w:val="524C72AA"/>
    <w:rsid w:val="524D3976"/>
    <w:rsid w:val="52508BCF"/>
    <w:rsid w:val="526C2D90"/>
    <w:rsid w:val="5274DA0E"/>
    <w:rsid w:val="5276A261"/>
    <w:rsid w:val="5287E2B9"/>
    <w:rsid w:val="529FF70B"/>
    <w:rsid w:val="52A08E99"/>
    <w:rsid w:val="52AB080C"/>
    <w:rsid w:val="52AECA5E"/>
    <w:rsid w:val="52B5CC80"/>
    <w:rsid w:val="52E1EE20"/>
    <w:rsid w:val="52E731D2"/>
    <w:rsid w:val="52F3EE30"/>
    <w:rsid w:val="52F45FE7"/>
    <w:rsid w:val="52FCBF2D"/>
    <w:rsid w:val="53026D92"/>
    <w:rsid w:val="53085103"/>
    <w:rsid w:val="5312D099"/>
    <w:rsid w:val="531997D3"/>
    <w:rsid w:val="532CE6D8"/>
    <w:rsid w:val="532FEE39"/>
    <w:rsid w:val="5345C989"/>
    <w:rsid w:val="5345D0EA"/>
    <w:rsid w:val="5351D101"/>
    <w:rsid w:val="53559205"/>
    <w:rsid w:val="5369B876"/>
    <w:rsid w:val="536ACEC7"/>
    <w:rsid w:val="537BE9E7"/>
    <w:rsid w:val="538AE0B6"/>
    <w:rsid w:val="538E64AD"/>
    <w:rsid w:val="53AC19B3"/>
    <w:rsid w:val="53B7970C"/>
    <w:rsid w:val="53CC62C7"/>
    <w:rsid w:val="53CD9E51"/>
    <w:rsid w:val="53D3664D"/>
    <w:rsid w:val="53DEC2DA"/>
    <w:rsid w:val="53DFA16F"/>
    <w:rsid w:val="53E91D90"/>
    <w:rsid w:val="53ECDD69"/>
    <w:rsid w:val="53EF4B19"/>
    <w:rsid w:val="54061269"/>
    <w:rsid w:val="541BCB13"/>
    <w:rsid w:val="541D7BFC"/>
    <w:rsid w:val="542A59DA"/>
    <w:rsid w:val="54327920"/>
    <w:rsid w:val="544F82BB"/>
    <w:rsid w:val="544FA2B4"/>
    <w:rsid w:val="54628A78"/>
    <w:rsid w:val="5462BFB4"/>
    <w:rsid w:val="54645BB8"/>
    <w:rsid w:val="54669403"/>
    <w:rsid w:val="54716D64"/>
    <w:rsid w:val="547ACA24"/>
    <w:rsid w:val="547E756F"/>
    <w:rsid w:val="54B0D562"/>
    <w:rsid w:val="54C30062"/>
    <w:rsid w:val="54CA6AB1"/>
    <w:rsid w:val="54D8141F"/>
    <w:rsid w:val="54D9FDBA"/>
    <w:rsid w:val="54E464AB"/>
    <w:rsid w:val="54EA1A76"/>
    <w:rsid w:val="54ED580F"/>
    <w:rsid w:val="54ED7475"/>
    <w:rsid w:val="54EED172"/>
    <w:rsid w:val="54F37F2D"/>
    <w:rsid w:val="54FFF30C"/>
    <w:rsid w:val="5511DFCD"/>
    <w:rsid w:val="5529EE50"/>
    <w:rsid w:val="552AD1B9"/>
    <w:rsid w:val="552C32A1"/>
    <w:rsid w:val="5559641B"/>
    <w:rsid w:val="555A4E87"/>
    <w:rsid w:val="555DA6AF"/>
    <w:rsid w:val="55659ADC"/>
    <w:rsid w:val="558CB7AA"/>
    <w:rsid w:val="558FD243"/>
    <w:rsid w:val="5590BDE6"/>
    <w:rsid w:val="55AB83E3"/>
    <w:rsid w:val="55B88F33"/>
    <w:rsid w:val="55C8ECC2"/>
    <w:rsid w:val="55DFA478"/>
    <w:rsid w:val="55E7B6BA"/>
    <w:rsid w:val="55F5AB7A"/>
    <w:rsid w:val="55FC63B8"/>
    <w:rsid w:val="560A86A1"/>
    <w:rsid w:val="561BB9FC"/>
    <w:rsid w:val="561ED294"/>
    <w:rsid w:val="56202FC3"/>
    <w:rsid w:val="562F3602"/>
    <w:rsid w:val="5630595F"/>
    <w:rsid w:val="5632EF90"/>
    <w:rsid w:val="5635A9C4"/>
    <w:rsid w:val="5654672E"/>
    <w:rsid w:val="5665B3A6"/>
    <w:rsid w:val="56753708"/>
    <w:rsid w:val="567A65B8"/>
    <w:rsid w:val="569797FD"/>
    <w:rsid w:val="56A30E48"/>
    <w:rsid w:val="56A3DDD0"/>
    <w:rsid w:val="56BA3507"/>
    <w:rsid w:val="56C137A9"/>
    <w:rsid w:val="56C8657E"/>
    <w:rsid w:val="56CB16EB"/>
    <w:rsid w:val="56CFB388"/>
    <w:rsid w:val="56D4C3D0"/>
    <w:rsid w:val="56D5EAEE"/>
    <w:rsid w:val="56DCF11A"/>
    <w:rsid w:val="56DECB54"/>
    <w:rsid w:val="56E47AF4"/>
    <w:rsid w:val="56F624B3"/>
    <w:rsid w:val="56FB60FE"/>
    <w:rsid w:val="56FCAD7B"/>
    <w:rsid w:val="5704EE95"/>
    <w:rsid w:val="5729C0FD"/>
    <w:rsid w:val="572DAC46"/>
    <w:rsid w:val="57369B7C"/>
    <w:rsid w:val="573CB92E"/>
    <w:rsid w:val="573F441B"/>
    <w:rsid w:val="57456CCB"/>
    <w:rsid w:val="57478B9B"/>
    <w:rsid w:val="574C83BD"/>
    <w:rsid w:val="57504F8B"/>
    <w:rsid w:val="575C1292"/>
    <w:rsid w:val="575EB6C8"/>
    <w:rsid w:val="57654FD0"/>
    <w:rsid w:val="57696F39"/>
    <w:rsid w:val="5771B321"/>
    <w:rsid w:val="577EC080"/>
    <w:rsid w:val="5782C153"/>
    <w:rsid w:val="5787991C"/>
    <w:rsid w:val="5791BD60"/>
    <w:rsid w:val="579F69A7"/>
    <w:rsid w:val="57A83EE3"/>
    <w:rsid w:val="57AAA7F4"/>
    <w:rsid w:val="57BA9C00"/>
    <w:rsid w:val="57D54487"/>
    <w:rsid w:val="57E8C14C"/>
    <w:rsid w:val="57EDF044"/>
    <w:rsid w:val="57FAD9A5"/>
    <w:rsid w:val="57FD765A"/>
    <w:rsid w:val="5801EA22"/>
    <w:rsid w:val="581A06C7"/>
    <w:rsid w:val="58267858"/>
    <w:rsid w:val="58326FD9"/>
    <w:rsid w:val="584AC8EB"/>
    <w:rsid w:val="5864EC6A"/>
    <w:rsid w:val="5866D05F"/>
    <w:rsid w:val="5872D47C"/>
    <w:rsid w:val="58776B21"/>
    <w:rsid w:val="587CAAD9"/>
    <w:rsid w:val="5884E60A"/>
    <w:rsid w:val="589CCB24"/>
    <w:rsid w:val="58ABA9EC"/>
    <w:rsid w:val="58ADC84F"/>
    <w:rsid w:val="58C41354"/>
    <w:rsid w:val="58C94581"/>
    <w:rsid w:val="58CFFA9C"/>
    <w:rsid w:val="58EC5CA1"/>
    <w:rsid w:val="58F51C0C"/>
    <w:rsid w:val="58FAB408"/>
    <w:rsid w:val="59120BDB"/>
    <w:rsid w:val="592636F4"/>
    <w:rsid w:val="5930497F"/>
    <w:rsid w:val="59451439"/>
    <w:rsid w:val="5945ED9D"/>
    <w:rsid w:val="5951865B"/>
    <w:rsid w:val="595B6C50"/>
    <w:rsid w:val="596579BF"/>
    <w:rsid w:val="596A51E7"/>
    <w:rsid w:val="596EC34F"/>
    <w:rsid w:val="596FC170"/>
    <w:rsid w:val="597241AB"/>
    <w:rsid w:val="59869DE5"/>
    <w:rsid w:val="59873C56"/>
    <w:rsid w:val="598814EC"/>
    <w:rsid w:val="598B9844"/>
    <w:rsid w:val="5990F60F"/>
    <w:rsid w:val="59A3AD5C"/>
    <w:rsid w:val="59AFEBBC"/>
    <w:rsid w:val="59D7D69D"/>
    <w:rsid w:val="59DA7C67"/>
    <w:rsid w:val="59FE5EF0"/>
    <w:rsid w:val="59FEF5FA"/>
    <w:rsid w:val="5A0F2DDE"/>
    <w:rsid w:val="5A17F6E6"/>
    <w:rsid w:val="5A252956"/>
    <w:rsid w:val="5A25763E"/>
    <w:rsid w:val="5A345E8C"/>
    <w:rsid w:val="5A346A1A"/>
    <w:rsid w:val="5A366E35"/>
    <w:rsid w:val="5A395405"/>
    <w:rsid w:val="5A3AED51"/>
    <w:rsid w:val="5A3CC064"/>
    <w:rsid w:val="5A3D76CA"/>
    <w:rsid w:val="5A44BB4E"/>
    <w:rsid w:val="5A511AA8"/>
    <w:rsid w:val="5A550B13"/>
    <w:rsid w:val="5A68D49E"/>
    <w:rsid w:val="5A6A63A3"/>
    <w:rsid w:val="5A7B53D4"/>
    <w:rsid w:val="5A833588"/>
    <w:rsid w:val="5AC20595"/>
    <w:rsid w:val="5AE34FB7"/>
    <w:rsid w:val="5AE8FB20"/>
    <w:rsid w:val="5B018808"/>
    <w:rsid w:val="5B0F1D80"/>
    <w:rsid w:val="5B19E683"/>
    <w:rsid w:val="5B20567B"/>
    <w:rsid w:val="5B2365E4"/>
    <w:rsid w:val="5B2937E9"/>
    <w:rsid w:val="5B363530"/>
    <w:rsid w:val="5B3AAFCA"/>
    <w:rsid w:val="5B431740"/>
    <w:rsid w:val="5B537740"/>
    <w:rsid w:val="5B540223"/>
    <w:rsid w:val="5B5A7EA1"/>
    <w:rsid w:val="5B5C7954"/>
    <w:rsid w:val="5B5D1416"/>
    <w:rsid w:val="5B5D9E48"/>
    <w:rsid w:val="5B6EF787"/>
    <w:rsid w:val="5B73A6FE"/>
    <w:rsid w:val="5B7C1817"/>
    <w:rsid w:val="5B8D0EDA"/>
    <w:rsid w:val="5B99366B"/>
    <w:rsid w:val="5B9F6465"/>
    <w:rsid w:val="5BA5B334"/>
    <w:rsid w:val="5BDD6063"/>
    <w:rsid w:val="5BDEC6F1"/>
    <w:rsid w:val="5BE2D051"/>
    <w:rsid w:val="5BEB17FB"/>
    <w:rsid w:val="5BFD1485"/>
    <w:rsid w:val="5C1E95BD"/>
    <w:rsid w:val="5C218231"/>
    <w:rsid w:val="5C282E89"/>
    <w:rsid w:val="5C295054"/>
    <w:rsid w:val="5C316237"/>
    <w:rsid w:val="5C35D066"/>
    <w:rsid w:val="5C378FBA"/>
    <w:rsid w:val="5C575277"/>
    <w:rsid w:val="5C61922B"/>
    <w:rsid w:val="5C69F125"/>
    <w:rsid w:val="5C8CB000"/>
    <w:rsid w:val="5C930D12"/>
    <w:rsid w:val="5C94EFCB"/>
    <w:rsid w:val="5C9D2F72"/>
    <w:rsid w:val="5C9F0811"/>
    <w:rsid w:val="5C9F8EB6"/>
    <w:rsid w:val="5CA76357"/>
    <w:rsid w:val="5CACF03B"/>
    <w:rsid w:val="5CADBC4B"/>
    <w:rsid w:val="5CCD3362"/>
    <w:rsid w:val="5CD6CC93"/>
    <w:rsid w:val="5CD80B45"/>
    <w:rsid w:val="5CD97A50"/>
    <w:rsid w:val="5CE5AF72"/>
    <w:rsid w:val="5D1BFBE1"/>
    <w:rsid w:val="5D2FE670"/>
    <w:rsid w:val="5D39AE0A"/>
    <w:rsid w:val="5D45E406"/>
    <w:rsid w:val="5D4B959D"/>
    <w:rsid w:val="5D55CE97"/>
    <w:rsid w:val="5D5E1621"/>
    <w:rsid w:val="5D5F8EE7"/>
    <w:rsid w:val="5D60EA58"/>
    <w:rsid w:val="5D612036"/>
    <w:rsid w:val="5D6BFA92"/>
    <w:rsid w:val="5D6DEA3A"/>
    <w:rsid w:val="5D7CBC59"/>
    <w:rsid w:val="5D8243C2"/>
    <w:rsid w:val="5D893E83"/>
    <w:rsid w:val="5D8D95B5"/>
    <w:rsid w:val="5DAA1920"/>
    <w:rsid w:val="5DAB665B"/>
    <w:rsid w:val="5DB688DF"/>
    <w:rsid w:val="5DB90847"/>
    <w:rsid w:val="5DBF7D6A"/>
    <w:rsid w:val="5DC058A7"/>
    <w:rsid w:val="5DCCB3BC"/>
    <w:rsid w:val="5DEF695E"/>
    <w:rsid w:val="5E0AE807"/>
    <w:rsid w:val="5E26B373"/>
    <w:rsid w:val="5E2EDD73"/>
    <w:rsid w:val="5E3251CB"/>
    <w:rsid w:val="5E477F6B"/>
    <w:rsid w:val="5E5C1078"/>
    <w:rsid w:val="5E8939CA"/>
    <w:rsid w:val="5EB401C4"/>
    <w:rsid w:val="5ECCD5AF"/>
    <w:rsid w:val="5ED4ADB1"/>
    <w:rsid w:val="5EEDF950"/>
    <w:rsid w:val="5EF2613C"/>
    <w:rsid w:val="5EFFE113"/>
    <w:rsid w:val="5F010014"/>
    <w:rsid w:val="5F0AF20B"/>
    <w:rsid w:val="5F108796"/>
    <w:rsid w:val="5F1583C4"/>
    <w:rsid w:val="5F3B16D1"/>
    <w:rsid w:val="5F4B5589"/>
    <w:rsid w:val="5F80A404"/>
    <w:rsid w:val="5F855CD6"/>
    <w:rsid w:val="5F96BB81"/>
    <w:rsid w:val="5F9FFE50"/>
    <w:rsid w:val="5FA14461"/>
    <w:rsid w:val="5FA2006A"/>
    <w:rsid w:val="5FBD96FD"/>
    <w:rsid w:val="5FCA1DA0"/>
    <w:rsid w:val="5FCAF5D5"/>
    <w:rsid w:val="5FCB0394"/>
    <w:rsid w:val="5FCCA52D"/>
    <w:rsid w:val="5FD8EEDF"/>
    <w:rsid w:val="5FE53156"/>
    <w:rsid w:val="5FF662D1"/>
    <w:rsid w:val="60086A76"/>
    <w:rsid w:val="6008D746"/>
    <w:rsid w:val="6016E758"/>
    <w:rsid w:val="60174057"/>
    <w:rsid w:val="602F389E"/>
    <w:rsid w:val="603783AB"/>
    <w:rsid w:val="6038EAA0"/>
    <w:rsid w:val="603EE5AB"/>
    <w:rsid w:val="60456C4F"/>
    <w:rsid w:val="604B56C2"/>
    <w:rsid w:val="605A7585"/>
    <w:rsid w:val="605C0C41"/>
    <w:rsid w:val="60634C53"/>
    <w:rsid w:val="606F1F34"/>
    <w:rsid w:val="60728EA6"/>
    <w:rsid w:val="6084C7A6"/>
    <w:rsid w:val="609A56D7"/>
    <w:rsid w:val="60AC7B68"/>
    <w:rsid w:val="60B4A657"/>
    <w:rsid w:val="60C1539F"/>
    <w:rsid w:val="60C2E244"/>
    <w:rsid w:val="60C31CA5"/>
    <w:rsid w:val="60E36744"/>
    <w:rsid w:val="60FB9083"/>
    <w:rsid w:val="6115F46C"/>
    <w:rsid w:val="611EDE11"/>
    <w:rsid w:val="6122C5F7"/>
    <w:rsid w:val="6132C0DB"/>
    <w:rsid w:val="613A9E50"/>
    <w:rsid w:val="61544984"/>
    <w:rsid w:val="615588E8"/>
    <w:rsid w:val="615AADF2"/>
    <w:rsid w:val="615D5B5A"/>
    <w:rsid w:val="61750E27"/>
    <w:rsid w:val="6178621D"/>
    <w:rsid w:val="6184AE81"/>
    <w:rsid w:val="618E4CE6"/>
    <w:rsid w:val="61909FB1"/>
    <w:rsid w:val="61A0E95D"/>
    <w:rsid w:val="61AADB86"/>
    <w:rsid w:val="61BF4D9D"/>
    <w:rsid w:val="61C149CB"/>
    <w:rsid w:val="61C290A5"/>
    <w:rsid w:val="61CFC68A"/>
    <w:rsid w:val="61E51593"/>
    <w:rsid w:val="61EFD23D"/>
    <w:rsid w:val="61FCAFA9"/>
    <w:rsid w:val="620100B5"/>
    <w:rsid w:val="6208A8EF"/>
    <w:rsid w:val="62200185"/>
    <w:rsid w:val="6222DEC1"/>
    <w:rsid w:val="622938B0"/>
    <w:rsid w:val="62297F7D"/>
    <w:rsid w:val="62434ADB"/>
    <w:rsid w:val="625CE667"/>
    <w:rsid w:val="62803BE1"/>
    <w:rsid w:val="62810E2B"/>
    <w:rsid w:val="629A95A9"/>
    <w:rsid w:val="62A7A49D"/>
    <w:rsid w:val="62AFE05F"/>
    <w:rsid w:val="62B0B864"/>
    <w:rsid w:val="62E7B5C3"/>
    <w:rsid w:val="62ECABC9"/>
    <w:rsid w:val="62FCE37A"/>
    <w:rsid w:val="62FFFB94"/>
    <w:rsid w:val="631DA76F"/>
    <w:rsid w:val="6329A2F3"/>
    <w:rsid w:val="632AA27C"/>
    <w:rsid w:val="63521D73"/>
    <w:rsid w:val="6358EC47"/>
    <w:rsid w:val="635AB603"/>
    <w:rsid w:val="635AEB19"/>
    <w:rsid w:val="6361621B"/>
    <w:rsid w:val="6376CB5D"/>
    <w:rsid w:val="637EEE08"/>
    <w:rsid w:val="63808EB1"/>
    <w:rsid w:val="638D175B"/>
    <w:rsid w:val="638F354C"/>
    <w:rsid w:val="63A0F112"/>
    <w:rsid w:val="63E1024E"/>
    <w:rsid w:val="63E3A2AA"/>
    <w:rsid w:val="63E6DC06"/>
    <w:rsid w:val="640C843C"/>
    <w:rsid w:val="640CE6E4"/>
    <w:rsid w:val="642C8626"/>
    <w:rsid w:val="643C4EC7"/>
    <w:rsid w:val="6443B325"/>
    <w:rsid w:val="644D13E1"/>
    <w:rsid w:val="644F066B"/>
    <w:rsid w:val="64500E86"/>
    <w:rsid w:val="645F3451"/>
    <w:rsid w:val="6474411B"/>
    <w:rsid w:val="6475D722"/>
    <w:rsid w:val="64946D53"/>
    <w:rsid w:val="649CD014"/>
    <w:rsid w:val="64AAD823"/>
    <w:rsid w:val="64AD5542"/>
    <w:rsid w:val="64B7930A"/>
    <w:rsid w:val="64BD640F"/>
    <w:rsid w:val="64C12BEA"/>
    <w:rsid w:val="64C1A9E9"/>
    <w:rsid w:val="64D86285"/>
    <w:rsid w:val="64E37535"/>
    <w:rsid w:val="64E675EB"/>
    <w:rsid w:val="6512163E"/>
    <w:rsid w:val="6520DF58"/>
    <w:rsid w:val="6523F26B"/>
    <w:rsid w:val="6525C74C"/>
    <w:rsid w:val="652FB7A8"/>
    <w:rsid w:val="65336BB6"/>
    <w:rsid w:val="6542D8B3"/>
    <w:rsid w:val="6545A600"/>
    <w:rsid w:val="655ECE5D"/>
    <w:rsid w:val="65687877"/>
    <w:rsid w:val="65725C07"/>
    <w:rsid w:val="6574BA14"/>
    <w:rsid w:val="658476F2"/>
    <w:rsid w:val="6586FBB8"/>
    <w:rsid w:val="659ABBAD"/>
    <w:rsid w:val="659C1D6E"/>
    <w:rsid w:val="65A1AC19"/>
    <w:rsid w:val="65B562E1"/>
    <w:rsid w:val="65CC114F"/>
    <w:rsid w:val="65D54043"/>
    <w:rsid w:val="65EA5FD6"/>
    <w:rsid w:val="65EFB3EB"/>
    <w:rsid w:val="660DA785"/>
    <w:rsid w:val="6625D87B"/>
    <w:rsid w:val="66296450"/>
    <w:rsid w:val="663201D2"/>
    <w:rsid w:val="663C675A"/>
    <w:rsid w:val="66401116"/>
    <w:rsid w:val="6644AAD2"/>
    <w:rsid w:val="6647A343"/>
    <w:rsid w:val="66531369"/>
    <w:rsid w:val="665661D2"/>
    <w:rsid w:val="665874E1"/>
    <w:rsid w:val="665A1F32"/>
    <w:rsid w:val="665DB542"/>
    <w:rsid w:val="6666BEF2"/>
    <w:rsid w:val="666CCB12"/>
    <w:rsid w:val="6673B0BC"/>
    <w:rsid w:val="6676CBD4"/>
    <w:rsid w:val="6681EADE"/>
    <w:rsid w:val="669256C5"/>
    <w:rsid w:val="669902DD"/>
    <w:rsid w:val="66997A48"/>
    <w:rsid w:val="66A14478"/>
    <w:rsid w:val="66C8BAEA"/>
    <w:rsid w:val="66CE8DA3"/>
    <w:rsid w:val="66E86676"/>
    <w:rsid w:val="66FD05E4"/>
    <w:rsid w:val="66FD0E7A"/>
    <w:rsid w:val="6709B5CD"/>
    <w:rsid w:val="670A12D6"/>
    <w:rsid w:val="670F90F4"/>
    <w:rsid w:val="671935CC"/>
    <w:rsid w:val="6727E7EE"/>
    <w:rsid w:val="672BD264"/>
    <w:rsid w:val="673B674B"/>
    <w:rsid w:val="674A6DC5"/>
    <w:rsid w:val="674BEA32"/>
    <w:rsid w:val="67515349"/>
    <w:rsid w:val="6785A7FC"/>
    <w:rsid w:val="67906C30"/>
    <w:rsid w:val="67B9787C"/>
    <w:rsid w:val="67B9F830"/>
    <w:rsid w:val="67C9357C"/>
    <w:rsid w:val="67CB6319"/>
    <w:rsid w:val="67E5CAD4"/>
    <w:rsid w:val="67FBC56F"/>
    <w:rsid w:val="6802D9D9"/>
    <w:rsid w:val="681DCEEF"/>
    <w:rsid w:val="68247B34"/>
    <w:rsid w:val="682914DA"/>
    <w:rsid w:val="6833B27D"/>
    <w:rsid w:val="683440E6"/>
    <w:rsid w:val="683901A9"/>
    <w:rsid w:val="6854FF91"/>
    <w:rsid w:val="6862CA58"/>
    <w:rsid w:val="6875E8AA"/>
    <w:rsid w:val="6899F8E7"/>
    <w:rsid w:val="689C219E"/>
    <w:rsid w:val="68A45D76"/>
    <w:rsid w:val="68AAFCEC"/>
    <w:rsid w:val="68AEE9D9"/>
    <w:rsid w:val="68B1D140"/>
    <w:rsid w:val="68C1E04E"/>
    <w:rsid w:val="68C5E1C4"/>
    <w:rsid w:val="68CF5910"/>
    <w:rsid w:val="68E8925B"/>
    <w:rsid w:val="68E914FA"/>
    <w:rsid w:val="68F0603C"/>
    <w:rsid w:val="68F97779"/>
    <w:rsid w:val="68FF0C6B"/>
    <w:rsid w:val="6924F3CD"/>
    <w:rsid w:val="6928FE9E"/>
    <w:rsid w:val="692BA1A7"/>
    <w:rsid w:val="6930A2F9"/>
    <w:rsid w:val="6935ACE2"/>
    <w:rsid w:val="693610E7"/>
    <w:rsid w:val="69427880"/>
    <w:rsid w:val="6944AFD7"/>
    <w:rsid w:val="694D6C5B"/>
    <w:rsid w:val="69693DD4"/>
    <w:rsid w:val="696AE31D"/>
    <w:rsid w:val="6980A4CB"/>
    <w:rsid w:val="6981422D"/>
    <w:rsid w:val="698D1455"/>
    <w:rsid w:val="698D76AF"/>
    <w:rsid w:val="699044FF"/>
    <w:rsid w:val="6997ACF1"/>
    <w:rsid w:val="69A6C8B6"/>
    <w:rsid w:val="69B4B85D"/>
    <w:rsid w:val="69B6059F"/>
    <w:rsid w:val="69C67971"/>
    <w:rsid w:val="69C9A2A1"/>
    <w:rsid w:val="69D15D56"/>
    <w:rsid w:val="69D89E8B"/>
    <w:rsid w:val="69DB7F47"/>
    <w:rsid w:val="69E7E0F2"/>
    <w:rsid w:val="69EB81D2"/>
    <w:rsid w:val="69EDFA67"/>
    <w:rsid w:val="69EF0A49"/>
    <w:rsid w:val="69FB262E"/>
    <w:rsid w:val="6A06BEFA"/>
    <w:rsid w:val="6A0B07F0"/>
    <w:rsid w:val="6A0D05F9"/>
    <w:rsid w:val="6A2E584A"/>
    <w:rsid w:val="6A37AA8D"/>
    <w:rsid w:val="6A3B19FF"/>
    <w:rsid w:val="6A4149A6"/>
    <w:rsid w:val="6A489AA2"/>
    <w:rsid w:val="6A7C2868"/>
    <w:rsid w:val="6A822198"/>
    <w:rsid w:val="6A8A0634"/>
    <w:rsid w:val="6A916431"/>
    <w:rsid w:val="6A98053F"/>
    <w:rsid w:val="6A990D5E"/>
    <w:rsid w:val="6A9F4D9F"/>
    <w:rsid w:val="6AC894FD"/>
    <w:rsid w:val="6ACFA605"/>
    <w:rsid w:val="6AEA174F"/>
    <w:rsid w:val="6AEBE897"/>
    <w:rsid w:val="6AEEF0E3"/>
    <w:rsid w:val="6AFCD573"/>
    <w:rsid w:val="6B053714"/>
    <w:rsid w:val="6B0D607B"/>
    <w:rsid w:val="6B1D76FA"/>
    <w:rsid w:val="6B307D22"/>
    <w:rsid w:val="6B442C44"/>
    <w:rsid w:val="6B542AA5"/>
    <w:rsid w:val="6B544B59"/>
    <w:rsid w:val="6B6549C2"/>
    <w:rsid w:val="6B6E5CA7"/>
    <w:rsid w:val="6B6F3188"/>
    <w:rsid w:val="6B84FCD3"/>
    <w:rsid w:val="6B8577BB"/>
    <w:rsid w:val="6B89CAC8"/>
    <w:rsid w:val="6BB37CAC"/>
    <w:rsid w:val="6BBDC75A"/>
    <w:rsid w:val="6BBEE819"/>
    <w:rsid w:val="6BCAFE20"/>
    <w:rsid w:val="6BF3C21C"/>
    <w:rsid w:val="6BFC2E42"/>
    <w:rsid w:val="6BFDD2EB"/>
    <w:rsid w:val="6C024563"/>
    <w:rsid w:val="6C0D8070"/>
    <w:rsid w:val="6C288C32"/>
    <w:rsid w:val="6C2B0781"/>
    <w:rsid w:val="6C4EE988"/>
    <w:rsid w:val="6C4FF4FB"/>
    <w:rsid w:val="6C525009"/>
    <w:rsid w:val="6C540279"/>
    <w:rsid w:val="6C6039F0"/>
    <w:rsid w:val="6C60C66F"/>
    <w:rsid w:val="6C62C1AA"/>
    <w:rsid w:val="6C6B0AA7"/>
    <w:rsid w:val="6C937214"/>
    <w:rsid w:val="6CA80DEF"/>
    <w:rsid w:val="6CAD6D87"/>
    <w:rsid w:val="6CAF67BB"/>
    <w:rsid w:val="6CC6D947"/>
    <w:rsid w:val="6CD0329B"/>
    <w:rsid w:val="6CD2880F"/>
    <w:rsid w:val="6CD7310E"/>
    <w:rsid w:val="6CE8E34D"/>
    <w:rsid w:val="6CEAA5D9"/>
    <w:rsid w:val="6CF48BE1"/>
    <w:rsid w:val="6CF8FAC7"/>
    <w:rsid w:val="6D06FF19"/>
    <w:rsid w:val="6D0962BF"/>
    <w:rsid w:val="6D09754C"/>
    <w:rsid w:val="6D273C77"/>
    <w:rsid w:val="6D637C84"/>
    <w:rsid w:val="6D6C6E66"/>
    <w:rsid w:val="6D72DBC3"/>
    <w:rsid w:val="6D76BDF1"/>
    <w:rsid w:val="6D7B4320"/>
    <w:rsid w:val="6D7C03AA"/>
    <w:rsid w:val="6D80E83E"/>
    <w:rsid w:val="6D825AFC"/>
    <w:rsid w:val="6D979D43"/>
    <w:rsid w:val="6D9BDCBE"/>
    <w:rsid w:val="6DA33B91"/>
    <w:rsid w:val="6DB8ED39"/>
    <w:rsid w:val="6DD8C103"/>
    <w:rsid w:val="6DE35D1D"/>
    <w:rsid w:val="6DFBF0EC"/>
    <w:rsid w:val="6E0CCE4C"/>
    <w:rsid w:val="6E130920"/>
    <w:rsid w:val="6E2161AF"/>
    <w:rsid w:val="6E352C15"/>
    <w:rsid w:val="6E364970"/>
    <w:rsid w:val="6E592AE2"/>
    <w:rsid w:val="6E6B06F3"/>
    <w:rsid w:val="6E72ECCF"/>
    <w:rsid w:val="6E759A65"/>
    <w:rsid w:val="6E760606"/>
    <w:rsid w:val="6E922D5D"/>
    <w:rsid w:val="6E9923B5"/>
    <w:rsid w:val="6EA3A7F2"/>
    <w:rsid w:val="6EB49971"/>
    <w:rsid w:val="6ED26171"/>
    <w:rsid w:val="6EDC7590"/>
    <w:rsid w:val="6EDD8262"/>
    <w:rsid w:val="6EDDBEE9"/>
    <w:rsid w:val="6EE5DC87"/>
    <w:rsid w:val="6EEDEEA6"/>
    <w:rsid w:val="6F107C5B"/>
    <w:rsid w:val="6F1818D8"/>
    <w:rsid w:val="6F19FD46"/>
    <w:rsid w:val="6F1BA709"/>
    <w:rsid w:val="6F2E56B5"/>
    <w:rsid w:val="6F3D994E"/>
    <w:rsid w:val="6F40A934"/>
    <w:rsid w:val="6F420756"/>
    <w:rsid w:val="6F444A16"/>
    <w:rsid w:val="6F4F6B9D"/>
    <w:rsid w:val="6F511581"/>
    <w:rsid w:val="6F672A6C"/>
    <w:rsid w:val="6F693408"/>
    <w:rsid w:val="6F6C0329"/>
    <w:rsid w:val="6F75B41A"/>
    <w:rsid w:val="6F76C95F"/>
    <w:rsid w:val="6F7F2566"/>
    <w:rsid w:val="6F841B46"/>
    <w:rsid w:val="6F8A45C9"/>
    <w:rsid w:val="6F8B5C48"/>
    <w:rsid w:val="6F966140"/>
    <w:rsid w:val="6F973B68"/>
    <w:rsid w:val="6F9C07CD"/>
    <w:rsid w:val="6FA8218B"/>
    <w:rsid w:val="6FAD21CF"/>
    <w:rsid w:val="6FBA1391"/>
    <w:rsid w:val="6FBBDA2A"/>
    <w:rsid w:val="6FBC9196"/>
    <w:rsid w:val="6FC14AC8"/>
    <w:rsid w:val="6FC683C9"/>
    <w:rsid w:val="6FC718CA"/>
    <w:rsid w:val="6FC75E9C"/>
    <w:rsid w:val="6FC786AD"/>
    <w:rsid w:val="6FDF4614"/>
    <w:rsid w:val="6FEAFAD1"/>
    <w:rsid w:val="6FF07BCB"/>
    <w:rsid w:val="6FF2EF15"/>
    <w:rsid w:val="6FF586C5"/>
    <w:rsid w:val="700A9F3E"/>
    <w:rsid w:val="70108C09"/>
    <w:rsid w:val="702FABEA"/>
    <w:rsid w:val="7030544F"/>
    <w:rsid w:val="7047289D"/>
    <w:rsid w:val="7048A975"/>
    <w:rsid w:val="704CF4B1"/>
    <w:rsid w:val="70558EDF"/>
    <w:rsid w:val="7059D1CF"/>
    <w:rsid w:val="7079DBC3"/>
    <w:rsid w:val="7079DFF2"/>
    <w:rsid w:val="708764B1"/>
    <w:rsid w:val="709C2C23"/>
    <w:rsid w:val="70A94928"/>
    <w:rsid w:val="70AB66A9"/>
    <w:rsid w:val="70B1CCD7"/>
    <w:rsid w:val="70B7613E"/>
    <w:rsid w:val="70B9E85E"/>
    <w:rsid w:val="70BAE5CF"/>
    <w:rsid w:val="70BB127E"/>
    <w:rsid w:val="70BB6C34"/>
    <w:rsid w:val="70BDCC38"/>
    <w:rsid w:val="70CAE235"/>
    <w:rsid w:val="70DB7989"/>
    <w:rsid w:val="70E12312"/>
    <w:rsid w:val="70E1373B"/>
    <w:rsid w:val="70E4C41F"/>
    <w:rsid w:val="70E7192E"/>
    <w:rsid w:val="70EB0556"/>
    <w:rsid w:val="70F08B3E"/>
    <w:rsid w:val="710B445A"/>
    <w:rsid w:val="7113D3A1"/>
    <w:rsid w:val="711E28A4"/>
    <w:rsid w:val="7126162A"/>
    <w:rsid w:val="712F637B"/>
    <w:rsid w:val="7133197B"/>
    <w:rsid w:val="71339D7C"/>
    <w:rsid w:val="714596C6"/>
    <w:rsid w:val="715B2612"/>
    <w:rsid w:val="716D3310"/>
    <w:rsid w:val="71737FEC"/>
    <w:rsid w:val="717F8A60"/>
    <w:rsid w:val="71907E3F"/>
    <w:rsid w:val="71B0FEBC"/>
    <w:rsid w:val="71BBFA61"/>
    <w:rsid w:val="71D650B3"/>
    <w:rsid w:val="71DE73F7"/>
    <w:rsid w:val="71E7317B"/>
    <w:rsid w:val="71F591BA"/>
    <w:rsid w:val="7246FB7F"/>
    <w:rsid w:val="724800FD"/>
    <w:rsid w:val="7250DBE8"/>
    <w:rsid w:val="725359D8"/>
    <w:rsid w:val="7257D8F6"/>
    <w:rsid w:val="725E1BB1"/>
    <w:rsid w:val="726C19C5"/>
    <w:rsid w:val="7292148A"/>
    <w:rsid w:val="729386D8"/>
    <w:rsid w:val="72BCF1D7"/>
    <w:rsid w:val="72F62728"/>
    <w:rsid w:val="730B0E86"/>
    <w:rsid w:val="7315C830"/>
    <w:rsid w:val="7319F7FF"/>
    <w:rsid w:val="73230FED"/>
    <w:rsid w:val="73423137"/>
    <w:rsid w:val="73434559"/>
    <w:rsid w:val="73473C50"/>
    <w:rsid w:val="7347E078"/>
    <w:rsid w:val="7348E666"/>
    <w:rsid w:val="734B68C3"/>
    <w:rsid w:val="734E4908"/>
    <w:rsid w:val="73650CF4"/>
    <w:rsid w:val="7367CE13"/>
    <w:rsid w:val="736BBBF3"/>
    <w:rsid w:val="736C9D8E"/>
    <w:rsid w:val="7378FA78"/>
    <w:rsid w:val="737B2ED0"/>
    <w:rsid w:val="737F5C45"/>
    <w:rsid w:val="7387097E"/>
    <w:rsid w:val="73A4CDC6"/>
    <w:rsid w:val="73BC8B03"/>
    <w:rsid w:val="73CEEDF3"/>
    <w:rsid w:val="73D2EF33"/>
    <w:rsid w:val="73D7B1EC"/>
    <w:rsid w:val="73D8A939"/>
    <w:rsid w:val="73DBFD5E"/>
    <w:rsid w:val="73F1FC38"/>
    <w:rsid w:val="73FA488A"/>
    <w:rsid w:val="73FB7E7B"/>
    <w:rsid w:val="741B7D82"/>
    <w:rsid w:val="741DEFB6"/>
    <w:rsid w:val="7424BC8E"/>
    <w:rsid w:val="742B2575"/>
    <w:rsid w:val="742DE4EB"/>
    <w:rsid w:val="7431915C"/>
    <w:rsid w:val="74470A01"/>
    <w:rsid w:val="7448DE31"/>
    <w:rsid w:val="744936F3"/>
    <w:rsid w:val="745972C4"/>
    <w:rsid w:val="74650251"/>
    <w:rsid w:val="74731F38"/>
    <w:rsid w:val="74799AA7"/>
    <w:rsid w:val="7481F0A4"/>
    <w:rsid w:val="748A86C6"/>
    <w:rsid w:val="748F94D7"/>
    <w:rsid w:val="749FFD45"/>
    <w:rsid w:val="74A34894"/>
    <w:rsid w:val="74A6918B"/>
    <w:rsid w:val="74F80AC0"/>
    <w:rsid w:val="752679C4"/>
    <w:rsid w:val="75343EBF"/>
    <w:rsid w:val="753B881A"/>
    <w:rsid w:val="75444B45"/>
    <w:rsid w:val="7555CBAE"/>
    <w:rsid w:val="75616604"/>
    <w:rsid w:val="7562CC18"/>
    <w:rsid w:val="7569C324"/>
    <w:rsid w:val="758E8871"/>
    <w:rsid w:val="75903E1D"/>
    <w:rsid w:val="7593612F"/>
    <w:rsid w:val="75B31F44"/>
    <w:rsid w:val="75B4BE9D"/>
    <w:rsid w:val="75B774D9"/>
    <w:rsid w:val="75C47DC6"/>
    <w:rsid w:val="75D7C2ED"/>
    <w:rsid w:val="75DA488E"/>
    <w:rsid w:val="760A179E"/>
    <w:rsid w:val="760D82C4"/>
    <w:rsid w:val="7619859C"/>
    <w:rsid w:val="76344392"/>
    <w:rsid w:val="7640CFA4"/>
    <w:rsid w:val="76479DE7"/>
    <w:rsid w:val="764BD456"/>
    <w:rsid w:val="765C4434"/>
    <w:rsid w:val="765D9F14"/>
    <w:rsid w:val="76629039"/>
    <w:rsid w:val="7663E4F3"/>
    <w:rsid w:val="766C515F"/>
    <w:rsid w:val="7671812C"/>
    <w:rsid w:val="7675D67A"/>
    <w:rsid w:val="7680D5C5"/>
    <w:rsid w:val="76ACD06C"/>
    <w:rsid w:val="76BD6525"/>
    <w:rsid w:val="76C08346"/>
    <w:rsid w:val="76CBC634"/>
    <w:rsid w:val="76CF059E"/>
    <w:rsid w:val="76EF830E"/>
    <w:rsid w:val="7706CE0F"/>
    <w:rsid w:val="770EE399"/>
    <w:rsid w:val="770F92CC"/>
    <w:rsid w:val="771014E5"/>
    <w:rsid w:val="7732C055"/>
    <w:rsid w:val="773BEDE6"/>
    <w:rsid w:val="774C50B6"/>
    <w:rsid w:val="77638891"/>
    <w:rsid w:val="77769A0C"/>
    <w:rsid w:val="77812AA6"/>
    <w:rsid w:val="778D0AAA"/>
    <w:rsid w:val="779C2403"/>
    <w:rsid w:val="77A44187"/>
    <w:rsid w:val="77AB29E3"/>
    <w:rsid w:val="77B31B88"/>
    <w:rsid w:val="77BDB024"/>
    <w:rsid w:val="77C3A80A"/>
    <w:rsid w:val="77CA9AFE"/>
    <w:rsid w:val="77CE4B89"/>
    <w:rsid w:val="77D9E564"/>
    <w:rsid w:val="77E1A05C"/>
    <w:rsid w:val="77FBE53F"/>
    <w:rsid w:val="781004EE"/>
    <w:rsid w:val="782694F0"/>
    <w:rsid w:val="783DF6E5"/>
    <w:rsid w:val="7855574E"/>
    <w:rsid w:val="78719D13"/>
    <w:rsid w:val="7872C321"/>
    <w:rsid w:val="7879933F"/>
    <w:rsid w:val="789E3644"/>
    <w:rsid w:val="78B148C5"/>
    <w:rsid w:val="78BE8CFC"/>
    <w:rsid w:val="78BE9093"/>
    <w:rsid w:val="78C05489"/>
    <w:rsid w:val="78C0B6E3"/>
    <w:rsid w:val="78D2D895"/>
    <w:rsid w:val="78D7910C"/>
    <w:rsid w:val="78FD3F4A"/>
    <w:rsid w:val="790051EE"/>
    <w:rsid w:val="7919EA04"/>
    <w:rsid w:val="79203C22"/>
    <w:rsid w:val="7925F88A"/>
    <w:rsid w:val="79346066"/>
    <w:rsid w:val="793DF1F7"/>
    <w:rsid w:val="794403DF"/>
    <w:rsid w:val="794BCE45"/>
    <w:rsid w:val="795B242F"/>
    <w:rsid w:val="797719B4"/>
    <w:rsid w:val="798124A4"/>
    <w:rsid w:val="798CE1CF"/>
    <w:rsid w:val="798FFC7F"/>
    <w:rsid w:val="7996ABF3"/>
    <w:rsid w:val="7997D087"/>
    <w:rsid w:val="799F0CEF"/>
    <w:rsid w:val="79A1D4C1"/>
    <w:rsid w:val="79C2A2FA"/>
    <w:rsid w:val="79C545DE"/>
    <w:rsid w:val="79C65718"/>
    <w:rsid w:val="79D0D8B9"/>
    <w:rsid w:val="79D48807"/>
    <w:rsid w:val="79DC86CF"/>
    <w:rsid w:val="79E59178"/>
    <w:rsid w:val="79F1E8BD"/>
    <w:rsid w:val="7A07D755"/>
    <w:rsid w:val="7A14BB77"/>
    <w:rsid w:val="7A1AE9D9"/>
    <w:rsid w:val="7A219488"/>
    <w:rsid w:val="7A228544"/>
    <w:rsid w:val="7A264AFC"/>
    <w:rsid w:val="7A4BCF25"/>
    <w:rsid w:val="7A4D6D54"/>
    <w:rsid w:val="7A5292F8"/>
    <w:rsid w:val="7A531325"/>
    <w:rsid w:val="7A629BA4"/>
    <w:rsid w:val="7A6B122B"/>
    <w:rsid w:val="7A6E823C"/>
    <w:rsid w:val="7A7FA9A5"/>
    <w:rsid w:val="7A805B8C"/>
    <w:rsid w:val="7A91A096"/>
    <w:rsid w:val="7A97346A"/>
    <w:rsid w:val="7AA0CB65"/>
    <w:rsid w:val="7AAD2910"/>
    <w:rsid w:val="7AB00BFE"/>
    <w:rsid w:val="7AB39793"/>
    <w:rsid w:val="7ABB35E2"/>
    <w:rsid w:val="7AC50AEA"/>
    <w:rsid w:val="7AD0B4BB"/>
    <w:rsid w:val="7AE19BE8"/>
    <w:rsid w:val="7AED3D60"/>
    <w:rsid w:val="7AFA00D2"/>
    <w:rsid w:val="7AFD49DB"/>
    <w:rsid w:val="7B01F03C"/>
    <w:rsid w:val="7B02ED40"/>
    <w:rsid w:val="7B0478AE"/>
    <w:rsid w:val="7B0873C3"/>
    <w:rsid w:val="7B13D5A5"/>
    <w:rsid w:val="7B22FDE0"/>
    <w:rsid w:val="7B283907"/>
    <w:rsid w:val="7B549D50"/>
    <w:rsid w:val="7B5EEB30"/>
    <w:rsid w:val="7B6CE6C8"/>
    <w:rsid w:val="7B6E4D6C"/>
    <w:rsid w:val="7B7D7EED"/>
    <w:rsid w:val="7B867DAA"/>
    <w:rsid w:val="7B8CD183"/>
    <w:rsid w:val="7B914530"/>
    <w:rsid w:val="7B9A75CD"/>
    <w:rsid w:val="7BB9C665"/>
    <w:rsid w:val="7BBA07EE"/>
    <w:rsid w:val="7BC5067B"/>
    <w:rsid w:val="7BD10237"/>
    <w:rsid w:val="7BF83BA1"/>
    <w:rsid w:val="7C06BC1A"/>
    <w:rsid w:val="7C202B63"/>
    <w:rsid w:val="7C2F4131"/>
    <w:rsid w:val="7C486DE4"/>
    <w:rsid w:val="7C5BBCFA"/>
    <w:rsid w:val="7C5FA41A"/>
    <w:rsid w:val="7C6508C0"/>
    <w:rsid w:val="7C71E975"/>
    <w:rsid w:val="7CA23D5F"/>
    <w:rsid w:val="7CDF51D5"/>
    <w:rsid w:val="7D0E882B"/>
    <w:rsid w:val="7D1864DC"/>
    <w:rsid w:val="7D214196"/>
    <w:rsid w:val="7D2989A0"/>
    <w:rsid w:val="7D349191"/>
    <w:rsid w:val="7D40D225"/>
    <w:rsid w:val="7D47C744"/>
    <w:rsid w:val="7D48DA7B"/>
    <w:rsid w:val="7D594440"/>
    <w:rsid w:val="7D830B14"/>
    <w:rsid w:val="7D85C531"/>
    <w:rsid w:val="7D867345"/>
    <w:rsid w:val="7DAC3F84"/>
    <w:rsid w:val="7DB7FC4E"/>
    <w:rsid w:val="7DB84686"/>
    <w:rsid w:val="7DDBFF8D"/>
    <w:rsid w:val="7DDFAC0F"/>
    <w:rsid w:val="7DE27CAE"/>
    <w:rsid w:val="7DE9422F"/>
    <w:rsid w:val="7DF2A1D1"/>
    <w:rsid w:val="7DF2FE28"/>
    <w:rsid w:val="7DFCABAC"/>
    <w:rsid w:val="7E066A32"/>
    <w:rsid w:val="7E094C97"/>
    <w:rsid w:val="7E12BA9A"/>
    <w:rsid w:val="7E177CE6"/>
    <w:rsid w:val="7E26F561"/>
    <w:rsid w:val="7E3F535F"/>
    <w:rsid w:val="7E511FFD"/>
    <w:rsid w:val="7E66DB3C"/>
    <w:rsid w:val="7E762E25"/>
    <w:rsid w:val="7E89DA0A"/>
    <w:rsid w:val="7E8D6F63"/>
    <w:rsid w:val="7EA4F9AA"/>
    <w:rsid w:val="7EA87BDD"/>
    <w:rsid w:val="7EB64014"/>
    <w:rsid w:val="7EC305C6"/>
    <w:rsid w:val="7ECFA1CE"/>
    <w:rsid w:val="7ED92974"/>
    <w:rsid w:val="7ED9893D"/>
    <w:rsid w:val="7EFA82E5"/>
    <w:rsid w:val="7F2A5F94"/>
    <w:rsid w:val="7F2F766A"/>
    <w:rsid w:val="7F35BF9D"/>
    <w:rsid w:val="7F4D9F8B"/>
    <w:rsid w:val="7F5167FD"/>
    <w:rsid w:val="7F5B74E9"/>
    <w:rsid w:val="7F5BC553"/>
    <w:rsid w:val="7F5D7069"/>
    <w:rsid w:val="7F80184A"/>
    <w:rsid w:val="7F8041EA"/>
    <w:rsid w:val="7F808B52"/>
    <w:rsid w:val="7F8527BB"/>
    <w:rsid w:val="7F875ADB"/>
    <w:rsid w:val="7F87FC98"/>
    <w:rsid w:val="7F9088BC"/>
    <w:rsid w:val="7F92CD56"/>
    <w:rsid w:val="7FA35358"/>
    <w:rsid w:val="7FA7B59E"/>
    <w:rsid w:val="7FAB5935"/>
    <w:rsid w:val="7FB41AA1"/>
    <w:rsid w:val="7FD1CCF4"/>
    <w:rsid w:val="7FE17267"/>
    <w:rsid w:val="7FEA4D09"/>
    <w:rsid w:val="7FF11972"/>
    <w:rsid w:val="7FF81E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E40D1"/>
  <w15:docId w15:val="{A810530C-053A-4A00-819A-5277A363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6562"/>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9"/>
    <w:qFormat/>
    <w:rsid w:val="00180C41"/>
    <w:pPr>
      <w:keepNext/>
      <w:spacing w:before="240" w:after="240"/>
      <w:ind w:left="851" w:hanging="851"/>
      <w:outlineLvl w:val="0"/>
    </w:pPr>
    <w:rPr>
      <w:b/>
      <w:bCs/>
      <w:sz w:val="36"/>
      <w:szCs w:val="28"/>
      <w:lang w:bidi="ar-SA"/>
    </w:rPr>
  </w:style>
  <w:style w:type="paragraph" w:styleId="Heading2">
    <w:name w:val="heading 2"/>
    <w:aliases w:val="FSHeading 2,Section heading"/>
    <w:basedOn w:val="Normal"/>
    <w:next w:val="Normal"/>
    <w:link w:val="Heading2Char"/>
    <w:autoRedefine/>
    <w:uiPriority w:val="9"/>
    <w:unhideWhenUsed/>
    <w:qFormat/>
    <w:rsid w:val="00733CE2"/>
    <w:pPr>
      <w:keepNext/>
      <w:spacing w:before="240" w:after="240"/>
      <w:outlineLvl w:val="1"/>
    </w:pPr>
    <w:rPr>
      <w:rFonts w:cs="Arial"/>
      <w:b/>
      <w:bCs/>
      <w:sz w:val="28"/>
      <w:szCs w:val="22"/>
      <w:lang w:bidi="ar-SA"/>
    </w:rPr>
  </w:style>
  <w:style w:type="paragraph" w:styleId="Heading3">
    <w:name w:val="heading 3"/>
    <w:aliases w:val="FSHeading 3,Subheading 1"/>
    <w:basedOn w:val="Normal"/>
    <w:next w:val="Normal"/>
    <w:link w:val="Heading3Char"/>
    <w:autoRedefine/>
    <w:uiPriority w:val="9"/>
    <w:unhideWhenUsed/>
    <w:qFormat/>
    <w:rsid w:val="006406E3"/>
    <w:pPr>
      <w:keepNext/>
      <w:spacing w:before="240" w:after="240"/>
      <w:ind w:left="851" w:hanging="851"/>
      <w:outlineLvl w:val="2"/>
    </w:pPr>
    <w:rPr>
      <w:b/>
      <w:bCs/>
      <w:color w:val="000000" w:themeColor="text1"/>
      <w:lang w:eastAsia="en-AU" w:bidi="ar-SA"/>
    </w:rPr>
  </w:style>
  <w:style w:type="paragraph" w:styleId="Heading4">
    <w:name w:val="heading 4"/>
    <w:aliases w:val="FSHeading 4,Subheading 2"/>
    <w:basedOn w:val="Normal"/>
    <w:next w:val="Normal"/>
    <w:link w:val="Heading4Char"/>
    <w:uiPriority w:val="9"/>
    <w:unhideWhenUsed/>
    <w:qFormat/>
    <w:rsid w:val="007C174F"/>
    <w:pPr>
      <w:keepNext/>
      <w:spacing w:before="240" w:after="240"/>
      <w:ind w:left="851" w:hanging="851"/>
      <w:outlineLvl w:val="3"/>
    </w:pPr>
    <w:rPr>
      <w:b/>
      <w:bCs/>
      <w:i/>
      <w:iCs/>
      <w:szCs w:val="22"/>
      <w:lang w:bidi="ar-SA"/>
    </w:rPr>
  </w:style>
  <w:style w:type="paragraph" w:styleId="Heading5">
    <w:name w:val="heading 5"/>
    <w:aliases w:val="FSHeading 5,Subheading 3"/>
    <w:basedOn w:val="Normal"/>
    <w:next w:val="Normal"/>
    <w:link w:val="Heading5Char"/>
    <w:uiPriority w:val="9"/>
    <w:unhideWhenUsed/>
    <w:qFormat/>
    <w:rsid w:val="007C174F"/>
    <w:pPr>
      <w:keepNext/>
      <w:spacing w:before="240" w:after="240"/>
      <w:ind w:left="851" w:hanging="851"/>
      <w:outlineLvl w:val="4"/>
    </w:pPr>
    <w:rPr>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9"/>
    <w:rsid w:val="00180C41"/>
    <w:rPr>
      <w:rFonts w:ascii="Arial" w:hAnsi="Arial"/>
      <w:b/>
      <w:bCs/>
      <w:sz w:val="36"/>
      <w:szCs w:val="28"/>
      <w:lang w:eastAsia="en-US"/>
    </w:rPr>
  </w:style>
  <w:style w:type="character" w:customStyle="1" w:styleId="Heading2Char">
    <w:name w:val="Heading 2 Char"/>
    <w:aliases w:val="FSHeading 2 Char,Section heading Char"/>
    <w:link w:val="Heading2"/>
    <w:uiPriority w:val="9"/>
    <w:rsid w:val="00733CE2"/>
    <w:rPr>
      <w:rFonts w:ascii="Arial" w:hAnsi="Arial" w:cs="Arial"/>
      <w:b/>
      <w:bCs/>
      <w:sz w:val="28"/>
      <w:szCs w:val="22"/>
      <w:lang w:eastAsia="en-US"/>
    </w:rPr>
  </w:style>
  <w:style w:type="character" w:customStyle="1" w:styleId="Heading3Char">
    <w:name w:val="Heading 3 Char"/>
    <w:aliases w:val="FSHeading 3 Char,Subheading 1 Char"/>
    <w:link w:val="Heading3"/>
    <w:uiPriority w:val="9"/>
    <w:rsid w:val="006406E3"/>
    <w:rPr>
      <w:rFonts w:ascii="Arial" w:hAnsi="Arial"/>
      <w:b/>
      <w:bCs/>
      <w:color w:val="000000" w:themeColor="text1"/>
      <w:sz w:val="22"/>
      <w:szCs w:val="24"/>
      <w:lang w:eastAsia="en-AU"/>
    </w:rPr>
  </w:style>
  <w:style w:type="character" w:customStyle="1" w:styleId="Heading4Char">
    <w:name w:val="Heading 4 Char"/>
    <w:aliases w:val="FSHeading 4 Char,Subheading 2 Char"/>
    <w:link w:val="Heading4"/>
    <w:uiPriority w:val="9"/>
    <w:rsid w:val="007C174F"/>
    <w:rPr>
      <w:rFonts w:ascii="Arial" w:hAnsi="Arial"/>
      <w:b/>
      <w:bCs/>
      <w:i/>
      <w:iCs/>
      <w:sz w:val="22"/>
      <w:szCs w:val="22"/>
      <w:lang w:eastAsia="en-US"/>
    </w:rPr>
  </w:style>
  <w:style w:type="character" w:customStyle="1" w:styleId="Heading5Char">
    <w:name w:val="Heading 5 Char"/>
    <w:aliases w:val="FSHeading 5 Char,Subheading 3 Char"/>
    <w:link w:val="Heading5"/>
    <w:uiPriority w:val="9"/>
    <w:rsid w:val="007C174F"/>
    <w:rPr>
      <w:rFonts w:ascii="Arial" w:hAnsi="Arial"/>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0A27E9"/>
    <w:rPr>
      <w:rFonts w:ascii="Arial" w:hAnsi="Arial"/>
      <w:color w:val="3333FF"/>
      <w:u w:val="single"/>
    </w:rPr>
  </w:style>
  <w:style w:type="paragraph" w:styleId="Header">
    <w:name w:val="header"/>
    <w:basedOn w:val="Normal"/>
    <w:link w:val="HeaderChar"/>
    <w:rsid w:val="00E777EC"/>
  </w:style>
  <w:style w:type="paragraph" w:customStyle="1" w:styleId="FSTitle">
    <w:name w:val="FS Title"/>
    <w:basedOn w:val="Normal"/>
    <w:qFormat/>
    <w:rsid w:val="00690206"/>
    <w:rPr>
      <w:rFonts w:cs="Tahoma"/>
      <w:bCs/>
      <w:sz w:val="32"/>
    </w:rPr>
  </w:style>
  <w:style w:type="paragraph" w:customStyle="1" w:styleId="FSCbaseheading">
    <w:name w:val="FSC_base_heading"/>
    <w:rsid w:val="00796562"/>
    <w:pPr>
      <w:keepNext/>
      <w:keepLines/>
      <w:spacing w:before="360"/>
      <w:ind w:left="2835" w:hanging="2835"/>
    </w:pPr>
    <w:rPr>
      <w:rFonts w:ascii="Arial" w:hAnsi="Arial" w:cs="Arial"/>
      <w:b/>
      <w:bCs/>
      <w:kern w:val="32"/>
      <w:sz w:val="24"/>
      <w:szCs w:val="32"/>
      <w:lang w:eastAsia="en-AU"/>
    </w:rPr>
  </w:style>
  <w:style w:type="paragraph" w:styleId="TOC1">
    <w:name w:val="toc 1"/>
    <w:basedOn w:val="Normal"/>
    <w:next w:val="Normal"/>
    <w:autoRedefine/>
    <w:uiPriority w:val="39"/>
    <w:rsid w:val="00FC40BB"/>
    <w:pPr>
      <w:tabs>
        <w:tab w:val="left" w:pos="440"/>
        <w:tab w:val="right" w:leader="dot" w:pos="9060"/>
      </w:tabs>
      <w:spacing w:before="120" w:after="120"/>
    </w:pPr>
    <w:rPr>
      <w:rFonts w:asciiTheme="minorHAnsi" w:hAnsiTheme="minorHAnsi"/>
      <w:b/>
      <w:bCs/>
      <w:caps/>
      <w:sz w:val="20"/>
      <w:szCs w:val="20"/>
    </w:rPr>
  </w:style>
  <w:style w:type="paragraph" w:styleId="TOC2">
    <w:name w:val="toc 2"/>
    <w:basedOn w:val="Normal"/>
    <w:next w:val="Normal"/>
    <w:autoRedefine/>
    <w:uiPriority w:val="39"/>
    <w:rsid w:val="00041825"/>
    <w:pPr>
      <w:tabs>
        <w:tab w:val="left" w:pos="880"/>
        <w:tab w:val="right" w:leader="dot" w:pos="9060"/>
      </w:tabs>
      <w:ind w:left="220"/>
    </w:pPr>
    <w:rPr>
      <w:rFonts w:asciiTheme="minorHAnsi" w:hAnsiTheme="minorHAnsi"/>
      <w:smallCaps/>
      <w:sz w:val="20"/>
      <w:szCs w:val="20"/>
    </w:rPr>
  </w:style>
  <w:style w:type="paragraph" w:styleId="Footer">
    <w:name w:val="footer"/>
    <w:basedOn w:val="Normal"/>
    <w:rsid w:val="00690206"/>
    <w:pPr>
      <w:tabs>
        <w:tab w:val="center" w:pos="4153"/>
        <w:tab w:val="right" w:pos="8306"/>
      </w:tabs>
    </w:pPr>
    <w:rPr>
      <w:sz w:val="20"/>
    </w:rPr>
  </w:style>
  <w:style w:type="character" w:styleId="PageNumber">
    <w:name w:val="page number"/>
    <w:basedOn w:val="DefaultParagraphFont"/>
    <w:rsid w:val="006A48A7"/>
    <w:rPr>
      <w:rFonts w:ascii="Arial" w:hAnsi="Arial"/>
    </w:rPr>
  </w:style>
  <w:style w:type="paragraph" w:styleId="TOC3">
    <w:name w:val="toc 3"/>
    <w:basedOn w:val="Normal"/>
    <w:next w:val="Normal"/>
    <w:autoRedefine/>
    <w:uiPriority w:val="39"/>
    <w:rsid w:val="005516AE"/>
    <w:pPr>
      <w:tabs>
        <w:tab w:val="left" w:pos="1100"/>
        <w:tab w:val="right" w:leader="dot" w:pos="9060"/>
      </w:tabs>
      <w:ind w:left="440"/>
    </w:pPr>
    <w:rPr>
      <w:rFonts w:asciiTheme="minorHAnsi" w:hAnsiTheme="minorHAnsi"/>
      <w:i/>
      <w:iCs/>
      <w:sz w:val="20"/>
      <w:szCs w:val="20"/>
    </w:rPr>
  </w:style>
  <w:style w:type="paragraph" w:styleId="TOC4">
    <w:name w:val="toc 4"/>
    <w:basedOn w:val="Normal"/>
    <w:next w:val="Normal"/>
    <w:autoRedefine/>
    <w:semiHidden/>
    <w:pPr>
      <w:ind w:left="660"/>
    </w:pPr>
    <w:rPr>
      <w:rFonts w:asciiTheme="minorHAnsi" w:hAnsiTheme="minorHAnsi"/>
      <w:sz w:val="18"/>
      <w:szCs w:val="18"/>
    </w:rPr>
  </w:style>
  <w:style w:type="paragraph" w:styleId="TOC5">
    <w:name w:val="toc 5"/>
    <w:basedOn w:val="Normal"/>
    <w:next w:val="Normal"/>
    <w:autoRedefine/>
    <w:semiHidden/>
    <w:pPr>
      <w:ind w:left="880"/>
    </w:pPr>
    <w:rPr>
      <w:rFonts w:asciiTheme="minorHAnsi" w:hAnsiTheme="minorHAnsi"/>
      <w:sz w:val="18"/>
      <w:szCs w:val="18"/>
    </w:rPr>
  </w:style>
  <w:style w:type="character" w:styleId="FollowedHyperlink">
    <w:name w:val="FollowedHyperlink"/>
    <w:basedOn w:val="DefaultParagraphFont"/>
    <w:uiPriority w:val="99"/>
    <w:rsid w:val="00203540"/>
    <w:rPr>
      <w:rFonts w:ascii="Arial" w:hAnsi="Arial"/>
      <w:color w:val="3333FF"/>
      <w:sz w:val="22"/>
      <w:u w:val="single"/>
    </w:rPr>
  </w:style>
  <w:style w:type="paragraph" w:styleId="TOC6">
    <w:name w:val="toc 6"/>
    <w:basedOn w:val="Normal"/>
    <w:next w:val="Normal"/>
    <w:autoRedefine/>
    <w:semiHidden/>
    <w:pPr>
      <w:ind w:left="1100"/>
    </w:pPr>
    <w:rPr>
      <w:rFonts w:asciiTheme="minorHAnsi" w:hAnsiTheme="minorHAnsi"/>
      <w:sz w:val="18"/>
      <w:szCs w:val="18"/>
    </w:rPr>
  </w:style>
  <w:style w:type="paragraph" w:customStyle="1" w:styleId="FSCbasepara">
    <w:name w:val="FSC_base_para"/>
    <w:rsid w:val="00796562"/>
    <w:pPr>
      <w:keepLines/>
      <w:spacing w:before="120"/>
      <w:ind w:left="1701" w:hanging="1701"/>
    </w:pPr>
    <w:rPr>
      <w:rFonts w:ascii="Arial" w:hAnsi="Arial" w:cs="Arial"/>
      <w:iCs/>
      <w:szCs w:val="22"/>
      <w:lang w:eastAsia="en-AU"/>
    </w:rPr>
  </w:style>
  <w:style w:type="paragraph" w:customStyle="1" w:styleId="FSCbasetbl">
    <w:name w:val="FSC_base_tbl"/>
    <w:basedOn w:val="FSCbasepara"/>
    <w:rsid w:val="00796562"/>
    <w:pPr>
      <w:spacing w:before="60" w:after="60"/>
      <w:ind w:left="0" w:firstLine="0"/>
    </w:pPr>
    <w:rPr>
      <w:sz w:val="18"/>
    </w:rPr>
  </w:style>
  <w:style w:type="paragraph" w:customStyle="1" w:styleId="FSCbaseTOC">
    <w:name w:val="FSC_base_TOC"/>
    <w:rsid w:val="00796562"/>
    <w:pPr>
      <w:tabs>
        <w:tab w:val="right" w:pos="8278"/>
      </w:tabs>
      <w:ind w:left="2126" w:hanging="2126"/>
    </w:pPr>
    <w:rPr>
      <w:rFonts w:ascii="Arial" w:hAnsi="Arial" w:cs="Arial"/>
      <w:noProof/>
      <w:szCs w:val="22"/>
      <w:lang w:eastAsia="en-AU"/>
    </w:rPr>
  </w:style>
  <w:style w:type="paragraph" w:customStyle="1" w:styleId="FSCDraftingitem">
    <w:name w:val="FSC_Drafting_item"/>
    <w:basedOn w:val="Normal"/>
    <w:qFormat/>
    <w:rsid w:val="00796562"/>
    <w:pPr>
      <w:widowControl/>
      <w:tabs>
        <w:tab w:val="left" w:pos="851"/>
      </w:tabs>
      <w:spacing w:before="120" w:after="120"/>
    </w:pPr>
    <w:rPr>
      <w:sz w:val="20"/>
      <w:szCs w:val="20"/>
      <w:lang w:bidi="ar-SA"/>
    </w:rPr>
  </w:style>
  <w:style w:type="paragraph" w:customStyle="1" w:styleId="FSCDraftingitemheading">
    <w:name w:val="FSC_Drafting_item_heading"/>
    <w:basedOn w:val="Normal"/>
    <w:qFormat/>
    <w:rsid w:val="00796562"/>
    <w:pPr>
      <w:spacing w:before="120" w:after="120"/>
      <w:ind w:left="851" w:hanging="851"/>
    </w:pPr>
    <w:rPr>
      <w:b/>
      <w:sz w:val="20"/>
      <w:szCs w:val="20"/>
      <w:lang w:bidi="ar-SA"/>
    </w:rPr>
  </w:style>
  <w:style w:type="paragraph" w:customStyle="1" w:styleId="FSCfooter">
    <w:name w:val="FSC_footer"/>
    <w:basedOn w:val="Normal"/>
    <w:rsid w:val="00796562"/>
    <w:pPr>
      <w:widowControl/>
      <w:tabs>
        <w:tab w:val="center" w:pos="4536"/>
        <w:tab w:val="right" w:pos="9072"/>
      </w:tabs>
    </w:pPr>
    <w:rPr>
      <w:sz w:val="18"/>
      <w:szCs w:val="20"/>
      <w:lang w:bidi="ar-SA"/>
    </w:rPr>
  </w:style>
  <w:style w:type="paragraph" w:customStyle="1" w:styleId="FSCh1Chap">
    <w:name w:val="FSC_h1_Chap"/>
    <w:basedOn w:val="FSCbaseheading"/>
    <w:next w:val="Normal"/>
    <w:qFormat/>
    <w:rsid w:val="00796562"/>
    <w:pPr>
      <w:spacing w:before="0" w:after="240"/>
      <w:outlineLvl w:val="0"/>
    </w:pPr>
    <w:rPr>
      <w:bCs w:val="0"/>
      <w:sz w:val="40"/>
    </w:rPr>
  </w:style>
  <w:style w:type="paragraph" w:customStyle="1" w:styleId="FSCh2Part">
    <w:name w:val="FSC_h2_Part"/>
    <w:basedOn w:val="FSCbaseheading"/>
    <w:next w:val="Normal"/>
    <w:qFormat/>
    <w:rsid w:val="00796562"/>
    <w:pPr>
      <w:spacing w:before="240" w:after="240"/>
      <w:outlineLvl w:val="1"/>
    </w:pPr>
    <w:rPr>
      <w:bCs w:val="0"/>
      <w:sz w:val="36"/>
      <w:szCs w:val="22"/>
    </w:rPr>
  </w:style>
  <w:style w:type="paragraph" w:customStyle="1" w:styleId="FSCh3Standard">
    <w:name w:val="FSC_h3_Standard"/>
    <w:basedOn w:val="FSCbaseheading"/>
    <w:next w:val="Normal"/>
    <w:qFormat/>
    <w:rsid w:val="00796562"/>
    <w:pPr>
      <w:spacing w:before="0" w:after="240"/>
      <w:outlineLvl w:val="2"/>
    </w:pPr>
    <w:rPr>
      <w:sz w:val="32"/>
    </w:rPr>
  </w:style>
  <w:style w:type="paragraph" w:customStyle="1" w:styleId="FSCh3Contents">
    <w:name w:val="FSC_h3_Contents"/>
    <w:basedOn w:val="FSCh3Standard"/>
    <w:rsid w:val="00796562"/>
    <w:pPr>
      <w:ind w:left="0" w:firstLine="0"/>
      <w:jc w:val="center"/>
    </w:pPr>
  </w:style>
  <w:style w:type="paragraph" w:customStyle="1" w:styleId="FSCh4Div">
    <w:name w:val="FSC_h4_Div"/>
    <w:basedOn w:val="FSCbaseheading"/>
    <w:next w:val="Normal"/>
    <w:qFormat/>
    <w:rsid w:val="00796562"/>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796562"/>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Normal"/>
    <w:qFormat/>
    <w:rsid w:val="00796562"/>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Normal"/>
    <w:qFormat/>
    <w:rsid w:val="00796562"/>
    <w:pPr>
      <w:keepLines w:val="0"/>
      <w:widowControl w:val="0"/>
      <w:spacing w:before="120" w:after="60"/>
      <w:ind w:left="1701" w:firstLine="0"/>
    </w:pPr>
    <w:rPr>
      <w:b w:val="0"/>
      <w:i/>
      <w:sz w:val="20"/>
    </w:rPr>
  </w:style>
  <w:style w:type="paragraph" w:customStyle="1" w:styleId="Footnote">
    <w:name w:val="Footnote"/>
    <w:basedOn w:val="Normal"/>
    <w:pPr>
      <w:tabs>
        <w:tab w:val="left" w:pos="851"/>
      </w:tabs>
    </w:pPr>
    <w:rPr>
      <w:sz w:val="20"/>
      <w:szCs w:val="20"/>
    </w:rPr>
  </w:style>
  <w:style w:type="paragraph" w:styleId="TOC7">
    <w:name w:val="toc 7"/>
    <w:basedOn w:val="Normal"/>
    <w:next w:val="Normal"/>
    <w:autoRedefine/>
    <w:semiHidden/>
    <w:pPr>
      <w:ind w:left="1320"/>
    </w:pPr>
    <w:rPr>
      <w:rFonts w:asciiTheme="minorHAnsi" w:hAnsiTheme="minorHAnsi"/>
      <w:sz w:val="18"/>
      <w:szCs w:val="18"/>
    </w:rPr>
  </w:style>
  <w:style w:type="paragraph" w:styleId="TOC8">
    <w:name w:val="toc 8"/>
    <w:basedOn w:val="Normal"/>
    <w:next w:val="Normal"/>
    <w:autoRedefine/>
    <w:semiHidden/>
    <w:pPr>
      <w:ind w:left="1540"/>
    </w:pPr>
    <w:rPr>
      <w:rFonts w:asciiTheme="minorHAnsi" w:hAnsiTheme="minorHAnsi"/>
      <w:sz w:val="18"/>
      <w:szCs w:val="18"/>
    </w:rPr>
  </w:style>
  <w:style w:type="paragraph" w:styleId="TOC9">
    <w:name w:val="toc 9"/>
    <w:basedOn w:val="Normal"/>
    <w:next w:val="Normal"/>
    <w:autoRedefine/>
    <w:semiHidden/>
    <w:pPr>
      <w:ind w:left="1760"/>
    </w:pPr>
    <w:rPr>
      <w:rFonts w:asciiTheme="minorHAnsi" w:hAnsiTheme="minorHAnsi"/>
      <w:sz w:val="18"/>
      <w:szCs w:val="18"/>
    </w:rPr>
  </w:style>
  <w:style w:type="paragraph" w:styleId="FootnoteText">
    <w:name w:val="footnote text"/>
    <w:aliases w:val="FSFootnote Text"/>
    <w:basedOn w:val="Normal"/>
    <w:link w:val="FootnoteTextChar"/>
    <w:qFormat/>
    <w:rPr>
      <w:sz w:val="20"/>
      <w:szCs w:val="20"/>
    </w:rPr>
  </w:style>
  <w:style w:type="character" w:styleId="FootnoteReference">
    <w:name w:val="footnote reference"/>
    <w:basedOn w:val="DefaultParagraphFont"/>
    <w:rPr>
      <w:vertAlign w:val="superscript"/>
    </w:rPr>
  </w:style>
  <w:style w:type="paragraph" w:styleId="BalloonText">
    <w:name w:val="Balloon Text"/>
    <w:basedOn w:val="Normal"/>
    <w:semiHidden/>
    <w:rsid w:val="00BD2A39"/>
    <w:rPr>
      <w:rFonts w:ascii="Tahoma" w:hAnsi="Tahoma" w:cs="Tahoma"/>
      <w:sz w:val="16"/>
      <w:szCs w:val="16"/>
    </w:rPr>
  </w:style>
  <w:style w:type="paragraph" w:styleId="TOCHeading">
    <w:name w:val="TOC Heading"/>
    <w:basedOn w:val="Heading1"/>
    <w:next w:val="Normal"/>
    <w:uiPriority w:val="39"/>
    <w:unhideWhenUsed/>
    <w:qFormat/>
    <w:rsid w:val="002A3314"/>
    <w:pPr>
      <w:jc w:val="center"/>
      <w:outlineLvl w:val="9"/>
    </w:pPr>
  </w:style>
  <w:style w:type="paragraph" w:customStyle="1" w:styleId="FSCtMain">
    <w:name w:val="FSC_t_Main"/>
    <w:basedOn w:val="FSCbasepara"/>
    <w:rsid w:val="00796562"/>
    <w:pPr>
      <w:keepLines w:val="0"/>
      <w:widowControl w:val="0"/>
      <w:tabs>
        <w:tab w:val="left" w:pos="1134"/>
      </w:tabs>
      <w:spacing w:after="120"/>
    </w:pPr>
  </w:style>
  <w:style w:type="paragraph" w:customStyle="1" w:styleId="FSCnatHeading">
    <w:name w:val="FSC_n_at_Heading"/>
    <w:basedOn w:val="FSCtMain"/>
    <w:qFormat/>
    <w:rsid w:val="00796562"/>
    <w:pPr>
      <w:ind w:left="851" w:hanging="851"/>
    </w:pPr>
    <w:rPr>
      <w:sz w:val="16"/>
    </w:rPr>
  </w:style>
  <w:style w:type="table" w:styleId="TableGrid">
    <w:name w:val="Table Grid"/>
    <w:basedOn w:val="TableNormal"/>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character" w:styleId="CommentReference">
    <w:name w:val="annotation reference"/>
    <w:basedOn w:val="DefaultParagraphFont"/>
    <w:uiPriority w:val="99"/>
    <w:rsid w:val="00AF387F"/>
    <w:rPr>
      <w:sz w:val="16"/>
      <w:szCs w:val="16"/>
    </w:rPr>
  </w:style>
  <w:style w:type="paragraph" w:customStyle="1" w:styleId="FSCtPara">
    <w:name w:val="FSC_t_Para"/>
    <w:basedOn w:val="FSCtMain"/>
    <w:qFormat/>
    <w:rsid w:val="00796562"/>
    <w:pPr>
      <w:tabs>
        <w:tab w:val="clear" w:pos="1134"/>
        <w:tab w:val="left" w:pos="1701"/>
      </w:tabs>
      <w:spacing w:before="60" w:after="60"/>
      <w:ind w:left="2268" w:hanging="2268"/>
    </w:pPr>
  </w:style>
  <w:style w:type="paragraph" w:customStyle="1" w:styleId="FSCnMain">
    <w:name w:val="FSC_n_Main"/>
    <w:basedOn w:val="FSCtPara"/>
    <w:qFormat/>
    <w:rsid w:val="00796562"/>
    <w:rPr>
      <w:iCs w:val="0"/>
      <w:sz w:val="16"/>
      <w:szCs w:val="18"/>
    </w:rPr>
  </w:style>
  <w:style w:type="paragraph" w:customStyle="1" w:styleId="FSCtSubpara">
    <w:name w:val="FSC_t_Subpara"/>
    <w:basedOn w:val="FSCtMain"/>
    <w:qFormat/>
    <w:rsid w:val="00796562"/>
    <w:pPr>
      <w:tabs>
        <w:tab w:val="clear" w:pos="1134"/>
        <w:tab w:val="left" w:pos="2268"/>
      </w:tabs>
      <w:spacing w:before="60" w:after="60"/>
      <w:ind w:left="2835" w:hanging="2835"/>
    </w:pPr>
  </w:style>
  <w:style w:type="paragraph" w:customStyle="1" w:styleId="FSCnPara">
    <w:name w:val="FSC_n_Para"/>
    <w:basedOn w:val="FSCtSubpara"/>
    <w:qFormat/>
    <w:rsid w:val="00796562"/>
    <w:rPr>
      <w:sz w:val="16"/>
    </w:rPr>
  </w:style>
  <w:style w:type="paragraph" w:customStyle="1" w:styleId="FSCtSubsub">
    <w:name w:val="FSC_t_Subsub"/>
    <w:basedOn w:val="FSCtPara"/>
    <w:qFormat/>
    <w:rsid w:val="00796562"/>
    <w:pPr>
      <w:tabs>
        <w:tab w:val="clear" w:pos="1701"/>
        <w:tab w:val="left" w:pos="2835"/>
      </w:tabs>
      <w:ind w:left="3402" w:hanging="3402"/>
    </w:pPr>
  </w:style>
  <w:style w:type="paragraph" w:customStyle="1" w:styleId="FSCnSubpara">
    <w:name w:val="FSC_n_Subpara"/>
    <w:basedOn w:val="FSCtSubsub"/>
    <w:qFormat/>
    <w:rsid w:val="00796562"/>
    <w:rPr>
      <w:sz w:val="16"/>
    </w:rPr>
  </w:style>
  <w:style w:type="paragraph" w:customStyle="1" w:styleId="FSBullet1">
    <w:name w:val="FSBullet 1"/>
    <w:basedOn w:val="Normal"/>
    <w:next w:val="Normal"/>
    <w:link w:val="FSBullet1Char"/>
    <w:qFormat/>
    <w:rsid w:val="0029631C"/>
    <w:pPr>
      <w:widowControl/>
      <w:numPr>
        <w:numId w:val="2"/>
      </w:numPr>
    </w:pPr>
    <w:rPr>
      <w:rFonts w:cs="Arial"/>
      <w:lang w:bidi="ar-SA"/>
    </w:rPr>
  </w:style>
  <w:style w:type="character" w:customStyle="1" w:styleId="FSBullet1Char">
    <w:name w:val="FSBullet 1 Char"/>
    <w:link w:val="FSBullet1"/>
    <w:rsid w:val="0029631C"/>
    <w:rPr>
      <w:rFonts w:ascii="Arial" w:hAnsi="Arial" w:cs="Arial"/>
      <w:sz w:val="22"/>
      <w:szCs w:val="24"/>
      <w:lang w:eastAsia="en-US"/>
    </w:rPr>
  </w:style>
  <w:style w:type="paragraph" w:customStyle="1" w:styleId="FSBullet2">
    <w:name w:val="FSBullet 2"/>
    <w:basedOn w:val="Normal"/>
    <w:qFormat/>
    <w:rsid w:val="0029631C"/>
    <w:pPr>
      <w:widowControl/>
      <w:numPr>
        <w:numId w:val="3"/>
      </w:numPr>
    </w:pPr>
    <w:rPr>
      <w:rFonts w:eastAsia="Calibri"/>
      <w:szCs w:val="22"/>
      <w:lang w:bidi="ar-SA"/>
    </w:rPr>
  </w:style>
  <w:style w:type="paragraph" w:customStyle="1" w:styleId="FSBullet3">
    <w:name w:val="FSBullet 3"/>
    <w:basedOn w:val="Normal"/>
    <w:qFormat/>
    <w:rsid w:val="0029631C"/>
    <w:pPr>
      <w:keepNext/>
      <w:widowControl/>
      <w:ind w:left="1701" w:hanging="567"/>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rsid w:val="007D03EA"/>
    <w:rPr>
      <w:rFonts w:ascii="Arial" w:hAnsi="Arial"/>
      <w:sz w:val="22"/>
      <w:szCs w:val="24"/>
      <w:lang w:eastAsia="en-US" w:bidi="en-US"/>
    </w:rPr>
  </w:style>
  <w:style w:type="paragraph" w:customStyle="1" w:styleId="FSCnSubsub">
    <w:name w:val="FSC_n_Subsub"/>
    <w:basedOn w:val="FSCnSubpara"/>
    <w:qFormat/>
    <w:rsid w:val="00796562"/>
    <w:pPr>
      <w:tabs>
        <w:tab w:val="clear" w:pos="2835"/>
        <w:tab w:val="left" w:pos="3402"/>
      </w:tabs>
      <w:ind w:left="3969" w:hanging="3969"/>
    </w:pPr>
  </w:style>
  <w:style w:type="paragraph" w:customStyle="1" w:styleId="FSCoContents">
    <w:name w:val="FSC_o_Contents"/>
    <w:basedOn w:val="FSCh2Part"/>
    <w:rsid w:val="00796562"/>
    <w:pPr>
      <w:ind w:left="0" w:firstLine="0"/>
      <w:jc w:val="center"/>
    </w:pPr>
  </w:style>
  <w:style w:type="paragraph" w:customStyle="1" w:styleId="FSCoDraftstrip">
    <w:name w:val="FSC_o_Draft_strip"/>
    <w:basedOn w:val="Normal"/>
    <w:rsid w:val="00796562"/>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rsid w:val="00796562"/>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rsid w:val="00796562"/>
    <w:pPr>
      <w:widowControl/>
      <w:spacing w:before="80"/>
    </w:pPr>
    <w:rPr>
      <w:color w:val="7030A0"/>
      <w:lang w:eastAsia="en-AU" w:bidi="ar-SA"/>
    </w:rPr>
  </w:style>
  <w:style w:type="paragraph" w:customStyle="1" w:styleId="FSCoFooter">
    <w:name w:val="FSC_o_Footer"/>
    <w:basedOn w:val="Normal"/>
    <w:rsid w:val="00796562"/>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rsid w:val="00796562"/>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rsid w:val="00796562"/>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796562"/>
    <w:rPr>
      <w:rFonts w:ascii="Arial" w:hAnsi="Arial"/>
      <w:b/>
      <w:noProof/>
      <w:szCs w:val="24"/>
      <w:lang w:eastAsia="en-AU"/>
    </w:rPr>
  </w:style>
  <w:style w:type="paragraph" w:customStyle="1" w:styleId="FSCoParaMark">
    <w:name w:val="FSC_o_Para_Mark"/>
    <w:basedOn w:val="Normal"/>
    <w:next w:val="Normal"/>
    <w:qFormat/>
    <w:rsid w:val="00796562"/>
    <w:pPr>
      <w:widowControl/>
    </w:pPr>
    <w:rPr>
      <w:sz w:val="16"/>
      <w:lang w:eastAsia="en-AU" w:bidi="ar-SA"/>
    </w:rPr>
  </w:style>
  <w:style w:type="paragraph" w:customStyle="1" w:styleId="FSCoStandardEnd">
    <w:name w:val="FSC_o_Standard_End"/>
    <w:basedOn w:val="FSCtMain"/>
    <w:qFormat/>
    <w:rsid w:val="00796562"/>
    <w:pPr>
      <w:spacing w:before="240" w:after="0"/>
      <w:jc w:val="center"/>
    </w:pPr>
    <w:rPr>
      <w:iCs w:val="0"/>
    </w:rPr>
  </w:style>
  <w:style w:type="paragraph" w:customStyle="1" w:styleId="FSCoTitleofInstrument">
    <w:name w:val="FSC_o_Title_of_Instrument"/>
    <w:basedOn w:val="Normal"/>
    <w:rsid w:val="00796562"/>
    <w:pPr>
      <w:widowControl/>
      <w:spacing w:before="200"/>
    </w:pPr>
    <w:rPr>
      <w:b/>
      <w:sz w:val="32"/>
      <w:lang w:eastAsia="en-AU" w:bidi="ar-SA"/>
    </w:rPr>
  </w:style>
  <w:style w:type="paragraph" w:customStyle="1" w:styleId="FSCoutChap">
    <w:name w:val="FSC_out_Chap"/>
    <w:basedOn w:val="FSCh4Div"/>
    <w:qFormat/>
    <w:rsid w:val="00796562"/>
    <w:pPr>
      <w:tabs>
        <w:tab w:val="left" w:pos="1701"/>
      </w:tabs>
      <w:spacing w:after="120"/>
      <w:ind w:left="3402" w:hanging="3402"/>
    </w:pPr>
  </w:style>
  <w:style w:type="paragraph" w:customStyle="1" w:styleId="FSCoutPart">
    <w:name w:val="FSC_out_Part"/>
    <w:basedOn w:val="FSCh5Section"/>
    <w:qFormat/>
    <w:rsid w:val="00796562"/>
    <w:pPr>
      <w:keepNext w:val="0"/>
      <w:tabs>
        <w:tab w:val="left" w:pos="1701"/>
      </w:tabs>
      <w:ind w:left="3402" w:hanging="3402"/>
    </w:pPr>
  </w:style>
  <w:style w:type="paragraph" w:customStyle="1" w:styleId="FSCoutStand">
    <w:name w:val="FSC_out_Stand"/>
    <w:basedOn w:val="FSCtMain"/>
    <w:qFormat/>
    <w:rsid w:val="00796562"/>
    <w:pPr>
      <w:tabs>
        <w:tab w:val="clear" w:pos="1134"/>
        <w:tab w:val="left" w:pos="1701"/>
      </w:tabs>
      <w:ind w:left="3402" w:hanging="3402"/>
    </w:pPr>
  </w:style>
  <w:style w:type="paragraph" w:customStyle="1" w:styleId="FSCtDefn">
    <w:name w:val="FSC_t_Defn"/>
    <w:basedOn w:val="FSCtMain"/>
    <w:rsid w:val="00796562"/>
    <w:pPr>
      <w:ind w:firstLine="0"/>
    </w:pPr>
  </w:style>
  <w:style w:type="paragraph" w:customStyle="1" w:styleId="FSCtblAddh1">
    <w:name w:val="FSC_tbl_Add_h1"/>
    <w:basedOn w:val="FSCh4Div"/>
    <w:rsid w:val="00796562"/>
    <w:pPr>
      <w:spacing w:before="120" w:after="120"/>
    </w:pPr>
    <w:rPr>
      <w:rFonts w:eastAsiaTheme="minorHAnsi"/>
      <w:sz w:val="20"/>
      <w:lang w:eastAsia="en-US"/>
    </w:rPr>
  </w:style>
  <w:style w:type="paragraph" w:customStyle="1" w:styleId="FSCtblAddh2">
    <w:name w:val="FSC_tbl_Add_h2"/>
    <w:basedOn w:val="FSCtblAddh1"/>
    <w:rsid w:val="00796562"/>
    <w:pPr>
      <w:spacing w:before="60" w:after="60"/>
    </w:pPr>
    <w:rPr>
      <w:i/>
    </w:rPr>
  </w:style>
  <w:style w:type="paragraph" w:customStyle="1" w:styleId="FSCtblAddh3">
    <w:name w:val="FSC_tbl_Add_h3"/>
    <w:basedOn w:val="Normal"/>
    <w:rsid w:val="00796562"/>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rsid w:val="00796562"/>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rsid w:val="00796562"/>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rsid w:val="00796562"/>
    <w:pPr>
      <w:keepLines/>
      <w:widowControl/>
      <w:spacing w:before="20" w:after="20"/>
    </w:pPr>
    <w:rPr>
      <w:rFonts w:eastAsiaTheme="minorHAnsi" w:cs="Arial"/>
      <w:sz w:val="18"/>
      <w:szCs w:val="22"/>
      <w:lang w:bidi="ar-SA"/>
    </w:rPr>
  </w:style>
  <w:style w:type="paragraph" w:customStyle="1" w:styleId="FSCtblAdd2">
    <w:name w:val="FSC_tbl_Add2"/>
    <w:basedOn w:val="Normal"/>
    <w:qFormat/>
    <w:rsid w:val="00796562"/>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rsid w:val="00796562"/>
    <w:pPr>
      <w:keepNext/>
      <w:widowControl/>
      <w:spacing w:after="60"/>
    </w:pPr>
    <w:rPr>
      <w:rFonts w:eastAsia="Calibri"/>
      <w:b/>
      <w:sz w:val="16"/>
      <w:szCs w:val="20"/>
      <w:lang w:eastAsia="en-AU" w:bidi="ar-SA"/>
    </w:rPr>
  </w:style>
  <w:style w:type="paragraph" w:customStyle="1" w:styleId="FSCtblAmendmain">
    <w:name w:val="FSC_tbl_Amend_main"/>
    <w:basedOn w:val="Normal"/>
    <w:qFormat/>
    <w:rsid w:val="00796562"/>
    <w:pPr>
      <w:widowControl/>
      <w:ind w:left="113" w:hanging="113"/>
    </w:pPr>
    <w:rPr>
      <w:bCs/>
      <w:sz w:val="16"/>
      <w:szCs w:val="20"/>
      <w:lang w:bidi="ar-SA"/>
    </w:rPr>
  </w:style>
  <w:style w:type="paragraph" w:customStyle="1" w:styleId="FSCtblh2">
    <w:name w:val="FSC_tbl_h2"/>
    <w:basedOn w:val="Normal"/>
    <w:qFormat/>
    <w:rsid w:val="00796562"/>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rsid w:val="00796562"/>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rsid w:val="00796562"/>
    <w:pPr>
      <w:keepNext/>
      <w:keepLines/>
      <w:widowControl/>
      <w:spacing w:before="60" w:after="60"/>
    </w:pPr>
    <w:rPr>
      <w:rFonts w:cs="Arial"/>
      <w:i/>
      <w:sz w:val="18"/>
      <w:szCs w:val="22"/>
      <w:lang w:eastAsia="en-AU" w:bidi="ar-SA"/>
    </w:rPr>
  </w:style>
  <w:style w:type="paragraph" w:customStyle="1" w:styleId="FSCtblMain">
    <w:name w:val="FSC_tbl_Main"/>
    <w:basedOn w:val="Normal"/>
    <w:rsid w:val="00796562"/>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rsid w:val="00796562"/>
    <w:pPr>
      <w:jc w:val="center"/>
    </w:pPr>
    <w:rPr>
      <w:rFonts w:eastAsiaTheme="minorHAnsi"/>
      <w:lang w:eastAsia="en-US"/>
    </w:rPr>
  </w:style>
  <w:style w:type="paragraph" w:customStyle="1" w:styleId="FSCtblMainRH">
    <w:name w:val="FSC_tbl_Main_RH"/>
    <w:basedOn w:val="FSCtblMain"/>
    <w:qFormat/>
    <w:rsid w:val="00796562"/>
    <w:pPr>
      <w:jc w:val="right"/>
    </w:pPr>
    <w:rPr>
      <w:rFonts w:eastAsiaTheme="minorHAnsi"/>
      <w:lang w:eastAsia="en-US"/>
    </w:rPr>
  </w:style>
  <w:style w:type="paragraph" w:customStyle="1" w:styleId="FSCtblMRL1">
    <w:name w:val="FSC_tbl_MRL1"/>
    <w:basedOn w:val="Normal"/>
    <w:rsid w:val="00796562"/>
    <w:pPr>
      <w:keepLines/>
      <w:widowControl/>
      <w:spacing w:before="20" w:after="20"/>
    </w:pPr>
    <w:rPr>
      <w:rFonts w:cs="Arial"/>
      <w:sz w:val="18"/>
      <w:szCs w:val="20"/>
      <w:lang w:eastAsia="en-AU" w:bidi="ar-SA"/>
    </w:rPr>
  </w:style>
  <w:style w:type="paragraph" w:customStyle="1" w:styleId="FSCtblMRL2">
    <w:name w:val="FSC_tbl_MRL2"/>
    <w:basedOn w:val="FSCtblMRL1"/>
    <w:qFormat/>
    <w:rsid w:val="00796562"/>
    <w:pPr>
      <w:jc w:val="right"/>
    </w:pPr>
    <w:rPr>
      <w:rFonts w:eastAsiaTheme="minorHAnsi"/>
      <w:lang w:eastAsia="en-US"/>
    </w:rPr>
  </w:style>
  <w:style w:type="paragraph" w:customStyle="1" w:styleId="FSCtblPara">
    <w:name w:val="FSC_tbl_Para"/>
    <w:basedOn w:val="Normal"/>
    <w:rsid w:val="00796562"/>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rsid w:val="00796562"/>
    <w:pPr>
      <w:keepLines/>
      <w:widowControl/>
      <w:spacing w:before="60" w:after="60"/>
      <w:ind w:left="794" w:hanging="397"/>
    </w:pPr>
    <w:rPr>
      <w:rFonts w:cs="Arial"/>
      <w:sz w:val="18"/>
      <w:szCs w:val="22"/>
      <w:lang w:eastAsia="en-AU" w:bidi="ar-SA"/>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Arial" w:hAnsi="Arial"/>
      <w:lang w:eastAsia="en-US" w:bidi="en-US"/>
    </w:rPr>
  </w:style>
  <w:style w:type="paragraph" w:styleId="CommentSubject">
    <w:name w:val="annotation subject"/>
    <w:basedOn w:val="CommentText"/>
    <w:next w:val="CommentText"/>
    <w:link w:val="CommentSubjectChar"/>
    <w:semiHidden/>
    <w:unhideWhenUsed/>
    <w:rsid w:val="00A43D3E"/>
    <w:rPr>
      <w:b/>
      <w:bCs/>
    </w:rPr>
  </w:style>
  <w:style w:type="character" w:customStyle="1" w:styleId="CommentSubjectChar">
    <w:name w:val="Comment Subject Char"/>
    <w:basedOn w:val="CommentTextChar"/>
    <w:link w:val="CommentSubject"/>
    <w:semiHidden/>
    <w:rsid w:val="00A43D3E"/>
    <w:rPr>
      <w:rFonts w:ascii="Arial" w:hAnsi="Arial"/>
      <w:b/>
      <w:bCs/>
      <w:lang w:eastAsia="en-US" w:bidi="en-US"/>
    </w:rPr>
  </w:style>
  <w:style w:type="paragraph" w:styleId="ListParagraph">
    <w:name w:val="List Paragraph"/>
    <w:basedOn w:val="Normal"/>
    <w:uiPriority w:val="34"/>
    <w:qFormat/>
    <w:rsid w:val="00996AC3"/>
    <w:pPr>
      <w:ind w:left="720"/>
      <w:contextualSpacing/>
    </w:pPr>
  </w:style>
  <w:style w:type="paragraph" w:customStyle="1" w:styleId="msonormal0">
    <w:name w:val="msonormal"/>
    <w:basedOn w:val="Normal"/>
    <w:rsid w:val="006D2CCB"/>
    <w:pPr>
      <w:widowControl/>
      <w:spacing w:before="100" w:beforeAutospacing="1" w:after="100" w:afterAutospacing="1"/>
    </w:pPr>
    <w:rPr>
      <w:rFonts w:ascii="Times New Roman" w:hAnsi="Times New Roman"/>
      <w:sz w:val="24"/>
      <w:lang w:val="en-AU" w:eastAsia="en-AU" w:bidi="ar-SA"/>
    </w:rPr>
  </w:style>
  <w:style w:type="paragraph" w:customStyle="1" w:styleId="paragraph">
    <w:name w:val="paragraph"/>
    <w:basedOn w:val="Normal"/>
    <w:rsid w:val="006D2CCB"/>
    <w:pPr>
      <w:widowControl/>
      <w:spacing w:before="100" w:beforeAutospacing="1" w:after="100" w:afterAutospacing="1"/>
    </w:pPr>
    <w:rPr>
      <w:rFonts w:ascii="Times New Roman" w:hAnsi="Times New Roman"/>
      <w:sz w:val="24"/>
      <w:lang w:val="en-AU" w:eastAsia="en-AU" w:bidi="ar-SA"/>
    </w:rPr>
  </w:style>
  <w:style w:type="character" w:customStyle="1" w:styleId="textrun">
    <w:name w:val="textrun"/>
    <w:basedOn w:val="DefaultParagraphFont"/>
    <w:rsid w:val="006D2CCB"/>
  </w:style>
  <w:style w:type="character" w:customStyle="1" w:styleId="normaltextrun">
    <w:name w:val="normaltextrun"/>
    <w:basedOn w:val="DefaultParagraphFont"/>
    <w:rsid w:val="006D2CCB"/>
  </w:style>
  <w:style w:type="character" w:customStyle="1" w:styleId="eop">
    <w:name w:val="eop"/>
    <w:basedOn w:val="DefaultParagraphFont"/>
    <w:rsid w:val="006D2CCB"/>
  </w:style>
  <w:style w:type="paragraph" w:customStyle="1" w:styleId="outlineelement">
    <w:name w:val="outlineelement"/>
    <w:basedOn w:val="Normal"/>
    <w:rsid w:val="006D2CCB"/>
    <w:pPr>
      <w:widowControl/>
      <w:spacing w:before="100" w:beforeAutospacing="1" w:after="100" w:afterAutospacing="1"/>
    </w:pPr>
    <w:rPr>
      <w:rFonts w:ascii="Times New Roman" w:hAnsi="Times New Roman"/>
      <w:sz w:val="24"/>
      <w:lang w:val="en-AU" w:eastAsia="en-AU" w:bidi="ar-SA"/>
    </w:rPr>
  </w:style>
  <w:style w:type="paragraph" w:styleId="Caption">
    <w:name w:val="caption"/>
    <w:basedOn w:val="Normal"/>
    <w:next w:val="Normal"/>
    <w:unhideWhenUsed/>
    <w:rsid w:val="004F206D"/>
    <w:pPr>
      <w:spacing w:after="200"/>
    </w:pPr>
    <w:rPr>
      <w:i/>
      <w:iCs/>
      <w:color w:val="1F497D" w:themeColor="text2"/>
      <w:sz w:val="18"/>
      <w:szCs w:val="18"/>
    </w:rPr>
  </w:style>
  <w:style w:type="paragraph" w:styleId="Revision">
    <w:name w:val="Revision"/>
    <w:hidden/>
    <w:uiPriority w:val="99"/>
    <w:semiHidden/>
    <w:rsid w:val="00F02419"/>
    <w:rPr>
      <w:rFonts w:ascii="Arial" w:hAnsi="Arial"/>
      <w:sz w:val="22"/>
      <w:szCs w:val="24"/>
      <w:lang w:eastAsia="en-US" w:bidi="en-US"/>
    </w:rPr>
  </w:style>
  <w:style w:type="character" w:customStyle="1" w:styleId="UnresolvedMention1">
    <w:name w:val="Unresolved Mention1"/>
    <w:basedOn w:val="DefaultParagraphFont"/>
    <w:uiPriority w:val="99"/>
    <w:semiHidden/>
    <w:unhideWhenUsed/>
    <w:rsid w:val="001536C4"/>
    <w:rPr>
      <w:color w:val="605E5C"/>
      <w:shd w:val="clear" w:color="auto" w:fill="E1DFDD"/>
    </w:rPr>
  </w:style>
  <w:style w:type="paragraph" w:customStyle="1" w:styleId="AARBullet">
    <w:name w:val="AAR Bullet"/>
    <w:basedOn w:val="Normal"/>
    <w:qFormat/>
    <w:rsid w:val="007A75CE"/>
    <w:pPr>
      <w:widowControl/>
      <w:numPr>
        <w:numId w:val="10"/>
      </w:numPr>
      <w:spacing w:before="60" w:after="60"/>
    </w:pPr>
    <w:rPr>
      <w:rFonts w:cs="Arial"/>
      <w:sz w:val="20"/>
      <w:lang w:val="en-AU" w:bidi="ar-SA"/>
    </w:rPr>
  </w:style>
  <w:style w:type="character" w:customStyle="1" w:styleId="FootnoteTextChar">
    <w:name w:val="Footnote Text Char"/>
    <w:aliases w:val="FSFootnote Text Char"/>
    <w:link w:val="FootnoteText"/>
    <w:uiPriority w:val="99"/>
    <w:rsid w:val="00533345"/>
    <w:rPr>
      <w:rFonts w:ascii="Arial" w:hAnsi="Arial"/>
      <w:lang w:eastAsia="en-US" w:bidi="en-US"/>
    </w:rPr>
  </w:style>
  <w:style w:type="character" w:customStyle="1" w:styleId="UnresolvedMention2">
    <w:name w:val="Unresolved Mention2"/>
    <w:basedOn w:val="DefaultParagraphFont"/>
    <w:uiPriority w:val="99"/>
    <w:semiHidden/>
    <w:unhideWhenUsed/>
    <w:rsid w:val="00FF0431"/>
    <w:rPr>
      <w:color w:val="605E5C"/>
      <w:shd w:val="clear" w:color="auto" w:fill="E1DFDD"/>
    </w:rPr>
  </w:style>
  <w:style w:type="character" w:styleId="Emphasis">
    <w:name w:val="Emphasis"/>
    <w:basedOn w:val="DefaultParagraphFont"/>
    <w:uiPriority w:val="20"/>
    <w:qFormat/>
    <w:rsid w:val="00DA6AA2"/>
    <w:rPr>
      <w:i/>
      <w:iCs/>
    </w:rPr>
  </w:style>
  <w:style w:type="character" w:customStyle="1" w:styleId="title-text">
    <w:name w:val="title-text"/>
    <w:basedOn w:val="DefaultParagraphFont"/>
    <w:rsid w:val="00E17659"/>
  </w:style>
  <w:style w:type="character" w:customStyle="1" w:styleId="UnresolvedMention3">
    <w:name w:val="Unresolved Mention3"/>
    <w:basedOn w:val="DefaultParagraphFont"/>
    <w:uiPriority w:val="99"/>
    <w:semiHidden/>
    <w:unhideWhenUsed/>
    <w:rsid w:val="0002582F"/>
    <w:rPr>
      <w:color w:val="605E5C"/>
      <w:shd w:val="clear" w:color="auto" w:fill="E1DFDD"/>
    </w:rPr>
  </w:style>
  <w:style w:type="character" w:customStyle="1" w:styleId="Mention2">
    <w:name w:val="Mention2"/>
    <w:basedOn w:val="DefaultParagraphFont"/>
    <w:uiPriority w:val="99"/>
    <w:unhideWhenUsed/>
    <w:rsid w:val="00AB4920"/>
    <w:rPr>
      <w:color w:val="2B579A"/>
      <w:shd w:val="clear" w:color="auto" w:fill="E6E6E6"/>
    </w:rPr>
  </w:style>
  <w:style w:type="character" w:customStyle="1" w:styleId="Mention1">
    <w:name w:val="Mention1"/>
    <w:basedOn w:val="DefaultParagraphFont"/>
    <w:uiPriority w:val="99"/>
    <w:unhideWhenUsed/>
    <w:rsid w:val="00827B86"/>
    <w:rPr>
      <w:color w:val="2B579A"/>
      <w:shd w:val="clear" w:color="auto" w:fill="E6E6E6"/>
    </w:rPr>
  </w:style>
  <w:style w:type="character" w:customStyle="1" w:styleId="Mention3">
    <w:name w:val="Mention3"/>
    <w:basedOn w:val="DefaultParagraphFont"/>
    <w:uiPriority w:val="99"/>
    <w:unhideWhenUsed/>
    <w:rsid w:val="00AB4920"/>
    <w:rPr>
      <w:color w:val="2B579A"/>
      <w:shd w:val="clear" w:color="auto" w:fill="E6E6E6"/>
    </w:rPr>
  </w:style>
  <w:style w:type="character" w:customStyle="1" w:styleId="Mention4">
    <w:name w:val="Mention4"/>
    <w:basedOn w:val="DefaultParagraphFont"/>
    <w:uiPriority w:val="99"/>
    <w:unhideWhenUsed/>
    <w:rsid w:val="00AE7AD3"/>
    <w:rPr>
      <w:color w:val="2B579A"/>
      <w:shd w:val="clear" w:color="auto" w:fill="E6E6E6"/>
    </w:rPr>
  </w:style>
  <w:style w:type="character" w:customStyle="1" w:styleId="Mention5">
    <w:name w:val="Mention5"/>
    <w:basedOn w:val="DefaultParagraphFont"/>
    <w:uiPriority w:val="99"/>
    <w:unhideWhenUsed/>
    <w:rsid w:val="00AE7AD3"/>
    <w:rPr>
      <w:color w:val="2B579A"/>
      <w:shd w:val="clear" w:color="auto" w:fill="E1DFDD"/>
    </w:rPr>
  </w:style>
  <w:style w:type="character" w:customStyle="1" w:styleId="Mention6">
    <w:name w:val="Mention6"/>
    <w:basedOn w:val="DefaultParagraphFont"/>
    <w:uiPriority w:val="99"/>
    <w:unhideWhenUsed/>
    <w:rsid w:val="00A550F2"/>
    <w:rPr>
      <w:color w:val="2B579A"/>
      <w:shd w:val="clear" w:color="auto" w:fill="E6E6E6"/>
    </w:rPr>
  </w:style>
  <w:style w:type="character" w:customStyle="1" w:styleId="Mention7">
    <w:name w:val="Mention7"/>
    <w:basedOn w:val="DefaultParagraphFont"/>
    <w:uiPriority w:val="99"/>
    <w:unhideWhenUsed/>
    <w:rsid w:val="000A09EB"/>
    <w:rPr>
      <w:color w:val="2B579A"/>
      <w:shd w:val="clear" w:color="auto" w:fill="E1DFDD"/>
    </w:rPr>
  </w:style>
  <w:style w:type="character" w:customStyle="1" w:styleId="UnresolvedMention4">
    <w:name w:val="Unresolved Mention4"/>
    <w:basedOn w:val="DefaultParagraphFont"/>
    <w:uiPriority w:val="99"/>
    <w:semiHidden/>
    <w:unhideWhenUsed/>
    <w:rsid w:val="009F3B0C"/>
    <w:rPr>
      <w:color w:val="605E5C"/>
      <w:shd w:val="clear" w:color="auto" w:fill="E1DFDD"/>
    </w:rPr>
  </w:style>
  <w:style w:type="character" w:customStyle="1" w:styleId="Mention70">
    <w:name w:val="Mention70"/>
    <w:basedOn w:val="DefaultParagraphFont"/>
    <w:uiPriority w:val="99"/>
    <w:unhideWhenUsed/>
    <w:rsid w:val="009F3B0C"/>
    <w:rPr>
      <w:color w:val="2B579A"/>
      <w:shd w:val="clear" w:color="auto" w:fill="E6E6E6"/>
    </w:rPr>
  </w:style>
  <w:style w:type="paragraph" w:styleId="NormalWeb">
    <w:name w:val="Normal (Web)"/>
    <w:basedOn w:val="Normal"/>
    <w:uiPriority w:val="99"/>
    <w:semiHidden/>
    <w:unhideWhenUsed/>
    <w:rsid w:val="009B78B9"/>
    <w:pPr>
      <w:widowControl/>
      <w:spacing w:before="100" w:beforeAutospacing="1" w:after="100" w:afterAutospacing="1"/>
    </w:pPr>
    <w:rPr>
      <w:rFonts w:ascii="Times New Roman" w:hAnsi="Times New Roman"/>
      <w:sz w:val="24"/>
      <w:lang w:eastAsia="en-GB" w:bidi="ar-SA"/>
    </w:rPr>
  </w:style>
  <w:style w:type="character" w:styleId="Mention">
    <w:name w:val="Mention"/>
    <w:basedOn w:val="DefaultParagraphFont"/>
    <w:uiPriority w:val="99"/>
    <w:unhideWhenUsed/>
    <w:rsid w:val="00912D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5894">
      <w:bodyDiv w:val="1"/>
      <w:marLeft w:val="0"/>
      <w:marRight w:val="0"/>
      <w:marTop w:val="0"/>
      <w:marBottom w:val="0"/>
      <w:divBdr>
        <w:top w:val="none" w:sz="0" w:space="0" w:color="auto"/>
        <w:left w:val="none" w:sz="0" w:space="0" w:color="auto"/>
        <w:bottom w:val="none" w:sz="0" w:space="0" w:color="auto"/>
        <w:right w:val="none" w:sz="0" w:space="0" w:color="auto"/>
      </w:divBdr>
      <w:divsChild>
        <w:div w:id="1882671956">
          <w:marLeft w:val="0"/>
          <w:marRight w:val="0"/>
          <w:marTop w:val="0"/>
          <w:marBottom w:val="0"/>
          <w:divBdr>
            <w:top w:val="none" w:sz="0" w:space="0" w:color="auto"/>
            <w:left w:val="none" w:sz="0" w:space="0" w:color="auto"/>
            <w:bottom w:val="none" w:sz="0" w:space="0" w:color="auto"/>
            <w:right w:val="none" w:sz="0" w:space="0" w:color="auto"/>
          </w:divBdr>
        </w:div>
      </w:divsChild>
    </w:div>
    <w:div w:id="145635220">
      <w:bodyDiv w:val="1"/>
      <w:marLeft w:val="0"/>
      <w:marRight w:val="0"/>
      <w:marTop w:val="0"/>
      <w:marBottom w:val="0"/>
      <w:divBdr>
        <w:top w:val="none" w:sz="0" w:space="0" w:color="auto"/>
        <w:left w:val="none" w:sz="0" w:space="0" w:color="auto"/>
        <w:bottom w:val="none" w:sz="0" w:space="0" w:color="auto"/>
        <w:right w:val="none" w:sz="0" w:space="0" w:color="auto"/>
      </w:divBdr>
    </w:div>
    <w:div w:id="186454376">
      <w:bodyDiv w:val="1"/>
      <w:marLeft w:val="0"/>
      <w:marRight w:val="0"/>
      <w:marTop w:val="0"/>
      <w:marBottom w:val="0"/>
      <w:divBdr>
        <w:top w:val="none" w:sz="0" w:space="0" w:color="auto"/>
        <w:left w:val="none" w:sz="0" w:space="0" w:color="auto"/>
        <w:bottom w:val="none" w:sz="0" w:space="0" w:color="auto"/>
        <w:right w:val="none" w:sz="0" w:space="0" w:color="auto"/>
      </w:divBdr>
    </w:div>
    <w:div w:id="189419209">
      <w:bodyDiv w:val="1"/>
      <w:marLeft w:val="0"/>
      <w:marRight w:val="0"/>
      <w:marTop w:val="0"/>
      <w:marBottom w:val="0"/>
      <w:divBdr>
        <w:top w:val="none" w:sz="0" w:space="0" w:color="auto"/>
        <w:left w:val="none" w:sz="0" w:space="0" w:color="auto"/>
        <w:bottom w:val="none" w:sz="0" w:space="0" w:color="auto"/>
        <w:right w:val="none" w:sz="0" w:space="0" w:color="auto"/>
      </w:divBdr>
    </w:div>
    <w:div w:id="190150125">
      <w:bodyDiv w:val="1"/>
      <w:marLeft w:val="0"/>
      <w:marRight w:val="0"/>
      <w:marTop w:val="0"/>
      <w:marBottom w:val="0"/>
      <w:divBdr>
        <w:top w:val="none" w:sz="0" w:space="0" w:color="auto"/>
        <w:left w:val="none" w:sz="0" w:space="0" w:color="auto"/>
        <w:bottom w:val="none" w:sz="0" w:space="0" w:color="auto"/>
        <w:right w:val="none" w:sz="0" w:space="0" w:color="auto"/>
      </w:divBdr>
    </w:div>
    <w:div w:id="224604519">
      <w:bodyDiv w:val="1"/>
      <w:marLeft w:val="0"/>
      <w:marRight w:val="0"/>
      <w:marTop w:val="0"/>
      <w:marBottom w:val="0"/>
      <w:divBdr>
        <w:top w:val="none" w:sz="0" w:space="0" w:color="auto"/>
        <w:left w:val="none" w:sz="0" w:space="0" w:color="auto"/>
        <w:bottom w:val="none" w:sz="0" w:space="0" w:color="auto"/>
        <w:right w:val="none" w:sz="0" w:space="0" w:color="auto"/>
      </w:divBdr>
    </w:div>
    <w:div w:id="269550032">
      <w:bodyDiv w:val="1"/>
      <w:marLeft w:val="0"/>
      <w:marRight w:val="0"/>
      <w:marTop w:val="0"/>
      <w:marBottom w:val="0"/>
      <w:divBdr>
        <w:top w:val="none" w:sz="0" w:space="0" w:color="auto"/>
        <w:left w:val="none" w:sz="0" w:space="0" w:color="auto"/>
        <w:bottom w:val="none" w:sz="0" w:space="0" w:color="auto"/>
        <w:right w:val="none" w:sz="0" w:space="0" w:color="auto"/>
      </w:divBdr>
    </w:div>
    <w:div w:id="500631193">
      <w:bodyDiv w:val="1"/>
      <w:marLeft w:val="0"/>
      <w:marRight w:val="0"/>
      <w:marTop w:val="0"/>
      <w:marBottom w:val="0"/>
      <w:divBdr>
        <w:top w:val="none" w:sz="0" w:space="0" w:color="auto"/>
        <w:left w:val="none" w:sz="0" w:space="0" w:color="auto"/>
        <w:bottom w:val="none" w:sz="0" w:space="0" w:color="auto"/>
        <w:right w:val="none" w:sz="0" w:space="0" w:color="auto"/>
      </w:divBdr>
    </w:div>
    <w:div w:id="519591599">
      <w:bodyDiv w:val="1"/>
      <w:marLeft w:val="0"/>
      <w:marRight w:val="0"/>
      <w:marTop w:val="0"/>
      <w:marBottom w:val="0"/>
      <w:divBdr>
        <w:top w:val="none" w:sz="0" w:space="0" w:color="auto"/>
        <w:left w:val="none" w:sz="0" w:space="0" w:color="auto"/>
        <w:bottom w:val="none" w:sz="0" w:space="0" w:color="auto"/>
        <w:right w:val="none" w:sz="0" w:space="0" w:color="auto"/>
      </w:divBdr>
    </w:div>
    <w:div w:id="533730543">
      <w:bodyDiv w:val="1"/>
      <w:marLeft w:val="0"/>
      <w:marRight w:val="0"/>
      <w:marTop w:val="0"/>
      <w:marBottom w:val="0"/>
      <w:divBdr>
        <w:top w:val="none" w:sz="0" w:space="0" w:color="auto"/>
        <w:left w:val="none" w:sz="0" w:space="0" w:color="auto"/>
        <w:bottom w:val="none" w:sz="0" w:space="0" w:color="auto"/>
        <w:right w:val="none" w:sz="0" w:space="0" w:color="auto"/>
      </w:divBdr>
    </w:div>
    <w:div w:id="551964239">
      <w:bodyDiv w:val="1"/>
      <w:marLeft w:val="0"/>
      <w:marRight w:val="0"/>
      <w:marTop w:val="0"/>
      <w:marBottom w:val="0"/>
      <w:divBdr>
        <w:top w:val="none" w:sz="0" w:space="0" w:color="auto"/>
        <w:left w:val="none" w:sz="0" w:space="0" w:color="auto"/>
        <w:bottom w:val="none" w:sz="0" w:space="0" w:color="auto"/>
        <w:right w:val="none" w:sz="0" w:space="0" w:color="auto"/>
      </w:divBdr>
    </w:div>
    <w:div w:id="553547289">
      <w:bodyDiv w:val="1"/>
      <w:marLeft w:val="0"/>
      <w:marRight w:val="0"/>
      <w:marTop w:val="0"/>
      <w:marBottom w:val="0"/>
      <w:divBdr>
        <w:top w:val="none" w:sz="0" w:space="0" w:color="auto"/>
        <w:left w:val="none" w:sz="0" w:space="0" w:color="auto"/>
        <w:bottom w:val="none" w:sz="0" w:space="0" w:color="auto"/>
        <w:right w:val="none" w:sz="0" w:space="0" w:color="auto"/>
      </w:divBdr>
    </w:div>
    <w:div w:id="554589099">
      <w:bodyDiv w:val="1"/>
      <w:marLeft w:val="0"/>
      <w:marRight w:val="0"/>
      <w:marTop w:val="0"/>
      <w:marBottom w:val="0"/>
      <w:divBdr>
        <w:top w:val="none" w:sz="0" w:space="0" w:color="auto"/>
        <w:left w:val="none" w:sz="0" w:space="0" w:color="auto"/>
        <w:bottom w:val="none" w:sz="0" w:space="0" w:color="auto"/>
        <w:right w:val="none" w:sz="0" w:space="0" w:color="auto"/>
      </w:divBdr>
    </w:div>
    <w:div w:id="648362670">
      <w:bodyDiv w:val="1"/>
      <w:marLeft w:val="0"/>
      <w:marRight w:val="0"/>
      <w:marTop w:val="0"/>
      <w:marBottom w:val="0"/>
      <w:divBdr>
        <w:top w:val="none" w:sz="0" w:space="0" w:color="auto"/>
        <w:left w:val="none" w:sz="0" w:space="0" w:color="auto"/>
        <w:bottom w:val="none" w:sz="0" w:space="0" w:color="auto"/>
        <w:right w:val="none" w:sz="0" w:space="0" w:color="auto"/>
      </w:divBdr>
    </w:div>
    <w:div w:id="750740201">
      <w:bodyDiv w:val="1"/>
      <w:marLeft w:val="0"/>
      <w:marRight w:val="0"/>
      <w:marTop w:val="0"/>
      <w:marBottom w:val="0"/>
      <w:divBdr>
        <w:top w:val="none" w:sz="0" w:space="0" w:color="auto"/>
        <w:left w:val="none" w:sz="0" w:space="0" w:color="auto"/>
        <w:bottom w:val="none" w:sz="0" w:space="0" w:color="auto"/>
        <w:right w:val="none" w:sz="0" w:space="0" w:color="auto"/>
      </w:divBdr>
    </w:div>
    <w:div w:id="767383835">
      <w:bodyDiv w:val="1"/>
      <w:marLeft w:val="0"/>
      <w:marRight w:val="0"/>
      <w:marTop w:val="0"/>
      <w:marBottom w:val="0"/>
      <w:divBdr>
        <w:top w:val="none" w:sz="0" w:space="0" w:color="auto"/>
        <w:left w:val="none" w:sz="0" w:space="0" w:color="auto"/>
        <w:bottom w:val="none" w:sz="0" w:space="0" w:color="auto"/>
        <w:right w:val="none" w:sz="0" w:space="0" w:color="auto"/>
      </w:divBdr>
    </w:div>
    <w:div w:id="811095012">
      <w:bodyDiv w:val="1"/>
      <w:marLeft w:val="0"/>
      <w:marRight w:val="0"/>
      <w:marTop w:val="0"/>
      <w:marBottom w:val="0"/>
      <w:divBdr>
        <w:top w:val="none" w:sz="0" w:space="0" w:color="auto"/>
        <w:left w:val="none" w:sz="0" w:space="0" w:color="auto"/>
        <w:bottom w:val="none" w:sz="0" w:space="0" w:color="auto"/>
        <w:right w:val="none" w:sz="0" w:space="0" w:color="auto"/>
      </w:divBdr>
    </w:div>
    <w:div w:id="836112935">
      <w:bodyDiv w:val="1"/>
      <w:marLeft w:val="0"/>
      <w:marRight w:val="0"/>
      <w:marTop w:val="0"/>
      <w:marBottom w:val="0"/>
      <w:divBdr>
        <w:top w:val="none" w:sz="0" w:space="0" w:color="auto"/>
        <w:left w:val="none" w:sz="0" w:space="0" w:color="auto"/>
        <w:bottom w:val="none" w:sz="0" w:space="0" w:color="auto"/>
        <w:right w:val="none" w:sz="0" w:space="0" w:color="auto"/>
      </w:divBdr>
    </w:div>
    <w:div w:id="1094713473">
      <w:bodyDiv w:val="1"/>
      <w:marLeft w:val="0"/>
      <w:marRight w:val="0"/>
      <w:marTop w:val="0"/>
      <w:marBottom w:val="0"/>
      <w:divBdr>
        <w:top w:val="none" w:sz="0" w:space="0" w:color="auto"/>
        <w:left w:val="none" w:sz="0" w:space="0" w:color="auto"/>
        <w:bottom w:val="none" w:sz="0" w:space="0" w:color="auto"/>
        <w:right w:val="none" w:sz="0" w:space="0" w:color="auto"/>
      </w:divBdr>
    </w:div>
    <w:div w:id="1130706490">
      <w:bodyDiv w:val="1"/>
      <w:marLeft w:val="0"/>
      <w:marRight w:val="0"/>
      <w:marTop w:val="0"/>
      <w:marBottom w:val="0"/>
      <w:divBdr>
        <w:top w:val="none" w:sz="0" w:space="0" w:color="auto"/>
        <w:left w:val="none" w:sz="0" w:space="0" w:color="auto"/>
        <w:bottom w:val="none" w:sz="0" w:space="0" w:color="auto"/>
        <w:right w:val="none" w:sz="0" w:space="0" w:color="auto"/>
      </w:divBdr>
    </w:div>
    <w:div w:id="1193569340">
      <w:bodyDiv w:val="1"/>
      <w:marLeft w:val="0"/>
      <w:marRight w:val="0"/>
      <w:marTop w:val="0"/>
      <w:marBottom w:val="0"/>
      <w:divBdr>
        <w:top w:val="none" w:sz="0" w:space="0" w:color="auto"/>
        <w:left w:val="none" w:sz="0" w:space="0" w:color="auto"/>
        <w:bottom w:val="none" w:sz="0" w:space="0" w:color="auto"/>
        <w:right w:val="none" w:sz="0" w:space="0" w:color="auto"/>
      </w:divBdr>
      <w:divsChild>
        <w:div w:id="18287699">
          <w:marLeft w:val="0"/>
          <w:marRight w:val="0"/>
          <w:marTop w:val="0"/>
          <w:marBottom w:val="0"/>
          <w:divBdr>
            <w:top w:val="none" w:sz="0" w:space="0" w:color="auto"/>
            <w:left w:val="none" w:sz="0" w:space="0" w:color="auto"/>
            <w:bottom w:val="none" w:sz="0" w:space="0" w:color="auto"/>
            <w:right w:val="none" w:sz="0" w:space="0" w:color="auto"/>
          </w:divBdr>
        </w:div>
        <w:div w:id="29035165">
          <w:marLeft w:val="0"/>
          <w:marRight w:val="0"/>
          <w:marTop w:val="0"/>
          <w:marBottom w:val="0"/>
          <w:divBdr>
            <w:top w:val="none" w:sz="0" w:space="0" w:color="auto"/>
            <w:left w:val="none" w:sz="0" w:space="0" w:color="auto"/>
            <w:bottom w:val="none" w:sz="0" w:space="0" w:color="auto"/>
            <w:right w:val="none" w:sz="0" w:space="0" w:color="auto"/>
          </w:divBdr>
        </w:div>
        <w:div w:id="43985590">
          <w:marLeft w:val="0"/>
          <w:marRight w:val="0"/>
          <w:marTop w:val="0"/>
          <w:marBottom w:val="0"/>
          <w:divBdr>
            <w:top w:val="none" w:sz="0" w:space="0" w:color="auto"/>
            <w:left w:val="none" w:sz="0" w:space="0" w:color="auto"/>
            <w:bottom w:val="none" w:sz="0" w:space="0" w:color="auto"/>
            <w:right w:val="none" w:sz="0" w:space="0" w:color="auto"/>
          </w:divBdr>
        </w:div>
        <w:div w:id="69277023">
          <w:marLeft w:val="0"/>
          <w:marRight w:val="0"/>
          <w:marTop w:val="0"/>
          <w:marBottom w:val="0"/>
          <w:divBdr>
            <w:top w:val="none" w:sz="0" w:space="0" w:color="auto"/>
            <w:left w:val="none" w:sz="0" w:space="0" w:color="auto"/>
            <w:bottom w:val="none" w:sz="0" w:space="0" w:color="auto"/>
            <w:right w:val="none" w:sz="0" w:space="0" w:color="auto"/>
          </w:divBdr>
        </w:div>
        <w:div w:id="74325822">
          <w:marLeft w:val="0"/>
          <w:marRight w:val="0"/>
          <w:marTop w:val="0"/>
          <w:marBottom w:val="0"/>
          <w:divBdr>
            <w:top w:val="none" w:sz="0" w:space="0" w:color="auto"/>
            <w:left w:val="none" w:sz="0" w:space="0" w:color="auto"/>
            <w:bottom w:val="none" w:sz="0" w:space="0" w:color="auto"/>
            <w:right w:val="none" w:sz="0" w:space="0" w:color="auto"/>
          </w:divBdr>
        </w:div>
        <w:div w:id="195510005">
          <w:marLeft w:val="0"/>
          <w:marRight w:val="0"/>
          <w:marTop w:val="0"/>
          <w:marBottom w:val="0"/>
          <w:divBdr>
            <w:top w:val="none" w:sz="0" w:space="0" w:color="auto"/>
            <w:left w:val="none" w:sz="0" w:space="0" w:color="auto"/>
            <w:bottom w:val="none" w:sz="0" w:space="0" w:color="auto"/>
            <w:right w:val="none" w:sz="0" w:space="0" w:color="auto"/>
          </w:divBdr>
        </w:div>
        <w:div w:id="196892403">
          <w:marLeft w:val="0"/>
          <w:marRight w:val="0"/>
          <w:marTop w:val="0"/>
          <w:marBottom w:val="0"/>
          <w:divBdr>
            <w:top w:val="none" w:sz="0" w:space="0" w:color="auto"/>
            <w:left w:val="none" w:sz="0" w:space="0" w:color="auto"/>
            <w:bottom w:val="none" w:sz="0" w:space="0" w:color="auto"/>
            <w:right w:val="none" w:sz="0" w:space="0" w:color="auto"/>
          </w:divBdr>
        </w:div>
        <w:div w:id="210729586">
          <w:marLeft w:val="0"/>
          <w:marRight w:val="0"/>
          <w:marTop w:val="0"/>
          <w:marBottom w:val="0"/>
          <w:divBdr>
            <w:top w:val="none" w:sz="0" w:space="0" w:color="auto"/>
            <w:left w:val="none" w:sz="0" w:space="0" w:color="auto"/>
            <w:bottom w:val="none" w:sz="0" w:space="0" w:color="auto"/>
            <w:right w:val="none" w:sz="0" w:space="0" w:color="auto"/>
          </w:divBdr>
        </w:div>
        <w:div w:id="211506553">
          <w:marLeft w:val="0"/>
          <w:marRight w:val="0"/>
          <w:marTop w:val="0"/>
          <w:marBottom w:val="0"/>
          <w:divBdr>
            <w:top w:val="none" w:sz="0" w:space="0" w:color="auto"/>
            <w:left w:val="none" w:sz="0" w:space="0" w:color="auto"/>
            <w:bottom w:val="none" w:sz="0" w:space="0" w:color="auto"/>
            <w:right w:val="none" w:sz="0" w:space="0" w:color="auto"/>
          </w:divBdr>
        </w:div>
        <w:div w:id="214703619">
          <w:marLeft w:val="0"/>
          <w:marRight w:val="0"/>
          <w:marTop w:val="0"/>
          <w:marBottom w:val="0"/>
          <w:divBdr>
            <w:top w:val="none" w:sz="0" w:space="0" w:color="auto"/>
            <w:left w:val="none" w:sz="0" w:space="0" w:color="auto"/>
            <w:bottom w:val="none" w:sz="0" w:space="0" w:color="auto"/>
            <w:right w:val="none" w:sz="0" w:space="0" w:color="auto"/>
          </w:divBdr>
        </w:div>
        <w:div w:id="298729773">
          <w:marLeft w:val="0"/>
          <w:marRight w:val="0"/>
          <w:marTop w:val="0"/>
          <w:marBottom w:val="0"/>
          <w:divBdr>
            <w:top w:val="none" w:sz="0" w:space="0" w:color="auto"/>
            <w:left w:val="none" w:sz="0" w:space="0" w:color="auto"/>
            <w:bottom w:val="none" w:sz="0" w:space="0" w:color="auto"/>
            <w:right w:val="none" w:sz="0" w:space="0" w:color="auto"/>
          </w:divBdr>
        </w:div>
        <w:div w:id="335814225">
          <w:marLeft w:val="0"/>
          <w:marRight w:val="0"/>
          <w:marTop w:val="0"/>
          <w:marBottom w:val="0"/>
          <w:divBdr>
            <w:top w:val="none" w:sz="0" w:space="0" w:color="auto"/>
            <w:left w:val="none" w:sz="0" w:space="0" w:color="auto"/>
            <w:bottom w:val="none" w:sz="0" w:space="0" w:color="auto"/>
            <w:right w:val="none" w:sz="0" w:space="0" w:color="auto"/>
          </w:divBdr>
        </w:div>
        <w:div w:id="390157105">
          <w:marLeft w:val="0"/>
          <w:marRight w:val="0"/>
          <w:marTop w:val="0"/>
          <w:marBottom w:val="0"/>
          <w:divBdr>
            <w:top w:val="none" w:sz="0" w:space="0" w:color="auto"/>
            <w:left w:val="none" w:sz="0" w:space="0" w:color="auto"/>
            <w:bottom w:val="none" w:sz="0" w:space="0" w:color="auto"/>
            <w:right w:val="none" w:sz="0" w:space="0" w:color="auto"/>
          </w:divBdr>
        </w:div>
        <w:div w:id="416171462">
          <w:marLeft w:val="0"/>
          <w:marRight w:val="0"/>
          <w:marTop w:val="0"/>
          <w:marBottom w:val="0"/>
          <w:divBdr>
            <w:top w:val="none" w:sz="0" w:space="0" w:color="auto"/>
            <w:left w:val="none" w:sz="0" w:space="0" w:color="auto"/>
            <w:bottom w:val="none" w:sz="0" w:space="0" w:color="auto"/>
            <w:right w:val="none" w:sz="0" w:space="0" w:color="auto"/>
          </w:divBdr>
        </w:div>
        <w:div w:id="417873612">
          <w:marLeft w:val="0"/>
          <w:marRight w:val="0"/>
          <w:marTop w:val="0"/>
          <w:marBottom w:val="0"/>
          <w:divBdr>
            <w:top w:val="none" w:sz="0" w:space="0" w:color="auto"/>
            <w:left w:val="none" w:sz="0" w:space="0" w:color="auto"/>
            <w:bottom w:val="none" w:sz="0" w:space="0" w:color="auto"/>
            <w:right w:val="none" w:sz="0" w:space="0" w:color="auto"/>
          </w:divBdr>
        </w:div>
        <w:div w:id="434982836">
          <w:marLeft w:val="0"/>
          <w:marRight w:val="0"/>
          <w:marTop w:val="0"/>
          <w:marBottom w:val="0"/>
          <w:divBdr>
            <w:top w:val="none" w:sz="0" w:space="0" w:color="auto"/>
            <w:left w:val="none" w:sz="0" w:space="0" w:color="auto"/>
            <w:bottom w:val="none" w:sz="0" w:space="0" w:color="auto"/>
            <w:right w:val="none" w:sz="0" w:space="0" w:color="auto"/>
          </w:divBdr>
        </w:div>
        <w:div w:id="531378651">
          <w:marLeft w:val="0"/>
          <w:marRight w:val="0"/>
          <w:marTop w:val="0"/>
          <w:marBottom w:val="0"/>
          <w:divBdr>
            <w:top w:val="none" w:sz="0" w:space="0" w:color="auto"/>
            <w:left w:val="none" w:sz="0" w:space="0" w:color="auto"/>
            <w:bottom w:val="none" w:sz="0" w:space="0" w:color="auto"/>
            <w:right w:val="none" w:sz="0" w:space="0" w:color="auto"/>
          </w:divBdr>
        </w:div>
        <w:div w:id="558440786">
          <w:marLeft w:val="0"/>
          <w:marRight w:val="0"/>
          <w:marTop w:val="0"/>
          <w:marBottom w:val="0"/>
          <w:divBdr>
            <w:top w:val="none" w:sz="0" w:space="0" w:color="auto"/>
            <w:left w:val="none" w:sz="0" w:space="0" w:color="auto"/>
            <w:bottom w:val="none" w:sz="0" w:space="0" w:color="auto"/>
            <w:right w:val="none" w:sz="0" w:space="0" w:color="auto"/>
          </w:divBdr>
        </w:div>
        <w:div w:id="583153148">
          <w:marLeft w:val="0"/>
          <w:marRight w:val="0"/>
          <w:marTop w:val="0"/>
          <w:marBottom w:val="0"/>
          <w:divBdr>
            <w:top w:val="none" w:sz="0" w:space="0" w:color="auto"/>
            <w:left w:val="none" w:sz="0" w:space="0" w:color="auto"/>
            <w:bottom w:val="none" w:sz="0" w:space="0" w:color="auto"/>
            <w:right w:val="none" w:sz="0" w:space="0" w:color="auto"/>
          </w:divBdr>
        </w:div>
        <w:div w:id="708339364">
          <w:marLeft w:val="0"/>
          <w:marRight w:val="0"/>
          <w:marTop w:val="0"/>
          <w:marBottom w:val="0"/>
          <w:divBdr>
            <w:top w:val="none" w:sz="0" w:space="0" w:color="auto"/>
            <w:left w:val="none" w:sz="0" w:space="0" w:color="auto"/>
            <w:bottom w:val="none" w:sz="0" w:space="0" w:color="auto"/>
            <w:right w:val="none" w:sz="0" w:space="0" w:color="auto"/>
          </w:divBdr>
        </w:div>
        <w:div w:id="806899287">
          <w:marLeft w:val="0"/>
          <w:marRight w:val="0"/>
          <w:marTop w:val="0"/>
          <w:marBottom w:val="0"/>
          <w:divBdr>
            <w:top w:val="none" w:sz="0" w:space="0" w:color="auto"/>
            <w:left w:val="none" w:sz="0" w:space="0" w:color="auto"/>
            <w:bottom w:val="none" w:sz="0" w:space="0" w:color="auto"/>
            <w:right w:val="none" w:sz="0" w:space="0" w:color="auto"/>
          </w:divBdr>
        </w:div>
        <w:div w:id="835538508">
          <w:marLeft w:val="0"/>
          <w:marRight w:val="0"/>
          <w:marTop w:val="0"/>
          <w:marBottom w:val="0"/>
          <w:divBdr>
            <w:top w:val="none" w:sz="0" w:space="0" w:color="auto"/>
            <w:left w:val="none" w:sz="0" w:space="0" w:color="auto"/>
            <w:bottom w:val="none" w:sz="0" w:space="0" w:color="auto"/>
            <w:right w:val="none" w:sz="0" w:space="0" w:color="auto"/>
          </w:divBdr>
        </w:div>
        <w:div w:id="866527287">
          <w:marLeft w:val="0"/>
          <w:marRight w:val="0"/>
          <w:marTop w:val="0"/>
          <w:marBottom w:val="0"/>
          <w:divBdr>
            <w:top w:val="none" w:sz="0" w:space="0" w:color="auto"/>
            <w:left w:val="none" w:sz="0" w:space="0" w:color="auto"/>
            <w:bottom w:val="none" w:sz="0" w:space="0" w:color="auto"/>
            <w:right w:val="none" w:sz="0" w:space="0" w:color="auto"/>
          </w:divBdr>
        </w:div>
        <w:div w:id="924067401">
          <w:marLeft w:val="0"/>
          <w:marRight w:val="0"/>
          <w:marTop w:val="0"/>
          <w:marBottom w:val="0"/>
          <w:divBdr>
            <w:top w:val="none" w:sz="0" w:space="0" w:color="auto"/>
            <w:left w:val="none" w:sz="0" w:space="0" w:color="auto"/>
            <w:bottom w:val="none" w:sz="0" w:space="0" w:color="auto"/>
            <w:right w:val="none" w:sz="0" w:space="0" w:color="auto"/>
          </w:divBdr>
        </w:div>
        <w:div w:id="1033656842">
          <w:marLeft w:val="0"/>
          <w:marRight w:val="0"/>
          <w:marTop w:val="0"/>
          <w:marBottom w:val="0"/>
          <w:divBdr>
            <w:top w:val="none" w:sz="0" w:space="0" w:color="auto"/>
            <w:left w:val="none" w:sz="0" w:space="0" w:color="auto"/>
            <w:bottom w:val="none" w:sz="0" w:space="0" w:color="auto"/>
            <w:right w:val="none" w:sz="0" w:space="0" w:color="auto"/>
          </w:divBdr>
        </w:div>
        <w:div w:id="1078867722">
          <w:marLeft w:val="0"/>
          <w:marRight w:val="0"/>
          <w:marTop w:val="0"/>
          <w:marBottom w:val="0"/>
          <w:divBdr>
            <w:top w:val="none" w:sz="0" w:space="0" w:color="auto"/>
            <w:left w:val="none" w:sz="0" w:space="0" w:color="auto"/>
            <w:bottom w:val="none" w:sz="0" w:space="0" w:color="auto"/>
            <w:right w:val="none" w:sz="0" w:space="0" w:color="auto"/>
          </w:divBdr>
        </w:div>
        <w:div w:id="1098260234">
          <w:marLeft w:val="0"/>
          <w:marRight w:val="0"/>
          <w:marTop w:val="0"/>
          <w:marBottom w:val="0"/>
          <w:divBdr>
            <w:top w:val="none" w:sz="0" w:space="0" w:color="auto"/>
            <w:left w:val="none" w:sz="0" w:space="0" w:color="auto"/>
            <w:bottom w:val="none" w:sz="0" w:space="0" w:color="auto"/>
            <w:right w:val="none" w:sz="0" w:space="0" w:color="auto"/>
          </w:divBdr>
        </w:div>
        <w:div w:id="1230656825">
          <w:marLeft w:val="0"/>
          <w:marRight w:val="0"/>
          <w:marTop w:val="0"/>
          <w:marBottom w:val="0"/>
          <w:divBdr>
            <w:top w:val="none" w:sz="0" w:space="0" w:color="auto"/>
            <w:left w:val="none" w:sz="0" w:space="0" w:color="auto"/>
            <w:bottom w:val="none" w:sz="0" w:space="0" w:color="auto"/>
            <w:right w:val="none" w:sz="0" w:space="0" w:color="auto"/>
          </w:divBdr>
        </w:div>
        <w:div w:id="1231117187">
          <w:marLeft w:val="0"/>
          <w:marRight w:val="0"/>
          <w:marTop w:val="0"/>
          <w:marBottom w:val="0"/>
          <w:divBdr>
            <w:top w:val="none" w:sz="0" w:space="0" w:color="auto"/>
            <w:left w:val="none" w:sz="0" w:space="0" w:color="auto"/>
            <w:bottom w:val="none" w:sz="0" w:space="0" w:color="auto"/>
            <w:right w:val="none" w:sz="0" w:space="0" w:color="auto"/>
          </w:divBdr>
        </w:div>
        <w:div w:id="1249461042">
          <w:marLeft w:val="0"/>
          <w:marRight w:val="0"/>
          <w:marTop w:val="0"/>
          <w:marBottom w:val="0"/>
          <w:divBdr>
            <w:top w:val="none" w:sz="0" w:space="0" w:color="auto"/>
            <w:left w:val="none" w:sz="0" w:space="0" w:color="auto"/>
            <w:bottom w:val="none" w:sz="0" w:space="0" w:color="auto"/>
            <w:right w:val="none" w:sz="0" w:space="0" w:color="auto"/>
          </w:divBdr>
        </w:div>
        <w:div w:id="1258634808">
          <w:marLeft w:val="0"/>
          <w:marRight w:val="0"/>
          <w:marTop w:val="0"/>
          <w:marBottom w:val="0"/>
          <w:divBdr>
            <w:top w:val="none" w:sz="0" w:space="0" w:color="auto"/>
            <w:left w:val="none" w:sz="0" w:space="0" w:color="auto"/>
            <w:bottom w:val="none" w:sz="0" w:space="0" w:color="auto"/>
            <w:right w:val="none" w:sz="0" w:space="0" w:color="auto"/>
          </w:divBdr>
        </w:div>
        <w:div w:id="1274358592">
          <w:marLeft w:val="0"/>
          <w:marRight w:val="0"/>
          <w:marTop w:val="0"/>
          <w:marBottom w:val="0"/>
          <w:divBdr>
            <w:top w:val="none" w:sz="0" w:space="0" w:color="auto"/>
            <w:left w:val="none" w:sz="0" w:space="0" w:color="auto"/>
            <w:bottom w:val="none" w:sz="0" w:space="0" w:color="auto"/>
            <w:right w:val="none" w:sz="0" w:space="0" w:color="auto"/>
          </w:divBdr>
        </w:div>
        <w:div w:id="1285889530">
          <w:marLeft w:val="0"/>
          <w:marRight w:val="0"/>
          <w:marTop w:val="0"/>
          <w:marBottom w:val="0"/>
          <w:divBdr>
            <w:top w:val="none" w:sz="0" w:space="0" w:color="auto"/>
            <w:left w:val="none" w:sz="0" w:space="0" w:color="auto"/>
            <w:bottom w:val="none" w:sz="0" w:space="0" w:color="auto"/>
            <w:right w:val="none" w:sz="0" w:space="0" w:color="auto"/>
          </w:divBdr>
        </w:div>
        <w:div w:id="1304774928">
          <w:marLeft w:val="0"/>
          <w:marRight w:val="0"/>
          <w:marTop w:val="0"/>
          <w:marBottom w:val="0"/>
          <w:divBdr>
            <w:top w:val="none" w:sz="0" w:space="0" w:color="auto"/>
            <w:left w:val="none" w:sz="0" w:space="0" w:color="auto"/>
            <w:bottom w:val="none" w:sz="0" w:space="0" w:color="auto"/>
            <w:right w:val="none" w:sz="0" w:space="0" w:color="auto"/>
          </w:divBdr>
        </w:div>
        <w:div w:id="1342659285">
          <w:marLeft w:val="0"/>
          <w:marRight w:val="0"/>
          <w:marTop w:val="0"/>
          <w:marBottom w:val="0"/>
          <w:divBdr>
            <w:top w:val="none" w:sz="0" w:space="0" w:color="auto"/>
            <w:left w:val="none" w:sz="0" w:space="0" w:color="auto"/>
            <w:bottom w:val="none" w:sz="0" w:space="0" w:color="auto"/>
            <w:right w:val="none" w:sz="0" w:space="0" w:color="auto"/>
          </w:divBdr>
        </w:div>
        <w:div w:id="1366175345">
          <w:marLeft w:val="0"/>
          <w:marRight w:val="0"/>
          <w:marTop w:val="0"/>
          <w:marBottom w:val="0"/>
          <w:divBdr>
            <w:top w:val="none" w:sz="0" w:space="0" w:color="auto"/>
            <w:left w:val="none" w:sz="0" w:space="0" w:color="auto"/>
            <w:bottom w:val="none" w:sz="0" w:space="0" w:color="auto"/>
            <w:right w:val="none" w:sz="0" w:space="0" w:color="auto"/>
          </w:divBdr>
        </w:div>
        <w:div w:id="1468473814">
          <w:marLeft w:val="0"/>
          <w:marRight w:val="0"/>
          <w:marTop w:val="0"/>
          <w:marBottom w:val="0"/>
          <w:divBdr>
            <w:top w:val="none" w:sz="0" w:space="0" w:color="auto"/>
            <w:left w:val="none" w:sz="0" w:space="0" w:color="auto"/>
            <w:bottom w:val="none" w:sz="0" w:space="0" w:color="auto"/>
            <w:right w:val="none" w:sz="0" w:space="0" w:color="auto"/>
          </w:divBdr>
        </w:div>
        <w:div w:id="1596553892">
          <w:marLeft w:val="0"/>
          <w:marRight w:val="0"/>
          <w:marTop w:val="0"/>
          <w:marBottom w:val="0"/>
          <w:divBdr>
            <w:top w:val="none" w:sz="0" w:space="0" w:color="auto"/>
            <w:left w:val="none" w:sz="0" w:space="0" w:color="auto"/>
            <w:bottom w:val="none" w:sz="0" w:space="0" w:color="auto"/>
            <w:right w:val="none" w:sz="0" w:space="0" w:color="auto"/>
          </w:divBdr>
        </w:div>
        <w:div w:id="1601716699">
          <w:marLeft w:val="0"/>
          <w:marRight w:val="0"/>
          <w:marTop w:val="0"/>
          <w:marBottom w:val="0"/>
          <w:divBdr>
            <w:top w:val="none" w:sz="0" w:space="0" w:color="auto"/>
            <w:left w:val="none" w:sz="0" w:space="0" w:color="auto"/>
            <w:bottom w:val="none" w:sz="0" w:space="0" w:color="auto"/>
            <w:right w:val="none" w:sz="0" w:space="0" w:color="auto"/>
          </w:divBdr>
        </w:div>
        <w:div w:id="1621104405">
          <w:marLeft w:val="0"/>
          <w:marRight w:val="0"/>
          <w:marTop w:val="0"/>
          <w:marBottom w:val="0"/>
          <w:divBdr>
            <w:top w:val="none" w:sz="0" w:space="0" w:color="auto"/>
            <w:left w:val="none" w:sz="0" w:space="0" w:color="auto"/>
            <w:bottom w:val="none" w:sz="0" w:space="0" w:color="auto"/>
            <w:right w:val="none" w:sz="0" w:space="0" w:color="auto"/>
          </w:divBdr>
        </w:div>
        <w:div w:id="1726565708">
          <w:marLeft w:val="0"/>
          <w:marRight w:val="0"/>
          <w:marTop w:val="0"/>
          <w:marBottom w:val="0"/>
          <w:divBdr>
            <w:top w:val="none" w:sz="0" w:space="0" w:color="auto"/>
            <w:left w:val="none" w:sz="0" w:space="0" w:color="auto"/>
            <w:bottom w:val="none" w:sz="0" w:space="0" w:color="auto"/>
            <w:right w:val="none" w:sz="0" w:space="0" w:color="auto"/>
          </w:divBdr>
        </w:div>
        <w:div w:id="1734542425">
          <w:marLeft w:val="0"/>
          <w:marRight w:val="0"/>
          <w:marTop w:val="0"/>
          <w:marBottom w:val="0"/>
          <w:divBdr>
            <w:top w:val="none" w:sz="0" w:space="0" w:color="auto"/>
            <w:left w:val="none" w:sz="0" w:space="0" w:color="auto"/>
            <w:bottom w:val="none" w:sz="0" w:space="0" w:color="auto"/>
            <w:right w:val="none" w:sz="0" w:space="0" w:color="auto"/>
          </w:divBdr>
        </w:div>
        <w:div w:id="1746609518">
          <w:marLeft w:val="0"/>
          <w:marRight w:val="0"/>
          <w:marTop w:val="0"/>
          <w:marBottom w:val="0"/>
          <w:divBdr>
            <w:top w:val="none" w:sz="0" w:space="0" w:color="auto"/>
            <w:left w:val="none" w:sz="0" w:space="0" w:color="auto"/>
            <w:bottom w:val="none" w:sz="0" w:space="0" w:color="auto"/>
            <w:right w:val="none" w:sz="0" w:space="0" w:color="auto"/>
          </w:divBdr>
        </w:div>
        <w:div w:id="1798597019">
          <w:marLeft w:val="0"/>
          <w:marRight w:val="0"/>
          <w:marTop w:val="0"/>
          <w:marBottom w:val="0"/>
          <w:divBdr>
            <w:top w:val="none" w:sz="0" w:space="0" w:color="auto"/>
            <w:left w:val="none" w:sz="0" w:space="0" w:color="auto"/>
            <w:bottom w:val="none" w:sz="0" w:space="0" w:color="auto"/>
            <w:right w:val="none" w:sz="0" w:space="0" w:color="auto"/>
          </w:divBdr>
        </w:div>
        <w:div w:id="1809080470">
          <w:marLeft w:val="0"/>
          <w:marRight w:val="0"/>
          <w:marTop w:val="0"/>
          <w:marBottom w:val="0"/>
          <w:divBdr>
            <w:top w:val="none" w:sz="0" w:space="0" w:color="auto"/>
            <w:left w:val="none" w:sz="0" w:space="0" w:color="auto"/>
            <w:bottom w:val="none" w:sz="0" w:space="0" w:color="auto"/>
            <w:right w:val="none" w:sz="0" w:space="0" w:color="auto"/>
          </w:divBdr>
        </w:div>
        <w:div w:id="1869950770">
          <w:marLeft w:val="0"/>
          <w:marRight w:val="0"/>
          <w:marTop w:val="0"/>
          <w:marBottom w:val="0"/>
          <w:divBdr>
            <w:top w:val="none" w:sz="0" w:space="0" w:color="auto"/>
            <w:left w:val="none" w:sz="0" w:space="0" w:color="auto"/>
            <w:bottom w:val="none" w:sz="0" w:space="0" w:color="auto"/>
            <w:right w:val="none" w:sz="0" w:space="0" w:color="auto"/>
          </w:divBdr>
        </w:div>
        <w:div w:id="1906254613">
          <w:marLeft w:val="0"/>
          <w:marRight w:val="0"/>
          <w:marTop w:val="0"/>
          <w:marBottom w:val="0"/>
          <w:divBdr>
            <w:top w:val="none" w:sz="0" w:space="0" w:color="auto"/>
            <w:left w:val="none" w:sz="0" w:space="0" w:color="auto"/>
            <w:bottom w:val="none" w:sz="0" w:space="0" w:color="auto"/>
            <w:right w:val="none" w:sz="0" w:space="0" w:color="auto"/>
          </w:divBdr>
        </w:div>
        <w:div w:id="1936278333">
          <w:marLeft w:val="0"/>
          <w:marRight w:val="0"/>
          <w:marTop w:val="0"/>
          <w:marBottom w:val="0"/>
          <w:divBdr>
            <w:top w:val="none" w:sz="0" w:space="0" w:color="auto"/>
            <w:left w:val="none" w:sz="0" w:space="0" w:color="auto"/>
            <w:bottom w:val="none" w:sz="0" w:space="0" w:color="auto"/>
            <w:right w:val="none" w:sz="0" w:space="0" w:color="auto"/>
          </w:divBdr>
        </w:div>
        <w:div w:id="2084907513">
          <w:marLeft w:val="0"/>
          <w:marRight w:val="0"/>
          <w:marTop w:val="0"/>
          <w:marBottom w:val="0"/>
          <w:divBdr>
            <w:top w:val="none" w:sz="0" w:space="0" w:color="auto"/>
            <w:left w:val="none" w:sz="0" w:space="0" w:color="auto"/>
            <w:bottom w:val="none" w:sz="0" w:space="0" w:color="auto"/>
            <w:right w:val="none" w:sz="0" w:space="0" w:color="auto"/>
          </w:divBdr>
        </w:div>
        <w:div w:id="2107387795">
          <w:marLeft w:val="0"/>
          <w:marRight w:val="0"/>
          <w:marTop w:val="0"/>
          <w:marBottom w:val="0"/>
          <w:divBdr>
            <w:top w:val="none" w:sz="0" w:space="0" w:color="auto"/>
            <w:left w:val="none" w:sz="0" w:space="0" w:color="auto"/>
            <w:bottom w:val="none" w:sz="0" w:space="0" w:color="auto"/>
            <w:right w:val="none" w:sz="0" w:space="0" w:color="auto"/>
          </w:divBdr>
        </w:div>
        <w:div w:id="2137676019">
          <w:marLeft w:val="0"/>
          <w:marRight w:val="0"/>
          <w:marTop w:val="0"/>
          <w:marBottom w:val="0"/>
          <w:divBdr>
            <w:top w:val="none" w:sz="0" w:space="0" w:color="auto"/>
            <w:left w:val="none" w:sz="0" w:space="0" w:color="auto"/>
            <w:bottom w:val="none" w:sz="0" w:space="0" w:color="auto"/>
            <w:right w:val="none" w:sz="0" w:space="0" w:color="auto"/>
          </w:divBdr>
        </w:div>
      </w:divsChild>
    </w:div>
    <w:div w:id="1223104995">
      <w:bodyDiv w:val="1"/>
      <w:marLeft w:val="0"/>
      <w:marRight w:val="0"/>
      <w:marTop w:val="0"/>
      <w:marBottom w:val="0"/>
      <w:divBdr>
        <w:top w:val="none" w:sz="0" w:space="0" w:color="auto"/>
        <w:left w:val="none" w:sz="0" w:space="0" w:color="auto"/>
        <w:bottom w:val="none" w:sz="0" w:space="0" w:color="auto"/>
        <w:right w:val="none" w:sz="0" w:space="0" w:color="auto"/>
      </w:divBdr>
    </w:div>
    <w:div w:id="1510486083">
      <w:bodyDiv w:val="1"/>
      <w:marLeft w:val="0"/>
      <w:marRight w:val="0"/>
      <w:marTop w:val="0"/>
      <w:marBottom w:val="0"/>
      <w:divBdr>
        <w:top w:val="none" w:sz="0" w:space="0" w:color="auto"/>
        <w:left w:val="none" w:sz="0" w:space="0" w:color="auto"/>
        <w:bottom w:val="none" w:sz="0" w:space="0" w:color="auto"/>
        <w:right w:val="none" w:sz="0" w:space="0" w:color="auto"/>
      </w:divBdr>
    </w:div>
    <w:div w:id="1513881992">
      <w:bodyDiv w:val="1"/>
      <w:marLeft w:val="0"/>
      <w:marRight w:val="0"/>
      <w:marTop w:val="0"/>
      <w:marBottom w:val="0"/>
      <w:divBdr>
        <w:top w:val="none" w:sz="0" w:space="0" w:color="auto"/>
        <w:left w:val="none" w:sz="0" w:space="0" w:color="auto"/>
        <w:bottom w:val="none" w:sz="0" w:space="0" w:color="auto"/>
        <w:right w:val="none" w:sz="0" w:space="0" w:color="auto"/>
      </w:divBdr>
    </w:div>
    <w:div w:id="1552887924">
      <w:bodyDiv w:val="1"/>
      <w:marLeft w:val="0"/>
      <w:marRight w:val="0"/>
      <w:marTop w:val="0"/>
      <w:marBottom w:val="0"/>
      <w:divBdr>
        <w:top w:val="none" w:sz="0" w:space="0" w:color="auto"/>
        <w:left w:val="none" w:sz="0" w:space="0" w:color="auto"/>
        <w:bottom w:val="none" w:sz="0" w:space="0" w:color="auto"/>
        <w:right w:val="none" w:sz="0" w:space="0" w:color="auto"/>
      </w:divBdr>
      <w:divsChild>
        <w:div w:id="650909550">
          <w:marLeft w:val="0"/>
          <w:marRight w:val="0"/>
          <w:marTop w:val="0"/>
          <w:marBottom w:val="0"/>
          <w:divBdr>
            <w:top w:val="none" w:sz="0" w:space="0" w:color="auto"/>
            <w:left w:val="none" w:sz="0" w:space="0" w:color="auto"/>
            <w:bottom w:val="none" w:sz="0" w:space="0" w:color="auto"/>
            <w:right w:val="none" w:sz="0" w:space="0" w:color="auto"/>
          </w:divBdr>
        </w:div>
      </w:divsChild>
    </w:div>
    <w:div w:id="1574198194">
      <w:bodyDiv w:val="1"/>
      <w:marLeft w:val="0"/>
      <w:marRight w:val="0"/>
      <w:marTop w:val="0"/>
      <w:marBottom w:val="0"/>
      <w:divBdr>
        <w:top w:val="none" w:sz="0" w:space="0" w:color="auto"/>
        <w:left w:val="none" w:sz="0" w:space="0" w:color="auto"/>
        <w:bottom w:val="none" w:sz="0" w:space="0" w:color="auto"/>
        <w:right w:val="none" w:sz="0" w:space="0" w:color="auto"/>
      </w:divBdr>
    </w:div>
    <w:div w:id="1602296212">
      <w:bodyDiv w:val="1"/>
      <w:marLeft w:val="0"/>
      <w:marRight w:val="0"/>
      <w:marTop w:val="0"/>
      <w:marBottom w:val="0"/>
      <w:divBdr>
        <w:top w:val="none" w:sz="0" w:space="0" w:color="auto"/>
        <w:left w:val="none" w:sz="0" w:space="0" w:color="auto"/>
        <w:bottom w:val="none" w:sz="0" w:space="0" w:color="auto"/>
        <w:right w:val="none" w:sz="0" w:space="0" w:color="auto"/>
      </w:divBdr>
    </w:div>
    <w:div w:id="1818567811">
      <w:bodyDiv w:val="1"/>
      <w:marLeft w:val="0"/>
      <w:marRight w:val="0"/>
      <w:marTop w:val="0"/>
      <w:marBottom w:val="0"/>
      <w:divBdr>
        <w:top w:val="none" w:sz="0" w:space="0" w:color="auto"/>
        <w:left w:val="none" w:sz="0" w:space="0" w:color="auto"/>
        <w:bottom w:val="none" w:sz="0" w:space="0" w:color="auto"/>
        <w:right w:val="none" w:sz="0" w:space="0" w:color="auto"/>
      </w:divBdr>
    </w:div>
    <w:div w:id="1900699952">
      <w:bodyDiv w:val="1"/>
      <w:marLeft w:val="0"/>
      <w:marRight w:val="0"/>
      <w:marTop w:val="0"/>
      <w:marBottom w:val="0"/>
      <w:divBdr>
        <w:top w:val="none" w:sz="0" w:space="0" w:color="auto"/>
        <w:left w:val="none" w:sz="0" w:space="0" w:color="auto"/>
        <w:bottom w:val="none" w:sz="0" w:space="0" w:color="auto"/>
        <w:right w:val="none" w:sz="0" w:space="0" w:color="auto"/>
      </w:divBdr>
    </w:div>
    <w:div w:id="1949703600">
      <w:bodyDiv w:val="1"/>
      <w:marLeft w:val="0"/>
      <w:marRight w:val="0"/>
      <w:marTop w:val="0"/>
      <w:marBottom w:val="0"/>
      <w:divBdr>
        <w:top w:val="none" w:sz="0" w:space="0" w:color="auto"/>
        <w:left w:val="none" w:sz="0" w:space="0" w:color="auto"/>
        <w:bottom w:val="none" w:sz="0" w:space="0" w:color="auto"/>
        <w:right w:val="none" w:sz="0" w:space="0" w:color="auto"/>
      </w:divBdr>
    </w:div>
    <w:div w:id="1962029353">
      <w:bodyDiv w:val="1"/>
      <w:marLeft w:val="0"/>
      <w:marRight w:val="0"/>
      <w:marTop w:val="0"/>
      <w:marBottom w:val="0"/>
      <w:divBdr>
        <w:top w:val="none" w:sz="0" w:space="0" w:color="auto"/>
        <w:left w:val="none" w:sz="0" w:space="0" w:color="auto"/>
        <w:bottom w:val="none" w:sz="0" w:space="0" w:color="auto"/>
        <w:right w:val="none" w:sz="0" w:space="0" w:color="auto"/>
      </w:divBdr>
    </w:div>
    <w:div w:id="2034502010">
      <w:bodyDiv w:val="1"/>
      <w:marLeft w:val="0"/>
      <w:marRight w:val="0"/>
      <w:marTop w:val="0"/>
      <w:marBottom w:val="0"/>
      <w:divBdr>
        <w:top w:val="none" w:sz="0" w:space="0" w:color="auto"/>
        <w:left w:val="none" w:sz="0" w:space="0" w:color="auto"/>
        <w:bottom w:val="none" w:sz="0" w:space="0" w:color="auto"/>
        <w:right w:val="none" w:sz="0" w:space="0" w:color="auto"/>
      </w:divBdr>
      <w:divsChild>
        <w:div w:id="219097025">
          <w:marLeft w:val="0"/>
          <w:marRight w:val="0"/>
          <w:marTop w:val="0"/>
          <w:marBottom w:val="0"/>
          <w:divBdr>
            <w:top w:val="none" w:sz="0" w:space="0" w:color="auto"/>
            <w:left w:val="none" w:sz="0" w:space="0" w:color="auto"/>
            <w:bottom w:val="none" w:sz="0" w:space="0" w:color="auto"/>
            <w:right w:val="none" w:sz="0" w:space="0" w:color="auto"/>
          </w:divBdr>
        </w:div>
        <w:div w:id="560024022">
          <w:marLeft w:val="0"/>
          <w:marRight w:val="0"/>
          <w:marTop w:val="0"/>
          <w:marBottom w:val="0"/>
          <w:divBdr>
            <w:top w:val="none" w:sz="0" w:space="0" w:color="auto"/>
            <w:left w:val="none" w:sz="0" w:space="0" w:color="auto"/>
            <w:bottom w:val="none" w:sz="0" w:space="0" w:color="auto"/>
            <w:right w:val="none" w:sz="0" w:space="0" w:color="auto"/>
          </w:divBdr>
        </w:div>
        <w:div w:id="581763720">
          <w:marLeft w:val="0"/>
          <w:marRight w:val="0"/>
          <w:marTop w:val="0"/>
          <w:marBottom w:val="0"/>
          <w:divBdr>
            <w:top w:val="none" w:sz="0" w:space="0" w:color="auto"/>
            <w:left w:val="none" w:sz="0" w:space="0" w:color="auto"/>
            <w:bottom w:val="none" w:sz="0" w:space="0" w:color="auto"/>
            <w:right w:val="none" w:sz="0" w:space="0" w:color="auto"/>
          </w:divBdr>
        </w:div>
        <w:div w:id="712311598">
          <w:marLeft w:val="0"/>
          <w:marRight w:val="0"/>
          <w:marTop w:val="0"/>
          <w:marBottom w:val="0"/>
          <w:divBdr>
            <w:top w:val="none" w:sz="0" w:space="0" w:color="auto"/>
            <w:left w:val="none" w:sz="0" w:space="0" w:color="auto"/>
            <w:bottom w:val="none" w:sz="0" w:space="0" w:color="auto"/>
            <w:right w:val="none" w:sz="0" w:space="0" w:color="auto"/>
          </w:divBdr>
        </w:div>
        <w:div w:id="755056685">
          <w:marLeft w:val="0"/>
          <w:marRight w:val="0"/>
          <w:marTop w:val="0"/>
          <w:marBottom w:val="0"/>
          <w:divBdr>
            <w:top w:val="none" w:sz="0" w:space="0" w:color="auto"/>
            <w:left w:val="none" w:sz="0" w:space="0" w:color="auto"/>
            <w:bottom w:val="none" w:sz="0" w:space="0" w:color="auto"/>
            <w:right w:val="none" w:sz="0" w:space="0" w:color="auto"/>
          </w:divBdr>
        </w:div>
        <w:div w:id="806318759">
          <w:marLeft w:val="0"/>
          <w:marRight w:val="0"/>
          <w:marTop w:val="0"/>
          <w:marBottom w:val="0"/>
          <w:divBdr>
            <w:top w:val="none" w:sz="0" w:space="0" w:color="auto"/>
            <w:left w:val="none" w:sz="0" w:space="0" w:color="auto"/>
            <w:bottom w:val="none" w:sz="0" w:space="0" w:color="auto"/>
            <w:right w:val="none" w:sz="0" w:space="0" w:color="auto"/>
          </w:divBdr>
        </w:div>
        <w:div w:id="897056919">
          <w:marLeft w:val="0"/>
          <w:marRight w:val="0"/>
          <w:marTop w:val="0"/>
          <w:marBottom w:val="0"/>
          <w:divBdr>
            <w:top w:val="none" w:sz="0" w:space="0" w:color="auto"/>
            <w:left w:val="none" w:sz="0" w:space="0" w:color="auto"/>
            <w:bottom w:val="none" w:sz="0" w:space="0" w:color="auto"/>
            <w:right w:val="none" w:sz="0" w:space="0" w:color="auto"/>
          </w:divBdr>
        </w:div>
        <w:div w:id="967397533">
          <w:marLeft w:val="0"/>
          <w:marRight w:val="0"/>
          <w:marTop w:val="0"/>
          <w:marBottom w:val="0"/>
          <w:divBdr>
            <w:top w:val="none" w:sz="0" w:space="0" w:color="auto"/>
            <w:left w:val="none" w:sz="0" w:space="0" w:color="auto"/>
            <w:bottom w:val="none" w:sz="0" w:space="0" w:color="auto"/>
            <w:right w:val="none" w:sz="0" w:space="0" w:color="auto"/>
          </w:divBdr>
        </w:div>
        <w:div w:id="971252378">
          <w:marLeft w:val="0"/>
          <w:marRight w:val="0"/>
          <w:marTop w:val="0"/>
          <w:marBottom w:val="0"/>
          <w:divBdr>
            <w:top w:val="none" w:sz="0" w:space="0" w:color="auto"/>
            <w:left w:val="none" w:sz="0" w:space="0" w:color="auto"/>
            <w:bottom w:val="none" w:sz="0" w:space="0" w:color="auto"/>
            <w:right w:val="none" w:sz="0" w:space="0" w:color="auto"/>
          </w:divBdr>
        </w:div>
        <w:div w:id="1108624159">
          <w:marLeft w:val="0"/>
          <w:marRight w:val="0"/>
          <w:marTop w:val="0"/>
          <w:marBottom w:val="0"/>
          <w:divBdr>
            <w:top w:val="none" w:sz="0" w:space="0" w:color="auto"/>
            <w:left w:val="none" w:sz="0" w:space="0" w:color="auto"/>
            <w:bottom w:val="none" w:sz="0" w:space="0" w:color="auto"/>
            <w:right w:val="none" w:sz="0" w:space="0" w:color="auto"/>
          </w:divBdr>
        </w:div>
        <w:div w:id="1205866587">
          <w:marLeft w:val="0"/>
          <w:marRight w:val="0"/>
          <w:marTop w:val="0"/>
          <w:marBottom w:val="0"/>
          <w:divBdr>
            <w:top w:val="none" w:sz="0" w:space="0" w:color="auto"/>
            <w:left w:val="none" w:sz="0" w:space="0" w:color="auto"/>
            <w:bottom w:val="none" w:sz="0" w:space="0" w:color="auto"/>
            <w:right w:val="none" w:sz="0" w:space="0" w:color="auto"/>
          </w:divBdr>
        </w:div>
        <w:div w:id="1385791342">
          <w:marLeft w:val="0"/>
          <w:marRight w:val="0"/>
          <w:marTop w:val="0"/>
          <w:marBottom w:val="0"/>
          <w:divBdr>
            <w:top w:val="none" w:sz="0" w:space="0" w:color="auto"/>
            <w:left w:val="none" w:sz="0" w:space="0" w:color="auto"/>
            <w:bottom w:val="none" w:sz="0" w:space="0" w:color="auto"/>
            <w:right w:val="none" w:sz="0" w:space="0" w:color="auto"/>
          </w:divBdr>
        </w:div>
        <w:div w:id="1423915278">
          <w:marLeft w:val="0"/>
          <w:marRight w:val="0"/>
          <w:marTop w:val="0"/>
          <w:marBottom w:val="0"/>
          <w:divBdr>
            <w:top w:val="none" w:sz="0" w:space="0" w:color="auto"/>
            <w:left w:val="none" w:sz="0" w:space="0" w:color="auto"/>
            <w:bottom w:val="none" w:sz="0" w:space="0" w:color="auto"/>
            <w:right w:val="none" w:sz="0" w:space="0" w:color="auto"/>
          </w:divBdr>
        </w:div>
        <w:div w:id="1428697300">
          <w:marLeft w:val="0"/>
          <w:marRight w:val="0"/>
          <w:marTop w:val="0"/>
          <w:marBottom w:val="0"/>
          <w:divBdr>
            <w:top w:val="none" w:sz="0" w:space="0" w:color="auto"/>
            <w:left w:val="none" w:sz="0" w:space="0" w:color="auto"/>
            <w:bottom w:val="none" w:sz="0" w:space="0" w:color="auto"/>
            <w:right w:val="none" w:sz="0" w:space="0" w:color="auto"/>
          </w:divBdr>
        </w:div>
        <w:div w:id="1585529806">
          <w:marLeft w:val="0"/>
          <w:marRight w:val="0"/>
          <w:marTop w:val="0"/>
          <w:marBottom w:val="0"/>
          <w:divBdr>
            <w:top w:val="none" w:sz="0" w:space="0" w:color="auto"/>
            <w:left w:val="none" w:sz="0" w:space="0" w:color="auto"/>
            <w:bottom w:val="none" w:sz="0" w:space="0" w:color="auto"/>
            <w:right w:val="none" w:sz="0" w:space="0" w:color="auto"/>
          </w:divBdr>
        </w:div>
        <w:div w:id="1857111342">
          <w:marLeft w:val="0"/>
          <w:marRight w:val="0"/>
          <w:marTop w:val="0"/>
          <w:marBottom w:val="0"/>
          <w:divBdr>
            <w:top w:val="none" w:sz="0" w:space="0" w:color="auto"/>
            <w:left w:val="none" w:sz="0" w:space="0" w:color="auto"/>
            <w:bottom w:val="none" w:sz="0" w:space="0" w:color="auto"/>
            <w:right w:val="none" w:sz="0" w:space="0" w:color="auto"/>
          </w:divBdr>
        </w:div>
        <w:div w:id="1968313468">
          <w:marLeft w:val="0"/>
          <w:marRight w:val="0"/>
          <w:marTop w:val="0"/>
          <w:marBottom w:val="0"/>
          <w:divBdr>
            <w:top w:val="none" w:sz="0" w:space="0" w:color="auto"/>
            <w:left w:val="none" w:sz="0" w:space="0" w:color="auto"/>
            <w:bottom w:val="none" w:sz="0" w:space="0" w:color="auto"/>
            <w:right w:val="none" w:sz="0" w:space="0" w:color="auto"/>
          </w:divBdr>
        </w:div>
        <w:div w:id="1992246196">
          <w:marLeft w:val="0"/>
          <w:marRight w:val="0"/>
          <w:marTop w:val="0"/>
          <w:marBottom w:val="0"/>
          <w:divBdr>
            <w:top w:val="none" w:sz="0" w:space="0" w:color="auto"/>
            <w:left w:val="none" w:sz="0" w:space="0" w:color="auto"/>
            <w:bottom w:val="none" w:sz="0" w:space="0" w:color="auto"/>
            <w:right w:val="none" w:sz="0" w:space="0" w:color="auto"/>
          </w:divBdr>
        </w:div>
        <w:div w:id="2020037593">
          <w:marLeft w:val="0"/>
          <w:marRight w:val="0"/>
          <w:marTop w:val="0"/>
          <w:marBottom w:val="0"/>
          <w:divBdr>
            <w:top w:val="none" w:sz="0" w:space="0" w:color="auto"/>
            <w:left w:val="none" w:sz="0" w:space="0" w:color="auto"/>
            <w:bottom w:val="none" w:sz="0" w:space="0" w:color="auto"/>
            <w:right w:val="none" w:sz="0" w:space="0" w:color="auto"/>
          </w:divBdr>
        </w:div>
        <w:div w:id="2062048798">
          <w:marLeft w:val="0"/>
          <w:marRight w:val="0"/>
          <w:marTop w:val="0"/>
          <w:marBottom w:val="0"/>
          <w:divBdr>
            <w:top w:val="none" w:sz="0" w:space="0" w:color="auto"/>
            <w:left w:val="none" w:sz="0" w:space="0" w:color="auto"/>
            <w:bottom w:val="none" w:sz="0" w:space="0" w:color="auto"/>
            <w:right w:val="none" w:sz="0" w:space="0" w:color="auto"/>
          </w:divBdr>
        </w:div>
      </w:divsChild>
    </w:div>
    <w:div w:id="2055691893">
      <w:bodyDiv w:val="1"/>
      <w:marLeft w:val="0"/>
      <w:marRight w:val="0"/>
      <w:marTop w:val="0"/>
      <w:marBottom w:val="0"/>
      <w:divBdr>
        <w:top w:val="none" w:sz="0" w:space="0" w:color="auto"/>
        <w:left w:val="none" w:sz="0" w:space="0" w:color="auto"/>
        <w:bottom w:val="none" w:sz="0" w:space="0" w:color="auto"/>
        <w:right w:val="none" w:sz="0" w:space="0" w:color="auto"/>
      </w:divBdr>
    </w:div>
    <w:div w:id="2058124128">
      <w:bodyDiv w:val="1"/>
      <w:marLeft w:val="0"/>
      <w:marRight w:val="0"/>
      <w:marTop w:val="0"/>
      <w:marBottom w:val="0"/>
      <w:divBdr>
        <w:top w:val="none" w:sz="0" w:space="0" w:color="auto"/>
        <w:left w:val="none" w:sz="0" w:space="0" w:color="auto"/>
        <w:bottom w:val="none" w:sz="0" w:space="0" w:color="auto"/>
        <w:right w:val="none" w:sz="0" w:space="0" w:color="auto"/>
      </w:divBdr>
      <w:divsChild>
        <w:div w:id="58097460">
          <w:marLeft w:val="0"/>
          <w:marRight w:val="0"/>
          <w:marTop w:val="0"/>
          <w:marBottom w:val="0"/>
          <w:divBdr>
            <w:top w:val="none" w:sz="0" w:space="0" w:color="auto"/>
            <w:left w:val="none" w:sz="0" w:space="0" w:color="auto"/>
            <w:bottom w:val="none" w:sz="0" w:space="0" w:color="auto"/>
            <w:right w:val="none" w:sz="0" w:space="0" w:color="auto"/>
          </w:divBdr>
          <w:divsChild>
            <w:div w:id="1251888153">
              <w:marLeft w:val="-75"/>
              <w:marRight w:val="0"/>
              <w:marTop w:val="30"/>
              <w:marBottom w:val="30"/>
              <w:divBdr>
                <w:top w:val="none" w:sz="0" w:space="0" w:color="auto"/>
                <w:left w:val="none" w:sz="0" w:space="0" w:color="auto"/>
                <w:bottom w:val="none" w:sz="0" w:space="0" w:color="auto"/>
                <w:right w:val="none" w:sz="0" w:space="0" w:color="auto"/>
              </w:divBdr>
              <w:divsChild>
                <w:div w:id="132601211">
                  <w:marLeft w:val="0"/>
                  <w:marRight w:val="0"/>
                  <w:marTop w:val="0"/>
                  <w:marBottom w:val="0"/>
                  <w:divBdr>
                    <w:top w:val="none" w:sz="0" w:space="0" w:color="auto"/>
                    <w:left w:val="none" w:sz="0" w:space="0" w:color="auto"/>
                    <w:bottom w:val="none" w:sz="0" w:space="0" w:color="auto"/>
                    <w:right w:val="none" w:sz="0" w:space="0" w:color="auto"/>
                  </w:divBdr>
                  <w:divsChild>
                    <w:div w:id="2048409781">
                      <w:marLeft w:val="0"/>
                      <w:marRight w:val="0"/>
                      <w:marTop w:val="0"/>
                      <w:marBottom w:val="0"/>
                      <w:divBdr>
                        <w:top w:val="none" w:sz="0" w:space="0" w:color="auto"/>
                        <w:left w:val="none" w:sz="0" w:space="0" w:color="auto"/>
                        <w:bottom w:val="none" w:sz="0" w:space="0" w:color="auto"/>
                        <w:right w:val="none" w:sz="0" w:space="0" w:color="auto"/>
                      </w:divBdr>
                    </w:div>
                  </w:divsChild>
                </w:div>
                <w:div w:id="562646038">
                  <w:marLeft w:val="0"/>
                  <w:marRight w:val="0"/>
                  <w:marTop w:val="0"/>
                  <w:marBottom w:val="0"/>
                  <w:divBdr>
                    <w:top w:val="none" w:sz="0" w:space="0" w:color="auto"/>
                    <w:left w:val="none" w:sz="0" w:space="0" w:color="auto"/>
                    <w:bottom w:val="none" w:sz="0" w:space="0" w:color="auto"/>
                    <w:right w:val="none" w:sz="0" w:space="0" w:color="auto"/>
                  </w:divBdr>
                  <w:divsChild>
                    <w:div w:id="946498378">
                      <w:marLeft w:val="0"/>
                      <w:marRight w:val="0"/>
                      <w:marTop w:val="0"/>
                      <w:marBottom w:val="0"/>
                      <w:divBdr>
                        <w:top w:val="none" w:sz="0" w:space="0" w:color="auto"/>
                        <w:left w:val="none" w:sz="0" w:space="0" w:color="auto"/>
                        <w:bottom w:val="none" w:sz="0" w:space="0" w:color="auto"/>
                        <w:right w:val="none" w:sz="0" w:space="0" w:color="auto"/>
                      </w:divBdr>
                    </w:div>
                    <w:div w:id="1748108270">
                      <w:marLeft w:val="0"/>
                      <w:marRight w:val="0"/>
                      <w:marTop w:val="0"/>
                      <w:marBottom w:val="0"/>
                      <w:divBdr>
                        <w:top w:val="none" w:sz="0" w:space="0" w:color="auto"/>
                        <w:left w:val="none" w:sz="0" w:space="0" w:color="auto"/>
                        <w:bottom w:val="none" w:sz="0" w:space="0" w:color="auto"/>
                        <w:right w:val="none" w:sz="0" w:space="0" w:color="auto"/>
                      </w:divBdr>
                    </w:div>
                  </w:divsChild>
                </w:div>
                <w:div w:id="1204054030">
                  <w:marLeft w:val="0"/>
                  <w:marRight w:val="0"/>
                  <w:marTop w:val="0"/>
                  <w:marBottom w:val="0"/>
                  <w:divBdr>
                    <w:top w:val="none" w:sz="0" w:space="0" w:color="auto"/>
                    <w:left w:val="none" w:sz="0" w:space="0" w:color="auto"/>
                    <w:bottom w:val="none" w:sz="0" w:space="0" w:color="auto"/>
                    <w:right w:val="none" w:sz="0" w:space="0" w:color="auto"/>
                  </w:divBdr>
                  <w:divsChild>
                    <w:div w:id="522091160">
                      <w:marLeft w:val="0"/>
                      <w:marRight w:val="0"/>
                      <w:marTop w:val="0"/>
                      <w:marBottom w:val="0"/>
                      <w:divBdr>
                        <w:top w:val="none" w:sz="0" w:space="0" w:color="auto"/>
                        <w:left w:val="none" w:sz="0" w:space="0" w:color="auto"/>
                        <w:bottom w:val="none" w:sz="0" w:space="0" w:color="auto"/>
                        <w:right w:val="none" w:sz="0" w:space="0" w:color="auto"/>
                      </w:divBdr>
                    </w:div>
                  </w:divsChild>
                </w:div>
                <w:div w:id="1205408604">
                  <w:marLeft w:val="0"/>
                  <w:marRight w:val="0"/>
                  <w:marTop w:val="0"/>
                  <w:marBottom w:val="0"/>
                  <w:divBdr>
                    <w:top w:val="none" w:sz="0" w:space="0" w:color="auto"/>
                    <w:left w:val="none" w:sz="0" w:space="0" w:color="auto"/>
                    <w:bottom w:val="none" w:sz="0" w:space="0" w:color="auto"/>
                    <w:right w:val="none" w:sz="0" w:space="0" w:color="auto"/>
                  </w:divBdr>
                  <w:divsChild>
                    <w:div w:id="2069450896">
                      <w:marLeft w:val="0"/>
                      <w:marRight w:val="0"/>
                      <w:marTop w:val="0"/>
                      <w:marBottom w:val="0"/>
                      <w:divBdr>
                        <w:top w:val="none" w:sz="0" w:space="0" w:color="auto"/>
                        <w:left w:val="none" w:sz="0" w:space="0" w:color="auto"/>
                        <w:bottom w:val="none" w:sz="0" w:space="0" w:color="auto"/>
                        <w:right w:val="none" w:sz="0" w:space="0" w:color="auto"/>
                      </w:divBdr>
                    </w:div>
                  </w:divsChild>
                </w:div>
                <w:div w:id="1266841491">
                  <w:marLeft w:val="0"/>
                  <w:marRight w:val="0"/>
                  <w:marTop w:val="0"/>
                  <w:marBottom w:val="0"/>
                  <w:divBdr>
                    <w:top w:val="none" w:sz="0" w:space="0" w:color="auto"/>
                    <w:left w:val="none" w:sz="0" w:space="0" w:color="auto"/>
                    <w:bottom w:val="none" w:sz="0" w:space="0" w:color="auto"/>
                    <w:right w:val="none" w:sz="0" w:space="0" w:color="auto"/>
                  </w:divBdr>
                  <w:divsChild>
                    <w:div w:id="1991866301">
                      <w:marLeft w:val="0"/>
                      <w:marRight w:val="0"/>
                      <w:marTop w:val="0"/>
                      <w:marBottom w:val="0"/>
                      <w:divBdr>
                        <w:top w:val="none" w:sz="0" w:space="0" w:color="auto"/>
                        <w:left w:val="none" w:sz="0" w:space="0" w:color="auto"/>
                        <w:bottom w:val="none" w:sz="0" w:space="0" w:color="auto"/>
                        <w:right w:val="none" w:sz="0" w:space="0" w:color="auto"/>
                      </w:divBdr>
                    </w:div>
                  </w:divsChild>
                </w:div>
                <w:div w:id="1270627284">
                  <w:marLeft w:val="0"/>
                  <w:marRight w:val="0"/>
                  <w:marTop w:val="0"/>
                  <w:marBottom w:val="0"/>
                  <w:divBdr>
                    <w:top w:val="none" w:sz="0" w:space="0" w:color="auto"/>
                    <w:left w:val="none" w:sz="0" w:space="0" w:color="auto"/>
                    <w:bottom w:val="none" w:sz="0" w:space="0" w:color="auto"/>
                    <w:right w:val="none" w:sz="0" w:space="0" w:color="auto"/>
                  </w:divBdr>
                  <w:divsChild>
                    <w:div w:id="1137065119">
                      <w:marLeft w:val="0"/>
                      <w:marRight w:val="0"/>
                      <w:marTop w:val="0"/>
                      <w:marBottom w:val="0"/>
                      <w:divBdr>
                        <w:top w:val="none" w:sz="0" w:space="0" w:color="auto"/>
                        <w:left w:val="none" w:sz="0" w:space="0" w:color="auto"/>
                        <w:bottom w:val="none" w:sz="0" w:space="0" w:color="auto"/>
                        <w:right w:val="none" w:sz="0" w:space="0" w:color="auto"/>
                      </w:divBdr>
                    </w:div>
                  </w:divsChild>
                </w:div>
                <w:div w:id="1279096274">
                  <w:marLeft w:val="0"/>
                  <w:marRight w:val="0"/>
                  <w:marTop w:val="0"/>
                  <w:marBottom w:val="0"/>
                  <w:divBdr>
                    <w:top w:val="none" w:sz="0" w:space="0" w:color="auto"/>
                    <w:left w:val="none" w:sz="0" w:space="0" w:color="auto"/>
                    <w:bottom w:val="none" w:sz="0" w:space="0" w:color="auto"/>
                    <w:right w:val="none" w:sz="0" w:space="0" w:color="auto"/>
                  </w:divBdr>
                  <w:divsChild>
                    <w:div w:id="295717544">
                      <w:marLeft w:val="0"/>
                      <w:marRight w:val="0"/>
                      <w:marTop w:val="0"/>
                      <w:marBottom w:val="0"/>
                      <w:divBdr>
                        <w:top w:val="none" w:sz="0" w:space="0" w:color="auto"/>
                        <w:left w:val="none" w:sz="0" w:space="0" w:color="auto"/>
                        <w:bottom w:val="none" w:sz="0" w:space="0" w:color="auto"/>
                        <w:right w:val="none" w:sz="0" w:space="0" w:color="auto"/>
                      </w:divBdr>
                    </w:div>
                    <w:div w:id="912155717">
                      <w:marLeft w:val="0"/>
                      <w:marRight w:val="0"/>
                      <w:marTop w:val="0"/>
                      <w:marBottom w:val="0"/>
                      <w:divBdr>
                        <w:top w:val="none" w:sz="0" w:space="0" w:color="auto"/>
                        <w:left w:val="none" w:sz="0" w:space="0" w:color="auto"/>
                        <w:bottom w:val="none" w:sz="0" w:space="0" w:color="auto"/>
                        <w:right w:val="none" w:sz="0" w:space="0" w:color="auto"/>
                      </w:divBdr>
                    </w:div>
                  </w:divsChild>
                </w:div>
                <w:div w:id="1370764447">
                  <w:marLeft w:val="0"/>
                  <w:marRight w:val="0"/>
                  <w:marTop w:val="0"/>
                  <w:marBottom w:val="0"/>
                  <w:divBdr>
                    <w:top w:val="none" w:sz="0" w:space="0" w:color="auto"/>
                    <w:left w:val="none" w:sz="0" w:space="0" w:color="auto"/>
                    <w:bottom w:val="none" w:sz="0" w:space="0" w:color="auto"/>
                    <w:right w:val="none" w:sz="0" w:space="0" w:color="auto"/>
                  </w:divBdr>
                  <w:divsChild>
                    <w:div w:id="1060248067">
                      <w:marLeft w:val="0"/>
                      <w:marRight w:val="0"/>
                      <w:marTop w:val="0"/>
                      <w:marBottom w:val="0"/>
                      <w:divBdr>
                        <w:top w:val="none" w:sz="0" w:space="0" w:color="auto"/>
                        <w:left w:val="none" w:sz="0" w:space="0" w:color="auto"/>
                        <w:bottom w:val="none" w:sz="0" w:space="0" w:color="auto"/>
                        <w:right w:val="none" w:sz="0" w:space="0" w:color="auto"/>
                      </w:divBdr>
                    </w:div>
                    <w:div w:id="1876655141">
                      <w:marLeft w:val="0"/>
                      <w:marRight w:val="0"/>
                      <w:marTop w:val="0"/>
                      <w:marBottom w:val="0"/>
                      <w:divBdr>
                        <w:top w:val="none" w:sz="0" w:space="0" w:color="auto"/>
                        <w:left w:val="none" w:sz="0" w:space="0" w:color="auto"/>
                        <w:bottom w:val="none" w:sz="0" w:space="0" w:color="auto"/>
                        <w:right w:val="none" w:sz="0" w:space="0" w:color="auto"/>
                      </w:divBdr>
                    </w:div>
                  </w:divsChild>
                </w:div>
                <w:div w:id="1413350734">
                  <w:marLeft w:val="0"/>
                  <w:marRight w:val="0"/>
                  <w:marTop w:val="0"/>
                  <w:marBottom w:val="0"/>
                  <w:divBdr>
                    <w:top w:val="none" w:sz="0" w:space="0" w:color="auto"/>
                    <w:left w:val="none" w:sz="0" w:space="0" w:color="auto"/>
                    <w:bottom w:val="none" w:sz="0" w:space="0" w:color="auto"/>
                    <w:right w:val="none" w:sz="0" w:space="0" w:color="auto"/>
                  </w:divBdr>
                  <w:divsChild>
                    <w:div w:id="1269123626">
                      <w:marLeft w:val="0"/>
                      <w:marRight w:val="0"/>
                      <w:marTop w:val="0"/>
                      <w:marBottom w:val="0"/>
                      <w:divBdr>
                        <w:top w:val="none" w:sz="0" w:space="0" w:color="auto"/>
                        <w:left w:val="none" w:sz="0" w:space="0" w:color="auto"/>
                        <w:bottom w:val="none" w:sz="0" w:space="0" w:color="auto"/>
                        <w:right w:val="none" w:sz="0" w:space="0" w:color="auto"/>
                      </w:divBdr>
                    </w:div>
                  </w:divsChild>
                </w:div>
                <w:div w:id="1445030435">
                  <w:marLeft w:val="0"/>
                  <w:marRight w:val="0"/>
                  <w:marTop w:val="0"/>
                  <w:marBottom w:val="0"/>
                  <w:divBdr>
                    <w:top w:val="none" w:sz="0" w:space="0" w:color="auto"/>
                    <w:left w:val="none" w:sz="0" w:space="0" w:color="auto"/>
                    <w:bottom w:val="none" w:sz="0" w:space="0" w:color="auto"/>
                    <w:right w:val="none" w:sz="0" w:space="0" w:color="auto"/>
                  </w:divBdr>
                  <w:divsChild>
                    <w:div w:id="1371566067">
                      <w:marLeft w:val="0"/>
                      <w:marRight w:val="0"/>
                      <w:marTop w:val="0"/>
                      <w:marBottom w:val="0"/>
                      <w:divBdr>
                        <w:top w:val="none" w:sz="0" w:space="0" w:color="auto"/>
                        <w:left w:val="none" w:sz="0" w:space="0" w:color="auto"/>
                        <w:bottom w:val="none" w:sz="0" w:space="0" w:color="auto"/>
                        <w:right w:val="none" w:sz="0" w:space="0" w:color="auto"/>
                      </w:divBdr>
                    </w:div>
                  </w:divsChild>
                </w:div>
                <w:div w:id="1478496971">
                  <w:marLeft w:val="0"/>
                  <w:marRight w:val="0"/>
                  <w:marTop w:val="0"/>
                  <w:marBottom w:val="0"/>
                  <w:divBdr>
                    <w:top w:val="none" w:sz="0" w:space="0" w:color="auto"/>
                    <w:left w:val="none" w:sz="0" w:space="0" w:color="auto"/>
                    <w:bottom w:val="none" w:sz="0" w:space="0" w:color="auto"/>
                    <w:right w:val="none" w:sz="0" w:space="0" w:color="auto"/>
                  </w:divBdr>
                  <w:divsChild>
                    <w:div w:id="1475218248">
                      <w:marLeft w:val="0"/>
                      <w:marRight w:val="0"/>
                      <w:marTop w:val="0"/>
                      <w:marBottom w:val="0"/>
                      <w:divBdr>
                        <w:top w:val="none" w:sz="0" w:space="0" w:color="auto"/>
                        <w:left w:val="none" w:sz="0" w:space="0" w:color="auto"/>
                        <w:bottom w:val="none" w:sz="0" w:space="0" w:color="auto"/>
                        <w:right w:val="none" w:sz="0" w:space="0" w:color="auto"/>
                      </w:divBdr>
                    </w:div>
                  </w:divsChild>
                </w:div>
                <w:div w:id="1858618395">
                  <w:marLeft w:val="0"/>
                  <w:marRight w:val="0"/>
                  <w:marTop w:val="0"/>
                  <w:marBottom w:val="0"/>
                  <w:divBdr>
                    <w:top w:val="none" w:sz="0" w:space="0" w:color="auto"/>
                    <w:left w:val="none" w:sz="0" w:space="0" w:color="auto"/>
                    <w:bottom w:val="none" w:sz="0" w:space="0" w:color="auto"/>
                    <w:right w:val="none" w:sz="0" w:space="0" w:color="auto"/>
                  </w:divBdr>
                  <w:divsChild>
                    <w:div w:id="36336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2018">
          <w:marLeft w:val="0"/>
          <w:marRight w:val="0"/>
          <w:marTop w:val="0"/>
          <w:marBottom w:val="0"/>
          <w:divBdr>
            <w:top w:val="none" w:sz="0" w:space="0" w:color="auto"/>
            <w:left w:val="none" w:sz="0" w:space="0" w:color="auto"/>
            <w:bottom w:val="none" w:sz="0" w:space="0" w:color="auto"/>
            <w:right w:val="none" w:sz="0" w:space="0" w:color="auto"/>
          </w:divBdr>
        </w:div>
        <w:div w:id="104930486">
          <w:marLeft w:val="0"/>
          <w:marRight w:val="0"/>
          <w:marTop w:val="0"/>
          <w:marBottom w:val="0"/>
          <w:divBdr>
            <w:top w:val="none" w:sz="0" w:space="0" w:color="auto"/>
            <w:left w:val="none" w:sz="0" w:space="0" w:color="auto"/>
            <w:bottom w:val="none" w:sz="0" w:space="0" w:color="auto"/>
            <w:right w:val="none" w:sz="0" w:space="0" w:color="auto"/>
          </w:divBdr>
        </w:div>
        <w:div w:id="107283518">
          <w:marLeft w:val="0"/>
          <w:marRight w:val="0"/>
          <w:marTop w:val="0"/>
          <w:marBottom w:val="0"/>
          <w:divBdr>
            <w:top w:val="none" w:sz="0" w:space="0" w:color="auto"/>
            <w:left w:val="none" w:sz="0" w:space="0" w:color="auto"/>
            <w:bottom w:val="none" w:sz="0" w:space="0" w:color="auto"/>
            <w:right w:val="none" w:sz="0" w:space="0" w:color="auto"/>
          </w:divBdr>
        </w:div>
        <w:div w:id="113523784">
          <w:marLeft w:val="0"/>
          <w:marRight w:val="0"/>
          <w:marTop w:val="0"/>
          <w:marBottom w:val="0"/>
          <w:divBdr>
            <w:top w:val="none" w:sz="0" w:space="0" w:color="auto"/>
            <w:left w:val="none" w:sz="0" w:space="0" w:color="auto"/>
            <w:bottom w:val="none" w:sz="0" w:space="0" w:color="auto"/>
            <w:right w:val="none" w:sz="0" w:space="0" w:color="auto"/>
          </w:divBdr>
        </w:div>
        <w:div w:id="126047775">
          <w:marLeft w:val="0"/>
          <w:marRight w:val="0"/>
          <w:marTop w:val="0"/>
          <w:marBottom w:val="0"/>
          <w:divBdr>
            <w:top w:val="none" w:sz="0" w:space="0" w:color="auto"/>
            <w:left w:val="none" w:sz="0" w:space="0" w:color="auto"/>
            <w:bottom w:val="none" w:sz="0" w:space="0" w:color="auto"/>
            <w:right w:val="none" w:sz="0" w:space="0" w:color="auto"/>
          </w:divBdr>
        </w:div>
        <w:div w:id="174930700">
          <w:marLeft w:val="0"/>
          <w:marRight w:val="0"/>
          <w:marTop w:val="0"/>
          <w:marBottom w:val="0"/>
          <w:divBdr>
            <w:top w:val="none" w:sz="0" w:space="0" w:color="auto"/>
            <w:left w:val="none" w:sz="0" w:space="0" w:color="auto"/>
            <w:bottom w:val="none" w:sz="0" w:space="0" w:color="auto"/>
            <w:right w:val="none" w:sz="0" w:space="0" w:color="auto"/>
          </w:divBdr>
        </w:div>
        <w:div w:id="256183318">
          <w:marLeft w:val="0"/>
          <w:marRight w:val="0"/>
          <w:marTop w:val="0"/>
          <w:marBottom w:val="0"/>
          <w:divBdr>
            <w:top w:val="none" w:sz="0" w:space="0" w:color="auto"/>
            <w:left w:val="none" w:sz="0" w:space="0" w:color="auto"/>
            <w:bottom w:val="none" w:sz="0" w:space="0" w:color="auto"/>
            <w:right w:val="none" w:sz="0" w:space="0" w:color="auto"/>
          </w:divBdr>
        </w:div>
        <w:div w:id="282394663">
          <w:marLeft w:val="0"/>
          <w:marRight w:val="0"/>
          <w:marTop w:val="0"/>
          <w:marBottom w:val="0"/>
          <w:divBdr>
            <w:top w:val="none" w:sz="0" w:space="0" w:color="auto"/>
            <w:left w:val="none" w:sz="0" w:space="0" w:color="auto"/>
            <w:bottom w:val="none" w:sz="0" w:space="0" w:color="auto"/>
            <w:right w:val="none" w:sz="0" w:space="0" w:color="auto"/>
          </w:divBdr>
        </w:div>
        <w:div w:id="329721108">
          <w:marLeft w:val="0"/>
          <w:marRight w:val="0"/>
          <w:marTop w:val="0"/>
          <w:marBottom w:val="0"/>
          <w:divBdr>
            <w:top w:val="none" w:sz="0" w:space="0" w:color="auto"/>
            <w:left w:val="none" w:sz="0" w:space="0" w:color="auto"/>
            <w:bottom w:val="none" w:sz="0" w:space="0" w:color="auto"/>
            <w:right w:val="none" w:sz="0" w:space="0" w:color="auto"/>
          </w:divBdr>
        </w:div>
        <w:div w:id="407579639">
          <w:marLeft w:val="0"/>
          <w:marRight w:val="0"/>
          <w:marTop w:val="0"/>
          <w:marBottom w:val="0"/>
          <w:divBdr>
            <w:top w:val="none" w:sz="0" w:space="0" w:color="auto"/>
            <w:left w:val="none" w:sz="0" w:space="0" w:color="auto"/>
            <w:bottom w:val="none" w:sz="0" w:space="0" w:color="auto"/>
            <w:right w:val="none" w:sz="0" w:space="0" w:color="auto"/>
          </w:divBdr>
        </w:div>
        <w:div w:id="432674177">
          <w:marLeft w:val="0"/>
          <w:marRight w:val="0"/>
          <w:marTop w:val="0"/>
          <w:marBottom w:val="0"/>
          <w:divBdr>
            <w:top w:val="none" w:sz="0" w:space="0" w:color="auto"/>
            <w:left w:val="none" w:sz="0" w:space="0" w:color="auto"/>
            <w:bottom w:val="none" w:sz="0" w:space="0" w:color="auto"/>
            <w:right w:val="none" w:sz="0" w:space="0" w:color="auto"/>
          </w:divBdr>
          <w:divsChild>
            <w:div w:id="85224676">
              <w:marLeft w:val="0"/>
              <w:marRight w:val="0"/>
              <w:marTop w:val="0"/>
              <w:marBottom w:val="0"/>
              <w:divBdr>
                <w:top w:val="none" w:sz="0" w:space="0" w:color="auto"/>
                <w:left w:val="none" w:sz="0" w:space="0" w:color="auto"/>
                <w:bottom w:val="none" w:sz="0" w:space="0" w:color="auto"/>
                <w:right w:val="none" w:sz="0" w:space="0" w:color="auto"/>
              </w:divBdr>
            </w:div>
          </w:divsChild>
        </w:div>
        <w:div w:id="449325044">
          <w:marLeft w:val="0"/>
          <w:marRight w:val="0"/>
          <w:marTop w:val="0"/>
          <w:marBottom w:val="0"/>
          <w:divBdr>
            <w:top w:val="none" w:sz="0" w:space="0" w:color="auto"/>
            <w:left w:val="none" w:sz="0" w:space="0" w:color="auto"/>
            <w:bottom w:val="none" w:sz="0" w:space="0" w:color="auto"/>
            <w:right w:val="none" w:sz="0" w:space="0" w:color="auto"/>
          </w:divBdr>
        </w:div>
        <w:div w:id="455416754">
          <w:marLeft w:val="0"/>
          <w:marRight w:val="0"/>
          <w:marTop w:val="0"/>
          <w:marBottom w:val="0"/>
          <w:divBdr>
            <w:top w:val="none" w:sz="0" w:space="0" w:color="auto"/>
            <w:left w:val="none" w:sz="0" w:space="0" w:color="auto"/>
            <w:bottom w:val="none" w:sz="0" w:space="0" w:color="auto"/>
            <w:right w:val="none" w:sz="0" w:space="0" w:color="auto"/>
          </w:divBdr>
        </w:div>
        <w:div w:id="518352356">
          <w:marLeft w:val="0"/>
          <w:marRight w:val="0"/>
          <w:marTop w:val="0"/>
          <w:marBottom w:val="0"/>
          <w:divBdr>
            <w:top w:val="none" w:sz="0" w:space="0" w:color="auto"/>
            <w:left w:val="none" w:sz="0" w:space="0" w:color="auto"/>
            <w:bottom w:val="none" w:sz="0" w:space="0" w:color="auto"/>
            <w:right w:val="none" w:sz="0" w:space="0" w:color="auto"/>
          </w:divBdr>
        </w:div>
        <w:div w:id="551424891">
          <w:marLeft w:val="0"/>
          <w:marRight w:val="0"/>
          <w:marTop w:val="0"/>
          <w:marBottom w:val="0"/>
          <w:divBdr>
            <w:top w:val="none" w:sz="0" w:space="0" w:color="auto"/>
            <w:left w:val="none" w:sz="0" w:space="0" w:color="auto"/>
            <w:bottom w:val="none" w:sz="0" w:space="0" w:color="auto"/>
            <w:right w:val="none" w:sz="0" w:space="0" w:color="auto"/>
          </w:divBdr>
        </w:div>
        <w:div w:id="698556138">
          <w:marLeft w:val="0"/>
          <w:marRight w:val="0"/>
          <w:marTop w:val="0"/>
          <w:marBottom w:val="0"/>
          <w:divBdr>
            <w:top w:val="none" w:sz="0" w:space="0" w:color="auto"/>
            <w:left w:val="none" w:sz="0" w:space="0" w:color="auto"/>
            <w:bottom w:val="none" w:sz="0" w:space="0" w:color="auto"/>
            <w:right w:val="none" w:sz="0" w:space="0" w:color="auto"/>
          </w:divBdr>
        </w:div>
        <w:div w:id="720132960">
          <w:marLeft w:val="0"/>
          <w:marRight w:val="0"/>
          <w:marTop w:val="0"/>
          <w:marBottom w:val="0"/>
          <w:divBdr>
            <w:top w:val="none" w:sz="0" w:space="0" w:color="auto"/>
            <w:left w:val="none" w:sz="0" w:space="0" w:color="auto"/>
            <w:bottom w:val="none" w:sz="0" w:space="0" w:color="auto"/>
            <w:right w:val="none" w:sz="0" w:space="0" w:color="auto"/>
          </w:divBdr>
          <w:divsChild>
            <w:div w:id="863441292">
              <w:marLeft w:val="-75"/>
              <w:marRight w:val="0"/>
              <w:marTop w:val="30"/>
              <w:marBottom w:val="30"/>
              <w:divBdr>
                <w:top w:val="none" w:sz="0" w:space="0" w:color="auto"/>
                <w:left w:val="none" w:sz="0" w:space="0" w:color="auto"/>
                <w:bottom w:val="none" w:sz="0" w:space="0" w:color="auto"/>
                <w:right w:val="none" w:sz="0" w:space="0" w:color="auto"/>
              </w:divBdr>
              <w:divsChild>
                <w:div w:id="19554065">
                  <w:marLeft w:val="0"/>
                  <w:marRight w:val="0"/>
                  <w:marTop w:val="0"/>
                  <w:marBottom w:val="0"/>
                  <w:divBdr>
                    <w:top w:val="none" w:sz="0" w:space="0" w:color="auto"/>
                    <w:left w:val="none" w:sz="0" w:space="0" w:color="auto"/>
                    <w:bottom w:val="none" w:sz="0" w:space="0" w:color="auto"/>
                    <w:right w:val="none" w:sz="0" w:space="0" w:color="auto"/>
                  </w:divBdr>
                  <w:divsChild>
                    <w:div w:id="146409019">
                      <w:marLeft w:val="0"/>
                      <w:marRight w:val="0"/>
                      <w:marTop w:val="0"/>
                      <w:marBottom w:val="0"/>
                      <w:divBdr>
                        <w:top w:val="none" w:sz="0" w:space="0" w:color="auto"/>
                        <w:left w:val="none" w:sz="0" w:space="0" w:color="auto"/>
                        <w:bottom w:val="none" w:sz="0" w:space="0" w:color="auto"/>
                        <w:right w:val="none" w:sz="0" w:space="0" w:color="auto"/>
                      </w:divBdr>
                    </w:div>
                  </w:divsChild>
                </w:div>
                <w:div w:id="71126600">
                  <w:marLeft w:val="0"/>
                  <w:marRight w:val="0"/>
                  <w:marTop w:val="0"/>
                  <w:marBottom w:val="0"/>
                  <w:divBdr>
                    <w:top w:val="none" w:sz="0" w:space="0" w:color="auto"/>
                    <w:left w:val="none" w:sz="0" w:space="0" w:color="auto"/>
                    <w:bottom w:val="none" w:sz="0" w:space="0" w:color="auto"/>
                    <w:right w:val="none" w:sz="0" w:space="0" w:color="auto"/>
                  </w:divBdr>
                  <w:divsChild>
                    <w:div w:id="1607080448">
                      <w:marLeft w:val="0"/>
                      <w:marRight w:val="0"/>
                      <w:marTop w:val="0"/>
                      <w:marBottom w:val="0"/>
                      <w:divBdr>
                        <w:top w:val="none" w:sz="0" w:space="0" w:color="auto"/>
                        <w:left w:val="none" w:sz="0" w:space="0" w:color="auto"/>
                        <w:bottom w:val="none" w:sz="0" w:space="0" w:color="auto"/>
                        <w:right w:val="none" w:sz="0" w:space="0" w:color="auto"/>
                      </w:divBdr>
                    </w:div>
                  </w:divsChild>
                </w:div>
                <w:div w:id="273173479">
                  <w:marLeft w:val="0"/>
                  <w:marRight w:val="0"/>
                  <w:marTop w:val="0"/>
                  <w:marBottom w:val="0"/>
                  <w:divBdr>
                    <w:top w:val="none" w:sz="0" w:space="0" w:color="auto"/>
                    <w:left w:val="none" w:sz="0" w:space="0" w:color="auto"/>
                    <w:bottom w:val="none" w:sz="0" w:space="0" w:color="auto"/>
                    <w:right w:val="none" w:sz="0" w:space="0" w:color="auto"/>
                  </w:divBdr>
                  <w:divsChild>
                    <w:div w:id="1746687813">
                      <w:marLeft w:val="0"/>
                      <w:marRight w:val="0"/>
                      <w:marTop w:val="0"/>
                      <w:marBottom w:val="0"/>
                      <w:divBdr>
                        <w:top w:val="none" w:sz="0" w:space="0" w:color="auto"/>
                        <w:left w:val="none" w:sz="0" w:space="0" w:color="auto"/>
                        <w:bottom w:val="none" w:sz="0" w:space="0" w:color="auto"/>
                        <w:right w:val="none" w:sz="0" w:space="0" w:color="auto"/>
                      </w:divBdr>
                    </w:div>
                  </w:divsChild>
                </w:div>
                <w:div w:id="280919877">
                  <w:marLeft w:val="0"/>
                  <w:marRight w:val="0"/>
                  <w:marTop w:val="0"/>
                  <w:marBottom w:val="0"/>
                  <w:divBdr>
                    <w:top w:val="none" w:sz="0" w:space="0" w:color="auto"/>
                    <w:left w:val="none" w:sz="0" w:space="0" w:color="auto"/>
                    <w:bottom w:val="none" w:sz="0" w:space="0" w:color="auto"/>
                    <w:right w:val="none" w:sz="0" w:space="0" w:color="auto"/>
                  </w:divBdr>
                  <w:divsChild>
                    <w:div w:id="1008748716">
                      <w:marLeft w:val="0"/>
                      <w:marRight w:val="0"/>
                      <w:marTop w:val="0"/>
                      <w:marBottom w:val="0"/>
                      <w:divBdr>
                        <w:top w:val="none" w:sz="0" w:space="0" w:color="auto"/>
                        <w:left w:val="none" w:sz="0" w:space="0" w:color="auto"/>
                        <w:bottom w:val="none" w:sz="0" w:space="0" w:color="auto"/>
                        <w:right w:val="none" w:sz="0" w:space="0" w:color="auto"/>
                      </w:divBdr>
                    </w:div>
                  </w:divsChild>
                </w:div>
                <w:div w:id="360280036">
                  <w:marLeft w:val="0"/>
                  <w:marRight w:val="0"/>
                  <w:marTop w:val="0"/>
                  <w:marBottom w:val="0"/>
                  <w:divBdr>
                    <w:top w:val="none" w:sz="0" w:space="0" w:color="auto"/>
                    <w:left w:val="none" w:sz="0" w:space="0" w:color="auto"/>
                    <w:bottom w:val="none" w:sz="0" w:space="0" w:color="auto"/>
                    <w:right w:val="none" w:sz="0" w:space="0" w:color="auto"/>
                  </w:divBdr>
                  <w:divsChild>
                    <w:div w:id="666714050">
                      <w:marLeft w:val="0"/>
                      <w:marRight w:val="0"/>
                      <w:marTop w:val="0"/>
                      <w:marBottom w:val="0"/>
                      <w:divBdr>
                        <w:top w:val="none" w:sz="0" w:space="0" w:color="auto"/>
                        <w:left w:val="none" w:sz="0" w:space="0" w:color="auto"/>
                        <w:bottom w:val="none" w:sz="0" w:space="0" w:color="auto"/>
                        <w:right w:val="none" w:sz="0" w:space="0" w:color="auto"/>
                      </w:divBdr>
                    </w:div>
                  </w:divsChild>
                </w:div>
                <w:div w:id="360790067">
                  <w:marLeft w:val="0"/>
                  <w:marRight w:val="0"/>
                  <w:marTop w:val="0"/>
                  <w:marBottom w:val="0"/>
                  <w:divBdr>
                    <w:top w:val="none" w:sz="0" w:space="0" w:color="auto"/>
                    <w:left w:val="none" w:sz="0" w:space="0" w:color="auto"/>
                    <w:bottom w:val="none" w:sz="0" w:space="0" w:color="auto"/>
                    <w:right w:val="none" w:sz="0" w:space="0" w:color="auto"/>
                  </w:divBdr>
                  <w:divsChild>
                    <w:div w:id="388380389">
                      <w:marLeft w:val="0"/>
                      <w:marRight w:val="0"/>
                      <w:marTop w:val="0"/>
                      <w:marBottom w:val="0"/>
                      <w:divBdr>
                        <w:top w:val="none" w:sz="0" w:space="0" w:color="auto"/>
                        <w:left w:val="none" w:sz="0" w:space="0" w:color="auto"/>
                        <w:bottom w:val="none" w:sz="0" w:space="0" w:color="auto"/>
                        <w:right w:val="none" w:sz="0" w:space="0" w:color="auto"/>
                      </w:divBdr>
                    </w:div>
                  </w:divsChild>
                </w:div>
                <w:div w:id="374888769">
                  <w:marLeft w:val="0"/>
                  <w:marRight w:val="0"/>
                  <w:marTop w:val="0"/>
                  <w:marBottom w:val="0"/>
                  <w:divBdr>
                    <w:top w:val="none" w:sz="0" w:space="0" w:color="auto"/>
                    <w:left w:val="none" w:sz="0" w:space="0" w:color="auto"/>
                    <w:bottom w:val="none" w:sz="0" w:space="0" w:color="auto"/>
                    <w:right w:val="none" w:sz="0" w:space="0" w:color="auto"/>
                  </w:divBdr>
                  <w:divsChild>
                    <w:div w:id="1786457655">
                      <w:marLeft w:val="0"/>
                      <w:marRight w:val="0"/>
                      <w:marTop w:val="0"/>
                      <w:marBottom w:val="0"/>
                      <w:divBdr>
                        <w:top w:val="none" w:sz="0" w:space="0" w:color="auto"/>
                        <w:left w:val="none" w:sz="0" w:space="0" w:color="auto"/>
                        <w:bottom w:val="none" w:sz="0" w:space="0" w:color="auto"/>
                        <w:right w:val="none" w:sz="0" w:space="0" w:color="auto"/>
                      </w:divBdr>
                    </w:div>
                  </w:divsChild>
                </w:div>
                <w:div w:id="651716013">
                  <w:marLeft w:val="0"/>
                  <w:marRight w:val="0"/>
                  <w:marTop w:val="0"/>
                  <w:marBottom w:val="0"/>
                  <w:divBdr>
                    <w:top w:val="none" w:sz="0" w:space="0" w:color="auto"/>
                    <w:left w:val="none" w:sz="0" w:space="0" w:color="auto"/>
                    <w:bottom w:val="none" w:sz="0" w:space="0" w:color="auto"/>
                    <w:right w:val="none" w:sz="0" w:space="0" w:color="auto"/>
                  </w:divBdr>
                  <w:divsChild>
                    <w:div w:id="669606476">
                      <w:marLeft w:val="0"/>
                      <w:marRight w:val="0"/>
                      <w:marTop w:val="0"/>
                      <w:marBottom w:val="0"/>
                      <w:divBdr>
                        <w:top w:val="none" w:sz="0" w:space="0" w:color="auto"/>
                        <w:left w:val="none" w:sz="0" w:space="0" w:color="auto"/>
                        <w:bottom w:val="none" w:sz="0" w:space="0" w:color="auto"/>
                        <w:right w:val="none" w:sz="0" w:space="0" w:color="auto"/>
                      </w:divBdr>
                    </w:div>
                  </w:divsChild>
                </w:div>
                <w:div w:id="714231569">
                  <w:marLeft w:val="0"/>
                  <w:marRight w:val="0"/>
                  <w:marTop w:val="0"/>
                  <w:marBottom w:val="0"/>
                  <w:divBdr>
                    <w:top w:val="none" w:sz="0" w:space="0" w:color="auto"/>
                    <w:left w:val="none" w:sz="0" w:space="0" w:color="auto"/>
                    <w:bottom w:val="none" w:sz="0" w:space="0" w:color="auto"/>
                    <w:right w:val="none" w:sz="0" w:space="0" w:color="auto"/>
                  </w:divBdr>
                  <w:divsChild>
                    <w:div w:id="1295911561">
                      <w:marLeft w:val="0"/>
                      <w:marRight w:val="0"/>
                      <w:marTop w:val="0"/>
                      <w:marBottom w:val="0"/>
                      <w:divBdr>
                        <w:top w:val="none" w:sz="0" w:space="0" w:color="auto"/>
                        <w:left w:val="none" w:sz="0" w:space="0" w:color="auto"/>
                        <w:bottom w:val="none" w:sz="0" w:space="0" w:color="auto"/>
                        <w:right w:val="none" w:sz="0" w:space="0" w:color="auto"/>
                      </w:divBdr>
                    </w:div>
                  </w:divsChild>
                </w:div>
                <w:div w:id="714624781">
                  <w:marLeft w:val="0"/>
                  <w:marRight w:val="0"/>
                  <w:marTop w:val="0"/>
                  <w:marBottom w:val="0"/>
                  <w:divBdr>
                    <w:top w:val="none" w:sz="0" w:space="0" w:color="auto"/>
                    <w:left w:val="none" w:sz="0" w:space="0" w:color="auto"/>
                    <w:bottom w:val="none" w:sz="0" w:space="0" w:color="auto"/>
                    <w:right w:val="none" w:sz="0" w:space="0" w:color="auto"/>
                  </w:divBdr>
                  <w:divsChild>
                    <w:div w:id="384067869">
                      <w:marLeft w:val="0"/>
                      <w:marRight w:val="0"/>
                      <w:marTop w:val="0"/>
                      <w:marBottom w:val="0"/>
                      <w:divBdr>
                        <w:top w:val="none" w:sz="0" w:space="0" w:color="auto"/>
                        <w:left w:val="none" w:sz="0" w:space="0" w:color="auto"/>
                        <w:bottom w:val="none" w:sz="0" w:space="0" w:color="auto"/>
                        <w:right w:val="none" w:sz="0" w:space="0" w:color="auto"/>
                      </w:divBdr>
                    </w:div>
                  </w:divsChild>
                </w:div>
                <w:div w:id="747114770">
                  <w:marLeft w:val="0"/>
                  <w:marRight w:val="0"/>
                  <w:marTop w:val="0"/>
                  <w:marBottom w:val="0"/>
                  <w:divBdr>
                    <w:top w:val="none" w:sz="0" w:space="0" w:color="auto"/>
                    <w:left w:val="none" w:sz="0" w:space="0" w:color="auto"/>
                    <w:bottom w:val="none" w:sz="0" w:space="0" w:color="auto"/>
                    <w:right w:val="none" w:sz="0" w:space="0" w:color="auto"/>
                  </w:divBdr>
                  <w:divsChild>
                    <w:div w:id="346373916">
                      <w:marLeft w:val="0"/>
                      <w:marRight w:val="0"/>
                      <w:marTop w:val="0"/>
                      <w:marBottom w:val="0"/>
                      <w:divBdr>
                        <w:top w:val="none" w:sz="0" w:space="0" w:color="auto"/>
                        <w:left w:val="none" w:sz="0" w:space="0" w:color="auto"/>
                        <w:bottom w:val="none" w:sz="0" w:space="0" w:color="auto"/>
                        <w:right w:val="none" w:sz="0" w:space="0" w:color="auto"/>
                      </w:divBdr>
                    </w:div>
                  </w:divsChild>
                </w:div>
                <w:div w:id="792483767">
                  <w:marLeft w:val="0"/>
                  <w:marRight w:val="0"/>
                  <w:marTop w:val="0"/>
                  <w:marBottom w:val="0"/>
                  <w:divBdr>
                    <w:top w:val="none" w:sz="0" w:space="0" w:color="auto"/>
                    <w:left w:val="none" w:sz="0" w:space="0" w:color="auto"/>
                    <w:bottom w:val="none" w:sz="0" w:space="0" w:color="auto"/>
                    <w:right w:val="none" w:sz="0" w:space="0" w:color="auto"/>
                  </w:divBdr>
                  <w:divsChild>
                    <w:div w:id="129446903">
                      <w:marLeft w:val="0"/>
                      <w:marRight w:val="0"/>
                      <w:marTop w:val="0"/>
                      <w:marBottom w:val="0"/>
                      <w:divBdr>
                        <w:top w:val="none" w:sz="0" w:space="0" w:color="auto"/>
                        <w:left w:val="none" w:sz="0" w:space="0" w:color="auto"/>
                        <w:bottom w:val="none" w:sz="0" w:space="0" w:color="auto"/>
                        <w:right w:val="none" w:sz="0" w:space="0" w:color="auto"/>
                      </w:divBdr>
                    </w:div>
                  </w:divsChild>
                </w:div>
                <w:div w:id="807162437">
                  <w:marLeft w:val="0"/>
                  <w:marRight w:val="0"/>
                  <w:marTop w:val="0"/>
                  <w:marBottom w:val="0"/>
                  <w:divBdr>
                    <w:top w:val="none" w:sz="0" w:space="0" w:color="auto"/>
                    <w:left w:val="none" w:sz="0" w:space="0" w:color="auto"/>
                    <w:bottom w:val="none" w:sz="0" w:space="0" w:color="auto"/>
                    <w:right w:val="none" w:sz="0" w:space="0" w:color="auto"/>
                  </w:divBdr>
                  <w:divsChild>
                    <w:div w:id="1308826997">
                      <w:marLeft w:val="0"/>
                      <w:marRight w:val="0"/>
                      <w:marTop w:val="0"/>
                      <w:marBottom w:val="0"/>
                      <w:divBdr>
                        <w:top w:val="none" w:sz="0" w:space="0" w:color="auto"/>
                        <w:left w:val="none" w:sz="0" w:space="0" w:color="auto"/>
                        <w:bottom w:val="none" w:sz="0" w:space="0" w:color="auto"/>
                        <w:right w:val="none" w:sz="0" w:space="0" w:color="auto"/>
                      </w:divBdr>
                    </w:div>
                  </w:divsChild>
                </w:div>
                <w:div w:id="880869622">
                  <w:marLeft w:val="0"/>
                  <w:marRight w:val="0"/>
                  <w:marTop w:val="0"/>
                  <w:marBottom w:val="0"/>
                  <w:divBdr>
                    <w:top w:val="none" w:sz="0" w:space="0" w:color="auto"/>
                    <w:left w:val="none" w:sz="0" w:space="0" w:color="auto"/>
                    <w:bottom w:val="none" w:sz="0" w:space="0" w:color="auto"/>
                    <w:right w:val="none" w:sz="0" w:space="0" w:color="auto"/>
                  </w:divBdr>
                  <w:divsChild>
                    <w:div w:id="1898390085">
                      <w:marLeft w:val="0"/>
                      <w:marRight w:val="0"/>
                      <w:marTop w:val="0"/>
                      <w:marBottom w:val="0"/>
                      <w:divBdr>
                        <w:top w:val="none" w:sz="0" w:space="0" w:color="auto"/>
                        <w:left w:val="none" w:sz="0" w:space="0" w:color="auto"/>
                        <w:bottom w:val="none" w:sz="0" w:space="0" w:color="auto"/>
                        <w:right w:val="none" w:sz="0" w:space="0" w:color="auto"/>
                      </w:divBdr>
                    </w:div>
                  </w:divsChild>
                </w:div>
                <w:div w:id="966159567">
                  <w:marLeft w:val="0"/>
                  <w:marRight w:val="0"/>
                  <w:marTop w:val="0"/>
                  <w:marBottom w:val="0"/>
                  <w:divBdr>
                    <w:top w:val="none" w:sz="0" w:space="0" w:color="auto"/>
                    <w:left w:val="none" w:sz="0" w:space="0" w:color="auto"/>
                    <w:bottom w:val="none" w:sz="0" w:space="0" w:color="auto"/>
                    <w:right w:val="none" w:sz="0" w:space="0" w:color="auto"/>
                  </w:divBdr>
                  <w:divsChild>
                    <w:div w:id="2049602713">
                      <w:marLeft w:val="0"/>
                      <w:marRight w:val="0"/>
                      <w:marTop w:val="0"/>
                      <w:marBottom w:val="0"/>
                      <w:divBdr>
                        <w:top w:val="none" w:sz="0" w:space="0" w:color="auto"/>
                        <w:left w:val="none" w:sz="0" w:space="0" w:color="auto"/>
                        <w:bottom w:val="none" w:sz="0" w:space="0" w:color="auto"/>
                        <w:right w:val="none" w:sz="0" w:space="0" w:color="auto"/>
                      </w:divBdr>
                    </w:div>
                  </w:divsChild>
                </w:div>
                <w:div w:id="990450134">
                  <w:marLeft w:val="0"/>
                  <w:marRight w:val="0"/>
                  <w:marTop w:val="0"/>
                  <w:marBottom w:val="0"/>
                  <w:divBdr>
                    <w:top w:val="none" w:sz="0" w:space="0" w:color="auto"/>
                    <w:left w:val="none" w:sz="0" w:space="0" w:color="auto"/>
                    <w:bottom w:val="none" w:sz="0" w:space="0" w:color="auto"/>
                    <w:right w:val="none" w:sz="0" w:space="0" w:color="auto"/>
                  </w:divBdr>
                  <w:divsChild>
                    <w:div w:id="949582868">
                      <w:marLeft w:val="0"/>
                      <w:marRight w:val="0"/>
                      <w:marTop w:val="0"/>
                      <w:marBottom w:val="0"/>
                      <w:divBdr>
                        <w:top w:val="none" w:sz="0" w:space="0" w:color="auto"/>
                        <w:left w:val="none" w:sz="0" w:space="0" w:color="auto"/>
                        <w:bottom w:val="none" w:sz="0" w:space="0" w:color="auto"/>
                        <w:right w:val="none" w:sz="0" w:space="0" w:color="auto"/>
                      </w:divBdr>
                    </w:div>
                  </w:divsChild>
                </w:div>
                <w:div w:id="1069427034">
                  <w:marLeft w:val="0"/>
                  <w:marRight w:val="0"/>
                  <w:marTop w:val="0"/>
                  <w:marBottom w:val="0"/>
                  <w:divBdr>
                    <w:top w:val="none" w:sz="0" w:space="0" w:color="auto"/>
                    <w:left w:val="none" w:sz="0" w:space="0" w:color="auto"/>
                    <w:bottom w:val="none" w:sz="0" w:space="0" w:color="auto"/>
                    <w:right w:val="none" w:sz="0" w:space="0" w:color="auto"/>
                  </w:divBdr>
                  <w:divsChild>
                    <w:div w:id="1070421360">
                      <w:marLeft w:val="0"/>
                      <w:marRight w:val="0"/>
                      <w:marTop w:val="0"/>
                      <w:marBottom w:val="0"/>
                      <w:divBdr>
                        <w:top w:val="none" w:sz="0" w:space="0" w:color="auto"/>
                        <w:left w:val="none" w:sz="0" w:space="0" w:color="auto"/>
                        <w:bottom w:val="none" w:sz="0" w:space="0" w:color="auto"/>
                        <w:right w:val="none" w:sz="0" w:space="0" w:color="auto"/>
                      </w:divBdr>
                    </w:div>
                  </w:divsChild>
                </w:div>
                <w:div w:id="1106274281">
                  <w:marLeft w:val="0"/>
                  <w:marRight w:val="0"/>
                  <w:marTop w:val="0"/>
                  <w:marBottom w:val="0"/>
                  <w:divBdr>
                    <w:top w:val="none" w:sz="0" w:space="0" w:color="auto"/>
                    <w:left w:val="none" w:sz="0" w:space="0" w:color="auto"/>
                    <w:bottom w:val="none" w:sz="0" w:space="0" w:color="auto"/>
                    <w:right w:val="none" w:sz="0" w:space="0" w:color="auto"/>
                  </w:divBdr>
                  <w:divsChild>
                    <w:div w:id="518472860">
                      <w:marLeft w:val="0"/>
                      <w:marRight w:val="0"/>
                      <w:marTop w:val="0"/>
                      <w:marBottom w:val="0"/>
                      <w:divBdr>
                        <w:top w:val="none" w:sz="0" w:space="0" w:color="auto"/>
                        <w:left w:val="none" w:sz="0" w:space="0" w:color="auto"/>
                        <w:bottom w:val="none" w:sz="0" w:space="0" w:color="auto"/>
                        <w:right w:val="none" w:sz="0" w:space="0" w:color="auto"/>
                      </w:divBdr>
                    </w:div>
                  </w:divsChild>
                </w:div>
                <w:div w:id="1125270258">
                  <w:marLeft w:val="0"/>
                  <w:marRight w:val="0"/>
                  <w:marTop w:val="0"/>
                  <w:marBottom w:val="0"/>
                  <w:divBdr>
                    <w:top w:val="none" w:sz="0" w:space="0" w:color="auto"/>
                    <w:left w:val="none" w:sz="0" w:space="0" w:color="auto"/>
                    <w:bottom w:val="none" w:sz="0" w:space="0" w:color="auto"/>
                    <w:right w:val="none" w:sz="0" w:space="0" w:color="auto"/>
                  </w:divBdr>
                  <w:divsChild>
                    <w:div w:id="1082525351">
                      <w:marLeft w:val="0"/>
                      <w:marRight w:val="0"/>
                      <w:marTop w:val="0"/>
                      <w:marBottom w:val="0"/>
                      <w:divBdr>
                        <w:top w:val="none" w:sz="0" w:space="0" w:color="auto"/>
                        <w:left w:val="none" w:sz="0" w:space="0" w:color="auto"/>
                        <w:bottom w:val="none" w:sz="0" w:space="0" w:color="auto"/>
                        <w:right w:val="none" w:sz="0" w:space="0" w:color="auto"/>
                      </w:divBdr>
                    </w:div>
                  </w:divsChild>
                </w:div>
                <w:div w:id="1139226122">
                  <w:marLeft w:val="0"/>
                  <w:marRight w:val="0"/>
                  <w:marTop w:val="0"/>
                  <w:marBottom w:val="0"/>
                  <w:divBdr>
                    <w:top w:val="none" w:sz="0" w:space="0" w:color="auto"/>
                    <w:left w:val="none" w:sz="0" w:space="0" w:color="auto"/>
                    <w:bottom w:val="none" w:sz="0" w:space="0" w:color="auto"/>
                    <w:right w:val="none" w:sz="0" w:space="0" w:color="auto"/>
                  </w:divBdr>
                  <w:divsChild>
                    <w:div w:id="962268019">
                      <w:marLeft w:val="0"/>
                      <w:marRight w:val="0"/>
                      <w:marTop w:val="0"/>
                      <w:marBottom w:val="0"/>
                      <w:divBdr>
                        <w:top w:val="none" w:sz="0" w:space="0" w:color="auto"/>
                        <w:left w:val="none" w:sz="0" w:space="0" w:color="auto"/>
                        <w:bottom w:val="none" w:sz="0" w:space="0" w:color="auto"/>
                        <w:right w:val="none" w:sz="0" w:space="0" w:color="auto"/>
                      </w:divBdr>
                    </w:div>
                  </w:divsChild>
                </w:div>
                <w:div w:id="1175261666">
                  <w:marLeft w:val="0"/>
                  <w:marRight w:val="0"/>
                  <w:marTop w:val="0"/>
                  <w:marBottom w:val="0"/>
                  <w:divBdr>
                    <w:top w:val="none" w:sz="0" w:space="0" w:color="auto"/>
                    <w:left w:val="none" w:sz="0" w:space="0" w:color="auto"/>
                    <w:bottom w:val="none" w:sz="0" w:space="0" w:color="auto"/>
                    <w:right w:val="none" w:sz="0" w:space="0" w:color="auto"/>
                  </w:divBdr>
                  <w:divsChild>
                    <w:div w:id="1941523747">
                      <w:marLeft w:val="0"/>
                      <w:marRight w:val="0"/>
                      <w:marTop w:val="0"/>
                      <w:marBottom w:val="0"/>
                      <w:divBdr>
                        <w:top w:val="none" w:sz="0" w:space="0" w:color="auto"/>
                        <w:left w:val="none" w:sz="0" w:space="0" w:color="auto"/>
                        <w:bottom w:val="none" w:sz="0" w:space="0" w:color="auto"/>
                        <w:right w:val="none" w:sz="0" w:space="0" w:color="auto"/>
                      </w:divBdr>
                    </w:div>
                  </w:divsChild>
                </w:div>
                <w:div w:id="1237475820">
                  <w:marLeft w:val="0"/>
                  <w:marRight w:val="0"/>
                  <w:marTop w:val="0"/>
                  <w:marBottom w:val="0"/>
                  <w:divBdr>
                    <w:top w:val="none" w:sz="0" w:space="0" w:color="auto"/>
                    <w:left w:val="none" w:sz="0" w:space="0" w:color="auto"/>
                    <w:bottom w:val="none" w:sz="0" w:space="0" w:color="auto"/>
                    <w:right w:val="none" w:sz="0" w:space="0" w:color="auto"/>
                  </w:divBdr>
                  <w:divsChild>
                    <w:div w:id="433281232">
                      <w:marLeft w:val="0"/>
                      <w:marRight w:val="0"/>
                      <w:marTop w:val="0"/>
                      <w:marBottom w:val="0"/>
                      <w:divBdr>
                        <w:top w:val="none" w:sz="0" w:space="0" w:color="auto"/>
                        <w:left w:val="none" w:sz="0" w:space="0" w:color="auto"/>
                        <w:bottom w:val="none" w:sz="0" w:space="0" w:color="auto"/>
                        <w:right w:val="none" w:sz="0" w:space="0" w:color="auto"/>
                      </w:divBdr>
                    </w:div>
                  </w:divsChild>
                </w:div>
                <w:div w:id="1245452400">
                  <w:marLeft w:val="0"/>
                  <w:marRight w:val="0"/>
                  <w:marTop w:val="0"/>
                  <w:marBottom w:val="0"/>
                  <w:divBdr>
                    <w:top w:val="none" w:sz="0" w:space="0" w:color="auto"/>
                    <w:left w:val="none" w:sz="0" w:space="0" w:color="auto"/>
                    <w:bottom w:val="none" w:sz="0" w:space="0" w:color="auto"/>
                    <w:right w:val="none" w:sz="0" w:space="0" w:color="auto"/>
                  </w:divBdr>
                  <w:divsChild>
                    <w:div w:id="181938281">
                      <w:marLeft w:val="0"/>
                      <w:marRight w:val="0"/>
                      <w:marTop w:val="0"/>
                      <w:marBottom w:val="0"/>
                      <w:divBdr>
                        <w:top w:val="none" w:sz="0" w:space="0" w:color="auto"/>
                        <w:left w:val="none" w:sz="0" w:space="0" w:color="auto"/>
                        <w:bottom w:val="none" w:sz="0" w:space="0" w:color="auto"/>
                        <w:right w:val="none" w:sz="0" w:space="0" w:color="auto"/>
                      </w:divBdr>
                    </w:div>
                  </w:divsChild>
                </w:div>
                <w:div w:id="1275821909">
                  <w:marLeft w:val="0"/>
                  <w:marRight w:val="0"/>
                  <w:marTop w:val="0"/>
                  <w:marBottom w:val="0"/>
                  <w:divBdr>
                    <w:top w:val="none" w:sz="0" w:space="0" w:color="auto"/>
                    <w:left w:val="none" w:sz="0" w:space="0" w:color="auto"/>
                    <w:bottom w:val="none" w:sz="0" w:space="0" w:color="auto"/>
                    <w:right w:val="none" w:sz="0" w:space="0" w:color="auto"/>
                  </w:divBdr>
                  <w:divsChild>
                    <w:div w:id="1187451427">
                      <w:marLeft w:val="0"/>
                      <w:marRight w:val="0"/>
                      <w:marTop w:val="0"/>
                      <w:marBottom w:val="0"/>
                      <w:divBdr>
                        <w:top w:val="none" w:sz="0" w:space="0" w:color="auto"/>
                        <w:left w:val="none" w:sz="0" w:space="0" w:color="auto"/>
                        <w:bottom w:val="none" w:sz="0" w:space="0" w:color="auto"/>
                        <w:right w:val="none" w:sz="0" w:space="0" w:color="auto"/>
                      </w:divBdr>
                    </w:div>
                  </w:divsChild>
                </w:div>
                <w:div w:id="1299803310">
                  <w:marLeft w:val="0"/>
                  <w:marRight w:val="0"/>
                  <w:marTop w:val="0"/>
                  <w:marBottom w:val="0"/>
                  <w:divBdr>
                    <w:top w:val="none" w:sz="0" w:space="0" w:color="auto"/>
                    <w:left w:val="none" w:sz="0" w:space="0" w:color="auto"/>
                    <w:bottom w:val="none" w:sz="0" w:space="0" w:color="auto"/>
                    <w:right w:val="none" w:sz="0" w:space="0" w:color="auto"/>
                  </w:divBdr>
                  <w:divsChild>
                    <w:div w:id="1142574691">
                      <w:marLeft w:val="0"/>
                      <w:marRight w:val="0"/>
                      <w:marTop w:val="0"/>
                      <w:marBottom w:val="0"/>
                      <w:divBdr>
                        <w:top w:val="none" w:sz="0" w:space="0" w:color="auto"/>
                        <w:left w:val="none" w:sz="0" w:space="0" w:color="auto"/>
                        <w:bottom w:val="none" w:sz="0" w:space="0" w:color="auto"/>
                        <w:right w:val="none" w:sz="0" w:space="0" w:color="auto"/>
                      </w:divBdr>
                    </w:div>
                  </w:divsChild>
                </w:div>
                <w:div w:id="1322078722">
                  <w:marLeft w:val="0"/>
                  <w:marRight w:val="0"/>
                  <w:marTop w:val="0"/>
                  <w:marBottom w:val="0"/>
                  <w:divBdr>
                    <w:top w:val="none" w:sz="0" w:space="0" w:color="auto"/>
                    <w:left w:val="none" w:sz="0" w:space="0" w:color="auto"/>
                    <w:bottom w:val="none" w:sz="0" w:space="0" w:color="auto"/>
                    <w:right w:val="none" w:sz="0" w:space="0" w:color="auto"/>
                  </w:divBdr>
                  <w:divsChild>
                    <w:div w:id="1585796154">
                      <w:marLeft w:val="0"/>
                      <w:marRight w:val="0"/>
                      <w:marTop w:val="0"/>
                      <w:marBottom w:val="0"/>
                      <w:divBdr>
                        <w:top w:val="none" w:sz="0" w:space="0" w:color="auto"/>
                        <w:left w:val="none" w:sz="0" w:space="0" w:color="auto"/>
                        <w:bottom w:val="none" w:sz="0" w:space="0" w:color="auto"/>
                        <w:right w:val="none" w:sz="0" w:space="0" w:color="auto"/>
                      </w:divBdr>
                    </w:div>
                  </w:divsChild>
                </w:div>
                <w:div w:id="1360625122">
                  <w:marLeft w:val="0"/>
                  <w:marRight w:val="0"/>
                  <w:marTop w:val="0"/>
                  <w:marBottom w:val="0"/>
                  <w:divBdr>
                    <w:top w:val="none" w:sz="0" w:space="0" w:color="auto"/>
                    <w:left w:val="none" w:sz="0" w:space="0" w:color="auto"/>
                    <w:bottom w:val="none" w:sz="0" w:space="0" w:color="auto"/>
                    <w:right w:val="none" w:sz="0" w:space="0" w:color="auto"/>
                  </w:divBdr>
                  <w:divsChild>
                    <w:div w:id="1387873857">
                      <w:marLeft w:val="0"/>
                      <w:marRight w:val="0"/>
                      <w:marTop w:val="0"/>
                      <w:marBottom w:val="0"/>
                      <w:divBdr>
                        <w:top w:val="none" w:sz="0" w:space="0" w:color="auto"/>
                        <w:left w:val="none" w:sz="0" w:space="0" w:color="auto"/>
                        <w:bottom w:val="none" w:sz="0" w:space="0" w:color="auto"/>
                        <w:right w:val="none" w:sz="0" w:space="0" w:color="auto"/>
                      </w:divBdr>
                    </w:div>
                  </w:divsChild>
                </w:div>
                <w:div w:id="1380475409">
                  <w:marLeft w:val="0"/>
                  <w:marRight w:val="0"/>
                  <w:marTop w:val="0"/>
                  <w:marBottom w:val="0"/>
                  <w:divBdr>
                    <w:top w:val="none" w:sz="0" w:space="0" w:color="auto"/>
                    <w:left w:val="none" w:sz="0" w:space="0" w:color="auto"/>
                    <w:bottom w:val="none" w:sz="0" w:space="0" w:color="auto"/>
                    <w:right w:val="none" w:sz="0" w:space="0" w:color="auto"/>
                  </w:divBdr>
                  <w:divsChild>
                    <w:div w:id="826092866">
                      <w:marLeft w:val="0"/>
                      <w:marRight w:val="0"/>
                      <w:marTop w:val="0"/>
                      <w:marBottom w:val="0"/>
                      <w:divBdr>
                        <w:top w:val="none" w:sz="0" w:space="0" w:color="auto"/>
                        <w:left w:val="none" w:sz="0" w:space="0" w:color="auto"/>
                        <w:bottom w:val="none" w:sz="0" w:space="0" w:color="auto"/>
                        <w:right w:val="none" w:sz="0" w:space="0" w:color="auto"/>
                      </w:divBdr>
                    </w:div>
                  </w:divsChild>
                </w:div>
                <w:div w:id="1445031646">
                  <w:marLeft w:val="0"/>
                  <w:marRight w:val="0"/>
                  <w:marTop w:val="0"/>
                  <w:marBottom w:val="0"/>
                  <w:divBdr>
                    <w:top w:val="none" w:sz="0" w:space="0" w:color="auto"/>
                    <w:left w:val="none" w:sz="0" w:space="0" w:color="auto"/>
                    <w:bottom w:val="none" w:sz="0" w:space="0" w:color="auto"/>
                    <w:right w:val="none" w:sz="0" w:space="0" w:color="auto"/>
                  </w:divBdr>
                  <w:divsChild>
                    <w:div w:id="1979456016">
                      <w:marLeft w:val="0"/>
                      <w:marRight w:val="0"/>
                      <w:marTop w:val="0"/>
                      <w:marBottom w:val="0"/>
                      <w:divBdr>
                        <w:top w:val="none" w:sz="0" w:space="0" w:color="auto"/>
                        <w:left w:val="none" w:sz="0" w:space="0" w:color="auto"/>
                        <w:bottom w:val="none" w:sz="0" w:space="0" w:color="auto"/>
                        <w:right w:val="none" w:sz="0" w:space="0" w:color="auto"/>
                      </w:divBdr>
                    </w:div>
                  </w:divsChild>
                </w:div>
                <w:div w:id="1545748005">
                  <w:marLeft w:val="0"/>
                  <w:marRight w:val="0"/>
                  <w:marTop w:val="0"/>
                  <w:marBottom w:val="0"/>
                  <w:divBdr>
                    <w:top w:val="none" w:sz="0" w:space="0" w:color="auto"/>
                    <w:left w:val="none" w:sz="0" w:space="0" w:color="auto"/>
                    <w:bottom w:val="none" w:sz="0" w:space="0" w:color="auto"/>
                    <w:right w:val="none" w:sz="0" w:space="0" w:color="auto"/>
                  </w:divBdr>
                  <w:divsChild>
                    <w:div w:id="730229363">
                      <w:marLeft w:val="0"/>
                      <w:marRight w:val="0"/>
                      <w:marTop w:val="0"/>
                      <w:marBottom w:val="0"/>
                      <w:divBdr>
                        <w:top w:val="none" w:sz="0" w:space="0" w:color="auto"/>
                        <w:left w:val="none" w:sz="0" w:space="0" w:color="auto"/>
                        <w:bottom w:val="none" w:sz="0" w:space="0" w:color="auto"/>
                        <w:right w:val="none" w:sz="0" w:space="0" w:color="auto"/>
                      </w:divBdr>
                    </w:div>
                  </w:divsChild>
                </w:div>
                <w:div w:id="1590656481">
                  <w:marLeft w:val="0"/>
                  <w:marRight w:val="0"/>
                  <w:marTop w:val="0"/>
                  <w:marBottom w:val="0"/>
                  <w:divBdr>
                    <w:top w:val="none" w:sz="0" w:space="0" w:color="auto"/>
                    <w:left w:val="none" w:sz="0" w:space="0" w:color="auto"/>
                    <w:bottom w:val="none" w:sz="0" w:space="0" w:color="auto"/>
                    <w:right w:val="none" w:sz="0" w:space="0" w:color="auto"/>
                  </w:divBdr>
                  <w:divsChild>
                    <w:div w:id="1298338900">
                      <w:marLeft w:val="0"/>
                      <w:marRight w:val="0"/>
                      <w:marTop w:val="0"/>
                      <w:marBottom w:val="0"/>
                      <w:divBdr>
                        <w:top w:val="none" w:sz="0" w:space="0" w:color="auto"/>
                        <w:left w:val="none" w:sz="0" w:space="0" w:color="auto"/>
                        <w:bottom w:val="none" w:sz="0" w:space="0" w:color="auto"/>
                        <w:right w:val="none" w:sz="0" w:space="0" w:color="auto"/>
                      </w:divBdr>
                    </w:div>
                  </w:divsChild>
                </w:div>
                <w:div w:id="1688285646">
                  <w:marLeft w:val="0"/>
                  <w:marRight w:val="0"/>
                  <w:marTop w:val="0"/>
                  <w:marBottom w:val="0"/>
                  <w:divBdr>
                    <w:top w:val="none" w:sz="0" w:space="0" w:color="auto"/>
                    <w:left w:val="none" w:sz="0" w:space="0" w:color="auto"/>
                    <w:bottom w:val="none" w:sz="0" w:space="0" w:color="auto"/>
                    <w:right w:val="none" w:sz="0" w:space="0" w:color="auto"/>
                  </w:divBdr>
                  <w:divsChild>
                    <w:div w:id="529412996">
                      <w:marLeft w:val="0"/>
                      <w:marRight w:val="0"/>
                      <w:marTop w:val="0"/>
                      <w:marBottom w:val="0"/>
                      <w:divBdr>
                        <w:top w:val="none" w:sz="0" w:space="0" w:color="auto"/>
                        <w:left w:val="none" w:sz="0" w:space="0" w:color="auto"/>
                        <w:bottom w:val="none" w:sz="0" w:space="0" w:color="auto"/>
                        <w:right w:val="none" w:sz="0" w:space="0" w:color="auto"/>
                      </w:divBdr>
                    </w:div>
                  </w:divsChild>
                </w:div>
                <w:div w:id="1853832172">
                  <w:marLeft w:val="0"/>
                  <w:marRight w:val="0"/>
                  <w:marTop w:val="0"/>
                  <w:marBottom w:val="0"/>
                  <w:divBdr>
                    <w:top w:val="none" w:sz="0" w:space="0" w:color="auto"/>
                    <w:left w:val="none" w:sz="0" w:space="0" w:color="auto"/>
                    <w:bottom w:val="none" w:sz="0" w:space="0" w:color="auto"/>
                    <w:right w:val="none" w:sz="0" w:space="0" w:color="auto"/>
                  </w:divBdr>
                  <w:divsChild>
                    <w:div w:id="206336851">
                      <w:marLeft w:val="0"/>
                      <w:marRight w:val="0"/>
                      <w:marTop w:val="0"/>
                      <w:marBottom w:val="0"/>
                      <w:divBdr>
                        <w:top w:val="none" w:sz="0" w:space="0" w:color="auto"/>
                        <w:left w:val="none" w:sz="0" w:space="0" w:color="auto"/>
                        <w:bottom w:val="none" w:sz="0" w:space="0" w:color="auto"/>
                        <w:right w:val="none" w:sz="0" w:space="0" w:color="auto"/>
                      </w:divBdr>
                    </w:div>
                  </w:divsChild>
                </w:div>
                <w:div w:id="1855417806">
                  <w:marLeft w:val="0"/>
                  <w:marRight w:val="0"/>
                  <w:marTop w:val="0"/>
                  <w:marBottom w:val="0"/>
                  <w:divBdr>
                    <w:top w:val="none" w:sz="0" w:space="0" w:color="auto"/>
                    <w:left w:val="none" w:sz="0" w:space="0" w:color="auto"/>
                    <w:bottom w:val="none" w:sz="0" w:space="0" w:color="auto"/>
                    <w:right w:val="none" w:sz="0" w:space="0" w:color="auto"/>
                  </w:divBdr>
                  <w:divsChild>
                    <w:div w:id="1845121630">
                      <w:marLeft w:val="0"/>
                      <w:marRight w:val="0"/>
                      <w:marTop w:val="0"/>
                      <w:marBottom w:val="0"/>
                      <w:divBdr>
                        <w:top w:val="none" w:sz="0" w:space="0" w:color="auto"/>
                        <w:left w:val="none" w:sz="0" w:space="0" w:color="auto"/>
                        <w:bottom w:val="none" w:sz="0" w:space="0" w:color="auto"/>
                        <w:right w:val="none" w:sz="0" w:space="0" w:color="auto"/>
                      </w:divBdr>
                    </w:div>
                  </w:divsChild>
                </w:div>
                <w:div w:id="1872188863">
                  <w:marLeft w:val="0"/>
                  <w:marRight w:val="0"/>
                  <w:marTop w:val="0"/>
                  <w:marBottom w:val="0"/>
                  <w:divBdr>
                    <w:top w:val="none" w:sz="0" w:space="0" w:color="auto"/>
                    <w:left w:val="none" w:sz="0" w:space="0" w:color="auto"/>
                    <w:bottom w:val="none" w:sz="0" w:space="0" w:color="auto"/>
                    <w:right w:val="none" w:sz="0" w:space="0" w:color="auto"/>
                  </w:divBdr>
                  <w:divsChild>
                    <w:div w:id="647249230">
                      <w:marLeft w:val="0"/>
                      <w:marRight w:val="0"/>
                      <w:marTop w:val="0"/>
                      <w:marBottom w:val="0"/>
                      <w:divBdr>
                        <w:top w:val="none" w:sz="0" w:space="0" w:color="auto"/>
                        <w:left w:val="none" w:sz="0" w:space="0" w:color="auto"/>
                        <w:bottom w:val="none" w:sz="0" w:space="0" w:color="auto"/>
                        <w:right w:val="none" w:sz="0" w:space="0" w:color="auto"/>
                      </w:divBdr>
                    </w:div>
                  </w:divsChild>
                </w:div>
                <w:div w:id="2029016665">
                  <w:marLeft w:val="0"/>
                  <w:marRight w:val="0"/>
                  <w:marTop w:val="0"/>
                  <w:marBottom w:val="0"/>
                  <w:divBdr>
                    <w:top w:val="none" w:sz="0" w:space="0" w:color="auto"/>
                    <w:left w:val="none" w:sz="0" w:space="0" w:color="auto"/>
                    <w:bottom w:val="none" w:sz="0" w:space="0" w:color="auto"/>
                    <w:right w:val="none" w:sz="0" w:space="0" w:color="auto"/>
                  </w:divBdr>
                  <w:divsChild>
                    <w:div w:id="799960281">
                      <w:marLeft w:val="0"/>
                      <w:marRight w:val="0"/>
                      <w:marTop w:val="0"/>
                      <w:marBottom w:val="0"/>
                      <w:divBdr>
                        <w:top w:val="none" w:sz="0" w:space="0" w:color="auto"/>
                        <w:left w:val="none" w:sz="0" w:space="0" w:color="auto"/>
                        <w:bottom w:val="none" w:sz="0" w:space="0" w:color="auto"/>
                        <w:right w:val="none" w:sz="0" w:space="0" w:color="auto"/>
                      </w:divBdr>
                    </w:div>
                  </w:divsChild>
                </w:div>
                <w:div w:id="2041975046">
                  <w:marLeft w:val="0"/>
                  <w:marRight w:val="0"/>
                  <w:marTop w:val="0"/>
                  <w:marBottom w:val="0"/>
                  <w:divBdr>
                    <w:top w:val="none" w:sz="0" w:space="0" w:color="auto"/>
                    <w:left w:val="none" w:sz="0" w:space="0" w:color="auto"/>
                    <w:bottom w:val="none" w:sz="0" w:space="0" w:color="auto"/>
                    <w:right w:val="none" w:sz="0" w:space="0" w:color="auto"/>
                  </w:divBdr>
                  <w:divsChild>
                    <w:div w:id="90854095">
                      <w:marLeft w:val="0"/>
                      <w:marRight w:val="0"/>
                      <w:marTop w:val="0"/>
                      <w:marBottom w:val="0"/>
                      <w:divBdr>
                        <w:top w:val="none" w:sz="0" w:space="0" w:color="auto"/>
                        <w:left w:val="none" w:sz="0" w:space="0" w:color="auto"/>
                        <w:bottom w:val="none" w:sz="0" w:space="0" w:color="auto"/>
                        <w:right w:val="none" w:sz="0" w:space="0" w:color="auto"/>
                      </w:divBdr>
                    </w:div>
                  </w:divsChild>
                </w:div>
                <w:div w:id="2145655574">
                  <w:marLeft w:val="0"/>
                  <w:marRight w:val="0"/>
                  <w:marTop w:val="0"/>
                  <w:marBottom w:val="0"/>
                  <w:divBdr>
                    <w:top w:val="none" w:sz="0" w:space="0" w:color="auto"/>
                    <w:left w:val="none" w:sz="0" w:space="0" w:color="auto"/>
                    <w:bottom w:val="none" w:sz="0" w:space="0" w:color="auto"/>
                    <w:right w:val="none" w:sz="0" w:space="0" w:color="auto"/>
                  </w:divBdr>
                  <w:divsChild>
                    <w:div w:id="1618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186396">
          <w:marLeft w:val="0"/>
          <w:marRight w:val="0"/>
          <w:marTop w:val="0"/>
          <w:marBottom w:val="0"/>
          <w:divBdr>
            <w:top w:val="none" w:sz="0" w:space="0" w:color="auto"/>
            <w:left w:val="none" w:sz="0" w:space="0" w:color="auto"/>
            <w:bottom w:val="none" w:sz="0" w:space="0" w:color="auto"/>
            <w:right w:val="none" w:sz="0" w:space="0" w:color="auto"/>
          </w:divBdr>
        </w:div>
        <w:div w:id="746348456">
          <w:marLeft w:val="0"/>
          <w:marRight w:val="0"/>
          <w:marTop w:val="0"/>
          <w:marBottom w:val="0"/>
          <w:divBdr>
            <w:top w:val="none" w:sz="0" w:space="0" w:color="auto"/>
            <w:left w:val="none" w:sz="0" w:space="0" w:color="auto"/>
            <w:bottom w:val="none" w:sz="0" w:space="0" w:color="auto"/>
            <w:right w:val="none" w:sz="0" w:space="0" w:color="auto"/>
          </w:divBdr>
        </w:div>
        <w:div w:id="752625673">
          <w:marLeft w:val="0"/>
          <w:marRight w:val="0"/>
          <w:marTop w:val="0"/>
          <w:marBottom w:val="0"/>
          <w:divBdr>
            <w:top w:val="none" w:sz="0" w:space="0" w:color="auto"/>
            <w:left w:val="none" w:sz="0" w:space="0" w:color="auto"/>
            <w:bottom w:val="none" w:sz="0" w:space="0" w:color="auto"/>
            <w:right w:val="none" w:sz="0" w:space="0" w:color="auto"/>
          </w:divBdr>
          <w:divsChild>
            <w:div w:id="207618165">
              <w:marLeft w:val="0"/>
              <w:marRight w:val="0"/>
              <w:marTop w:val="0"/>
              <w:marBottom w:val="0"/>
              <w:divBdr>
                <w:top w:val="none" w:sz="0" w:space="0" w:color="auto"/>
                <w:left w:val="none" w:sz="0" w:space="0" w:color="auto"/>
                <w:bottom w:val="none" w:sz="0" w:space="0" w:color="auto"/>
                <w:right w:val="none" w:sz="0" w:space="0" w:color="auto"/>
              </w:divBdr>
            </w:div>
            <w:div w:id="369840727">
              <w:marLeft w:val="0"/>
              <w:marRight w:val="0"/>
              <w:marTop w:val="0"/>
              <w:marBottom w:val="0"/>
              <w:divBdr>
                <w:top w:val="none" w:sz="0" w:space="0" w:color="auto"/>
                <w:left w:val="none" w:sz="0" w:space="0" w:color="auto"/>
                <w:bottom w:val="none" w:sz="0" w:space="0" w:color="auto"/>
                <w:right w:val="none" w:sz="0" w:space="0" w:color="auto"/>
              </w:divBdr>
            </w:div>
            <w:div w:id="1437368312">
              <w:marLeft w:val="0"/>
              <w:marRight w:val="0"/>
              <w:marTop w:val="0"/>
              <w:marBottom w:val="0"/>
              <w:divBdr>
                <w:top w:val="none" w:sz="0" w:space="0" w:color="auto"/>
                <w:left w:val="none" w:sz="0" w:space="0" w:color="auto"/>
                <w:bottom w:val="none" w:sz="0" w:space="0" w:color="auto"/>
                <w:right w:val="none" w:sz="0" w:space="0" w:color="auto"/>
              </w:divBdr>
            </w:div>
            <w:div w:id="1912883043">
              <w:marLeft w:val="0"/>
              <w:marRight w:val="0"/>
              <w:marTop w:val="0"/>
              <w:marBottom w:val="0"/>
              <w:divBdr>
                <w:top w:val="none" w:sz="0" w:space="0" w:color="auto"/>
                <w:left w:val="none" w:sz="0" w:space="0" w:color="auto"/>
                <w:bottom w:val="none" w:sz="0" w:space="0" w:color="auto"/>
                <w:right w:val="none" w:sz="0" w:space="0" w:color="auto"/>
              </w:divBdr>
            </w:div>
          </w:divsChild>
        </w:div>
        <w:div w:id="755976457">
          <w:marLeft w:val="0"/>
          <w:marRight w:val="0"/>
          <w:marTop w:val="0"/>
          <w:marBottom w:val="0"/>
          <w:divBdr>
            <w:top w:val="none" w:sz="0" w:space="0" w:color="auto"/>
            <w:left w:val="none" w:sz="0" w:space="0" w:color="auto"/>
            <w:bottom w:val="none" w:sz="0" w:space="0" w:color="auto"/>
            <w:right w:val="none" w:sz="0" w:space="0" w:color="auto"/>
          </w:divBdr>
        </w:div>
        <w:div w:id="768742473">
          <w:marLeft w:val="0"/>
          <w:marRight w:val="0"/>
          <w:marTop w:val="0"/>
          <w:marBottom w:val="0"/>
          <w:divBdr>
            <w:top w:val="none" w:sz="0" w:space="0" w:color="auto"/>
            <w:left w:val="none" w:sz="0" w:space="0" w:color="auto"/>
            <w:bottom w:val="none" w:sz="0" w:space="0" w:color="auto"/>
            <w:right w:val="none" w:sz="0" w:space="0" w:color="auto"/>
          </w:divBdr>
        </w:div>
        <w:div w:id="788478974">
          <w:marLeft w:val="0"/>
          <w:marRight w:val="0"/>
          <w:marTop w:val="0"/>
          <w:marBottom w:val="0"/>
          <w:divBdr>
            <w:top w:val="none" w:sz="0" w:space="0" w:color="auto"/>
            <w:left w:val="none" w:sz="0" w:space="0" w:color="auto"/>
            <w:bottom w:val="none" w:sz="0" w:space="0" w:color="auto"/>
            <w:right w:val="none" w:sz="0" w:space="0" w:color="auto"/>
          </w:divBdr>
        </w:div>
        <w:div w:id="833640250">
          <w:marLeft w:val="0"/>
          <w:marRight w:val="0"/>
          <w:marTop w:val="0"/>
          <w:marBottom w:val="0"/>
          <w:divBdr>
            <w:top w:val="none" w:sz="0" w:space="0" w:color="auto"/>
            <w:left w:val="none" w:sz="0" w:space="0" w:color="auto"/>
            <w:bottom w:val="none" w:sz="0" w:space="0" w:color="auto"/>
            <w:right w:val="none" w:sz="0" w:space="0" w:color="auto"/>
          </w:divBdr>
        </w:div>
        <w:div w:id="900018802">
          <w:marLeft w:val="0"/>
          <w:marRight w:val="0"/>
          <w:marTop w:val="0"/>
          <w:marBottom w:val="0"/>
          <w:divBdr>
            <w:top w:val="none" w:sz="0" w:space="0" w:color="auto"/>
            <w:left w:val="none" w:sz="0" w:space="0" w:color="auto"/>
            <w:bottom w:val="none" w:sz="0" w:space="0" w:color="auto"/>
            <w:right w:val="none" w:sz="0" w:space="0" w:color="auto"/>
          </w:divBdr>
        </w:div>
        <w:div w:id="924534763">
          <w:marLeft w:val="0"/>
          <w:marRight w:val="0"/>
          <w:marTop w:val="0"/>
          <w:marBottom w:val="0"/>
          <w:divBdr>
            <w:top w:val="none" w:sz="0" w:space="0" w:color="auto"/>
            <w:left w:val="none" w:sz="0" w:space="0" w:color="auto"/>
            <w:bottom w:val="none" w:sz="0" w:space="0" w:color="auto"/>
            <w:right w:val="none" w:sz="0" w:space="0" w:color="auto"/>
          </w:divBdr>
        </w:div>
        <w:div w:id="940527454">
          <w:marLeft w:val="0"/>
          <w:marRight w:val="0"/>
          <w:marTop w:val="0"/>
          <w:marBottom w:val="0"/>
          <w:divBdr>
            <w:top w:val="none" w:sz="0" w:space="0" w:color="auto"/>
            <w:left w:val="none" w:sz="0" w:space="0" w:color="auto"/>
            <w:bottom w:val="none" w:sz="0" w:space="0" w:color="auto"/>
            <w:right w:val="none" w:sz="0" w:space="0" w:color="auto"/>
          </w:divBdr>
        </w:div>
        <w:div w:id="966857239">
          <w:marLeft w:val="0"/>
          <w:marRight w:val="0"/>
          <w:marTop w:val="0"/>
          <w:marBottom w:val="0"/>
          <w:divBdr>
            <w:top w:val="none" w:sz="0" w:space="0" w:color="auto"/>
            <w:left w:val="none" w:sz="0" w:space="0" w:color="auto"/>
            <w:bottom w:val="none" w:sz="0" w:space="0" w:color="auto"/>
            <w:right w:val="none" w:sz="0" w:space="0" w:color="auto"/>
          </w:divBdr>
        </w:div>
        <w:div w:id="995110299">
          <w:marLeft w:val="0"/>
          <w:marRight w:val="0"/>
          <w:marTop w:val="0"/>
          <w:marBottom w:val="0"/>
          <w:divBdr>
            <w:top w:val="none" w:sz="0" w:space="0" w:color="auto"/>
            <w:left w:val="none" w:sz="0" w:space="0" w:color="auto"/>
            <w:bottom w:val="none" w:sz="0" w:space="0" w:color="auto"/>
            <w:right w:val="none" w:sz="0" w:space="0" w:color="auto"/>
          </w:divBdr>
        </w:div>
        <w:div w:id="1061291421">
          <w:marLeft w:val="0"/>
          <w:marRight w:val="0"/>
          <w:marTop w:val="0"/>
          <w:marBottom w:val="0"/>
          <w:divBdr>
            <w:top w:val="none" w:sz="0" w:space="0" w:color="auto"/>
            <w:left w:val="none" w:sz="0" w:space="0" w:color="auto"/>
            <w:bottom w:val="none" w:sz="0" w:space="0" w:color="auto"/>
            <w:right w:val="none" w:sz="0" w:space="0" w:color="auto"/>
          </w:divBdr>
        </w:div>
        <w:div w:id="1072660432">
          <w:marLeft w:val="0"/>
          <w:marRight w:val="0"/>
          <w:marTop w:val="0"/>
          <w:marBottom w:val="0"/>
          <w:divBdr>
            <w:top w:val="none" w:sz="0" w:space="0" w:color="auto"/>
            <w:left w:val="none" w:sz="0" w:space="0" w:color="auto"/>
            <w:bottom w:val="none" w:sz="0" w:space="0" w:color="auto"/>
            <w:right w:val="none" w:sz="0" w:space="0" w:color="auto"/>
          </w:divBdr>
          <w:divsChild>
            <w:div w:id="301811033">
              <w:marLeft w:val="0"/>
              <w:marRight w:val="0"/>
              <w:marTop w:val="0"/>
              <w:marBottom w:val="0"/>
              <w:divBdr>
                <w:top w:val="none" w:sz="0" w:space="0" w:color="auto"/>
                <w:left w:val="none" w:sz="0" w:space="0" w:color="auto"/>
                <w:bottom w:val="none" w:sz="0" w:space="0" w:color="auto"/>
                <w:right w:val="none" w:sz="0" w:space="0" w:color="auto"/>
              </w:divBdr>
            </w:div>
            <w:div w:id="2132624183">
              <w:marLeft w:val="0"/>
              <w:marRight w:val="0"/>
              <w:marTop w:val="0"/>
              <w:marBottom w:val="0"/>
              <w:divBdr>
                <w:top w:val="none" w:sz="0" w:space="0" w:color="auto"/>
                <w:left w:val="none" w:sz="0" w:space="0" w:color="auto"/>
                <w:bottom w:val="none" w:sz="0" w:space="0" w:color="auto"/>
                <w:right w:val="none" w:sz="0" w:space="0" w:color="auto"/>
              </w:divBdr>
            </w:div>
          </w:divsChild>
        </w:div>
        <w:div w:id="1097141544">
          <w:marLeft w:val="0"/>
          <w:marRight w:val="0"/>
          <w:marTop w:val="0"/>
          <w:marBottom w:val="0"/>
          <w:divBdr>
            <w:top w:val="none" w:sz="0" w:space="0" w:color="auto"/>
            <w:left w:val="none" w:sz="0" w:space="0" w:color="auto"/>
            <w:bottom w:val="none" w:sz="0" w:space="0" w:color="auto"/>
            <w:right w:val="none" w:sz="0" w:space="0" w:color="auto"/>
          </w:divBdr>
        </w:div>
        <w:div w:id="1140419436">
          <w:marLeft w:val="0"/>
          <w:marRight w:val="0"/>
          <w:marTop w:val="0"/>
          <w:marBottom w:val="0"/>
          <w:divBdr>
            <w:top w:val="none" w:sz="0" w:space="0" w:color="auto"/>
            <w:left w:val="none" w:sz="0" w:space="0" w:color="auto"/>
            <w:bottom w:val="none" w:sz="0" w:space="0" w:color="auto"/>
            <w:right w:val="none" w:sz="0" w:space="0" w:color="auto"/>
          </w:divBdr>
        </w:div>
        <w:div w:id="1152016689">
          <w:marLeft w:val="0"/>
          <w:marRight w:val="0"/>
          <w:marTop w:val="0"/>
          <w:marBottom w:val="0"/>
          <w:divBdr>
            <w:top w:val="none" w:sz="0" w:space="0" w:color="auto"/>
            <w:left w:val="none" w:sz="0" w:space="0" w:color="auto"/>
            <w:bottom w:val="none" w:sz="0" w:space="0" w:color="auto"/>
            <w:right w:val="none" w:sz="0" w:space="0" w:color="auto"/>
          </w:divBdr>
        </w:div>
        <w:div w:id="1163080297">
          <w:marLeft w:val="0"/>
          <w:marRight w:val="0"/>
          <w:marTop w:val="0"/>
          <w:marBottom w:val="0"/>
          <w:divBdr>
            <w:top w:val="none" w:sz="0" w:space="0" w:color="auto"/>
            <w:left w:val="none" w:sz="0" w:space="0" w:color="auto"/>
            <w:bottom w:val="none" w:sz="0" w:space="0" w:color="auto"/>
            <w:right w:val="none" w:sz="0" w:space="0" w:color="auto"/>
          </w:divBdr>
        </w:div>
        <w:div w:id="1194535258">
          <w:marLeft w:val="0"/>
          <w:marRight w:val="0"/>
          <w:marTop w:val="0"/>
          <w:marBottom w:val="0"/>
          <w:divBdr>
            <w:top w:val="none" w:sz="0" w:space="0" w:color="auto"/>
            <w:left w:val="none" w:sz="0" w:space="0" w:color="auto"/>
            <w:bottom w:val="none" w:sz="0" w:space="0" w:color="auto"/>
            <w:right w:val="none" w:sz="0" w:space="0" w:color="auto"/>
          </w:divBdr>
        </w:div>
        <w:div w:id="1222860582">
          <w:marLeft w:val="0"/>
          <w:marRight w:val="0"/>
          <w:marTop w:val="0"/>
          <w:marBottom w:val="0"/>
          <w:divBdr>
            <w:top w:val="none" w:sz="0" w:space="0" w:color="auto"/>
            <w:left w:val="none" w:sz="0" w:space="0" w:color="auto"/>
            <w:bottom w:val="none" w:sz="0" w:space="0" w:color="auto"/>
            <w:right w:val="none" w:sz="0" w:space="0" w:color="auto"/>
          </w:divBdr>
        </w:div>
        <w:div w:id="1266887680">
          <w:marLeft w:val="0"/>
          <w:marRight w:val="0"/>
          <w:marTop w:val="0"/>
          <w:marBottom w:val="0"/>
          <w:divBdr>
            <w:top w:val="none" w:sz="0" w:space="0" w:color="auto"/>
            <w:left w:val="none" w:sz="0" w:space="0" w:color="auto"/>
            <w:bottom w:val="none" w:sz="0" w:space="0" w:color="auto"/>
            <w:right w:val="none" w:sz="0" w:space="0" w:color="auto"/>
          </w:divBdr>
        </w:div>
        <w:div w:id="1272937086">
          <w:marLeft w:val="0"/>
          <w:marRight w:val="0"/>
          <w:marTop w:val="0"/>
          <w:marBottom w:val="0"/>
          <w:divBdr>
            <w:top w:val="none" w:sz="0" w:space="0" w:color="auto"/>
            <w:left w:val="none" w:sz="0" w:space="0" w:color="auto"/>
            <w:bottom w:val="none" w:sz="0" w:space="0" w:color="auto"/>
            <w:right w:val="none" w:sz="0" w:space="0" w:color="auto"/>
          </w:divBdr>
        </w:div>
        <w:div w:id="1281690280">
          <w:marLeft w:val="0"/>
          <w:marRight w:val="0"/>
          <w:marTop w:val="0"/>
          <w:marBottom w:val="0"/>
          <w:divBdr>
            <w:top w:val="none" w:sz="0" w:space="0" w:color="auto"/>
            <w:left w:val="none" w:sz="0" w:space="0" w:color="auto"/>
            <w:bottom w:val="none" w:sz="0" w:space="0" w:color="auto"/>
            <w:right w:val="none" w:sz="0" w:space="0" w:color="auto"/>
          </w:divBdr>
        </w:div>
        <w:div w:id="1298603325">
          <w:marLeft w:val="0"/>
          <w:marRight w:val="0"/>
          <w:marTop w:val="0"/>
          <w:marBottom w:val="0"/>
          <w:divBdr>
            <w:top w:val="none" w:sz="0" w:space="0" w:color="auto"/>
            <w:left w:val="none" w:sz="0" w:space="0" w:color="auto"/>
            <w:bottom w:val="none" w:sz="0" w:space="0" w:color="auto"/>
            <w:right w:val="none" w:sz="0" w:space="0" w:color="auto"/>
          </w:divBdr>
        </w:div>
        <w:div w:id="1305936001">
          <w:marLeft w:val="0"/>
          <w:marRight w:val="0"/>
          <w:marTop w:val="0"/>
          <w:marBottom w:val="0"/>
          <w:divBdr>
            <w:top w:val="none" w:sz="0" w:space="0" w:color="auto"/>
            <w:left w:val="none" w:sz="0" w:space="0" w:color="auto"/>
            <w:bottom w:val="none" w:sz="0" w:space="0" w:color="auto"/>
            <w:right w:val="none" w:sz="0" w:space="0" w:color="auto"/>
          </w:divBdr>
        </w:div>
        <w:div w:id="1355304087">
          <w:marLeft w:val="0"/>
          <w:marRight w:val="0"/>
          <w:marTop w:val="0"/>
          <w:marBottom w:val="0"/>
          <w:divBdr>
            <w:top w:val="none" w:sz="0" w:space="0" w:color="auto"/>
            <w:left w:val="none" w:sz="0" w:space="0" w:color="auto"/>
            <w:bottom w:val="none" w:sz="0" w:space="0" w:color="auto"/>
            <w:right w:val="none" w:sz="0" w:space="0" w:color="auto"/>
          </w:divBdr>
        </w:div>
        <w:div w:id="1386029983">
          <w:marLeft w:val="0"/>
          <w:marRight w:val="0"/>
          <w:marTop w:val="0"/>
          <w:marBottom w:val="0"/>
          <w:divBdr>
            <w:top w:val="none" w:sz="0" w:space="0" w:color="auto"/>
            <w:left w:val="none" w:sz="0" w:space="0" w:color="auto"/>
            <w:bottom w:val="none" w:sz="0" w:space="0" w:color="auto"/>
            <w:right w:val="none" w:sz="0" w:space="0" w:color="auto"/>
          </w:divBdr>
        </w:div>
        <w:div w:id="1388803171">
          <w:marLeft w:val="0"/>
          <w:marRight w:val="0"/>
          <w:marTop w:val="0"/>
          <w:marBottom w:val="0"/>
          <w:divBdr>
            <w:top w:val="none" w:sz="0" w:space="0" w:color="auto"/>
            <w:left w:val="none" w:sz="0" w:space="0" w:color="auto"/>
            <w:bottom w:val="none" w:sz="0" w:space="0" w:color="auto"/>
            <w:right w:val="none" w:sz="0" w:space="0" w:color="auto"/>
          </w:divBdr>
        </w:div>
        <w:div w:id="1407530787">
          <w:marLeft w:val="0"/>
          <w:marRight w:val="0"/>
          <w:marTop w:val="0"/>
          <w:marBottom w:val="0"/>
          <w:divBdr>
            <w:top w:val="none" w:sz="0" w:space="0" w:color="auto"/>
            <w:left w:val="none" w:sz="0" w:space="0" w:color="auto"/>
            <w:bottom w:val="none" w:sz="0" w:space="0" w:color="auto"/>
            <w:right w:val="none" w:sz="0" w:space="0" w:color="auto"/>
          </w:divBdr>
          <w:divsChild>
            <w:div w:id="1322923231">
              <w:marLeft w:val="-75"/>
              <w:marRight w:val="0"/>
              <w:marTop w:val="30"/>
              <w:marBottom w:val="30"/>
              <w:divBdr>
                <w:top w:val="none" w:sz="0" w:space="0" w:color="auto"/>
                <w:left w:val="none" w:sz="0" w:space="0" w:color="auto"/>
                <w:bottom w:val="none" w:sz="0" w:space="0" w:color="auto"/>
                <w:right w:val="none" w:sz="0" w:space="0" w:color="auto"/>
              </w:divBdr>
              <w:divsChild>
                <w:div w:id="35008625">
                  <w:marLeft w:val="0"/>
                  <w:marRight w:val="0"/>
                  <w:marTop w:val="0"/>
                  <w:marBottom w:val="0"/>
                  <w:divBdr>
                    <w:top w:val="none" w:sz="0" w:space="0" w:color="auto"/>
                    <w:left w:val="none" w:sz="0" w:space="0" w:color="auto"/>
                    <w:bottom w:val="none" w:sz="0" w:space="0" w:color="auto"/>
                    <w:right w:val="none" w:sz="0" w:space="0" w:color="auto"/>
                  </w:divBdr>
                  <w:divsChild>
                    <w:div w:id="273710015">
                      <w:marLeft w:val="0"/>
                      <w:marRight w:val="0"/>
                      <w:marTop w:val="0"/>
                      <w:marBottom w:val="0"/>
                      <w:divBdr>
                        <w:top w:val="none" w:sz="0" w:space="0" w:color="auto"/>
                        <w:left w:val="none" w:sz="0" w:space="0" w:color="auto"/>
                        <w:bottom w:val="none" w:sz="0" w:space="0" w:color="auto"/>
                        <w:right w:val="none" w:sz="0" w:space="0" w:color="auto"/>
                      </w:divBdr>
                    </w:div>
                  </w:divsChild>
                </w:div>
                <w:div w:id="40248368">
                  <w:marLeft w:val="0"/>
                  <w:marRight w:val="0"/>
                  <w:marTop w:val="0"/>
                  <w:marBottom w:val="0"/>
                  <w:divBdr>
                    <w:top w:val="none" w:sz="0" w:space="0" w:color="auto"/>
                    <w:left w:val="none" w:sz="0" w:space="0" w:color="auto"/>
                    <w:bottom w:val="none" w:sz="0" w:space="0" w:color="auto"/>
                    <w:right w:val="none" w:sz="0" w:space="0" w:color="auto"/>
                  </w:divBdr>
                  <w:divsChild>
                    <w:div w:id="978995115">
                      <w:marLeft w:val="0"/>
                      <w:marRight w:val="0"/>
                      <w:marTop w:val="0"/>
                      <w:marBottom w:val="0"/>
                      <w:divBdr>
                        <w:top w:val="none" w:sz="0" w:space="0" w:color="auto"/>
                        <w:left w:val="none" w:sz="0" w:space="0" w:color="auto"/>
                        <w:bottom w:val="none" w:sz="0" w:space="0" w:color="auto"/>
                        <w:right w:val="none" w:sz="0" w:space="0" w:color="auto"/>
                      </w:divBdr>
                    </w:div>
                  </w:divsChild>
                </w:div>
                <w:div w:id="191580522">
                  <w:marLeft w:val="0"/>
                  <w:marRight w:val="0"/>
                  <w:marTop w:val="0"/>
                  <w:marBottom w:val="0"/>
                  <w:divBdr>
                    <w:top w:val="none" w:sz="0" w:space="0" w:color="auto"/>
                    <w:left w:val="none" w:sz="0" w:space="0" w:color="auto"/>
                    <w:bottom w:val="none" w:sz="0" w:space="0" w:color="auto"/>
                    <w:right w:val="none" w:sz="0" w:space="0" w:color="auto"/>
                  </w:divBdr>
                  <w:divsChild>
                    <w:div w:id="1732535156">
                      <w:marLeft w:val="0"/>
                      <w:marRight w:val="0"/>
                      <w:marTop w:val="0"/>
                      <w:marBottom w:val="0"/>
                      <w:divBdr>
                        <w:top w:val="none" w:sz="0" w:space="0" w:color="auto"/>
                        <w:left w:val="none" w:sz="0" w:space="0" w:color="auto"/>
                        <w:bottom w:val="none" w:sz="0" w:space="0" w:color="auto"/>
                        <w:right w:val="none" w:sz="0" w:space="0" w:color="auto"/>
                      </w:divBdr>
                    </w:div>
                  </w:divsChild>
                </w:div>
                <w:div w:id="296374947">
                  <w:marLeft w:val="0"/>
                  <w:marRight w:val="0"/>
                  <w:marTop w:val="0"/>
                  <w:marBottom w:val="0"/>
                  <w:divBdr>
                    <w:top w:val="none" w:sz="0" w:space="0" w:color="auto"/>
                    <w:left w:val="none" w:sz="0" w:space="0" w:color="auto"/>
                    <w:bottom w:val="none" w:sz="0" w:space="0" w:color="auto"/>
                    <w:right w:val="none" w:sz="0" w:space="0" w:color="auto"/>
                  </w:divBdr>
                  <w:divsChild>
                    <w:div w:id="257762170">
                      <w:marLeft w:val="0"/>
                      <w:marRight w:val="0"/>
                      <w:marTop w:val="0"/>
                      <w:marBottom w:val="0"/>
                      <w:divBdr>
                        <w:top w:val="none" w:sz="0" w:space="0" w:color="auto"/>
                        <w:left w:val="none" w:sz="0" w:space="0" w:color="auto"/>
                        <w:bottom w:val="none" w:sz="0" w:space="0" w:color="auto"/>
                        <w:right w:val="none" w:sz="0" w:space="0" w:color="auto"/>
                      </w:divBdr>
                    </w:div>
                  </w:divsChild>
                </w:div>
                <w:div w:id="593129270">
                  <w:marLeft w:val="0"/>
                  <w:marRight w:val="0"/>
                  <w:marTop w:val="0"/>
                  <w:marBottom w:val="0"/>
                  <w:divBdr>
                    <w:top w:val="none" w:sz="0" w:space="0" w:color="auto"/>
                    <w:left w:val="none" w:sz="0" w:space="0" w:color="auto"/>
                    <w:bottom w:val="none" w:sz="0" w:space="0" w:color="auto"/>
                    <w:right w:val="none" w:sz="0" w:space="0" w:color="auto"/>
                  </w:divBdr>
                  <w:divsChild>
                    <w:div w:id="1604920118">
                      <w:marLeft w:val="0"/>
                      <w:marRight w:val="0"/>
                      <w:marTop w:val="0"/>
                      <w:marBottom w:val="0"/>
                      <w:divBdr>
                        <w:top w:val="none" w:sz="0" w:space="0" w:color="auto"/>
                        <w:left w:val="none" w:sz="0" w:space="0" w:color="auto"/>
                        <w:bottom w:val="none" w:sz="0" w:space="0" w:color="auto"/>
                        <w:right w:val="none" w:sz="0" w:space="0" w:color="auto"/>
                      </w:divBdr>
                    </w:div>
                    <w:div w:id="1731535902">
                      <w:marLeft w:val="0"/>
                      <w:marRight w:val="0"/>
                      <w:marTop w:val="0"/>
                      <w:marBottom w:val="0"/>
                      <w:divBdr>
                        <w:top w:val="none" w:sz="0" w:space="0" w:color="auto"/>
                        <w:left w:val="none" w:sz="0" w:space="0" w:color="auto"/>
                        <w:bottom w:val="none" w:sz="0" w:space="0" w:color="auto"/>
                        <w:right w:val="none" w:sz="0" w:space="0" w:color="auto"/>
                      </w:divBdr>
                    </w:div>
                  </w:divsChild>
                </w:div>
                <w:div w:id="613557258">
                  <w:marLeft w:val="0"/>
                  <w:marRight w:val="0"/>
                  <w:marTop w:val="0"/>
                  <w:marBottom w:val="0"/>
                  <w:divBdr>
                    <w:top w:val="none" w:sz="0" w:space="0" w:color="auto"/>
                    <w:left w:val="none" w:sz="0" w:space="0" w:color="auto"/>
                    <w:bottom w:val="none" w:sz="0" w:space="0" w:color="auto"/>
                    <w:right w:val="none" w:sz="0" w:space="0" w:color="auto"/>
                  </w:divBdr>
                  <w:divsChild>
                    <w:div w:id="643437884">
                      <w:marLeft w:val="0"/>
                      <w:marRight w:val="0"/>
                      <w:marTop w:val="0"/>
                      <w:marBottom w:val="0"/>
                      <w:divBdr>
                        <w:top w:val="none" w:sz="0" w:space="0" w:color="auto"/>
                        <w:left w:val="none" w:sz="0" w:space="0" w:color="auto"/>
                        <w:bottom w:val="none" w:sz="0" w:space="0" w:color="auto"/>
                        <w:right w:val="none" w:sz="0" w:space="0" w:color="auto"/>
                      </w:divBdr>
                    </w:div>
                  </w:divsChild>
                </w:div>
                <w:div w:id="661929956">
                  <w:marLeft w:val="0"/>
                  <w:marRight w:val="0"/>
                  <w:marTop w:val="0"/>
                  <w:marBottom w:val="0"/>
                  <w:divBdr>
                    <w:top w:val="none" w:sz="0" w:space="0" w:color="auto"/>
                    <w:left w:val="none" w:sz="0" w:space="0" w:color="auto"/>
                    <w:bottom w:val="none" w:sz="0" w:space="0" w:color="auto"/>
                    <w:right w:val="none" w:sz="0" w:space="0" w:color="auto"/>
                  </w:divBdr>
                  <w:divsChild>
                    <w:div w:id="1864436394">
                      <w:marLeft w:val="0"/>
                      <w:marRight w:val="0"/>
                      <w:marTop w:val="0"/>
                      <w:marBottom w:val="0"/>
                      <w:divBdr>
                        <w:top w:val="none" w:sz="0" w:space="0" w:color="auto"/>
                        <w:left w:val="none" w:sz="0" w:space="0" w:color="auto"/>
                        <w:bottom w:val="none" w:sz="0" w:space="0" w:color="auto"/>
                        <w:right w:val="none" w:sz="0" w:space="0" w:color="auto"/>
                      </w:divBdr>
                    </w:div>
                  </w:divsChild>
                </w:div>
                <w:div w:id="682516937">
                  <w:marLeft w:val="0"/>
                  <w:marRight w:val="0"/>
                  <w:marTop w:val="0"/>
                  <w:marBottom w:val="0"/>
                  <w:divBdr>
                    <w:top w:val="none" w:sz="0" w:space="0" w:color="auto"/>
                    <w:left w:val="none" w:sz="0" w:space="0" w:color="auto"/>
                    <w:bottom w:val="none" w:sz="0" w:space="0" w:color="auto"/>
                    <w:right w:val="none" w:sz="0" w:space="0" w:color="auto"/>
                  </w:divBdr>
                  <w:divsChild>
                    <w:div w:id="1300498207">
                      <w:marLeft w:val="0"/>
                      <w:marRight w:val="0"/>
                      <w:marTop w:val="0"/>
                      <w:marBottom w:val="0"/>
                      <w:divBdr>
                        <w:top w:val="none" w:sz="0" w:space="0" w:color="auto"/>
                        <w:left w:val="none" w:sz="0" w:space="0" w:color="auto"/>
                        <w:bottom w:val="none" w:sz="0" w:space="0" w:color="auto"/>
                        <w:right w:val="none" w:sz="0" w:space="0" w:color="auto"/>
                      </w:divBdr>
                    </w:div>
                  </w:divsChild>
                </w:div>
                <w:div w:id="691763007">
                  <w:marLeft w:val="0"/>
                  <w:marRight w:val="0"/>
                  <w:marTop w:val="0"/>
                  <w:marBottom w:val="0"/>
                  <w:divBdr>
                    <w:top w:val="none" w:sz="0" w:space="0" w:color="auto"/>
                    <w:left w:val="none" w:sz="0" w:space="0" w:color="auto"/>
                    <w:bottom w:val="none" w:sz="0" w:space="0" w:color="auto"/>
                    <w:right w:val="none" w:sz="0" w:space="0" w:color="auto"/>
                  </w:divBdr>
                  <w:divsChild>
                    <w:div w:id="1256935694">
                      <w:marLeft w:val="0"/>
                      <w:marRight w:val="0"/>
                      <w:marTop w:val="0"/>
                      <w:marBottom w:val="0"/>
                      <w:divBdr>
                        <w:top w:val="none" w:sz="0" w:space="0" w:color="auto"/>
                        <w:left w:val="none" w:sz="0" w:space="0" w:color="auto"/>
                        <w:bottom w:val="none" w:sz="0" w:space="0" w:color="auto"/>
                        <w:right w:val="none" w:sz="0" w:space="0" w:color="auto"/>
                      </w:divBdr>
                    </w:div>
                  </w:divsChild>
                </w:div>
                <w:div w:id="1279871505">
                  <w:marLeft w:val="0"/>
                  <w:marRight w:val="0"/>
                  <w:marTop w:val="0"/>
                  <w:marBottom w:val="0"/>
                  <w:divBdr>
                    <w:top w:val="none" w:sz="0" w:space="0" w:color="auto"/>
                    <w:left w:val="none" w:sz="0" w:space="0" w:color="auto"/>
                    <w:bottom w:val="none" w:sz="0" w:space="0" w:color="auto"/>
                    <w:right w:val="none" w:sz="0" w:space="0" w:color="auto"/>
                  </w:divBdr>
                  <w:divsChild>
                    <w:div w:id="71320659">
                      <w:marLeft w:val="0"/>
                      <w:marRight w:val="0"/>
                      <w:marTop w:val="0"/>
                      <w:marBottom w:val="0"/>
                      <w:divBdr>
                        <w:top w:val="none" w:sz="0" w:space="0" w:color="auto"/>
                        <w:left w:val="none" w:sz="0" w:space="0" w:color="auto"/>
                        <w:bottom w:val="none" w:sz="0" w:space="0" w:color="auto"/>
                        <w:right w:val="none" w:sz="0" w:space="0" w:color="auto"/>
                      </w:divBdr>
                    </w:div>
                  </w:divsChild>
                </w:div>
                <w:div w:id="1280071274">
                  <w:marLeft w:val="0"/>
                  <w:marRight w:val="0"/>
                  <w:marTop w:val="0"/>
                  <w:marBottom w:val="0"/>
                  <w:divBdr>
                    <w:top w:val="none" w:sz="0" w:space="0" w:color="auto"/>
                    <w:left w:val="none" w:sz="0" w:space="0" w:color="auto"/>
                    <w:bottom w:val="none" w:sz="0" w:space="0" w:color="auto"/>
                    <w:right w:val="none" w:sz="0" w:space="0" w:color="auto"/>
                  </w:divBdr>
                  <w:divsChild>
                    <w:div w:id="1474442683">
                      <w:marLeft w:val="0"/>
                      <w:marRight w:val="0"/>
                      <w:marTop w:val="0"/>
                      <w:marBottom w:val="0"/>
                      <w:divBdr>
                        <w:top w:val="none" w:sz="0" w:space="0" w:color="auto"/>
                        <w:left w:val="none" w:sz="0" w:space="0" w:color="auto"/>
                        <w:bottom w:val="none" w:sz="0" w:space="0" w:color="auto"/>
                        <w:right w:val="none" w:sz="0" w:space="0" w:color="auto"/>
                      </w:divBdr>
                    </w:div>
                  </w:divsChild>
                </w:div>
                <w:div w:id="1376005989">
                  <w:marLeft w:val="0"/>
                  <w:marRight w:val="0"/>
                  <w:marTop w:val="0"/>
                  <w:marBottom w:val="0"/>
                  <w:divBdr>
                    <w:top w:val="none" w:sz="0" w:space="0" w:color="auto"/>
                    <w:left w:val="none" w:sz="0" w:space="0" w:color="auto"/>
                    <w:bottom w:val="none" w:sz="0" w:space="0" w:color="auto"/>
                    <w:right w:val="none" w:sz="0" w:space="0" w:color="auto"/>
                  </w:divBdr>
                  <w:divsChild>
                    <w:div w:id="142435924">
                      <w:marLeft w:val="0"/>
                      <w:marRight w:val="0"/>
                      <w:marTop w:val="0"/>
                      <w:marBottom w:val="0"/>
                      <w:divBdr>
                        <w:top w:val="none" w:sz="0" w:space="0" w:color="auto"/>
                        <w:left w:val="none" w:sz="0" w:space="0" w:color="auto"/>
                        <w:bottom w:val="none" w:sz="0" w:space="0" w:color="auto"/>
                        <w:right w:val="none" w:sz="0" w:space="0" w:color="auto"/>
                      </w:divBdr>
                    </w:div>
                  </w:divsChild>
                </w:div>
                <w:div w:id="1404254805">
                  <w:marLeft w:val="0"/>
                  <w:marRight w:val="0"/>
                  <w:marTop w:val="0"/>
                  <w:marBottom w:val="0"/>
                  <w:divBdr>
                    <w:top w:val="none" w:sz="0" w:space="0" w:color="auto"/>
                    <w:left w:val="none" w:sz="0" w:space="0" w:color="auto"/>
                    <w:bottom w:val="none" w:sz="0" w:space="0" w:color="auto"/>
                    <w:right w:val="none" w:sz="0" w:space="0" w:color="auto"/>
                  </w:divBdr>
                  <w:divsChild>
                    <w:div w:id="1459033932">
                      <w:marLeft w:val="0"/>
                      <w:marRight w:val="0"/>
                      <w:marTop w:val="0"/>
                      <w:marBottom w:val="0"/>
                      <w:divBdr>
                        <w:top w:val="none" w:sz="0" w:space="0" w:color="auto"/>
                        <w:left w:val="none" w:sz="0" w:space="0" w:color="auto"/>
                        <w:bottom w:val="none" w:sz="0" w:space="0" w:color="auto"/>
                        <w:right w:val="none" w:sz="0" w:space="0" w:color="auto"/>
                      </w:divBdr>
                    </w:div>
                  </w:divsChild>
                </w:div>
                <w:div w:id="1677152855">
                  <w:marLeft w:val="0"/>
                  <w:marRight w:val="0"/>
                  <w:marTop w:val="0"/>
                  <w:marBottom w:val="0"/>
                  <w:divBdr>
                    <w:top w:val="none" w:sz="0" w:space="0" w:color="auto"/>
                    <w:left w:val="none" w:sz="0" w:space="0" w:color="auto"/>
                    <w:bottom w:val="none" w:sz="0" w:space="0" w:color="auto"/>
                    <w:right w:val="none" w:sz="0" w:space="0" w:color="auto"/>
                  </w:divBdr>
                  <w:divsChild>
                    <w:div w:id="2021664973">
                      <w:marLeft w:val="0"/>
                      <w:marRight w:val="0"/>
                      <w:marTop w:val="0"/>
                      <w:marBottom w:val="0"/>
                      <w:divBdr>
                        <w:top w:val="none" w:sz="0" w:space="0" w:color="auto"/>
                        <w:left w:val="none" w:sz="0" w:space="0" w:color="auto"/>
                        <w:bottom w:val="none" w:sz="0" w:space="0" w:color="auto"/>
                        <w:right w:val="none" w:sz="0" w:space="0" w:color="auto"/>
                      </w:divBdr>
                    </w:div>
                  </w:divsChild>
                </w:div>
                <w:div w:id="2090232567">
                  <w:marLeft w:val="0"/>
                  <w:marRight w:val="0"/>
                  <w:marTop w:val="0"/>
                  <w:marBottom w:val="0"/>
                  <w:divBdr>
                    <w:top w:val="none" w:sz="0" w:space="0" w:color="auto"/>
                    <w:left w:val="none" w:sz="0" w:space="0" w:color="auto"/>
                    <w:bottom w:val="none" w:sz="0" w:space="0" w:color="auto"/>
                    <w:right w:val="none" w:sz="0" w:space="0" w:color="auto"/>
                  </w:divBdr>
                  <w:divsChild>
                    <w:div w:id="21108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80931">
          <w:marLeft w:val="0"/>
          <w:marRight w:val="0"/>
          <w:marTop w:val="0"/>
          <w:marBottom w:val="0"/>
          <w:divBdr>
            <w:top w:val="none" w:sz="0" w:space="0" w:color="auto"/>
            <w:left w:val="none" w:sz="0" w:space="0" w:color="auto"/>
            <w:bottom w:val="none" w:sz="0" w:space="0" w:color="auto"/>
            <w:right w:val="none" w:sz="0" w:space="0" w:color="auto"/>
          </w:divBdr>
        </w:div>
        <w:div w:id="1446315113">
          <w:marLeft w:val="0"/>
          <w:marRight w:val="0"/>
          <w:marTop w:val="0"/>
          <w:marBottom w:val="0"/>
          <w:divBdr>
            <w:top w:val="none" w:sz="0" w:space="0" w:color="auto"/>
            <w:left w:val="none" w:sz="0" w:space="0" w:color="auto"/>
            <w:bottom w:val="none" w:sz="0" w:space="0" w:color="auto"/>
            <w:right w:val="none" w:sz="0" w:space="0" w:color="auto"/>
          </w:divBdr>
        </w:div>
        <w:div w:id="1522161575">
          <w:marLeft w:val="0"/>
          <w:marRight w:val="0"/>
          <w:marTop w:val="0"/>
          <w:marBottom w:val="0"/>
          <w:divBdr>
            <w:top w:val="none" w:sz="0" w:space="0" w:color="auto"/>
            <w:left w:val="none" w:sz="0" w:space="0" w:color="auto"/>
            <w:bottom w:val="none" w:sz="0" w:space="0" w:color="auto"/>
            <w:right w:val="none" w:sz="0" w:space="0" w:color="auto"/>
          </w:divBdr>
        </w:div>
        <w:div w:id="1544978024">
          <w:marLeft w:val="0"/>
          <w:marRight w:val="0"/>
          <w:marTop w:val="0"/>
          <w:marBottom w:val="0"/>
          <w:divBdr>
            <w:top w:val="none" w:sz="0" w:space="0" w:color="auto"/>
            <w:left w:val="none" w:sz="0" w:space="0" w:color="auto"/>
            <w:bottom w:val="none" w:sz="0" w:space="0" w:color="auto"/>
            <w:right w:val="none" w:sz="0" w:space="0" w:color="auto"/>
          </w:divBdr>
        </w:div>
        <w:div w:id="1548106280">
          <w:marLeft w:val="0"/>
          <w:marRight w:val="0"/>
          <w:marTop w:val="0"/>
          <w:marBottom w:val="0"/>
          <w:divBdr>
            <w:top w:val="none" w:sz="0" w:space="0" w:color="auto"/>
            <w:left w:val="none" w:sz="0" w:space="0" w:color="auto"/>
            <w:bottom w:val="none" w:sz="0" w:space="0" w:color="auto"/>
            <w:right w:val="none" w:sz="0" w:space="0" w:color="auto"/>
          </w:divBdr>
        </w:div>
        <w:div w:id="1579755280">
          <w:marLeft w:val="0"/>
          <w:marRight w:val="0"/>
          <w:marTop w:val="0"/>
          <w:marBottom w:val="0"/>
          <w:divBdr>
            <w:top w:val="none" w:sz="0" w:space="0" w:color="auto"/>
            <w:left w:val="none" w:sz="0" w:space="0" w:color="auto"/>
            <w:bottom w:val="none" w:sz="0" w:space="0" w:color="auto"/>
            <w:right w:val="none" w:sz="0" w:space="0" w:color="auto"/>
          </w:divBdr>
        </w:div>
        <w:div w:id="1589389114">
          <w:marLeft w:val="0"/>
          <w:marRight w:val="0"/>
          <w:marTop w:val="0"/>
          <w:marBottom w:val="0"/>
          <w:divBdr>
            <w:top w:val="none" w:sz="0" w:space="0" w:color="auto"/>
            <w:left w:val="none" w:sz="0" w:space="0" w:color="auto"/>
            <w:bottom w:val="none" w:sz="0" w:space="0" w:color="auto"/>
            <w:right w:val="none" w:sz="0" w:space="0" w:color="auto"/>
          </w:divBdr>
        </w:div>
        <w:div w:id="1597013704">
          <w:marLeft w:val="0"/>
          <w:marRight w:val="0"/>
          <w:marTop w:val="0"/>
          <w:marBottom w:val="0"/>
          <w:divBdr>
            <w:top w:val="none" w:sz="0" w:space="0" w:color="auto"/>
            <w:left w:val="none" w:sz="0" w:space="0" w:color="auto"/>
            <w:bottom w:val="none" w:sz="0" w:space="0" w:color="auto"/>
            <w:right w:val="none" w:sz="0" w:space="0" w:color="auto"/>
          </w:divBdr>
        </w:div>
        <w:div w:id="1628702558">
          <w:marLeft w:val="0"/>
          <w:marRight w:val="0"/>
          <w:marTop w:val="0"/>
          <w:marBottom w:val="0"/>
          <w:divBdr>
            <w:top w:val="none" w:sz="0" w:space="0" w:color="auto"/>
            <w:left w:val="none" w:sz="0" w:space="0" w:color="auto"/>
            <w:bottom w:val="none" w:sz="0" w:space="0" w:color="auto"/>
            <w:right w:val="none" w:sz="0" w:space="0" w:color="auto"/>
          </w:divBdr>
        </w:div>
        <w:div w:id="1632247322">
          <w:marLeft w:val="0"/>
          <w:marRight w:val="0"/>
          <w:marTop w:val="0"/>
          <w:marBottom w:val="0"/>
          <w:divBdr>
            <w:top w:val="none" w:sz="0" w:space="0" w:color="auto"/>
            <w:left w:val="none" w:sz="0" w:space="0" w:color="auto"/>
            <w:bottom w:val="none" w:sz="0" w:space="0" w:color="auto"/>
            <w:right w:val="none" w:sz="0" w:space="0" w:color="auto"/>
          </w:divBdr>
        </w:div>
        <w:div w:id="1641377528">
          <w:marLeft w:val="0"/>
          <w:marRight w:val="0"/>
          <w:marTop w:val="0"/>
          <w:marBottom w:val="0"/>
          <w:divBdr>
            <w:top w:val="none" w:sz="0" w:space="0" w:color="auto"/>
            <w:left w:val="none" w:sz="0" w:space="0" w:color="auto"/>
            <w:bottom w:val="none" w:sz="0" w:space="0" w:color="auto"/>
            <w:right w:val="none" w:sz="0" w:space="0" w:color="auto"/>
          </w:divBdr>
        </w:div>
        <w:div w:id="1645428377">
          <w:marLeft w:val="0"/>
          <w:marRight w:val="0"/>
          <w:marTop w:val="0"/>
          <w:marBottom w:val="0"/>
          <w:divBdr>
            <w:top w:val="none" w:sz="0" w:space="0" w:color="auto"/>
            <w:left w:val="none" w:sz="0" w:space="0" w:color="auto"/>
            <w:bottom w:val="none" w:sz="0" w:space="0" w:color="auto"/>
            <w:right w:val="none" w:sz="0" w:space="0" w:color="auto"/>
          </w:divBdr>
        </w:div>
        <w:div w:id="1680548815">
          <w:marLeft w:val="0"/>
          <w:marRight w:val="0"/>
          <w:marTop w:val="0"/>
          <w:marBottom w:val="0"/>
          <w:divBdr>
            <w:top w:val="none" w:sz="0" w:space="0" w:color="auto"/>
            <w:left w:val="none" w:sz="0" w:space="0" w:color="auto"/>
            <w:bottom w:val="none" w:sz="0" w:space="0" w:color="auto"/>
            <w:right w:val="none" w:sz="0" w:space="0" w:color="auto"/>
          </w:divBdr>
        </w:div>
        <w:div w:id="1746370079">
          <w:marLeft w:val="0"/>
          <w:marRight w:val="0"/>
          <w:marTop w:val="0"/>
          <w:marBottom w:val="0"/>
          <w:divBdr>
            <w:top w:val="none" w:sz="0" w:space="0" w:color="auto"/>
            <w:left w:val="none" w:sz="0" w:space="0" w:color="auto"/>
            <w:bottom w:val="none" w:sz="0" w:space="0" w:color="auto"/>
            <w:right w:val="none" w:sz="0" w:space="0" w:color="auto"/>
          </w:divBdr>
        </w:div>
        <w:div w:id="1756709105">
          <w:marLeft w:val="0"/>
          <w:marRight w:val="0"/>
          <w:marTop w:val="0"/>
          <w:marBottom w:val="0"/>
          <w:divBdr>
            <w:top w:val="none" w:sz="0" w:space="0" w:color="auto"/>
            <w:left w:val="none" w:sz="0" w:space="0" w:color="auto"/>
            <w:bottom w:val="none" w:sz="0" w:space="0" w:color="auto"/>
            <w:right w:val="none" w:sz="0" w:space="0" w:color="auto"/>
          </w:divBdr>
        </w:div>
        <w:div w:id="1758164808">
          <w:marLeft w:val="0"/>
          <w:marRight w:val="0"/>
          <w:marTop w:val="0"/>
          <w:marBottom w:val="0"/>
          <w:divBdr>
            <w:top w:val="none" w:sz="0" w:space="0" w:color="auto"/>
            <w:left w:val="none" w:sz="0" w:space="0" w:color="auto"/>
            <w:bottom w:val="none" w:sz="0" w:space="0" w:color="auto"/>
            <w:right w:val="none" w:sz="0" w:space="0" w:color="auto"/>
          </w:divBdr>
        </w:div>
        <w:div w:id="1759213278">
          <w:marLeft w:val="0"/>
          <w:marRight w:val="0"/>
          <w:marTop w:val="0"/>
          <w:marBottom w:val="0"/>
          <w:divBdr>
            <w:top w:val="none" w:sz="0" w:space="0" w:color="auto"/>
            <w:left w:val="none" w:sz="0" w:space="0" w:color="auto"/>
            <w:bottom w:val="none" w:sz="0" w:space="0" w:color="auto"/>
            <w:right w:val="none" w:sz="0" w:space="0" w:color="auto"/>
          </w:divBdr>
        </w:div>
        <w:div w:id="1767731066">
          <w:marLeft w:val="0"/>
          <w:marRight w:val="0"/>
          <w:marTop w:val="0"/>
          <w:marBottom w:val="0"/>
          <w:divBdr>
            <w:top w:val="none" w:sz="0" w:space="0" w:color="auto"/>
            <w:left w:val="none" w:sz="0" w:space="0" w:color="auto"/>
            <w:bottom w:val="none" w:sz="0" w:space="0" w:color="auto"/>
            <w:right w:val="none" w:sz="0" w:space="0" w:color="auto"/>
          </w:divBdr>
        </w:div>
        <w:div w:id="1832284493">
          <w:marLeft w:val="0"/>
          <w:marRight w:val="0"/>
          <w:marTop w:val="0"/>
          <w:marBottom w:val="0"/>
          <w:divBdr>
            <w:top w:val="none" w:sz="0" w:space="0" w:color="auto"/>
            <w:left w:val="none" w:sz="0" w:space="0" w:color="auto"/>
            <w:bottom w:val="none" w:sz="0" w:space="0" w:color="auto"/>
            <w:right w:val="none" w:sz="0" w:space="0" w:color="auto"/>
          </w:divBdr>
        </w:div>
        <w:div w:id="1838567873">
          <w:marLeft w:val="0"/>
          <w:marRight w:val="0"/>
          <w:marTop w:val="0"/>
          <w:marBottom w:val="0"/>
          <w:divBdr>
            <w:top w:val="none" w:sz="0" w:space="0" w:color="auto"/>
            <w:left w:val="none" w:sz="0" w:space="0" w:color="auto"/>
            <w:bottom w:val="none" w:sz="0" w:space="0" w:color="auto"/>
            <w:right w:val="none" w:sz="0" w:space="0" w:color="auto"/>
          </w:divBdr>
        </w:div>
        <w:div w:id="1851866112">
          <w:marLeft w:val="0"/>
          <w:marRight w:val="0"/>
          <w:marTop w:val="0"/>
          <w:marBottom w:val="0"/>
          <w:divBdr>
            <w:top w:val="none" w:sz="0" w:space="0" w:color="auto"/>
            <w:left w:val="none" w:sz="0" w:space="0" w:color="auto"/>
            <w:bottom w:val="none" w:sz="0" w:space="0" w:color="auto"/>
            <w:right w:val="none" w:sz="0" w:space="0" w:color="auto"/>
          </w:divBdr>
        </w:div>
        <w:div w:id="1866165130">
          <w:marLeft w:val="0"/>
          <w:marRight w:val="0"/>
          <w:marTop w:val="0"/>
          <w:marBottom w:val="0"/>
          <w:divBdr>
            <w:top w:val="none" w:sz="0" w:space="0" w:color="auto"/>
            <w:left w:val="none" w:sz="0" w:space="0" w:color="auto"/>
            <w:bottom w:val="none" w:sz="0" w:space="0" w:color="auto"/>
            <w:right w:val="none" w:sz="0" w:space="0" w:color="auto"/>
          </w:divBdr>
          <w:divsChild>
            <w:div w:id="649556639">
              <w:marLeft w:val="-75"/>
              <w:marRight w:val="0"/>
              <w:marTop w:val="30"/>
              <w:marBottom w:val="30"/>
              <w:divBdr>
                <w:top w:val="none" w:sz="0" w:space="0" w:color="auto"/>
                <w:left w:val="none" w:sz="0" w:space="0" w:color="auto"/>
                <w:bottom w:val="none" w:sz="0" w:space="0" w:color="auto"/>
                <w:right w:val="none" w:sz="0" w:space="0" w:color="auto"/>
              </w:divBdr>
              <w:divsChild>
                <w:div w:id="83453170">
                  <w:marLeft w:val="0"/>
                  <w:marRight w:val="0"/>
                  <w:marTop w:val="0"/>
                  <w:marBottom w:val="0"/>
                  <w:divBdr>
                    <w:top w:val="none" w:sz="0" w:space="0" w:color="auto"/>
                    <w:left w:val="none" w:sz="0" w:space="0" w:color="auto"/>
                    <w:bottom w:val="none" w:sz="0" w:space="0" w:color="auto"/>
                    <w:right w:val="none" w:sz="0" w:space="0" w:color="auto"/>
                  </w:divBdr>
                  <w:divsChild>
                    <w:div w:id="1830244318">
                      <w:marLeft w:val="0"/>
                      <w:marRight w:val="0"/>
                      <w:marTop w:val="0"/>
                      <w:marBottom w:val="0"/>
                      <w:divBdr>
                        <w:top w:val="none" w:sz="0" w:space="0" w:color="auto"/>
                        <w:left w:val="none" w:sz="0" w:space="0" w:color="auto"/>
                        <w:bottom w:val="none" w:sz="0" w:space="0" w:color="auto"/>
                        <w:right w:val="none" w:sz="0" w:space="0" w:color="auto"/>
                      </w:divBdr>
                    </w:div>
                  </w:divsChild>
                </w:div>
                <w:div w:id="194469749">
                  <w:marLeft w:val="0"/>
                  <w:marRight w:val="0"/>
                  <w:marTop w:val="0"/>
                  <w:marBottom w:val="0"/>
                  <w:divBdr>
                    <w:top w:val="none" w:sz="0" w:space="0" w:color="auto"/>
                    <w:left w:val="none" w:sz="0" w:space="0" w:color="auto"/>
                    <w:bottom w:val="none" w:sz="0" w:space="0" w:color="auto"/>
                    <w:right w:val="none" w:sz="0" w:space="0" w:color="auto"/>
                  </w:divBdr>
                  <w:divsChild>
                    <w:div w:id="1569655916">
                      <w:marLeft w:val="0"/>
                      <w:marRight w:val="0"/>
                      <w:marTop w:val="0"/>
                      <w:marBottom w:val="0"/>
                      <w:divBdr>
                        <w:top w:val="none" w:sz="0" w:space="0" w:color="auto"/>
                        <w:left w:val="none" w:sz="0" w:space="0" w:color="auto"/>
                        <w:bottom w:val="none" w:sz="0" w:space="0" w:color="auto"/>
                        <w:right w:val="none" w:sz="0" w:space="0" w:color="auto"/>
                      </w:divBdr>
                    </w:div>
                  </w:divsChild>
                </w:div>
                <w:div w:id="232351347">
                  <w:marLeft w:val="0"/>
                  <w:marRight w:val="0"/>
                  <w:marTop w:val="0"/>
                  <w:marBottom w:val="0"/>
                  <w:divBdr>
                    <w:top w:val="none" w:sz="0" w:space="0" w:color="auto"/>
                    <w:left w:val="none" w:sz="0" w:space="0" w:color="auto"/>
                    <w:bottom w:val="none" w:sz="0" w:space="0" w:color="auto"/>
                    <w:right w:val="none" w:sz="0" w:space="0" w:color="auto"/>
                  </w:divBdr>
                  <w:divsChild>
                    <w:div w:id="1873952759">
                      <w:marLeft w:val="0"/>
                      <w:marRight w:val="0"/>
                      <w:marTop w:val="0"/>
                      <w:marBottom w:val="0"/>
                      <w:divBdr>
                        <w:top w:val="none" w:sz="0" w:space="0" w:color="auto"/>
                        <w:left w:val="none" w:sz="0" w:space="0" w:color="auto"/>
                        <w:bottom w:val="none" w:sz="0" w:space="0" w:color="auto"/>
                        <w:right w:val="none" w:sz="0" w:space="0" w:color="auto"/>
                      </w:divBdr>
                    </w:div>
                  </w:divsChild>
                </w:div>
                <w:div w:id="287905624">
                  <w:marLeft w:val="0"/>
                  <w:marRight w:val="0"/>
                  <w:marTop w:val="0"/>
                  <w:marBottom w:val="0"/>
                  <w:divBdr>
                    <w:top w:val="none" w:sz="0" w:space="0" w:color="auto"/>
                    <w:left w:val="none" w:sz="0" w:space="0" w:color="auto"/>
                    <w:bottom w:val="none" w:sz="0" w:space="0" w:color="auto"/>
                    <w:right w:val="none" w:sz="0" w:space="0" w:color="auto"/>
                  </w:divBdr>
                  <w:divsChild>
                    <w:div w:id="700858690">
                      <w:marLeft w:val="0"/>
                      <w:marRight w:val="0"/>
                      <w:marTop w:val="0"/>
                      <w:marBottom w:val="0"/>
                      <w:divBdr>
                        <w:top w:val="none" w:sz="0" w:space="0" w:color="auto"/>
                        <w:left w:val="none" w:sz="0" w:space="0" w:color="auto"/>
                        <w:bottom w:val="none" w:sz="0" w:space="0" w:color="auto"/>
                        <w:right w:val="none" w:sz="0" w:space="0" w:color="auto"/>
                      </w:divBdr>
                    </w:div>
                  </w:divsChild>
                </w:div>
                <w:div w:id="327948313">
                  <w:marLeft w:val="0"/>
                  <w:marRight w:val="0"/>
                  <w:marTop w:val="0"/>
                  <w:marBottom w:val="0"/>
                  <w:divBdr>
                    <w:top w:val="none" w:sz="0" w:space="0" w:color="auto"/>
                    <w:left w:val="none" w:sz="0" w:space="0" w:color="auto"/>
                    <w:bottom w:val="none" w:sz="0" w:space="0" w:color="auto"/>
                    <w:right w:val="none" w:sz="0" w:space="0" w:color="auto"/>
                  </w:divBdr>
                  <w:divsChild>
                    <w:div w:id="1629124593">
                      <w:marLeft w:val="0"/>
                      <w:marRight w:val="0"/>
                      <w:marTop w:val="0"/>
                      <w:marBottom w:val="0"/>
                      <w:divBdr>
                        <w:top w:val="none" w:sz="0" w:space="0" w:color="auto"/>
                        <w:left w:val="none" w:sz="0" w:space="0" w:color="auto"/>
                        <w:bottom w:val="none" w:sz="0" w:space="0" w:color="auto"/>
                        <w:right w:val="none" w:sz="0" w:space="0" w:color="auto"/>
                      </w:divBdr>
                    </w:div>
                  </w:divsChild>
                </w:div>
                <w:div w:id="478227351">
                  <w:marLeft w:val="0"/>
                  <w:marRight w:val="0"/>
                  <w:marTop w:val="0"/>
                  <w:marBottom w:val="0"/>
                  <w:divBdr>
                    <w:top w:val="none" w:sz="0" w:space="0" w:color="auto"/>
                    <w:left w:val="none" w:sz="0" w:space="0" w:color="auto"/>
                    <w:bottom w:val="none" w:sz="0" w:space="0" w:color="auto"/>
                    <w:right w:val="none" w:sz="0" w:space="0" w:color="auto"/>
                  </w:divBdr>
                  <w:divsChild>
                    <w:div w:id="741294686">
                      <w:marLeft w:val="0"/>
                      <w:marRight w:val="0"/>
                      <w:marTop w:val="0"/>
                      <w:marBottom w:val="0"/>
                      <w:divBdr>
                        <w:top w:val="none" w:sz="0" w:space="0" w:color="auto"/>
                        <w:left w:val="none" w:sz="0" w:space="0" w:color="auto"/>
                        <w:bottom w:val="none" w:sz="0" w:space="0" w:color="auto"/>
                        <w:right w:val="none" w:sz="0" w:space="0" w:color="auto"/>
                      </w:divBdr>
                    </w:div>
                  </w:divsChild>
                </w:div>
                <w:div w:id="526600410">
                  <w:marLeft w:val="0"/>
                  <w:marRight w:val="0"/>
                  <w:marTop w:val="0"/>
                  <w:marBottom w:val="0"/>
                  <w:divBdr>
                    <w:top w:val="none" w:sz="0" w:space="0" w:color="auto"/>
                    <w:left w:val="none" w:sz="0" w:space="0" w:color="auto"/>
                    <w:bottom w:val="none" w:sz="0" w:space="0" w:color="auto"/>
                    <w:right w:val="none" w:sz="0" w:space="0" w:color="auto"/>
                  </w:divBdr>
                  <w:divsChild>
                    <w:div w:id="1320427072">
                      <w:marLeft w:val="0"/>
                      <w:marRight w:val="0"/>
                      <w:marTop w:val="0"/>
                      <w:marBottom w:val="0"/>
                      <w:divBdr>
                        <w:top w:val="none" w:sz="0" w:space="0" w:color="auto"/>
                        <w:left w:val="none" w:sz="0" w:space="0" w:color="auto"/>
                        <w:bottom w:val="none" w:sz="0" w:space="0" w:color="auto"/>
                        <w:right w:val="none" w:sz="0" w:space="0" w:color="auto"/>
                      </w:divBdr>
                    </w:div>
                  </w:divsChild>
                </w:div>
                <w:div w:id="635724915">
                  <w:marLeft w:val="0"/>
                  <w:marRight w:val="0"/>
                  <w:marTop w:val="0"/>
                  <w:marBottom w:val="0"/>
                  <w:divBdr>
                    <w:top w:val="none" w:sz="0" w:space="0" w:color="auto"/>
                    <w:left w:val="none" w:sz="0" w:space="0" w:color="auto"/>
                    <w:bottom w:val="none" w:sz="0" w:space="0" w:color="auto"/>
                    <w:right w:val="none" w:sz="0" w:space="0" w:color="auto"/>
                  </w:divBdr>
                  <w:divsChild>
                    <w:div w:id="103618739">
                      <w:marLeft w:val="0"/>
                      <w:marRight w:val="0"/>
                      <w:marTop w:val="0"/>
                      <w:marBottom w:val="0"/>
                      <w:divBdr>
                        <w:top w:val="none" w:sz="0" w:space="0" w:color="auto"/>
                        <w:left w:val="none" w:sz="0" w:space="0" w:color="auto"/>
                        <w:bottom w:val="none" w:sz="0" w:space="0" w:color="auto"/>
                        <w:right w:val="none" w:sz="0" w:space="0" w:color="auto"/>
                      </w:divBdr>
                    </w:div>
                  </w:divsChild>
                </w:div>
                <w:div w:id="666055342">
                  <w:marLeft w:val="0"/>
                  <w:marRight w:val="0"/>
                  <w:marTop w:val="0"/>
                  <w:marBottom w:val="0"/>
                  <w:divBdr>
                    <w:top w:val="none" w:sz="0" w:space="0" w:color="auto"/>
                    <w:left w:val="none" w:sz="0" w:space="0" w:color="auto"/>
                    <w:bottom w:val="none" w:sz="0" w:space="0" w:color="auto"/>
                    <w:right w:val="none" w:sz="0" w:space="0" w:color="auto"/>
                  </w:divBdr>
                  <w:divsChild>
                    <w:div w:id="1055661816">
                      <w:marLeft w:val="0"/>
                      <w:marRight w:val="0"/>
                      <w:marTop w:val="0"/>
                      <w:marBottom w:val="0"/>
                      <w:divBdr>
                        <w:top w:val="none" w:sz="0" w:space="0" w:color="auto"/>
                        <w:left w:val="none" w:sz="0" w:space="0" w:color="auto"/>
                        <w:bottom w:val="none" w:sz="0" w:space="0" w:color="auto"/>
                        <w:right w:val="none" w:sz="0" w:space="0" w:color="auto"/>
                      </w:divBdr>
                    </w:div>
                  </w:divsChild>
                </w:div>
                <w:div w:id="724909199">
                  <w:marLeft w:val="0"/>
                  <w:marRight w:val="0"/>
                  <w:marTop w:val="0"/>
                  <w:marBottom w:val="0"/>
                  <w:divBdr>
                    <w:top w:val="none" w:sz="0" w:space="0" w:color="auto"/>
                    <w:left w:val="none" w:sz="0" w:space="0" w:color="auto"/>
                    <w:bottom w:val="none" w:sz="0" w:space="0" w:color="auto"/>
                    <w:right w:val="none" w:sz="0" w:space="0" w:color="auto"/>
                  </w:divBdr>
                  <w:divsChild>
                    <w:div w:id="805779374">
                      <w:marLeft w:val="0"/>
                      <w:marRight w:val="0"/>
                      <w:marTop w:val="0"/>
                      <w:marBottom w:val="0"/>
                      <w:divBdr>
                        <w:top w:val="none" w:sz="0" w:space="0" w:color="auto"/>
                        <w:left w:val="none" w:sz="0" w:space="0" w:color="auto"/>
                        <w:bottom w:val="none" w:sz="0" w:space="0" w:color="auto"/>
                        <w:right w:val="none" w:sz="0" w:space="0" w:color="auto"/>
                      </w:divBdr>
                    </w:div>
                  </w:divsChild>
                </w:div>
                <w:div w:id="750782402">
                  <w:marLeft w:val="0"/>
                  <w:marRight w:val="0"/>
                  <w:marTop w:val="0"/>
                  <w:marBottom w:val="0"/>
                  <w:divBdr>
                    <w:top w:val="none" w:sz="0" w:space="0" w:color="auto"/>
                    <w:left w:val="none" w:sz="0" w:space="0" w:color="auto"/>
                    <w:bottom w:val="none" w:sz="0" w:space="0" w:color="auto"/>
                    <w:right w:val="none" w:sz="0" w:space="0" w:color="auto"/>
                  </w:divBdr>
                  <w:divsChild>
                    <w:div w:id="1298802975">
                      <w:marLeft w:val="0"/>
                      <w:marRight w:val="0"/>
                      <w:marTop w:val="0"/>
                      <w:marBottom w:val="0"/>
                      <w:divBdr>
                        <w:top w:val="none" w:sz="0" w:space="0" w:color="auto"/>
                        <w:left w:val="none" w:sz="0" w:space="0" w:color="auto"/>
                        <w:bottom w:val="none" w:sz="0" w:space="0" w:color="auto"/>
                        <w:right w:val="none" w:sz="0" w:space="0" w:color="auto"/>
                      </w:divBdr>
                    </w:div>
                  </w:divsChild>
                </w:div>
                <w:div w:id="845824421">
                  <w:marLeft w:val="0"/>
                  <w:marRight w:val="0"/>
                  <w:marTop w:val="0"/>
                  <w:marBottom w:val="0"/>
                  <w:divBdr>
                    <w:top w:val="none" w:sz="0" w:space="0" w:color="auto"/>
                    <w:left w:val="none" w:sz="0" w:space="0" w:color="auto"/>
                    <w:bottom w:val="none" w:sz="0" w:space="0" w:color="auto"/>
                    <w:right w:val="none" w:sz="0" w:space="0" w:color="auto"/>
                  </w:divBdr>
                  <w:divsChild>
                    <w:div w:id="1936982081">
                      <w:marLeft w:val="0"/>
                      <w:marRight w:val="0"/>
                      <w:marTop w:val="0"/>
                      <w:marBottom w:val="0"/>
                      <w:divBdr>
                        <w:top w:val="none" w:sz="0" w:space="0" w:color="auto"/>
                        <w:left w:val="none" w:sz="0" w:space="0" w:color="auto"/>
                        <w:bottom w:val="none" w:sz="0" w:space="0" w:color="auto"/>
                        <w:right w:val="none" w:sz="0" w:space="0" w:color="auto"/>
                      </w:divBdr>
                    </w:div>
                  </w:divsChild>
                </w:div>
                <w:div w:id="856848003">
                  <w:marLeft w:val="0"/>
                  <w:marRight w:val="0"/>
                  <w:marTop w:val="0"/>
                  <w:marBottom w:val="0"/>
                  <w:divBdr>
                    <w:top w:val="none" w:sz="0" w:space="0" w:color="auto"/>
                    <w:left w:val="none" w:sz="0" w:space="0" w:color="auto"/>
                    <w:bottom w:val="none" w:sz="0" w:space="0" w:color="auto"/>
                    <w:right w:val="none" w:sz="0" w:space="0" w:color="auto"/>
                  </w:divBdr>
                  <w:divsChild>
                    <w:div w:id="987855805">
                      <w:marLeft w:val="0"/>
                      <w:marRight w:val="0"/>
                      <w:marTop w:val="0"/>
                      <w:marBottom w:val="0"/>
                      <w:divBdr>
                        <w:top w:val="none" w:sz="0" w:space="0" w:color="auto"/>
                        <w:left w:val="none" w:sz="0" w:space="0" w:color="auto"/>
                        <w:bottom w:val="none" w:sz="0" w:space="0" w:color="auto"/>
                        <w:right w:val="none" w:sz="0" w:space="0" w:color="auto"/>
                      </w:divBdr>
                    </w:div>
                  </w:divsChild>
                </w:div>
                <w:div w:id="874273915">
                  <w:marLeft w:val="0"/>
                  <w:marRight w:val="0"/>
                  <w:marTop w:val="0"/>
                  <w:marBottom w:val="0"/>
                  <w:divBdr>
                    <w:top w:val="none" w:sz="0" w:space="0" w:color="auto"/>
                    <w:left w:val="none" w:sz="0" w:space="0" w:color="auto"/>
                    <w:bottom w:val="none" w:sz="0" w:space="0" w:color="auto"/>
                    <w:right w:val="none" w:sz="0" w:space="0" w:color="auto"/>
                  </w:divBdr>
                  <w:divsChild>
                    <w:div w:id="255135763">
                      <w:marLeft w:val="0"/>
                      <w:marRight w:val="0"/>
                      <w:marTop w:val="0"/>
                      <w:marBottom w:val="0"/>
                      <w:divBdr>
                        <w:top w:val="none" w:sz="0" w:space="0" w:color="auto"/>
                        <w:left w:val="none" w:sz="0" w:space="0" w:color="auto"/>
                        <w:bottom w:val="none" w:sz="0" w:space="0" w:color="auto"/>
                        <w:right w:val="none" w:sz="0" w:space="0" w:color="auto"/>
                      </w:divBdr>
                    </w:div>
                  </w:divsChild>
                </w:div>
                <w:div w:id="976956404">
                  <w:marLeft w:val="0"/>
                  <w:marRight w:val="0"/>
                  <w:marTop w:val="0"/>
                  <w:marBottom w:val="0"/>
                  <w:divBdr>
                    <w:top w:val="none" w:sz="0" w:space="0" w:color="auto"/>
                    <w:left w:val="none" w:sz="0" w:space="0" w:color="auto"/>
                    <w:bottom w:val="none" w:sz="0" w:space="0" w:color="auto"/>
                    <w:right w:val="none" w:sz="0" w:space="0" w:color="auto"/>
                  </w:divBdr>
                  <w:divsChild>
                    <w:div w:id="912281707">
                      <w:marLeft w:val="0"/>
                      <w:marRight w:val="0"/>
                      <w:marTop w:val="0"/>
                      <w:marBottom w:val="0"/>
                      <w:divBdr>
                        <w:top w:val="none" w:sz="0" w:space="0" w:color="auto"/>
                        <w:left w:val="none" w:sz="0" w:space="0" w:color="auto"/>
                        <w:bottom w:val="none" w:sz="0" w:space="0" w:color="auto"/>
                        <w:right w:val="none" w:sz="0" w:space="0" w:color="auto"/>
                      </w:divBdr>
                    </w:div>
                  </w:divsChild>
                </w:div>
                <w:div w:id="1017316280">
                  <w:marLeft w:val="0"/>
                  <w:marRight w:val="0"/>
                  <w:marTop w:val="0"/>
                  <w:marBottom w:val="0"/>
                  <w:divBdr>
                    <w:top w:val="none" w:sz="0" w:space="0" w:color="auto"/>
                    <w:left w:val="none" w:sz="0" w:space="0" w:color="auto"/>
                    <w:bottom w:val="none" w:sz="0" w:space="0" w:color="auto"/>
                    <w:right w:val="none" w:sz="0" w:space="0" w:color="auto"/>
                  </w:divBdr>
                  <w:divsChild>
                    <w:div w:id="362247508">
                      <w:marLeft w:val="0"/>
                      <w:marRight w:val="0"/>
                      <w:marTop w:val="0"/>
                      <w:marBottom w:val="0"/>
                      <w:divBdr>
                        <w:top w:val="none" w:sz="0" w:space="0" w:color="auto"/>
                        <w:left w:val="none" w:sz="0" w:space="0" w:color="auto"/>
                        <w:bottom w:val="none" w:sz="0" w:space="0" w:color="auto"/>
                        <w:right w:val="none" w:sz="0" w:space="0" w:color="auto"/>
                      </w:divBdr>
                    </w:div>
                  </w:divsChild>
                </w:div>
                <w:div w:id="1066807201">
                  <w:marLeft w:val="0"/>
                  <w:marRight w:val="0"/>
                  <w:marTop w:val="0"/>
                  <w:marBottom w:val="0"/>
                  <w:divBdr>
                    <w:top w:val="none" w:sz="0" w:space="0" w:color="auto"/>
                    <w:left w:val="none" w:sz="0" w:space="0" w:color="auto"/>
                    <w:bottom w:val="none" w:sz="0" w:space="0" w:color="auto"/>
                    <w:right w:val="none" w:sz="0" w:space="0" w:color="auto"/>
                  </w:divBdr>
                  <w:divsChild>
                    <w:div w:id="958561140">
                      <w:marLeft w:val="0"/>
                      <w:marRight w:val="0"/>
                      <w:marTop w:val="0"/>
                      <w:marBottom w:val="0"/>
                      <w:divBdr>
                        <w:top w:val="none" w:sz="0" w:space="0" w:color="auto"/>
                        <w:left w:val="none" w:sz="0" w:space="0" w:color="auto"/>
                        <w:bottom w:val="none" w:sz="0" w:space="0" w:color="auto"/>
                        <w:right w:val="none" w:sz="0" w:space="0" w:color="auto"/>
                      </w:divBdr>
                    </w:div>
                  </w:divsChild>
                </w:div>
                <w:div w:id="1095638844">
                  <w:marLeft w:val="0"/>
                  <w:marRight w:val="0"/>
                  <w:marTop w:val="0"/>
                  <w:marBottom w:val="0"/>
                  <w:divBdr>
                    <w:top w:val="none" w:sz="0" w:space="0" w:color="auto"/>
                    <w:left w:val="none" w:sz="0" w:space="0" w:color="auto"/>
                    <w:bottom w:val="none" w:sz="0" w:space="0" w:color="auto"/>
                    <w:right w:val="none" w:sz="0" w:space="0" w:color="auto"/>
                  </w:divBdr>
                  <w:divsChild>
                    <w:div w:id="1852837844">
                      <w:marLeft w:val="0"/>
                      <w:marRight w:val="0"/>
                      <w:marTop w:val="0"/>
                      <w:marBottom w:val="0"/>
                      <w:divBdr>
                        <w:top w:val="none" w:sz="0" w:space="0" w:color="auto"/>
                        <w:left w:val="none" w:sz="0" w:space="0" w:color="auto"/>
                        <w:bottom w:val="none" w:sz="0" w:space="0" w:color="auto"/>
                        <w:right w:val="none" w:sz="0" w:space="0" w:color="auto"/>
                      </w:divBdr>
                    </w:div>
                  </w:divsChild>
                </w:div>
                <w:div w:id="1131706237">
                  <w:marLeft w:val="0"/>
                  <w:marRight w:val="0"/>
                  <w:marTop w:val="0"/>
                  <w:marBottom w:val="0"/>
                  <w:divBdr>
                    <w:top w:val="none" w:sz="0" w:space="0" w:color="auto"/>
                    <w:left w:val="none" w:sz="0" w:space="0" w:color="auto"/>
                    <w:bottom w:val="none" w:sz="0" w:space="0" w:color="auto"/>
                    <w:right w:val="none" w:sz="0" w:space="0" w:color="auto"/>
                  </w:divBdr>
                  <w:divsChild>
                    <w:div w:id="278462482">
                      <w:marLeft w:val="0"/>
                      <w:marRight w:val="0"/>
                      <w:marTop w:val="0"/>
                      <w:marBottom w:val="0"/>
                      <w:divBdr>
                        <w:top w:val="none" w:sz="0" w:space="0" w:color="auto"/>
                        <w:left w:val="none" w:sz="0" w:space="0" w:color="auto"/>
                        <w:bottom w:val="none" w:sz="0" w:space="0" w:color="auto"/>
                        <w:right w:val="none" w:sz="0" w:space="0" w:color="auto"/>
                      </w:divBdr>
                    </w:div>
                  </w:divsChild>
                </w:div>
                <w:div w:id="1432582601">
                  <w:marLeft w:val="0"/>
                  <w:marRight w:val="0"/>
                  <w:marTop w:val="0"/>
                  <w:marBottom w:val="0"/>
                  <w:divBdr>
                    <w:top w:val="none" w:sz="0" w:space="0" w:color="auto"/>
                    <w:left w:val="none" w:sz="0" w:space="0" w:color="auto"/>
                    <w:bottom w:val="none" w:sz="0" w:space="0" w:color="auto"/>
                    <w:right w:val="none" w:sz="0" w:space="0" w:color="auto"/>
                  </w:divBdr>
                  <w:divsChild>
                    <w:div w:id="865142757">
                      <w:marLeft w:val="0"/>
                      <w:marRight w:val="0"/>
                      <w:marTop w:val="0"/>
                      <w:marBottom w:val="0"/>
                      <w:divBdr>
                        <w:top w:val="none" w:sz="0" w:space="0" w:color="auto"/>
                        <w:left w:val="none" w:sz="0" w:space="0" w:color="auto"/>
                        <w:bottom w:val="none" w:sz="0" w:space="0" w:color="auto"/>
                        <w:right w:val="none" w:sz="0" w:space="0" w:color="auto"/>
                      </w:divBdr>
                    </w:div>
                  </w:divsChild>
                </w:div>
                <w:div w:id="1527862599">
                  <w:marLeft w:val="0"/>
                  <w:marRight w:val="0"/>
                  <w:marTop w:val="0"/>
                  <w:marBottom w:val="0"/>
                  <w:divBdr>
                    <w:top w:val="none" w:sz="0" w:space="0" w:color="auto"/>
                    <w:left w:val="none" w:sz="0" w:space="0" w:color="auto"/>
                    <w:bottom w:val="none" w:sz="0" w:space="0" w:color="auto"/>
                    <w:right w:val="none" w:sz="0" w:space="0" w:color="auto"/>
                  </w:divBdr>
                  <w:divsChild>
                    <w:div w:id="1999534251">
                      <w:marLeft w:val="0"/>
                      <w:marRight w:val="0"/>
                      <w:marTop w:val="0"/>
                      <w:marBottom w:val="0"/>
                      <w:divBdr>
                        <w:top w:val="none" w:sz="0" w:space="0" w:color="auto"/>
                        <w:left w:val="none" w:sz="0" w:space="0" w:color="auto"/>
                        <w:bottom w:val="none" w:sz="0" w:space="0" w:color="auto"/>
                        <w:right w:val="none" w:sz="0" w:space="0" w:color="auto"/>
                      </w:divBdr>
                    </w:div>
                  </w:divsChild>
                </w:div>
                <w:div w:id="1553035727">
                  <w:marLeft w:val="0"/>
                  <w:marRight w:val="0"/>
                  <w:marTop w:val="0"/>
                  <w:marBottom w:val="0"/>
                  <w:divBdr>
                    <w:top w:val="none" w:sz="0" w:space="0" w:color="auto"/>
                    <w:left w:val="none" w:sz="0" w:space="0" w:color="auto"/>
                    <w:bottom w:val="none" w:sz="0" w:space="0" w:color="auto"/>
                    <w:right w:val="none" w:sz="0" w:space="0" w:color="auto"/>
                  </w:divBdr>
                  <w:divsChild>
                    <w:div w:id="358823148">
                      <w:marLeft w:val="0"/>
                      <w:marRight w:val="0"/>
                      <w:marTop w:val="0"/>
                      <w:marBottom w:val="0"/>
                      <w:divBdr>
                        <w:top w:val="none" w:sz="0" w:space="0" w:color="auto"/>
                        <w:left w:val="none" w:sz="0" w:space="0" w:color="auto"/>
                        <w:bottom w:val="none" w:sz="0" w:space="0" w:color="auto"/>
                        <w:right w:val="none" w:sz="0" w:space="0" w:color="auto"/>
                      </w:divBdr>
                    </w:div>
                  </w:divsChild>
                </w:div>
                <w:div w:id="1666326069">
                  <w:marLeft w:val="0"/>
                  <w:marRight w:val="0"/>
                  <w:marTop w:val="0"/>
                  <w:marBottom w:val="0"/>
                  <w:divBdr>
                    <w:top w:val="none" w:sz="0" w:space="0" w:color="auto"/>
                    <w:left w:val="none" w:sz="0" w:space="0" w:color="auto"/>
                    <w:bottom w:val="none" w:sz="0" w:space="0" w:color="auto"/>
                    <w:right w:val="none" w:sz="0" w:space="0" w:color="auto"/>
                  </w:divBdr>
                  <w:divsChild>
                    <w:div w:id="792940899">
                      <w:marLeft w:val="0"/>
                      <w:marRight w:val="0"/>
                      <w:marTop w:val="0"/>
                      <w:marBottom w:val="0"/>
                      <w:divBdr>
                        <w:top w:val="none" w:sz="0" w:space="0" w:color="auto"/>
                        <w:left w:val="none" w:sz="0" w:space="0" w:color="auto"/>
                        <w:bottom w:val="none" w:sz="0" w:space="0" w:color="auto"/>
                        <w:right w:val="none" w:sz="0" w:space="0" w:color="auto"/>
                      </w:divBdr>
                    </w:div>
                  </w:divsChild>
                </w:div>
                <w:div w:id="1768310451">
                  <w:marLeft w:val="0"/>
                  <w:marRight w:val="0"/>
                  <w:marTop w:val="0"/>
                  <w:marBottom w:val="0"/>
                  <w:divBdr>
                    <w:top w:val="none" w:sz="0" w:space="0" w:color="auto"/>
                    <w:left w:val="none" w:sz="0" w:space="0" w:color="auto"/>
                    <w:bottom w:val="none" w:sz="0" w:space="0" w:color="auto"/>
                    <w:right w:val="none" w:sz="0" w:space="0" w:color="auto"/>
                  </w:divBdr>
                  <w:divsChild>
                    <w:div w:id="713575365">
                      <w:marLeft w:val="0"/>
                      <w:marRight w:val="0"/>
                      <w:marTop w:val="0"/>
                      <w:marBottom w:val="0"/>
                      <w:divBdr>
                        <w:top w:val="none" w:sz="0" w:space="0" w:color="auto"/>
                        <w:left w:val="none" w:sz="0" w:space="0" w:color="auto"/>
                        <w:bottom w:val="none" w:sz="0" w:space="0" w:color="auto"/>
                        <w:right w:val="none" w:sz="0" w:space="0" w:color="auto"/>
                      </w:divBdr>
                    </w:div>
                  </w:divsChild>
                </w:div>
                <w:div w:id="1774352838">
                  <w:marLeft w:val="0"/>
                  <w:marRight w:val="0"/>
                  <w:marTop w:val="0"/>
                  <w:marBottom w:val="0"/>
                  <w:divBdr>
                    <w:top w:val="none" w:sz="0" w:space="0" w:color="auto"/>
                    <w:left w:val="none" w:sz="0" w:space="0" w:color="auto"/>
                    <w:bottom w:val="none" w:sz="0" w:space="0" w:color="auto"/>
                    <w:right w:val="none" w:sz="0" w:space="0" w:color="auto"/>
                  </w:divBdr>
                  <w:divsChild>
                    <w:div w:id="1351371967">
                      <w:marLeft w:val="0"/>
                      <w:marRight w:val="0"/>
                      <w:marTop w:val="0"/>
                      <w:marBottom w:val="0"/>
                      <w:divBdr>
                        <w:top w:val="none" w:sz="0" w:space="0" w:color="auto"/>
                        <w:left w:val="none" w:sz="0" w:space="0" w:color="auto"/>
                        <w:bottom w:val="none" w:sz="0" w:space="0" w:color="auto"/>
                        <w:right w:val="none" w:sz="0" w:space="0" w:color="auto"/>
                      </w:divBdr>
                    </w:div>
                  </w:divsChild>
                </w:div>
                <w:div w:id="1802991478">
                  <w:marLeft w:val="0"/>
                  <w:marRight w:val="0"/>
                  <w:marTop w:val="0"/>
                  <w:marBottom w:val="0"/>
                  <w:divBdr>
                    <w:top w:val="none" w:sz="0" w:space="0" w:color="auto"/>
                    <w:left w:val="none" w:sz="0" w:space="0" w:color="auto"/>
                    <w:bottom w:val="none" w:sz="0" w:space="0" w:color="auto"/>
                    <w:right w:val="none" w:sz="0" w:space="0" w:color="auto"/>
                  </w:divBdr>
                  <w:divsChild>
                    <w:div w:id="1496190202">
                      <w:marLeft w:val="0"/>
                      <w:marRight w:val="0"/>
                      <w:marTop w:val="0"/>
                      <w:marBottom w:val="0"/>
                      <w:divBdr>
                        <w:top w:val="none" w:sz="0" w:space="0" w:color="auto"/>
                        <w:left w:val="none" w:sz="0" w:space="0" w:color="auto"/>
                        <w:bottom w:val="none" w:sz="0" w:space="0" w:color="auto"/>
                        <w:right w:val="none" w:sz="0" w:space="0" w:color="auto"/>
                      </w:divBdr>
                    </w:div>
                  </w:divsChild>
                </w:div>
                <w:div w:id="1815370903">
                  <w:marLeft w:val="0"/>
                  <w:marRight w:val="0"/>
                  <w:marTop w:val="0"/>
                  <w:marBottom w:val="0"/>
                  <w:divBdr>
                    <w:top w:val="none" w:sz="0" w:space="0" w:color="auto"/>
                    <w:left w:val="none" w:sz="0" w:space="0" w:color="auto"/>
                    <w:bottom w:val="none" w:sz="0" w:space="0" w:color="auto"/>
                    <w:right w:val="none" w:sz="0" w:space="0" w:color="auto"/>
                  </w:divBdr>
                  <w:divsChild>
                    <w:div w:id="1361399142">
                      <w:marLeft w:val="0"/>
                      <w:marRight w:val="0"/>
                      <w:marTop w:val="0"/>
                      <w:marBottom w:val="0"/>
                      <w:divBdr>
                        <w:top w:val="none" w:sz="0" w:space="0" w:color="auto"/>
                        <w:left w:val="none" w:sz="0" w:space="0" w:color="auto"/>
                        <w:bottom w:val="none" w:sz="0" w:space="0" w:color="auto"/>
                        <w:right w:val="none" w:sz="0" w:space="0" w:color="auto"/>
                      </w:divBdr>
                    </w:div>
                  </w:divsChild>
                </w:div>
                <w:div w:id="1831872727">
                  <w:marLeft w:val="0"/>
                  <w:marRight w:val="0"/>
                  <w:marTop w:val="0"/>
                  <w:marBottom w:val="0"/>
                  <w:divBdr>
                    <w:top w:val="none" w:sz="0" w:space="0" w:color="auto"/>
                    <w:left w:val="none" w:sz="0" w:space="0" w:color="auto"/>
                    <w:bottom w:val="none" w:sz="0" w:space="0" w:color="auto"/>
                    <w:right w:val="none" w:sz="0" w:space="0" w:color="auto"/>
                  </w:divBdr>
                  <w:divsChild>
                    <w:div w:id="1154101711">
                      <w:marLeft w:val="0"/>
                      <w:marRight w:val="0"/>
                      <w:marTop w:val="0"/>
                      <w:marBottom w:val="0"/>
                      <w:divBdr>
                        <w:top w:val="none" w:sz="0" w:space="0" w:color="auto"/>
                        <w:left w:val="none" w:sz="0" w:space="0" w:color="auto"/>
                        <w:bottom w:val="none" w:sz="0" w:space="0" w:color="auto"/>
                        <w:right w:val="none" w:sz="0" w:space="0" w:color="auto"/>
                      </w:divBdr>
                    </w:div>
                  </w:divsChild>
                </w:div>
                <w:div w:id="1866401969">
                  <w:marLeft w:val="0"/>
                  <w:marRight w:val="0"/>
                  <w:marTop w:val="0"/>
                  <w:marBottom w:val="0"/>
                  <w:divBdr>
                    <w:top w:val="none" w:sz="0" w:space="0" w:color="auto"/>
                    <w:left w:val="none" w:sz="0" w:space="0" w:color="auto"/>
                    <w:bottom w:val="none" w:sz="0" w:space="0" w:color="auto"/>
                    <w:right w:val="none" w:sz="0" w:space="0" w:color="auto"/>
                  </w:divBdr>
                  <w:divsChild>
                    <w:div w:id="1671174932">
                      <w:marLeft w:val="0"/>
                      <w:marRight w:val="0"/>
                      <w:marTop w:val="0"/>
                      <w:marBottom w:val="0"/>
                      <w:divBdr>
                        <w:top w:val="none" w:sz="0" w:space="0" w:color="auto"/>
                        <w:left w:val="none" w:sz="0" w:space="0" w:color="auto"/>
                        <w:bottom w:val="none" w:sz="0" w:space="0" w:color="auto"/>
                        <w:right w:val="none" w:sz="0" w:space="0" w:color="auto"/>
                      </w:divBdr>
                    </w:div>
                  </w:divsChild>
                </w:div>
                <w:div w:id="1874885108">
                  <w:marLeft w:val="0"/>
                  <w:marRight w:val="0"/>
                  <w:marTop w:val="0"/>
                  <w:marBottom w:val="0"/>
                  <w:divBdr>
                    <w:top w:val="none" w:sz="0" w:space="0" w:color="auto"/>
                    <w:left w:val="none" w:sz="0" w:space="0" w:color="auto"/>
                    <w:bottom w:val="none" w:sz="0" w:space="0" w:color="auto"/>
                    <w:right w:val="none" w:sz="0" w:space="0" w:color="auto"/>
                  </w:divBdr>
                  <w:divsChild>
                    <w:div w:id="1532768526">
                      <w:marLeft w:val="0"/>
                      <w:marRight w:val="0"/>
                      <w:marTop w:val="0"/>
                      <w:marBottom w:val="0"/>
                      <w:divBdr>
                        <w:top w:val="none" w:sz="0" w:space="0" w:color="auto"/>
                        <w:left w:val="none" w:sz="0" w:space="0" w:color="auto"/>
                        <w:bottom w:val="none" w:sz="0" w:space="0" w:color="auto"/>
                        <w:right w:val="none" w:sz="0" w:space="0" w:color="auto"/>
                      </w:divBdr>
                    </w:div>
                  </w:divsChild>
                </w:div>
                <w:div w:id="1940092437">
                  <w:marLeft w:val="0"/>
                  <w:marRight w:val="0"/>
                  <w:marTop w:val="0"/>
                  <w:marBottom w:val="0"/>
                  <w:divBdr>
                    <w:top w:val="none" w:sz="0" w:space="0" w:color="auto"/>
                    <w:left w:val="none" w:sz="0" w:space="0" w:color="auto"/>
                    <w:bottom w:val="none" w:sz="0" w:space="0" w:color="auto"/>
                    <w:right w:val="none" w:sz="0" w:space="0" w:color="auto"/>
                  </w:divBdr>
                  <w:divsChild>
                    <w:div w:id="1214999719">
                      <w:marLeft w:val="0"/>
                      <w:marRight w:val="0"/>
                      <w:marTop w:val="0"/>
                      <w:marBottom w:val="0"/>
                      <w:divBdr>
                        <w:top w:val="none" w:sz="0" w:space="0" w:color="auto"/>
                        <w:left w:val="none" w:sz="0" w:space="0" w:color="auto"/>
                        <w:bottom w:val="none" w:sz="0" w:space="0" w:color="auto"/>
                        <w:right w:val="none" w:sz="0" w:space="0" w:color="auto"/>
                      </w:divBdr>
                    </w:div>
                  </w:divsChild>
                </w:div>
                <w:div w:id="1940605095">
                  <w:marLeft w:val="0"/>
                  <w:marRight w:val="0"/>
                  <w:marTop w:val="0"/>
                  <w:marBottom w:val="0"/>
                  <w:divBdr>
                    <w:top w:val="none" w:sz="0" w:space="0" w:color="auto"/>
                    <w:left w:val="none" w:sz="0" w:space="0" w:color="auto"/>
                    <w:bottom w:val="none" w:sz="0" w:space="0" w:color="auto"/>
                    <w:right w:val="none" w:sz="0" w:space="0" w:color="auto"/>
                  </w:divBdr>
                  <w:divsChild>
                    <w:div w:id="1078212995">
                      <w:marLeft w:val="0"/>
                      <w:marRight w:val="0"/>
                      <w:marTop w:val="0"/>
                      <w:marBottom w:val="0"/>
                      <w:divBdr>
                        <w:top w:val="none" w:sz="0" w:space="0" w:color="auto"/>
                        <w:left w:val="none" w:sz="0" w:space="0" w:color="auto"/>
                        <w:bottom w:val="none" w:sz="0" w:space="0" w:color="auto"/>
                        <w:right w:val="none" w:sz="0" w:space="0" w:color="auto"/>
                      </w:divBdr>
                    </w:div>
                  </w:divsChild>
                </w:div>
                <w:div w:id="1941715680">
                  <w:marLeft w:val="0"/>
                  <w:marRight w:val="0"/>
                  <w:marTop w:val="0"/>
                  <w:marBottom w:val="0"/>
                  <w:divBdr>
                    <w:top w:val="none" w:sz="0" w:space="0" w:color="auto"/>
                    <w:left w:val="none" w:sz="0" w:space="0" w:color="auto"/>
                    <w:bottom w:val="none" w:sz="0" w:space="0" w:color="auto"/>
                    <w:right w:val="none" w:sz="0" w:space="0" w:color="auto"/>
                  </w:divBdr>
                  <w:divsChild>
                    <w:div w:id="521096183">
                      <w:marLeft w:val="0"/>
                      <w:marRight w:val="0"/>
                      <w:marTop w:val="0"/>
                      <w:marBottom w:val="0"/>
                      <w:divBdr>
                        <w:top w:val="none" w:sz="0" w:space="0" w:color="auto"/>
                        <w:left w:val="none" w:sz="0" w:space="0" w:color="auto"/>
                        <w:bottom w:val="none" w:sz="0" w:space="0" w:color="auto"/>
                        <w:right w:val="none" w:sz="0" w:space="0" w:color="auto"/>
                      </w:divBdr>
                    </w:div>
                  </w:divsChild>
                </w:div>
                <w:div w:id="1948082001">
                  <w:marLeft w:val="0"/>
                  <w:marRight w:val="0"/>
                  <w:marTop w:val="0"/>
                  <w:marBottom w:val="0"/>
                  <w:divBdr>
                    <w:top w:val="none" w:sz="0" w:space="0" w:color="auto"/>
                    <w:left w:val="none" w:sz="0" w:space="0" w:color="auto"/>
                    <w:bottom w:val="none" w:sz="0" w:space="0" w:color="auto"/>
                    <w:right w:val="none" w:sz="0" w:space="0" w:color="auto"/>
                  </w:divBdr>
                  <w:divsChild>
                    <w:div w:id="1666663565">
                      <w:marLeft w:val="0"/>
                      <w:marRight w:val="0"/>
                      <w:marTop w:val="0"/>
                      <w:marBottom w:val="0"/>
                      <w:divBdr>
                        <w:top w:val="none" w:sz="0" w:space="0" w:color="auto"/>
                        <w:left w:val="none" w:sz="0" w:space="0" w:color="auto"/>
                        <w:bottom w:val="none" w:sz="0" w:space="0" w:color="auto"/>
                        <w:right w:val="none" w:sz="0" w:space="0" w:color="auto"/>
                      </w:divBdr>
                    </w:div>
                  </w:divsChild>
                </w:div>
                <w:div w:id="1987393915">
                  <w:marLeft w:val="0"/>
                  <w:marRight w:val="0"/>
                  <w:marTop w:val="0"/>
                  <w:marBottom w:val="0"/>
                  <w:divBdr>
                    <w:top w:val="none" w:sz="0" w:space="0" w:color="auto"/>
                    <w:left w:val="none" w:sz="0" w:space="0" w:color="auto"/>
                    <w:bottom w:val="none" w:sz="0" w:space="0" w:color="auto"/>
                    <w:right w:val="none" w:sz="0" w:space="0" w:color="auto"/>
                  </w:divBdr>
                  <w:divsChild>
                    <w:div w:id="347832155">
                      <w:marLeft w:val="0"/>
                      <w:marRight w:val="0"/>
                      <w:marTop w:val="0"/>
                      <w:marBottom w:val="0"/>
                      <w:divBdr>
                        <w:top w:val="none" w:sz="0" w:space="0" w:color="auto"/>
                        <w:left w:val="none" w:sz="0" w:space="0" w:color="auto"/>
                        <w:bottom w:val="none" w:sz="0" w:space="0" w:color="auto"/>
                        <w:right w:val="none" w:sz="0" w:space="0" w:color="auto"/>
                      </w:divBdr>
                    </w:div>
                  </w:divsChild>
                </w:div>
                <w:div w:id="2025742712">
                  <w:marLeft w:val="0"/>
                  <w:marRight w:val="0"/>
                  <w:marTop w:val="0"/>
                  <w:marBottom w:val="0"/>
                  <w:divBdr>
                    <w:top w:val="none" w:sz="0" w:space="0" w:color="auto"/>
                    <w:left w:val="none" w:sz="0" w:space="0" w:color="auto"/>
                    <w:bottom w:val="none" w:sz="0" w:space="0" w:color="auto"/>
                    <w:right w:val="none" w:sz="0" w:space="0" w:color="auto"/>
                  </w:divBdr>
                  <w:divsChild>
                    <w:div w:id="842744616">
                      <w:marLeft w:val="0"/>
                      <w:marRight w:val="0"/>
                      <w:marTop w:val="0"/>
                      <w:marBottom w:val="0"/>
                      <w:divBdr>
                        <w:top w:val="none" w:sz="0" w:space="0" w:color="auto"/>
                        <w:left w:val="none" w:sz="0" w:space="0" w:color="auto"/>
                        <w:bottom w:val="none" w:sz="0" w:space="0" w:color="auto"/>
                        <w:right w:val="none" w:sz="0" w:space="0" w:color="auto"/>
                      </w:divBdr>
                    </w:div>
                  </w:divsChild>
                </w:div>
                <w:div w:id="2098600282">
                  <w:marLeft w:val="0"/>
                  <w:marRight w:val="0"/>
                  <w:marTop w:val="0"/>
                  <w:marBottom w:val="0"/>
                  <w:divBdr>
                    <w:top w:val="none" w:sz="0" w:space="0" w:color="auto"/>
                    <w:left w:val="none" w:sz="0" w:space="0" w:color="auto"/>
                    <w:bottom w:val="none" w:sz="0" w:space="0" w:color="auto"/>
                    <w:right w:val="none" w:sz="0" w:space="0" w:color="auto"/>
                  </w:divBdr>
                  <w:divsChild>
                    <w:div w:id="826090358">
                      <w:marLeft w:val="0"/>
                      <w:marRight w:val="0"/>
                      <w:marTop w:val="0"/>
                      <w:marBottom w:val="0"/>
                      <w:divBdr>
                        <w:top w:val="none" w:sz="0" w:space="0" w:color="auto"/>
                        <w:left w:val="none" w:sz="0" w:space="0" w:color="auto"/>
                        <w:bottom w:val="none" w:sz="0" w:space="0" w:color="auto"/>
                        <w:right w:val="none" w:sz="0" w:space="0" w:color="auto"/>
                      </w:divBdr>
                    </w:div>
                  </w:divsChild>
                </w:div>
                <w:div w:id="2129200877">
                  <w:marLeft w:val="0"/>
                  <w:marRight w:val="0"/>
                  <w:marTop w:val="0"/>
                  <w:marBottom w:val="0"/>
                  <w:divBdr>
                    <w:top w:val="none" w:sz="0" w:space="0" w:color="auto"/>
                    <w:left w:val="none" w:sz="0" w:space="0" w:color="auto"/>
                    <w:bottom w:val="none" w:sz="0" w:space="0" w:color="auto"/>
                    <w:right w:val="none" w:sz="0" w:space="0" w:color="auto"/>
                  </w:divBdr>
                  <w:divsChild>
                    <w:div w:id="14996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108714">
          <w:marLeft w:val="0"/>
          <w:marRight w:val="0"/>
          <w:marTop w:val="0"/>
          <w:marBottom w:val="0"/>
          <w:divBdr>
            <w:top w:val="none" w:sz="0" w:space="0" w:color="auto"/>
            <w:left w:val="none" w:sz="0" w:space="0" w:color="auto"/>
            <w:bottom w:val="none" w:sz="0" w:space="0" w:color="auto"/>
            <w:right w:val="none" w:sz="0" w:space="0" w:color="auto"/>
          </w:divBdr>
        </w:div>
        <w:div w:id="1962224917">
          <w:marLeft w:val="0"/>
          <w:marRight w:val="0"/>
          <w:marTop w:val="0"/>
          <w:marBottom w:val="0"/>
          <w:divBdr>
            <w:top w:val="none" w:sz="0" w:space="0" w:color="auto"/>
            <w:left w:val="none" w:sz="0" w:space="0" w:color="auto"/>
            <w:bottom w:val="none" w:sz="0" w:space="0" w:color="auto"/>
            <w:right w:val="none" w:sz="0" w:space="0" w:color="auto"/>
          </w:divBdr>
        </w:div>
        <w:div w:id="1981689068">
          <w:marLeft w:val="0"/>
          <w:marRight w:val="0"/>
          <w:marTop w:val="0"/>
          <w:marBottom w:val="0"/>
          <w:divBdr>
            <w:top w:val="none" w:sz="0" w:space="0" w:color="auto"/>
            <w:left w:val="none" w:sz="0" w:space="0" w:color="auto"/>
            <w:bottom w:val="none" w:sz="0" w:space="0" w:color="auto"/>
            <w:right w:val="none" w:sz="0" w:space="0" w:color="auto"/>
          </w:divBdr>
        </w:div>
        <w:div w:id="1987314217">
          <w:marLeft w:val="0"/>
          <w:marRight w:val="0"/>
          <w:marTop w:val="0"/>
          <w:marBottom w:val="0"/>
          <w:divBdr>
            <w:top w:val="none" w:sz="0" w:space="0" w:color="auto"/>
            <w:left w:val="none" w:sz="0" w:space="0" w:color="auto"/>
            <w:bottom w:val="none" w:sz="0" w:space="0" w:color="auto"/>
            <w:right w:val="none" w:sz="0" w:space="0" w:color="auto"/>
          </w:divBdr>
        </w:div>
        <w:div w:id="1990590784">
          <w:marLeft w:val="0"/>
          <w:marRight w:val="0"/>
          <w:marTop w:val="0"/>
          <w:marBottom w:val="0"/>
          <w:divBdr>
            <w:top w:val="none" w:sz="0" w:space="0" w:color="auto"/>
            <w:left w:val="none" w:sz="0" w:space="0" w:color="auto"/>
            <w:bottom w:val="none" w:sz="0" w:space="0" w:color="auto"/>
            <w:right w:val="none" w:sz="0" w:space="0" w:color="auto"/>
          </w:divBdr>
        </w:div>
        <w:div w:id="2014800579">
          <w:marLeft w:val="0"/>
          <w:marRight w:val="0"/>
          <w:marTop w:val="0"/>
          <w:marBottom w:val="0"/>
          <w:divBdr>
            <w:top w:val="none" w:sz="0" w:space="0" w:color="auto"/>
            <w:left w:val="none" w:sz="0" w:space="0" w:color="auto"/>
            <w:bottom w:val="none" w:sz="0" w:space="0" w:color="auto"/>
            <w:right w:val="none" w:sz="0" w:space="0" w:color="auto"/>
          </w:divBdr>
        </w:div>
        <w:div w:id="2036616533">
          <w:marLeft w:val="0"/>
          <w:marRight w:val="0"/>
          <w:marTop w:val="0"/>
          <w:marBottom w:val="0"/>
          <w:divBdr>
            <w:top w:val="none" w:sz="0" w:space="0" w:color="auto"/>
            <w:left w:val="none" w:sz="0" w:space="0" w:color="auto"/>
            <w:bottom w:val="none" w:sz="0" w:space="0" w:color="auto"/>
            <w:right w:val="none" w:sz="0" w:space="0" w:color="auto"/>
          </w:divBdr>
        </w:div>
        <w:div w:id="2041931192">
          <w:marLeft w:val="0"/>
          <w:marRight w:val="0"/>
          <w:marTop w:val="0"/>
          <w:marBottom w:val="0"/>
          <w:divBdr>
            <w:top w:val="none" w:sz="0" w:space="0" w:color="auto"/>
            <w:left w:val="none" w:sz="0" w:space="0" w:color="auto"/>
            <w:bottom w:val="none" w:sz="0" w:space="0" w:color="auto"/>
            <w:right w:val="none" w:sz="0" w:space="0" w:color="auto"/>
          </w:divBdr>
        </w:div>
        <w:div w:id="2077193699">
          <w:marLeft w:val="0"/>
          <w:marRight w:val="0"/>
          <w:marTop w:val="0"/>
          <w:marBottom w:val="0"/>
          <w:divBdr>
            <w:top w:val="none" w:sz="0" w:space="0" w:color="auto"/>
            <w:left w:val="none" w:sz="0" w:space="0" w:color="auto"/>
            <w:bottom w:val="none" w:sz="0" w:space="0" w:color="auto"/>
            <w:right w:val="none" w:sz="0" w:space="0" w:color="auto"/>
          </w:divBdr>
        </w:div>
        <w:div w:id="2083216310">
          <w:marLeft w:val="0"/>
          <w:marRight w:val="0"/>
          <w:marTop w:val="0"/>
          <w:marBottom w:val="0"/>
          <w:divBdr>
            <w:top w:val="none" w:sz="0" w:space="0" w:color="auto"/>
            <w:left w:val="none" w:sz="0" w:space="0" w:color="auto"/>
            <w:bottom w:val="none" w:sz="0" w:space="0" w:color="auto"/>
            <w:right w:val="none" w:sz="0" w:space="0" w:color="auto"/>
          </w:divBdr>
        </w:div>
        <w:div w:id="2096901265">
          <w:marLeft w:val="0"/>
          <w:marRight w:val="0"/>
          <w:marTop w:val="0"/>
          <w:marBottom w:val="0"/>
          <w:divBdr>
            <w:top w:val="none" w:sz="0" w:space="0" w:color="auto"/>
            <w:left w:val="none" w:sz="0" w:space="0" w:color="auto"/>
            <w:bottom w:val="none" w:sz="0" w:space="0" w:color="auto"/>
            <w:right w:val="none" w:sz="0" w:space="0" w:color="auto"/>
          </w:divBdr>
        </w:div>
        <w:div w:id="2120906553">
          <w:marLeft w:val="0"/>
          <w:marRight w:val="0"/>
          <w:marTop w:val="0"/>
          <w:marBottom w:val="0"/>
          <w:divBdr>
            <w:top w:val="none" w:sz="0" w:space="0" w:color="auto"/>
            <w:left w:val="none" w:sz="0" w:space="0" w:color="auto"/>
            <w:bottom w:val="none" w:sz="0" w:space="0" w:color="auto"/>
            <w:right w:val="none" w:sz="0" w:space="0" w:color="auto"/>
          </w:divBdr>
        </w:div>
        <w:div w:id="2126653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yperlink" Target="http://www.who.int/nutrition/publications/guiding_principles_compfeeding_breastfed.pdf" TargetMode="External"/><Relationship Id="rId3" Type="http://schemas.openxmlformats.org/officeDocument/2006/relationships/customXml" Target="../customXml/item3.xml"/><Relationship Id="rId21" Type="http://schemas.openxmlformats.org/officeDocument/2006/relationships/hyperlink" Target="http://allergen.org/index.ph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www.foodstandards.gov.au/code/applications/Documents/A1155_SD1_Risk%20assessment%20-%202nd%20CFS.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foodstandards.gov.au/publications/Pages/Compendium-of-Microbiological-Criteria-for-Food.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foodstandards.gov.au/science/monitoringnutrients/ausnut/ausnutdatafiles/pages/foodnutrient.aspx"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foodstandards.gov.au/publications/Pages/Principles-and-Practices-of-Dietary.aspx"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30" Type="http://schemas.microsoft.com/office/2020/10/relationships/intelligence" Target="intelligence2.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foodstandards.gov.au/publications/Pages/Principles-and-Practices-of-Dietary.aspx" TargetMode="External"/><Relationship Id="rId27"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EN/TXT/PDF/?uri=CELEX:32017R2470&amp;from=EN" TargetMode="External"/><Relationship Id="rId2" Type="http://schemas.openxmlformats.org/officeDocument/2006/relationships/hyperlink" Target="https://eur-lex.europa.eu/legal-content/EN/TXT/?uri=CELEX:32015R2283" TargetMode="External"/><Relationship Id="rId1" Type="http://schemas.openxmlformats.org/officeDocument/2006/relationships/hyperlink" Target="https://www.foodstandards.gov.au/code/applications/Pages/A1120AgaroseIonExchangeResinPA.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isl xmlns:xsd="http://www.w3.org/2001/XMLSchema" xmlns:xsi="http://www.w3.org/2001/XMLSchema-instance" xmlns="http://www.boldonjames.com/2008/01/sie/internal/label" sislVersion="0" policy="1865c0a7-d648-4a74-80fe-fa9dc7fe13cc" origin="defaultValue">
  <element uid="dd6c74cc-0de9-4a0a-85ef-439e2ceecf74" value=""/>
</sisl>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FSANZ Record" ma:contentTypeID="0x010100F5F252698E4843DFA3EBBF7EC57E522A0079C46301A2409F4ABBC251CF0AAF7E07" ma:contentTypeVersion="4" ma:contentTypeDescription="Files created by FSANZ including letters, draft documents and ideas for FSANZ business." ma:contentTypeScope="" ma:versionID="02743d4f7434e07d5a16187eb3e971d2">
  <xsd:schema xmlns:xsd="http://www.w3.org/2001/XMLSchema" xmlns:xs="http://www.w3.org/2001/XMLSchema" xmlns:p="http://schemas.microsoft.com/office/2006/metadata/properties" xmlns:ns2="0e0bee33-077a-46d4-80d5-abd1b3a3b85b" targetNamespace="http://schemas.microsoft.com/office/2006/metadata/properties" ma:root="true" ma:fieldsID="943e44e879acb81dc3248d9b17de7957"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2cbd839-da06-42ce-bcb3-8feb8bfdbb99}" ma:internalName="TaxCatchAll" ma:showField="CatchAllData" ma:web="e987d83f-ba4c-46cb-b9e9-2ca25d4ada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2cbd839-da06-42ce-bcb3-8feb8bfdbb99}" ma:internalName="TaxCatchAllLabel" ma:readOnly="true" ma:showField="CatchAllDataLabel" ma:web="e987d83f-ba4c-46cb-b9e9-2ca25d4ada19">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nillable="true"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CB2FFA9FD6109347A9495CD5860AFAE6" ma:contentTypeVersion="4" ma:contentTypeDescription="Create a new document." ma:contentTypeScope="" ma:versionID="d855f31f1184c2f9c5330b102a35b1ee">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7f7f394222715943dc44d7de31b8d340"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A85320-6694-464D-B454-D5659A4F7FA8}"/>
</file>

<file path=customXml/itemProps2.xml><?xml version="1.0" encoding="utf-8"?>
<ds:datastoreItem xmlns:ds="http://schemas.openxmlformats.org/officeDocument/2006/customXml" ds:itemID="{FD642E1A-EECB-4C2A-9489-FCC4E08AD862}"/>
</file>

<file path=customXml/itemProps3.xml><?xml version="1.0" encoding="utf-8"?>
<ds:datastoreItem xmlns:ds="http://schemas.openxmlformats.org/officeDocument/2006/customXml" ds:itemID="{0173B900-DF53-4FBF-AD03-80B088175306}"/>
</file>

<file path=customXml/itemProps4.xml><?xml version="1.0" encoding="utf-8"?>
<ds:datastoreItem xmlns:ds="http://schemas.openxmlformats.org/officeDocument/2006/customXml" ds:itemID="{D7AC62F0-574A-4031-933D-1483992DD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6C7A7A-F391-44A2-9C5B-3323928B8850}"/>
</file>

<file path=customXml/itemProps6.xml><?xml version="1.0" encoding="utf-8"?>
<ds:datastoreItem xmlns:ds="http://schemas.openxmlformats.org/officeDocument/2006/customXml" ds:itemID="{CC337880-3B6F-4FDA-BA2B-3EBD77875909}"/>
</file>

<file path=docProps/app.xml><?xml version="1.0" encoding="utf-8"?>
<Properties xmlns="http://schemas.openxmlformats.org/officeDocument/2006/extended-properties" xmlns:vt="http://schemas.openxmlformats.org/officeDocument/2006/docPropsVTypes">
  <Template>Normal</Template>
  <TotalTime>0</TotalTime>
  <Pages>17</Pages>
  <Words>28658</Words>
  <Characters>163357</Characters>
  <Application>Microsoft Office Word</Application>
  <DocSecurity>0</DocSecurity>
  <Lines>1361</Lines>
  <Paragraphs>383</Paragraphs>
  <ScaleCrop>false</ScaleCrop>
  <Company>ANZFA</Company>
  <LinksUpToDate>false</LinksUpToDate>
  <CharactersWithSpaces>191632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ronals</dc:creator>
  <cp:keywords/>
  <cp:lastModifiedBy>Tailee Vecchi</cp:lastModifiedBy>
  <cp:revision>3086</cp:revision>
  <cp:lastPrinted>2022-08-24T18:03:00Z</cp:lastPrinted>
  <dcterms:created xsi:type="dcterms:W3CDTF">2022-06-15T12:26:00Z</dcterms:created>
  <dcterms:modified xsi:type="dcterms:W3CDTF">2022-10-05T23:51:00Z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a22ae48f-4589-4525-b5f3-33b081fe6404</vt:lpwstr>
  </property>
  <property fmtid="{D5CDD505-2E9C-101B-9397-08002B2CF9AE}" pid="3" name="bjSaver">
    <vt:lpwstr>LlgSMo3yJ+fkgNEgbtQQbG6KKfc49ivc</vt:lpwstr>
  </property>
  <property fmtid="{D5CDD505-2E9C-101B-9397-08002B2CF9AE}" pid="4" name="bjDocumentLabelXML">
    <vt:lpwstr>&lt;?xml version="1.0" encoding="us-ascii"?&gt;&lt;sisl xmlns:xsd="http://www.w3.org/2001/XMLSchema" xmlns:xsi="http://www.w3.org/2001/XMLSchema-instance" sislVersion="0" policy="1865c0a7-d648-4a74-80fe-fa9dc7fe13cc" origin="defaultValue" xmlns="http://www.boldonj</vt:lpwstr>
  </property>
  <property fmtid="{D5CDD505-2E9C-101B-9397-08002B2CF9AE}" pid="5" name="bjDocumentLabelXML-0">
    <vt:lpwstr>ames.com/2008/01/sie/internal/label"&gt;&lt;element uid="dd6c74cc-0de9-4a0a-85ef-439e2ceecf74" value="" /&gt;&lt;/sisl&gt;</vt:lpwstr>
  </property>
  <property fmtid="{D5CDD505-2E9C-101B-9397-08002B2CF9AE}" pid="6" name="bjDocumentSecurityLabel">
    <vt:lpwstr>OFFICIAL</vt:lpwstr>
  </property>
  <property fmtid="{D5CDD505-2E9C-101B-9397-08002B2CF9AE}" pid="7" name="bjHeaderBothDocProperty">
    <vt:lpwstr>OFFICIAL_x000d_
 </vt:lpwstr>
  </property>
  <property fmtid="{D5CDD505-2E9C-101B-9397-08002B2CF9AE}" pid="8" name="bjHeaderFirstPageDocProperty">
    <vt:lpwstr>OFFICIAL_x000d_
 </vt:lpwstr>
  </property>
  <property fmtid="{D5CDD505-2E9C-101B-9397-08002B2CF9AE}" pid="9" name="bjHeaderEvenPageDocProperty">
    <vt:lpwstr>OFFICIAL_x000d_
 </vt:lpwstr>
  </property>
  <property fmtid="{D5CDD505-2E9C-101B-9397-08002B2CF9AE}" pid="10" name="bjFooterBothDocProperty">
    <vt:lpwstr>_x000d_
OFFICIAL </vt:lpwstr>
  </property>
  <property fmtid="{D5CDD505-2E9C-101B-9397-08002B2CF9AE}" pid="11" name="bjFooterFirstPageDocProperty">
    <vt:lpwstr>_x000d_
OFFICIAL </vt:lpwstr>
  </property>
  <property fmtid="{D5CDD505-2E9C-101B-9397-08002B2CF9AE}" pid="12" name="bjFooterEvenPageDocProperty">
    <vt:lpwstr>_x000d_
OFFICIAL </vt:lpwstr>
  </property>
  <property fmtid="{D5CDD505-2E9C-101B-9397-08002B2CF9AE}" pid="13" name="bjClsUserRVM">
    <vt:lpwstr>[]</vt:lpwstr>
  </property>
  <property fmtid="{D5CDD505-2E9C-101B-9397-08002B2CF9AE}" pid="14" name="ContentTypeId">
    <vt:lpwstr>0x010100CB2FFA9FD6109347A9495CD5860AFAE6</vt:lpwstr>
  </property>
  <property fmtid="{D5CDD505-2E9C-101B-9397-08002B2CF9AE}" pid="15" name="BCS">
    <vt:lpwstr>2;#Evaluation|43cb9915-dbd2-4e45-b39d-7bc5c58c72da</vt:lpwstr>
  </property>
  <property fmtid="{D5CDD505-2E9C-101B-9397-08002B2CF9AE}" pid="16" name="Access">
    <vt:lpwstr/>
  </property>
  <property fmtid="{D5CDD505-2E9C-101B-9397-08002B2CF9AE}" pid="17" name="Classification">
    <vt:lpwstr>1;#OFFICIAL|3776503d-ed4e-4d70-8dfd-8e17b238523b</vt:lpwstr>
  </property>
  <property fmtid="{D5CDD505-2E9C-101B-9397-08002B2CF9AE}" pid="18" name="pd3a3559ef84480a8025c4c7bb6e6dee">
    <vt:lpwstr/>
  </property>
  <property fmtid="{D5CDD505-2E9C-101B-9397-08002B2CF9AE}" pid="19" name="h46016694f704d158a57d0b5238c000e">
    <vt:lpwstr/>
  </property>
  <property fmtid="{D5CDD505-2E9C-101B-9397-08002B2CF9AE}" pid="20" name="Data_x0020_Privacy">
    <vt:lpwstr/>
  </property>
  <property fmtid="{D5CDD505-2E9C-101B-9397-08002B2CF9AE}" pid="21" name="Data_x0020_Category">
    <vt:lpwstr/>
  </property>
  <property fmtid="{D5CDD505-2E9C-101B-9397-08002B2CF9AE}" pid="22" name="Data_x0020_Accessibility">
    <vt:lpwstr/>
  </property>
  <property fmtid="{D5CDD505-2E9C-101B-9397-08002B2CF9AE}" pid="23" name="o2e94e0b7bb742308b3aec7384781dc0">
    <vt:lpwstr/>
  </property>
  <property fmtid="{D5CDD505-2E9C-101B-9397-08002B2CF9AE}" pid="24" name="Data Privacy">
    <vt:lpwstr/>
  </property>
  <property fmtid="{D5CDD505-2E9C-101B-9397-08002B2CF9AE}" pid="25" name="Data Category">
    <vt:lpwstr/>
  </property>
  <property fmtid="{D5CDD505-2E9C-101B-9397-08002B2CF9AE}" pid="26" name="Data Accessibility">
    <vt:lpwstr/>
  </property>
</Properties>
</file>