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C3EC" w14:textId="2483059E" w:rsidR="00E203C2" w:rsidRDefault="00E203C2" w:rsidP="00F50FF7">
      <w:r>
        <w:rPr>
          <w:noProof/>
          <w:lang w:eastAsia="en-GB" w:bidi="ar-SA"/>
        </w:rPr>
        <w:drawing>
          <wp:inline distT="0" distB="0" distL="0" distR="0" wp14:anchorId="653CD4DB" wp14:editId="327712BE">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49610EB9" w14:textId="77777777" w:rsidR="00E203C2" w:rsidRDefault="00E203C2" w:rsidP="00E203C2"/>
    <w:p w14:paraId="2B7EAED1" w14:textId="3DE5805B" w:rsidR="00BA24E2" w:rsidRPr="00E1172D" w:rsidRDefault="00E1172D" w:rsidP="00BA24E2">
      <w:pPr>
        <w:rPr>
          <w:b/>
          <w:sz w:val="28"/>
          <w:szCs w:val="28"/>
        </w:rPr>
      </w:pPr>
      <w:r w:rsidRPr="00E1172D">
        <w:rPr>
          <w:b/>
          <w:sz w:val="28"/>
          <w:szCs w:val="28"/>
        </w:rPr>
        <w:t>28</w:t>
      </w:r>
      <w:r w:rsidR="00BA24E2" w:rsidRPr="00E1172D">
        <w:rPr>
          <w:b/>
          <w:sz w:val="28"/>
          <w:szCs w:val="28"/>
        </w:rPr>
        <w:t xml:space="preserve"> </w:t>
      </w:r>
      <w:r w:rsidR="00E12F65" w:rsidRPr="00E1172D">
        <w:rPr>
          <w:b/>
          <w:sz w:val="28"/>
          <w:szCs w:val="28"/>
        </w:rPr>
        <w:t>September 2022</w:t>
      </w:r>
    </w:p>
    <w:p w14:paraId="36055913" w14:textId="44DBCAA1" w:rsidR="00BA24E2" w:rsidRPr="00E1172D" w:rsidRDefault="00E1172D" w:rsidP="00BA24E2">
      <w:pPr>
        <w:rPr>
          <w:b/>
          <w:sz w:val="28"/>
          <w:szCs w:val="28"/>
        </w:rPr>
      </w:pPr>
      <w:r w:rsidRPr="00E1172D">
        <w:rPr>
          <w:b/>
          <w:sz w:val="28"/>
          <w:szCs w:val="28"/>
        </w:rPr>
        <w:t>215-22</w:t>
      </w:r>
    </w:p>
    <w:p w14:paraId="0636FCE1" w14:textId="77777777" w:rsidR="00BA24E2" w:rsidRDefault="00BA24E2" w:rsidP="00E203C2"/>
    <w:p w14:paraId="06900874" w14:textId="2031925D" w:rsidR="00D056F1" w:rsidRPr="004C0146" w:rsidRDefault="000427B2" w:rsidP="002432EE">
      <w:pPr>
        <w:pStyle w:val="FSTitle"/>
        <w:rPr>
          <w:b/>
        </w:rPr>
      </w:pPr>
      <w:r w:rsidRPr="00351927">
        <w:rPr>
          <w:b/>
        </w:rPr>
        <w:t>C</w:t>
      </w:r>
      <w:r w:rsidR="00D8470F" w:rsidRPr="00351927">
        <w:rPr>
          <w:b/>
        </w:rPr>
        <w:t>all</w:t>
      </w:r>
      <w:r w:rsidRPr="00351927">
        <w:rPr>
          <w:b/>
        </w:rPr>
        <w:t xml:space="preserve"> </w:t>
      </w:r>
      <w:r w:rsidR="00D8470F" w:rsidRPr="00351927">
        <w:rPr>
          <w:b/>
        </w:rPr>
        <w:t>for</w:t>
      </w:r>
      <w:r w:rsidRPr="00351927">
        <w:rPr>
          <w:b/>
        </w:rPr>
        <w:t xml:space="preserve"> </w:t>
      </w:r>
      <w:r w:rsidR="00D8470F" w:rsidRPr="00351927">
        <w:rPr>
          <w:b/>
        </w:rPr>
        <w:t>submissions</w:t>
      </w:r>
      <w:r w:rsidRPr="00351927">
        <w:rPr>
          <w:b/>
        </w:rPr>
        <w:t xml:space="preserve"> – </w:t>
      </w:r>
      <w:r w:rsidR="00D056F1" w:rsidRPr="004C0146">
        <w:rPr>
          <w:b/>
        </w:rPr>
        <w:t>A</w:t>
      </w:r>
      <w:r w:rsidR="00A91DF1" w:rsidRPr="004C0146">
        <w:rPr>
          <w:b/>
        </w:rPr>
        <w:t>pplication</w:t>
      </w:r>
      <w:r w:rsidR="002040BF">
        <w:rPr>
          <w:b/>
        </w:rPr>
        <w:t xml:space="preserve"> A1252</w:t>
      </w:r>
    </w:p>
    <w:p w14:paraId="5EA0ECE8" w14:textId="77777777" w:rsidR="00E203C2" w:rsidRPr="004C0146" w:rsidRDefault="00E203C2" w:rsidP="00E203C2"/>
    <w:p w14:paraId="79FEBF1A" w14:textId="5E3B2AAF" w:rsidR="009B60D4" w:rsidRPr="002040BF" w:rsidRDefault="002040BF" w:rsidP="002040BF">
      <w:pPr>
        <w:pStyle w:val="Title"/>
        <w:jc w:val="left"/>
        <w:rPr>
          <w:b w:val="0"/>
          <w:i w:val="0"/>
          <w:sz w:val="32"/>
          <w:szCs w:val="32"/>
          <w:lang w:val="en-GB"/>
        </w:rPr>
      </w:pPr>
      <w:r w:rsidRPr="00D95ABF">
        <w:rPr>
          <w:b w:val="0"/>
          <w:i w:val="0"/>
          <w:sz w:val="32"/>
          <w:szCs w:val="32"/>
          <w:lang w:val="en-GB"/>
        </w:rPr>
        <w:t xml:space="preserve">Glucoamylase from GM </w:t>
      </w:r>
      <w:r w:rsidRPr="00D95ABF">
        <w:rPr>
          <w:b w:val="0"/>
          <w:sz w:val="32"/>
          <w:szCs w:val="32"/>
          <w:lang w:val="en-GB"/>
        </w:rPr>
        <w:t>Aspergillus niger</w:t>
      </w:r>
      <w:r w:rsidRPr="00D95ABF">
        <w:rPr>
          <w:b w:val="0"/>
          <w:i w:val="0"/>
          <w:sz w:val="32"/>
          <w:szCs w:val="32"/>
          <w:lang w:val="en-GB"/>
        </w:rPr>
        <w:t xml:space="preserve"> (gene donor</w:t>
      </w:r>
      <w:r>
        <w:rPr>
          <w:b w:val="0"/>
          <w:i w:val="0"/>
          <w:sz w:val="32"/>
          <w:szCs w:val="32"/>
          <w:lang w:val="en-GB"/>
        </w:rPr>
        <w:t>:</w:t>
      </w:r>
      <w:r w:rsidRPr="00D95ABF">
        <w:rPr>
          <w:b w:val="0"/>
          <w:i w:val="0"/>
          <w:sz w:val="32"/>
          <w:szCs w:val="32"/>
          <w:lang w:val="en-GB"/>
        </w:rPr>
        <w:t xml:space="preserve"> </w:t>
      </w:r>
      <w:r w:rsidRPr="00D95ABF">
        <w:rPr>
          <w:b w:val="0"/>
          <w:sz w:val="32"/>
          <w:szCs w:val="32"/>
          <w:lang w:val="en-GB"/>
        </w:rPr>
        <w:t>Penicillium oxalicum</w:t>
      </w:r>
      <w:r w:rsidRPr="00D95ABF">
        <w:rPr>
          <w:b w:val="0"/>
          <w:i w:val="0"/>
          <w:sz w:val="32"/>
          <w:szCs w:val="32"/>
          <w:lang w:val="en-GB"/>
        </w:rPr>
        <w:t xml:space="preserve">) </w:t>
      </w:r>
      <w:r>
        <w:rPr>
          <w:b w:val="0"/>
          <w:i w:val="0"/>
          <w:sz w:val="32"/>
          <w:szCs w:val="32"/>
          <w:lang w:val="en-GB"/>
        </w:rPr>
        <w:t>as a processing aid</w:t>
      </w:r>
    </w:p>
    <w:p w14:paraId="0735C279" w14:textId="18A0F736" w:rsidR="00E203C2" w:rsidRPr="00E81F6E" w:rsidRDefault="00E203C2" w:rsidP="7293741D">
      <w:pPr>
        <w:rPr>
          <w:szCs w:val="22"/>
        </w:rPr>
      </w:pPr>
    </w:p>
    <w:p w14:paraId="34725368" w14:textId="5A5EF13D" w:rsidR="00E063C6" w:rsidRPr="00FB1634" w:rsidRDefault="001F3E03" w:rsidP="00E203C2">
      <w:pPr>
        <w:rPr>
          <w:sz w:val="20"/>
          <w:szCs w:val="20"/>
        </w:rPr>
      </w:pPr>
      <w:r w:rsidRPr="7293741D">
        <w:rPr>
          <w:sz w:val="20"/>
          <w:szCs w:val="20"/>
        </w:rPr>
        <w:t>Food Standards Australia New Zealand (</w:t>
      </w:r>
      <w:r w:rsidR="00E063C6" w:rsidRPr="7293741D">
        <w:rPr>
          <w:sz w:val="20"/>
          <w:szCs w:val="20"/>
        </w:rPr>
        <w:t>FSANZ</w:t>
      </w:r>
      <w:r w:rsidRPr="7293741D">
        <w:rPr>
          <w:sz w:val="20"/>
          <w:szCs w:val="20"/>
        </w:rPr>
        <w:t>)</w:t>
      </w:r>
      <w:r w:rsidR="00E063C6" w:rsidRPr="7293741D">
        <w:rPr>
          <w:sz w:val="20"/>
          <w:szCs w:val="20"/>
        </w:rPr>
        <w:t xml:space="preserve"> </w:t>
      </w:r>
      <w:r w:rsidR="00D81D38" w:rsidRPr="7293741D">
        <w:rPr>
          <w:sz w:val="20"/>
          <w:szCs w:val="20"/>
        </w:rPr>
        <w:t xml:space="preserve">has assessed an </w:t>
      </w:r>
      <w:r w:rsidR="00A2712C" w:rsidRPr="7293741D">
        <w:rPr>
          <w:sz w:val="20"/>
          <w:szCs w:val="20"/>
        </w:rPr>
        <w:t xml:space="preserve">application </w:t>
      </w:r>
      <w:r w:rsidR="00FB1634" w:rsidRPr="7293741D">
        <w:rPr>
          <w:sz w:val="20"/>
          <w:szCs w:val="20"/>
        </w:rPr>
        <w:t>made by Novozymes Australia Pty Ltd</w:t>
      </w:r>
      <w:r w:rsidR="00351B07" w:rsidRPr="7293741D">
        <w:rPr>
          <w:sz w:val="20"/>
          <w:szCs w:val="20"/>
        </w:rPr>
        <w:t xml:space="preserve"> </w:t>
      </w:r>
      <w:r w:rsidR="007C174F" w:rsidRPr="7293741D">
        <w:rPr>
          <w:sz w:val="20"/>
          <w:szCs w:val="20"/>
        </w:rPr>
        <w:t>to</w:t>
      </w:r>
      <w:r w:rsidR="00FB1634" w:rsidRPr="7293741D">
        <w:rPr>
          <w:sz w:val="20"/>
          <w:szCs w:val="20"/>
        </w:rPr>
        <w:t xml:space="preserve"> amend </w:t>
      </w:r>
      <w:r w:rsidR="003C6C68" w:rsidRPr="7293741D">
        <w:rPr>
          <w:sz w:val="20"/>
          <w:szCs w:val="20"/>
        </w:rPr>
        <w:t>t</w:t>
      </w:r>
      <w:r w:rsidR="0002514C" w:rsidRPr="7293741D">
        <w:rPr>
          <w:sz w:val="20"/>
          <w:szCs w:val="20"/>
        </w:rPr>
        <w:t>he Australia New Zealand Food Standards Cod</w:t>
      </w:r>
      <w:r w:rsidR="0094004B" w:rsidRPr="7293741D">
        <w:rPr>
          <w:sz w:val="20"/>
          <w:szCs w:val="20"/>
        </w:rPr>
        <w:t>e to permit a protein engineered variant of</w:t>
      </w:r>
      <w:r w:rsidR="002040BF" w:rsidRPr="7293741D">
        <w:rPr>
          <w:sz w:val="20"/>
          <w:szCs w:val="20"/>
        </w:rPr>
        <w:t xml:space="preserve"> </w:t>
      </w:r>
      <w:r w:rsidR="00133679">
        <w:rPr>
          <w:sz w:val="20"/>
          <w:szCs w:val="20"/>
        </w:rPr>
        <w:t xml:space="preserve">the </w:t>
      </w:r>
      <w:r w:rsidR="002040BF" w:rsidRPr="7293741D">
        <w:rPr>
          <w:sz w:val="20"/>
          <w:szCs w:val="20"/>
        </w:rPr>
        <w:t>glucoamylase</w:t>
      </w:r>
      <w:r w:rsidR="0094004B" w:rsidRPr="7293741D">
        <w:rPr>
          <w:sz w:val="20"/>
          <w:szCs w:val="20"/>
        </w:rPr>
        <w:t xml:space="preserve"> enzyme produced</w:t>
      </w:r>
      <w:r w:rsidR="0002514C" w:rsidRPr="7293741D">
        <w:rPr>
          <w:sz w:val="20"/>
          <w:szCs w:val="20"/>
        </w:rPr>
        <w:t xml:space="preserve"> from</w:t>
      </w:r>
      <w:r w:rsidR="00FB1634" w:rsidRPr="7293741D">
        <w:rPr>
          <w:sz w:val="20"/>
          <w:szCs w:val="20"/>
        </w:rPr>
        <w:t xml:space="preserve"> a genetically modified strain (GM) of </w:t>
      </w:r>
      <w:r w:rsidR="002040BF" w:rsidRPr="7293741D">
        <w:rPr>
          <w:i/>
          <w:iCs/>
          <w:sz w:val="20"/>
          <w:szCs w:val="20"/>
        </w:rPr>
        <w:t xml:space="preserve">Aspergillus niger. </w:t>
      </w:r>
      <w:r w:rsidR="002040BF" w:rsidRPr="7293741D">
        <w:rPr>
          <w:sz w:val="20"/>
          <w:szCs w:val="20"/>
        </w:rPr>
        <w:t>The enzyme will be</w:t>
      </w:r>
      <w:r w:rsidR="002040BF" w:rsidRPr="7293741D">
        <w:rPr>
          <w:i/>
          <w:iCs/>
          <w:sz w:val="20"/>
          <w:szCs w:val="20"/>
        </w:rPr>
        <w:t xml:space="preserve"> </w:t>
      </w:r>
      <w:r w:rsidR="0D4EFAE2" w:rsidRPr="4B241FD5">
        <w:rPr>
          <w:sz w:val="20"/>
          <w:szCs w:val="20"/>
        </w:rPr>
        <w:t>use</w:t>
      </w:r>
      <w:r w:rsidR="630AA0BF" w:rsidRPr="4B241FD5">
        <w:rPr>
          <w:sz w:val="20"/>
          <w:szCs w:val="20"/>
        </w:rPr>
        <w:t>d</w:t>
      </w:r>
      <w:r w:rsidR="00BE547D" w:rsidRPr="7293741D">
        <w:rPr>
          <w:sz w:val="20"/>
          <w:szCs w:val="20"/>
        </w:rPr>
        <w:t xml:space="preserve"> in baking processes, brewing processes and </w:t>
      </w:r>
      <w:r w:rsidR="007D54A6" w:rsidRPr="7293741D">
        <w:rPr>
          <w:sz w:val="20"/>
          <w:szCs w:val="20"/>
        </w:rPr>
        <w:t>starch processing for th</w:t>
      </w:r>
      <w:r w:rsidR="00570EDC" w:rsidRPr="7293741D">
        <w:rPr>
          <w:sz w:val="20"/>
          <w:szCs w:val="20"/>
        </w:rPr>
        <w:t>e production of starch hydrolys</w:t>
      </w:r>
      <w:r w:rsidR="007D54A6" w:rsidRPr="7293741D">
        <w:rPr>
          <w:sz w:val="20"/>
          <w:szCs w:val="20"/>
        </w:rPr>
        <w:t xml:space="preserve">ates, including glucose syrups. FSANZ has subsequently prepared a draft food regulatory measure. </w:t>
      </w:r>
      <w:r w:rsidR="00D22F3C" w:rsidRPr="7293741D">
        <w:rPr>
          <w:sz w:val="20"/>
          <w:szCs w:val="20"/>
        </w:rPr>
        <w:t xml:space="preserve">Pursuant to section 31 of the </w:t>
      </w:r>
      <w:r w:rsidR="00D22F3C" w:rsidRPr="7293741D">
        <w:rPr>
          <w:i/>
          <w:iCs/>
          <w:sz w:val="20"/>
          <w:szCs w:val="20"/>
        </w:rPr>
        <w:t>Food Standard</w:t>
      </w:r>
      <w:r w:rsidR="00E203C2" w:rsidRPr="7293741D">
        <w:rPr>
          <w:i/>
          <w:iCs/>
          <w:sz w:val="20"/>
          <w:szCs w:val="20"/>
        </w:rPr>
        <w:t>s Australia New Zealand Act 1991</w:t>
      </w:r>
      <w:r w:rsidR="00D22F3C" w:rsidRPr="7293741D">
        <w:rPr>
          <w:i/>
          <w:iCs/>
          <w:sz w:val="20"/>
          <w:szCs w:val="20"/>
        </w:rPr>
        <w:t xml:space="preserve"> </w:t>
      </w:r>
      <w:r w:rsidR="00E203C2" w:rsidRPr="7293741D">
        <w:rPr>
          <w:sz w:val="20"/>
          <w:szCs w:val="20"/>
        </w:rPr>
        <w:t>(</w:t>
      </w:r>
      <w:r w:rsidR="00D22F3C" w:rsidRPr="7293741D">
        <w:rPr>
          <w:sz w:val="20"/>
          <w:szCs w:val="20"/>
        </w:rPr>
        <w:t>FSANZ Act), FSANZ now c</w:t>
      </w:r>
      <w:r w:rsidR="00E203C2" w:rsidRPr="7293741D">
        <w:rPr>
          <w:sz w:val="20"/>
          <w:szCs w:val="20"/>
        </w:rPr>
        <w:t xml:space="preserve">alls for submissions to assist consideration of the </w:t>
      </w:r>
      <w:r w:rsidR="00413CA8" w:rsidRPr="7293741D">
        <w:rPr>
          <w:sz w:val="20"/>
          <w:szCs w:val="20"/>
        </w:rPr>
        <w:t xml:space="preserve">draft </w:t>
      </w:r>
      <w:r w:rsidR="00D8470F" w:rsidRPr="7293741D">
        <w:rPr>
          <w:sz w:val="20"/>
          <w:szCs w:val="20"/>
        </w:rPr>
        <w:t>food regulatory measure</w:t>
      </w:r>
      <w:r w:rsidR="00D22F3C" w:rsidRPr="7293741D">
        <w:rPr>
          <w:sz w:val="20"/>
          <w:szCs w:val="20"/>
        </w:rPr>
        <w:t>.</w:t>
      </w:r>
    </w:p>
    <w:p w14:paraId="7692BF6F" w14:textId="21916D64" w:rsidR="00413CA8" w:rsidRPr="007C174F" w:rsidRDefault="00413CA8" w:rsidP="00E203C2">
      <w:pPr>
        <w:rPr>
          <w:sz w:val="20"/>
          <w:szCs w:val="20"/>
        </w:rPr>
      </w:pPr>
    </w:p>
    <w:p w14:paraId="76C6F484" w14:textId="55C33C52"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4" w:history="1">
        <w:r w:rsidR="006156A8" w:rsidRPr="0002514C">
          <w:rPr>
            <w:rStyle w:val="Hyperlink"/>
            <w:sz w:val="20"/>
            <w:szCs w:val="20"/>
            <w:lang w:val="en-AU"/>
          </w:rPr>
          <w:t>current calls for public comment and how to make a submission</w:t>
        </w:r>
        <w:r w:rsidR="00351B07" w:rsidRPr="0002514C">
          <w:rPr>
            <w:rStyle w:val="Hyperlink"/>
            <w:sz w:val="20"/>
            <w:szCs w:val="20"/>
          </w:rPr>
          <w:t>.</w:t>
        </w:r>
      </w:hyperlink>
    </w:p>
    <w:p w14:paraId="499F5B12" w14:textId="77777777" w:rsidR="00D81D38" w:rsidRPr="00276026" w:rsidRDefault="00D81D38" w:rsidP="00276026">
      <w:pPr>
        <w:rPr>
          <w:sz w:val="20"/>
          <w:szCs w:val="20"/>
        </w:rPr>
      </w:pPr>
    </w:p>
    <w:p w14:paraId="19FE9115" w14:textId="18584877" w:rsidR="00876515" w:rsidRDefault="00276026" w:rsidP="00526B53">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we accept as confidential</w:t>
      </w:r>
      <w:r w:rsidR="002C6A66">
        <w:rPr>
          <w:sz w:val="20"/>
          <w:szCs w:val="20"/>
        </w:rPr>
        <w:t xml:space="preserve">. </w:t>
      </w:r>
      <w:r w:rsidRPr="00276026">
        <w:rPr>
          <w:sz w:val="20"/>
          <w:szCs w:val="20"/>
        </w:rPr>
        <w:t xml:space="preserve">In-confidence submissions may be subject to release under the provisions of the </w:t>
      </w:r>
      <w:r w:rsidRPr="00276026">
        <w:rPr>
          <w:i/>
          <w:iCs/>
          <w:sz w:val="20"/>
          <w:szCs w:val="20"/>
        </w:rPr>
        <w:t>Freedom of Information Act 19</w:t>
      </w:r>
      <w:r w:rsidR="00C32047">
        <w:rPr>
          <w:i/>
          <w:iCs/>
          <w:sz w:val="20"/>
          <w:szCs w:val="20"/>
        </w:rPr>
        <w:t>82</w:t>
      </w:r>
      <w:r w:rsidRPr="00276026">
        <w:rPr>
          <w:sz w:val="20"/>
          <w:szCs w:val="20"/>
        </w:rPr>
        <w:t>.</w:t>
      </w:r>
      <w:r>
        <w:rPr>
          <w:sz w:val="20"/>
          <w:szCs w:val="20"/>
        </w:rPr>
        <w:t xml:space="preserve"> </w:t>
      </w:r>
      <w:r w:rsidRPr="00276026">
        <w:rPr>
          <w:sz w:val="20"/>
          <w:szCs w:val="20"/>
        </w:rPr>
        <w:t xml:space="preserve">Submissions will be published as soon as possible after the end of the </w:t>
      </w:r>
      <w:r w:rsidR="00DF736D">
        <w:rPr>
          <w:sz w:val="20"/>
          <w:szCs w:val="20"/>
        </w:rPr>
        <w:t>submission</w:t>
      </w:r>
      <w:r w:rsidRPr="00276026">
        <w:rPr>
          <w:sz w:val="20"/>
          <w:szCs w:val="20"/>
        </w:rPr>
        <w:t xml:space="preserve"> period. </w:t>
      </w:r>
    </w:p>
    <w:p w14:paraId="52F38686" w14:textId="77777777" w:rsidR="00FB6D3D" w:rsidRPr="00760317" w:rsidRDefault="00FB6D3D" w:rsidP="00526B53">
      <w:pPr>
        <w:ind w:right="-428"/>
        <w:rPr>
          <w:color w:val="000000"/>
          <w:sz w:val="20"/>
          <w:szCs w:val="20"/>
          <w:lang w:val="en-AU"/>
        </w:rPr>
      </w:pPr>
    </w:p>
    <w:p w14:paraId="2E0A40C1" w14:textId="3647AF94" w:rsidR="001B2E9F" w:rsidRDefault="00AD22F9" w:rsidP="00E203C2">
      <w:pPr>
        <w:rPr>
          <w:color w:val="000000"/>
          <w:sz w:val="20"/>
          <w:szCs w:val="20"/>
          <w:lang w:val="en-AU"/>
        </w:rPr>
      </w:pPr>
      <w:r w:rsidRPr="00760317">
        <w:rPr>
          <w:color w:val="000000"/>
          <w:sz w:val="20"/>
          <w:szCs w:val="20"/>
          <w:lang w:val="en-AU"/>
        </w:rPr>
        <w:t>Under s</w:t>
      </w:r>
      <w:r w:rsidR="00351B07" w:rsidRPr="00760317">
        <w:rPr>
          <w:color w:val="000000"/>
          <w:sz w:val="20"/>
          <w:szCs w:val="20"/>
          <w:lang w:val="en-AU"/>
        </w:rPr>
        <w:t xml:space="preserve">ection 114 </w:t>
      </w:r>
      <w:r w:rsidR="00FB1533" w:rsidRPr="00760317">
        <w:rPr>
          <w:color w:val="000000"/>
          <w:sz w:val="20"/>
          <w:szCs w:val="20"/>
          <w:lang w:val="en-AU"/>
        </w:rPr>
        <w:t xml:space="preserve">of the FSANZ Act, </w:t>
      </w:r>
      <w:r w:rsidRPr="00760317">
        <w:rPr>
          <w:color w:val="000000"/>
          <w:sz w:val="20"/>
          <w:szCs w:val="20"/>
          <w:lang w:val="en-AU"/>
        </w:rPr>
        <w:t>some information provided to FSANZ cannot be disclosed. More</w:t>
      </w:r>
      <w:r w:rsidR="00351B07" w:rsidRPr="00760317">
        <w:rPr>
          <w:color w:val="000000"/>
          <w:sz w:val="20"/>
          <w:szCs w:val="20"/>
          <w:lang w:val="en-AU"/>
        </w:rPr>
        <w:t xml:space="preserve"> information about the disclosure of confidential commercial information is available on the FSANZ website at</w:t>
      </w:r>
      <w:r w:rsidR="004A3685" w:rsidRPr="00760317">
        <w:rPr>
          <w:color w:val="000000"/>
          <w:sz w:val="20"/>
          <w:szCs w:val="20"/>
          <w:lang w:val="en-AU"/>
        </w:rPr>
        <w:t xml:space="preserve"> </w:t>
      </w:r>
      <w:hyperlink r:id="rId15" w:history="1">
        <w:r w:rsidR="004A3685" w:rsidRPr="00760317">
          <w:rPr>
            <w:rStyle w:val="Hyperlink"/>
            <w:sz w:val="20"/>
            <w:szCs w:val="20"/>
            <w:lang w:val="en-AU"/>
          </w:rPr>
          <w:t>information for submitters</w:t>
        </w:r>
      </w:hyperlink>
      <w:r w:rsidR="004A3685" w:rsidRPr="00760317">
        <w:rPr>
          <w:color w:val="000000"/>
          <w:sz w:val="20"/>
          <w:szCs w:val="20"/>
          <w:lang w:val="en-AU"/>
        </w:rPr>
        <w:t>.</w:t>
      </w:r>
      <w:r w:rsidR="00760317" w:rsidRPr="00760317">
        <w:rPr>
          <w:color w:val="000000"/>
          <w:sz w:val="20"/>
          <w:szCs w:val="20"/>
          <w:lang w:val="en-AU"/>
        </w:rPr>
        <w:t xml:space="preserve"> </w:t>
      </w:r>
    </w:p>
    <w:p w14:paraId="063F58E3" w14:textId="77777777" w:rsidR="001B2E9F" w:rsidRDefault="001B2E9F" w:rsidP="00E203C2">
      <w:pPr>
        <w:rPr>
          <w:color w:val="000000"/>
          <w:sz w:val="20"/>
          <w:szCs w:val="20"/>
          <w:lang w:val="en-AU"/>
        </w:rPr>
      </w:pPr>
    </w:p>
    <w:p w14:paraId="5610940B" w14:textId="199C236C" w:rsidR="00E203C2" w:rsidRPr="00760317" w:rsidRDefault="00760317" w:rsidP="00E203C2">
      <w:pPr>
        <w:rPr>
          <w:sz w:val="20"/>
          <w:szCs w:val="20"/>
        </w:rPr>
      </w:pPr>
      <w:r w:rsidRPr="00760317">
        <w:rPr>
          <w:sz w:val="20"/>
          <w:szCs w:val="20"/>
        </w:rPr>
        <w:t xml:space="preserve">For information on how FSANZ manages personal information when you make a submission, see </w:t>
      </w:r>
      <w:r w:rsidR="006156A8">
        <w:rPr>
          <w:sz w:val="20"/>
          <w:szCs w:val="20"/>
        </w:rPr>
        <w:t>FSANZ’s</w:t>
      </w:r>
      <w:r w:rsidRPr="00760317">
        <w:rPr>
          <w:sz w:val="20"/>
          <w:szCs w:val="20"/>
        </w:rPr>
        <w:t xml:space="preserve"> </w:t>
      </w:r>
      <w:hyperlink r:id="rId16" w:history="1">
        <w:r w:rsidR="001D3F84">
          <w:rPr>
            <w:rStyle w:val="Hyperlink"/>
            <w:sz w:val="20"/>
            <w:szCs w:val="20"/>
          </w:rPr>
          <w:t>Privacy Policy.</w:t>
        </w:r>
      </w:hyperlink>
    </w:p>
    <w:p w14:paraId="550C3EED" w14:textId="77777777" w:rsidR="00E203C2" w:rsidRPr="007C174F" w:rsidRDefault="00E203C2" w:rsidP="00E203C2">
      <w:pPr>
        <w:rPr>
          <w:color w:val="000000"/>
          <w:sz w:val="20"/>
          <w:szCs w:val="20"/>
          <w:lang w:val="en-AU"/>
        </w:rPr>
      </w:pPr>
    </w:p>
    <w:p w14:paraId="51D6F2D9" w14:textId="23117405"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351B07" w:rsidRPr="007C174F">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 xml:space="preserve">with the word </w:t>
      </w:r>
      <w:r w:rsidR="00526B53">
        <w:rPr>
          <w:color w:val="000000"/>
          <w:sz w:val="20"/>
          <w:szCs w:val="20"/>
          <w:lang w:val="en-AU"/>
        </w:rPr>
        <w:t>‘S</w:t>
      </w:r>
      <w:r w:rsidRPr="007C174F">
        <w:rPr>
          <w:color w:val="000000"/>
          <w:sz w:val="20"/>
          <w:szCs w:val="20"/>
          <w:lang w:val="en-AU"/>
        </w:rPr>
        <w:t>ubmission</w:t>
      </w:r>
      <w:r w:rsidR="00526B53">
        <w:rPr>
          <w:color w:val="000000"/>
          <w:sz w:val="20"/>
          <w:szCs w:val="20"/>
          <w:lang w:val="en-AU"/>
        </w:rPr>
        <w:t>’</w:t>
      </w:r>
      <w:r w:rsidR="00BE5540">
        <w:rPr>
          <w:color w:val="000000"/>
          <w:sz w:val="20"/>
          <w:szCs w:val="20"/>
          <w:lang w:val="en-AU"/>
        </w:rPr>
        <w:t xml:space="preserve">. You also need to include the </w:t>
      </w:r>
      <w:r w:rsidR="009E173A">
        <w:rPr>
          <w:color w:val="000000"/>
          <w:sz w:val="20"/>
          <w:szCs w:val="20"/>
          <w:lang w:val="en-AU"/>
        </w:rPr>
        <w:t xml:space="preserve">correct </w:t>
      </w:r>
      <w:r w:rsidR="00C06615">
        <w:rPr>
          <w:color w:val="000000"/>
          <w:sz w:val="20"/>
          <w:szCs w:val="20"/>
          <w:lang w:val="en-AU"/>
        </w:rPr>
        <w:t>application or proposal number</w:t>
      </w:r>
      <w:r w:rsidRPr="007C174F">
        <w:rPr>
          <w:color w:val="000000"/>
          <w:sz w:val="20"/>
          <w:szCs w:val="20"/>
          <w:lang w:val="en-AU"/>
        </w:rPr>
        <w:t xml:space="preserve"> and name</w:t>
      </w:r>
      <w:r w:rsidR="003309A8">
        <w:rPr>
          <w:color w:val="000000"/>
          <w:sz w:val="20"/>
          <w:szCs w:val="20"/>
          <w:lang w:val="en-AU"/>
        </w:rPr>
        <w:t xml:space="preserve">. </w:t>
      </w:r>
      <w:r w:rsidR="003E1878">
        <w:rPr>
          <w:color w:val="000000"/>
          <w:sz w:val="20"/>
          <w:szCs w:val="20"/>
          <w:lang w:val="en-AU"/>
        </w:rPr>
        <w:t xml:space="preserve">Electronic </w:t>
      </w:r>
      <w:r w:rsidRPr="007C174F">
        <w:rPr>
          <w:color w:val="000000"/>
          <w:sz w:val="20"/>
          <w:szCs w:val="20"/>
          <w:lang w:val="en-AU"/>
        </w:rPr>
        <w:t xml:space="preserve">submissions </w:t>
      </w:r>
      <w:r w:rsidR="003E1878">
        <w:rPr>
          <w:color w:val="000000"/>
          <w:sz w:val="20"/>
          <w:szCs w:val="20"/>
          <w:lang w:val="en-AU"/>
        </w:rPr>
        <w:t xml:space="preserve">can be made </w:t>
      </w:r>
      <w:r w:rsidRPr="007C174F">
        <w:rPr>
          <w:color w:val="000000"/>
          <w:sz w:val="20"/>
          <w:szCs w:val="20"/>
          <w:lang w:val="en-AU"/>
        </w:rPr>
        <w:t>through the</w:t>
      </w:r>
      <w:r w:rsidR="00156420">
        <w:rPr>
          <w:color w:val="000000"/>
          <w:sz w:val="20"/>
          <w:szCs w:val="20"/>
          <w:lang w:val="en-AU"/>
        </w:rPr>
        <w:t xml:space="preserve"> </w:t>
      </w:r>
      <w:r w:rsidRPr="007C174F">
        <w:rPr>
          <w:color w:val="000000"/>
          <w:sz w:val="20"/>
          <w:szCs w:val="20"/>
          <w:lang w:val="en-AU"/>
        </w:rPr>
        <w:t xml:space="preserve">FSANZ website </w:t>
      </w:r>
      <w:r w:rsidR="0037520F">
        <w:rPr>
          <w:color w:val="000000"/>
          <w:sz w:val="20"/>
          <w:szCs w:val="20"/>
          <w:lang w:val="en-AU"/>
        </w:rPr>
        <w:t>via the link</w:t>
      </w:r>
      <w:r w:rsidR="0037520F" w:rsidRPr="008C0E7A">
        <w:rPr>
          <w:color w:val="000000"/>
          <w:sz w:val="20"/>
          <w:szCs w:val="20"/>
          <w:lang w:val="en-AU"/>
        </w:rPr>
        <w:t xml:space="preserve"> </w:t>
      </w:r>
      <w:hyperlink r:id="rId17" w:history="1">
        <w:r w:rsidR="00995F07">
          <w:rPr>
            <w:rStyle w:val="Hyperlink"/>
            <w:sz w:val="20"/>
            <w:szCs w:val="20"/>
          </w:rPr>
          <w:t>how to make a submission.</w:t>
        </w:r>
      </w:hyperlink>
      <w:r w:rsidR="00995F07">
        <w:rPr>
          <w:rStyle w:val="Hyperlink"/>
          <w:sz w:val="20"/>
          <w:szCs w:val="20"/>
        </w:rPr>
        <w:t xml:space="preserve"> </w:t>
      </w:r>
      <w:r w:rsidR="0037520F">
        <w:rPr>
          <w:color w:val="000000"/>
          <w:sz w:val="20"/>
          <w:szCs w:val="20"/>
          <w:lang w:val="en-AU"/>
        </w:rPr>
        <w:t>You can also</w:t>
      </w:r>
      <w:r w:rsidRPr="007C174F">
        <w:rPr>
          <w:color w:val="000000"/>
          <w:sz w:val="20"/>
          <w:szCs w:val="20"/>
          <w:lang w:val="en-AU"/>
        </w:rPr>
        <w:t xml:space="preserve"> email your submission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r w:rsidR="002A14D6" w:rsidRPr="007C174F">
        <w:rPr>
          <w:color w:val="000000"/>
          <w:sz w:val="20"/>
          <w:szCs w:val="20"/>
          <w:lang w:val="en-AU"/>
        </w:rPr>
        <w:t xml:space="preserve">FSANZ </w:t>
      </w:r>
      <w:r w:rsidR="002A14D6">
        <w:rPr>
          <w:color w:val="000000"/>
          <w:sz w:val="20"/>
          <w:szCs w:val="20"/>
          <w:lang w:val="en-AU"/>
        </w:rPr>
        <w:t xml:space="preserve">also </w:t>
      </w:r>
      <w:r w:rsidR="002A14D6" w:rsidRPr="007C174F">
        <w:rPr>
          <w:color w:val="000000"/>
          <w:sz w:val="20"/>
          <w:szCs w:val="20"/>
          <w:lang w:val="en-AU"/>
        </w:rPr>
        <w:t xml:space="preserve">accepts submissions in hard copy to our </w:t>
      </w:r>
      <w:r w:rsidR="002A14D6">
        <w:rPr>
          <w:color w:val="000000"/>
          <w:sz w:val="20"/>
          <w:szCs w:val="20"/>
          <w:lang w:val="en-AU"/>
        </w:rPr>
        <w:t xml:space="preserve">Australia and/or New Zealand </w:t>
      </w:r>
      <w:r w:rsidR="002A14D6" w:rsidRPr="007C174F">
        <w:rPr>
          <w:color w:val="000000"/>
          <w:sz w:val="20"/>
          <w:szCs w:val="20"/>
          <w:lang w:val="en-AU"/>
        </w:rPr>
        <w:t>offices</w:t>
      </w:r>
      <w:r w:rsidR="002A14D6">
        <w:rPr>
          <w:color w:val="000000"/>
          <w:sz w:val="20"/>
          <w:szCs w:val="20"/>
          <w:lang w:val="en-AU"/>
        </w:rPr>
        <w:t>.</w:t>
      </w:r>
    </w:p>
    <w:p w14:paraId="3E2F4620" w14:textId="77777777" w:rsidR="00E203C2" w:rsidRPr="007C174F" w:rsidRDefault="00E203C2" w:rsidP="00E203C2">
      <w:pPr>
        <w:rPr>
          <w:color w:val="000000"/>
          <w:sz w:val="20"/>
          <w:szCs w:val="20"/>
          <w:lang w:val="en-AU"/>
        </w:rPr>
      </w:pPr>
    </w:p>
    <w:p w14:paraId="36A2048E" w14:textId="05D0305D"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FSANZ endeavours to formally acknowledge receipt of submissions within 3 business days.</w:t>
      </w:r>
    </w:p>
    <w:p w14:paraId="009587A4" w14:textId="77777777" w:rsidR="00E203C2" w:rsidRPr="00D676CF" w:rsidRDefault="00E203C2" w:rsidP="00E203C2">
      <w:pPr>
        <w:rPr>
          <w:color w:val="000000"/>
          <w:sz w:val="20"/>
          <w:lang w:val="en-AU"/>
        </w:rPr>
      </w:pPr>
    </w:p>
    <w:p w14:paraId="03816012" w14:textId="1EE61F11" w:rsidR="00E063C6" w:rsidRPr="00FB1533" w:rsidRDefault="00E063C6" w:rsidP="00413CA8">
      <w:pPr>
        <w:tabs>
          <w:tab w:val="left" w:pos="7920"/>
        </w:tabs>
        <w:autoSpaceDE w:val="0"/>
        <w:autoSpaceDN w:val="0"/>
        <w:adjustRightInd w:val="0"/>
        <w:jc w:val="center"/>
        <w:rPr>
          <w:rFonts w:cs="Arial"/>
          <w:b/>
          <w:bCs/>
          <w:color w:val="FF0000"/>
          <w:sz w:val="24"/>
        </w:rPr>
      </w:pPr>
      <w:r w:rsidRPr="00FB1533">
        <w:rPr>
          <w:rFonts w:cs="Arial"/>
          <w:b/>
          <w:bCs/>
          <w:color w:val="000000"/>
          <w:sz w:val="24"/>
        </w:rPr>
        <w:t>DEADLINE FOR SUBMISSIONS</w:t>
      </w:r>
      <w:r w:rsidRPr="00FB1533">
        <w:rPr>
          <w:rFonts w:cs="Arial"/>
          <w:b/>
          <w:color w:val="000000"/>
          <w:sz w:val="24"/>
        </w:rPr>
        <w:t>:</w:t>
      </w:r>
      <w:r w:rsidRPr="00FB1533">
        <w:rPr>
          <w:rFonts w:cs="Arial"/>
          <w:b/>
          <w:sz w:val="24"/>
        </w:rPr>
        <w:t xml:space="preserve">  </w:t>
      </w:r>
      <w:r w:rsidRPr="00FB1533">
        <w:rPr>
          <w:rFonts w:cs="Arial"/>
          <w:b/>
          <w:bCs/>
          <w:sz w:val="24"/>
        </w:rPr>
        <w:t xml:space="preserve">6pm (Canberra time) </w:t>
      </w:r>
      <w:r w:rsidR="00E1172D" w:rsidRPr="00E1172D">
        <w:rPr>
          <w:rFonts w:cs="Arial"/>
          <w:b/>
          <w:bCs/>
          <w:sz w:val="24"/>
        </w:rPr>
        <w:t>10 November 2022</w:t>
      </w:r>
    </w:p>
    <w:p w14:paraId="154F3C94" w14:textId="77777777" w:rsidR="00E203C2" w:rsidRPr="007C174F" w:rsidRDefault="00E203C2" w:rsidP="00E203C2">
      <w:pPr>
        <w:rPr>
          <w:sz w:val="20"/>
          <w:szCs w:val="20"/>
          <w:lang w:val="en-AU"/>
        </w:rPr>
      </w:pPr>
    </w:p>
    <w:p w14:paraId="23D069F4" w14:textId="4B1748F3" w:rsidR="00E203C2" w:rsidRDefault="00E063C6" w:rsidP="00E203C2">
      <w:pPr>
        <w:rPr>
          <w:sz w:val="20"/>
          <w:szCs w:val="20"/>
          <w:lang w:val="en-AU"/>
        </w:rPr>
      </w:pPr>
      <w:r w:rsidRPr="0002514C">
        <w:rPr>
          <w:sz w:val="20"/>
          <w:szCs w:val="20"/>
          <w:lang w:val="en-AU"/>
        </w:rPr>
        <w:t xml:space="preserve">Submissions received after this date will </w:t>
      </w:r>
      <w:r w:rsidR="00351B07" w:rsidRPr="0002514C">
        <w:rPr>
          <w:sz w:val="20"/>
          <w:szCs w:val="20"/>
          <w:lang w:val="en-AU"/>
        </w:rPr>
        <w:t>not</w:t>
      </w:r>
      <w:r w:rsidRPr="0002514C">
        <w:rPr>
          <w:sz w:val="20"/>
          <w:szCs w:val="20"/>
          <w:lang w:val="en-AU"/>
        </w:rPr>
        <w:t xml:space="preserve"> be considered </w:t>
      </w:r>
      <w:r w:rsidR="00351B07" w:rsidRPr="0002514C">
        <w:rPr>
          <w:sz w:val="20"/>
          <w:szCs w:val="20"/>
          <w:lang w:val="en-AU"/>
        </w:rPr>
        <w:t>unless</w:t>
      </w:r>
      <w:r w:rsidR="00DF736D" w:rsidRPr="0002514C">
        <w:rPr>
          <w:sz w:val="20"/>
          <w:szCs w:val="20"/>
          <w:lang w:val="en-AU"/>
        </w:rPr>
        <w:t xml:space="preserve"> </w:t>
      </w:r>
      <w:r w:rsidRPr="0002514C">
        <w:rPr>
          <w:sz w:val="20"/>
          <w:szCs w:val="20"/>
          <w:lang w:val="en-AU"/>
        </w:rPr>
        <w:t>an extension ha</w:t>
      </w:r>
      <w:r w:rsidR="00D22F3C" w:rsidRPr="0002514C">
        <w:rPr>
          <w:sz w:val="20"/>
          <w:szCs w:val="20"/>
          <w:lang w:val="en-AU"/>
        </w:rPr>
        <w:t>d</w:t>
      </w:r>
      <w:r w:rsidRPr="0002514C">
        <w:rPr>
          <w:sz w:val="20"/>
          <w:szCs w:val="20"/>
          <w:lang w:val="en-AU"/>
        </w:rPr>
        <w:t xml:space="preserve"> been given </w:t>
      </w:r>
      <w:r w:rsidR="0037520F" w:rsidRPr="0002514C">
        <w:rPr>
          <w:sz w:val="20"/>
          <w:szCs w:val="20"/>
          <w:lang w:val="en-AU"/>
        </w:rPr>
        <w:t xml:space="preserve">before </w:t>
      </w:r>
      <w:r w:rsidRPr="0002514C">
        <w:rPr>
          <w:sz w:val="20"/>
          <w:szCs w:val="20"/>
          <w:lang w:val="en-AU"/>
        </w:rPr>
        <w:t>th</w:t>
      </w:r>
      <w:r w:rsidR="00351B07" w:rsidRPr="0002514C">
        <w:rPr>
          <w:sz w:val="20"/>
          <w:szCs w:val="20"/>
          <w:lang w:val="en-AU"/>
        </w:rPr>
        <w:t>e</w:t>
      </w:r>
      <w:r w:rsidRPr="0002514C">
        <w:rPr>
          <w:sz w:val="20"/>
          <w:szCs w:val="20"/>
          <w:lang w:val="en-AU"/>
        </w:rPr>
        <w:t xml:space="preserve"> closing date</w:t>
      </w:r>
      <w:r w:rsidR="003309A8" w:rsidRPr="0002514C">
        <w:rPr>
          <w:sz w:val="20"/>
          <w:szCs w:val="20"/>
          <w:lang w:val="en-AU"/>
        </w:rPr>
        <w:t xml:space="preserve">. </w:t>
      </w:r>
      <w:r w:rsidR="0037520F" w:rsidRPr="0002514C">
        <w:rPr>
          <w:sz w:val="20"/>
          <w:szCs w:val="20"/>
          <w:lang w:val="en-AU"/>
        </w:rPr>
        <w:t>Extensions will only be</w:t>
      </w:r>
      <w:r w:rsidR="00526B53" w:rsidRPr="0002514C">
        <w:rPr>
          <w:sz w:val="20"/>
          <w:szCs w:val="20"/>
          <w:lang w:val="en-AU"/>
        </w:rPr>
        <w:t xml:space="preserve"> </w:t>
      </w:r>
      <w:r w:rsidR="0037520F" w:rsidRPr="0002514C">
        <w:rPr>
          <w:sz w:val="20"/>
          <w:szCs w:val="20"/>
          <w:lang w:val="en-AU"/>
        </w:rPr>
        <w:t xml:space="preserve">granted due to </w:t>
      </w:r>
      <w:r w:rsidRPr="0002514C">
        <w:rPr>
          <w:sz w:val="20"/>
          <w:szCs w:val="20"/>
          <w:lang w:val="en-AU"/>
        </w:rPr>
        <w:t xml:space="preserve">extraordinary circumstances </w:t>
      </w:r>
      <w:r w:rsidR="0037520F" w:rsidRPr="0002514C">
        <w:rPr>
          <w:sz w:val="20"/>
          <w:szCs w:val="20"/>
          <w:lang w:val="en-AU"/>
        </w:rPr>
        <w:t xml:space="preserve">during the </w:t>
      </w:r>
      <w:r w:rsidRPr="0002514C">
        <w:rPr>
          <w:sz w:val="20"/>
          <w:szCs w:val="20"/>
          <w:lang w:val="en-AU"/>
        </w:rPr>
        <w:t>submission period</w:t>
      </w:r>
      <w:r w:rsidR="003309A8" w:rsidRPr="0002514C">
        <w:rPr>
          <w:sz w:val="20"/>
          <w:szCs w:val="20"/>
          <w:lang w:val="en-AU"/>
        </w:rPr>
        <w:t xml:space="preserve">. </w:t>
      </w:r>
      <w:r w:rsidRPr="0002514C">
        <w:rPr>
          <w:sz w:val="20"/>
          <w:szCs w:val="20"/>
          <w:lang w:val="en-AU"/>
        </w:rPr>
        <w:t>Any agreed extension will be notified on the FSANZ website and will apply to all submitters.</w:t>
      </w:r>
    </w:p>
    <w:p w14:paraId="57565EB4" w14:textId="77777777" w:rsidR="0002514C" w:rsidRPr="0002514C" w:rsidRDefault="0002514C" w:rsidP="00E203C2">
      <w:pPr>
        <w:rPr>
          <w:sz w:val="20"/>
          <w:szCs w:val="20"/>
          <w:lang w:val="en-AU"/>
        </w:rPr>
      </w:pPr>
    </w:p>
    <w:p w14:paraId="0D7D85BE" w14:textId="46D987AA" w:rsidR="00E063C6" w:rsidRPr="0002514C" w:rsidRDefault="0037520F" w:rsidP="00E203C2">
      <w:pPr>
        <w:rPr>
          <w:bCs/>
          <w:sz w:val="20"/>
          <w:szCs w:val="20"/>
          <w:lang w:val="en-AU"/>
        </w:rPr>
      </w:pPr>
      <w:r w:rsidRPr="0002514C">
        <w:rPr>
          <w:sz w:val="20"/>
          <w:szCs w:val="20"/>
          <w:lang w:val="en-AU"/>
        </w:rPr>
        <w:t>Questions about</w:t>
      </w:r>
      <w:r w:rsidR="00E063C6" w:rsidRPr="0002514C">
        <w:rPr>
          <w:sz w:val="20"/>
          <w:szCs w:val="20"/>
          <w:lang w:val="en-AU"/>
        </w:rPr>
        <w:t xml:space="preserve"> making </w:t>
      </w:r>
      <w:r w:rsidR="00970050" w:rsidRPr="0002514C">
        <w:rPr>
          <w:sz w:val="20"/>
          <w:szCs w:val="20"/>
          <w:lang w:val="en-AU"/>
        </w:rPr>
        <w:t xml:space="preserve">a </w:t>
      </w:r>
      <w:r w:rsidR="00E063C6" w:rsidRPr="0002514C">
        <w:rPr>
          <w:sz w:val="20"/>
          <w:szCs w:val="20"/>
          <w:lang w:val="en-AU"/>
        </w:rPr>
        <w:t xml:space="preserve">submission or application </w:t>
      </w:r>
      <w:r w:rsidR="00970050" w:rsidRPr="0002514C">
        <w:rPr>
          <w:sz w:val="20"/>
          <w:szCs w:val="20"/>
          <w:lang w:val="en-AU"/>
        </w:rPr>
        <w:t xml:space="preserve">and proposal </w:t>
      </w:r>
      <w:r w:rsidR="00E063C6" w:rsidRPr="0002514C">
        <w:rPr>
          <w:sz w:val="20"/>
          <w:szCs w:val="20"/>
          <w:lang w:val="en-AU"/>
        </w:rPr>
        <w:t>process</w:t>
      </w:r>
      <w:r w:rsidR="00970050" w:rsidRPr="0002514C">
        <w:rPr>
          <w:sz w:val="20"/>
          <w:szCs w:val="20"/>
          <w:lang w:val="en-AU"/>
        </w:rPr>
        <w:t>es</w:t>
      </w:r>
      <w:r w:rsidR="00E063C6" w:rsidRPr="0002514C">
        <w:rPr>
          <w:sz w:val="20"/>
          <w:szCs w:val="20"/>
          <w:lang w:val="en-AU"/>
        </w:rPr>
        <w:t xml:space="preserve"> can be </w:t>
      </w:r>
      <w:r w:rsidRPr="0002514C">
        <w:rPr>
          <w:sz w:val="20"/>
          <w:szCs w:val="20"/>
          <w:lang w:val="en-AU"/>
        </w:rPr>
        <w:t>sent to</w:t>
      </w:r>
      <w:r w:rsidR="00E063C6" w:rsidRPr="0002514C">
        <w:rPr>
          <w:sz w:val="20"/>
          <w:szCs w:val="20"/>
          <w:lang w:val="en-AU"/>
        </w:rPr>
        <w:t xml:space="preserve"> </w:t>
      </w:r>
      <w:hyperlink r:id="rId19" w:history="1">
        <w:r w:rsidR="00E063C6" w:rsidRPr="0002514C">
          <w:rPr>
            <w:rStyle w:val="Hyperlink"/>
            <w:rFonts w:cs="Arial"/>
            <w:sz w:val="20"/>
            <w:szCs w:val="20"/>
            <w:lang w:val="en-AU"/>
          </w:rPr>
          <w:t>standards.management@foodstandards.gov.au</w:t>
        </w:r>
      </w:hyperlink>
      <w:r w:rsidR="00E063C6" w:rsidRPr="0002514C">
        <w:rPr>
          <w:sz w:val="20"/>
          <w:szCs w:val="20"/>
          <w:lang w:val="en-AU"/>
        </w:rPr>
        <w:t xml:space="preserve">. </w:t>
      </w:r>
    </w:p>
    <w:p w14:paraId="56F2F126" w14:textId="0CF47E4F" w:rsidR="00DE2E3F" w:rsidRPr="0002514C" w:rsidRDefault="00DE2E3F" w:rsidP="00E203C2">
      <w:pPr>
        <w:rPr>
          <w:sz w:val="20"/>
          <w:szCs w:val="20"/>
          <w:lang w:val="en-AU"/>
        </w:rPr>
      </w:pPr>
    </w:p>
    <w:p w14:paraId="145B3DAA" w14:textId="75444409" w:rsidR="00E063C6" w:rsidRPr="0002514C" w:rsidRDefault="005C49C3" w:rsidP="00E203C2">
      <w:pPr>
        <w:rPr>
          <w:sz w:val="20"/>
          <w:szCs w:val="20"/>
          <w:lang w:val="en-AU"/>
        </w:rPr>
      </w:pPr>
      <w:r w:rsidRPr="0002514C">
        <w:rPr>
          <w:sz w:val="20"/>
          <w:szCs w:val="20"/>
          <w:lang w:val="en-AU"/>
        </w:rPr>
        <w:t>S</w:t>
      </w:r>
      <w:r w:rsidR="00E063C6" w:rsidRPr="0002514C">
        <w:rPr>
          <w:sz w:val="20"/>
          <w:szCs w:val="20"/>
          <w:lang w:val="en-AU"/>
        </w:rPr>
        <w:t xml:space="preserve">ubmissions </w:t>
      </w:r>
      <w:r w:rsidRPr="0002514C">
        <w:rPr>
          <w:sz w:val="20"/>
          <w:szCs w:val="20"/>
          <w:lang w:val="en-AU"/>
        </w:rPr>
        <w:t xml:space="preserve">in hard copy </w:t>
      </w:r>
      <w:r w:rsidR="00E063C6" w:rsidRPr="0002514C">
        <w:rPr>
          <w:sz w:val="20"/>
          <w:szCs w:val="20"/>
          <w:lang w:val="en-AU"/>
        </w:rPr>
        <w:t>may be sent to the following addresses:</w:t>
      </w:r>
    </w:p>
    <w:p w14:paraId="0B5966A5" w14:textId="77777777" w:rsidR="00E203C2" w:rsidRPr="0002514C" w:rsidRDefault="00E203C2" w:rsidP="00E203C2">
      <w:pPr>
        <w:rPr>
          <w:sz w:val="20"/>
          <w:szCs w:val="20"/>
          <w:lang w:val="en-AU"/>
        </w:rPr>
      </w:pPr>
    </w:p>
    <w:p w14:paraId="7FC39125" w14:textId="77777777" w:rsidR="00E203C2" w:rsidRPr="0002514C" w:rsidRDefault="00E063C6" w:rsidP="00E203C2">
      <w:pPr>
        <w:tabs>
          <w:tab w:val="left" w:pos="4536"/>
        </w:tabs>
        <w:rPr>
          <w:sz w:val="20"/>
          <w:szCs w:val="20"/>
        </w:rPr>
      </w:pPr>
      <w:r w:rsidRPr="0002514C">
        <w:rPr>
          <w:sz w:val="20"/>
          <w:szCs w:val="20"/>
        </w:rPr>
        <w:t>Food Standards Australia New Zealand</w:t>
      </w:r>
      <w:r w:rsidRPr="0002514C">
        <w:rPr>
          <w:sz w:val="20"/>
          <w:szCs w:val="20"/>
        </w:rPr>
        <w:tab/>
      </w:r>
      <w:r w:rsidRPr="0002514C">
        <w:rPr>
          <w:sz w:val="20"/>
          <w:szCs w:val="20"/>
        </w:rPr>
        <w:tab/>
        <w:t>Food Standards Australia New Zealand</w:t>
      </w:r>
    </w:p>
    <w:p w14:paraId="0CA4240B" w14:textId="77777777" w:rsidR="00E203C2" w:rsidRPr="0002514C" w:rsidRDefault="00E063C6" w:rsidP="00E203C2">
      <w:pPr>
        <w:tabs>
          <w:tab w:val="left" w:pos="4536"/>
        </w:tabs>
        <w:rPr>
          <w:sz w:val="20"/>
          <w:szCs w:val="20"/>
        </w:rPr>
      </w:pPr>
      <w:r w:rsidRPr="0002514C">
        <w:rPr>
          <w:sz w:val="20"/>
          <w:szCs w:val="20"/>
        </w:rPr>
        <w:t xml:space="preserve">PO Box </w:t>
      </w:r>
      <w:r w:rsidR="00685269" w:rsidRPr="0002514C">
        <w:rPr>
          <w:sz w:val="20"/>
          <w:szCs w:val="20"/>
        </w:rPr>
        <w:t>5423</w:t>
      </w:r>
      <w:r w:rsidRPr="0002514C">
        <w:rPr>
          <w:sz w:val="20"/>
          <w:szCs w:val="20"/>
        </w:rPr>
        <w:tab/>
      </w:r>
      <w:r w:rsidRPr="0002514C">
        <w:rPr>
          <w:sz w:val="20"/>
          <w:szCs w:val="20"/>
        </w:rPr>
        <w:tab/>
        <w:t>PO Box 10559</w:t>
      </w:r>
    </w:p>
    <w:p w14:paraId="1007672E" w14:textId="0A4BD824" w:rsidR="00E203C2" w:rsidRPr="0002514C" w:rsidRDefault="00685269" w:rsidP="00E203C2">
      <w:pPr>
        <w:tabs>
          <w:tab w:val="left" w:pos="4536"/>
        </w:tabs>
        <w:rPr>
          <w:sz w:val="20"/>
          <w:szCs w:val="20"/>
        </w:rPr>
      </w:pPr>
      <w:r w:rsidRPr="0002514C">
        <w:rPr>
          <w:sz w:val="20"/>
          <w:szCs w:val="20"/>
        </w:rPr>
        <w:t>KINGSTON</w:t>
      </w:r>
      <w:r w:rsidR="00E063C6" w:rsidRPr="0002514C">
        <w:rPr>
          <w:sz w:val="20"/>
          <w:szCs w:val="20"/>
        </w:rPr>
        <w:t xml:space="preserve"> </w:t>
      </w:r>
      <w:r w:rsidR="0037520F" w:rsidRPr="0002514C">
        <w:rPr>
          <w:sz w:val="20"/>
          <w:szCs w:val="20"/>
        </w:rPr>
        <w:t xml:space="preserve"> </w:t>
      </w:r>
      <w:r w:rsidR="00E063C6" w:rsidRPr="0002514C">
        <w:rPr>
          <w:sz w:val="20"/>
          <w:szCs w:val="20"/>
        </w:rPr>
        <w:t>ACT</w:t>
      </w:r>
      <w:r w:rsidR="0037520F" w:rsidRPr="0002514C">
        <w:rPr>
          <w:sz w:val="20"/>
          <w:szCs w:val="20"/>
        </w:rPr>
        <w:t xml:space="preserve"> </w:t>
      </w:r>
      <w:r w:rsidR="00E063C6" w:rsidRPr="0002514C">
        <w:rPr>
          <w:sz w:val="20"/>
          <w:szCs w:val="20"/>
        </w:rPr>
        <w:t xml:space="preserve"> 2</w:t>
      </w:r>
      <w:r w:rsidRPr="0002514C">
        <w:rPr>
          <w:sz w:val="20"/>
          <w:szCs w:val="20"/>
        </w:rPr>
        <w:t>604</w:t>
      </w:r>
      <w:r w:rsidR="00E063C6" w:rsidRPr="0002514C">
        <w:rPr>
          <w:sz w:val="20"/>
          <w:szCs w:val="20"/>
        </w:rPr>
        <w:tab/>
      </w:r>
      <w:r w:rsidR="00E063C6" w:rsidRPr="0002514C">
        <w:rPr>
          <w:sz w:val="20"/>
          <w:szCs w:val="20"/>
        </w:rPr>
        <w:tab/>
        <w:t>WELLINGTON 614</w:t>
      </w:r>
      <w:r w:rsidR="00DB65A3" w:rsidRPr="0002514C">
        <w:rPr>
          <w:sz w:val="20"/>
          <w:szCs w:val="20"/>
        </w:rPr>
        <w:t>0</w:t>
      </w:r>
    </w:p>
    <w:p w14:paraId="070E177F" w14:textId="77777777" w:rsidR="00E063C6" w:rsidRPr="0002514C" w:rsidRDefault="00E063C6" w:rsidP="00E203C2">
      <w:pPr>
        <w:tabs>
          <w:tab w:val="left" w:pos="4536"/>
        </w:tabs>
        <w:rPr>
          <w:sz w:val="20"/>
          <w:szCs w:val="20"/>
        </w:rPr>
      </w:pPr>
      <w:r w:rsidRPr="0002514C">
        <w:rPr>
          <w:sz w:val="20"/>
          <w:szCs w:val="20"/>
        </w:rPr>
        <w:t>AUSTRALIA</w:t>
      </w:r>
      <w:r w:rsidRPr="0002514C">
        <w:rPr>
          <w:sz w:val="20"/>
          <w:szCs w:val="20"/>
        </w:rPr>
        <w:tab/>
      </w:r>
      <w:r w:rsidRPr="0002514C">
        <w:rPr>
          <w:sz w:val="20"/>
          <w:szCs w:val="20"/>
        </w:rPr>
        <w:tab/>
        <w:t>NEW ZEALAND</w:t>
      </w:r>
    </w:p>
    <w:p w14:paraId="42A81710" w14:textId="203C5A7F" w:rsidR="00413CA8" w:rsidRPr="0002514C" w:rsidRDefault="00E063C6" w:rsidP="008E68EB">
      <w:pPr>
        <w:tabs>
          <w:tab w:val="left" w:pos="4536"/>
        </w:tabs>
        <w:rPr>
          <w:sz w:val="20"/>
          <w:szCs w:val="20"/>
        </w:rPr>
      </w:pPr>
      <w:r w:rsidRPr="0002514C">
        <w:rPr>
          <w:sz w:val="20"/>
          <w:szCs w:val="20"/>
        </w:rPr>
        <w:t xml:space="preserve">Tel </w:t>
      </w:r>
      <w:r w:rsidR="00DD3C5E" w:rsidRPr="0002514C">
        <w:rPr>
          <w:sz w:val="20"/>
          <w:szCs w:val="20"/>
        </w:rPr>
        <w:t>+61 2</w:t>
      </w:r>
      <w:r w:rsidRPr="0002514C">
        <w:rPr>
          <w:sz w:val="20"/>
          <w:szCs w:val="20"/>
        </w:rPr>
        <w:t xml:space="preserve"> 6271 2222  </w:t>
      </w:r>
      <w:r w:rsidRPr="0002514C">
        <w:rPr>
          <w:sz w:val="20"/>
          <w:szCs w:val="20"/>
        </w:rPr>
        <w:tab/>
      </w:r>
      <w:r w:rsidRPr="0002514C">
        <w:rPr>
          <w:sz w:val="20"/>
          <w:szCs w:val="20"/>
        </w:rPr>
        <w:tab/>
        <w:t xml:space="preserve">Tel </w:t>
      </w:r>
      <w:r w:rsidR="00DD3C5E" w:rsidRPr="0002514C">
        <w:rPr>
          <w:sz w:val="20"/>
          <w:szCs w:val="20"/>
        </w:rPr>
        <w:t>+64 4</w:t>
      </w:r>
      <w:r w:rsidR="0037520F" w:rsidRPr="0002514C">
        <w:rPr>
          <w:sz w:val="20"/>
          <w:szCs w:val="20"/>
        </w:rPr>
        <w:t xml:space="preserve"> 978 5630</w:t>
      </w:r>
    </w:p>
    <w:p w14:paraId="458995EE" w14:textId="77777777" w:rsidR="00D22F3C" w:rsidRPr="000543F5" w:rsidRDefault="00D22F3C" w:rsidP="00203540">
      <w:pPr>
        <w:tabs>
          <w:tab w:val="left" w:pos="4536"/>
        </w:tabs>
        <w:rPr>
          <w:rFonts w:cs="Arial"/>
          <w:bCs/>
          <w:sz w:val="20"/>
          <w:szCs w:val="20"/>
        </w:rPr>
      </w:pPr>
    </w:p>
    <w:p w14:paraId="4A49B27D" w14:textId="77777777" w:rsidR="00413CA8" w:rsidRDefault="00413CA8" w:rsidP="00E203C2">
      <w:pPr>
        <w:spacing w:line="280" w:lineRule="exact"/>
        <w:jc w:val="center"/>
        <w:rPr>
          <w:rFonts w:cs="Arial"/>
          <w:bCs/>
          <w:sz w:val="28"/>
          <w:szCs w:val="28"/>
        </w:rPr>
        <w:sectPr w:rsidR="00413CA8" w:rsidSect="00A6222A">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709" w:footer="709" w:gutter="0"/>
          <w:pgNumType w:fmt="lowerRoman" w:start="1"/>
          <w:cols w:space="708"/>
          <w:docGrid w:linePitch="360"/>
        </w:sectPr>
      </w:pPr>
    </w:p>
    <w:p w14:paraId="085135E3" w14:textId="77777777" w:rsidR="00562917" w:rsidRPr="00646FDD" w:rsidRDefault="00562917" w:rsidP="00E40ED4">
      <w:pPr>
        <w:jc w:val="center"/>
        <w:rPr>
          <w:sz w:val="28"/>
          <w:szCs w:val="28"/>
        </w:rPr>
      </w:pPr>
      <w:r w:rsidRPr="00646FDD">
        <w:rPr>
          <w:sz w:val="28"/>
          <w:szCs w:val="28"/>
        </w:rPr>
        <w:lastRenderedPageBreak/>
        <w:t xml:space="preserve">Table of </w:t>
      </w:r>
      <w:r w:rsidR="000C412C">
        <w:rPr>
          <w:sz w:val="28"/>
          <w:szCs w:val="28"/>
        </w:rPr>
        <w:t>c</w:t>
      </w:r>
      <w:r w:rsidRPr="00646FDD">
        <w:rPr>
          <w:sz w:val="28"/>
          <w:szCs w:val="28"/>
        </w:rPr>
        <w:t>ontents</w:t>
      </w:r>
    </w:p>
    <w:p w14:paraId="2E8CFC17" w14:textId="77777777" w:rsidR="00562917" w:rsidRPr="00AE766D" w:rsidRDefault="00562917" w:rsidP="00051ED9">
      <w:pPr>
        <w:rPr>
          <w:rFonts w:cs="Arial"/>
        </w:rPr>
      </w:pPr>
    </w:p>
    <w:p w14:paraId="35312354" w14:textId="0A004D8E" w:rsidR="001C6E5A" w:rsidRDefault="00051ED9">
      <w:pPr>
        <w:pStyle w:val="TOC1"/>
        <w:rPr>
          <w:rFonts w:eastAsiaTheme="minorEastAsia" w:cstheme="minorBidi"/>
          <w:b w:val="0"/>
          <w:bCs w:val="0"/>
          <w:caps w:val="0"/>
          <w:noProof/>
          <w:sz w:val="22"/>
          <w:szCs w:val="22"/>
          <w:lang w:val="en-AU" w:eastAsia="en-AU"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114215674" w:history="1">
        <w:r w:rsidR="001C6E5A" w:rsidRPr="00AA0B5E">
          <w:rPr>
            <w:rStyle w:val="Hyperlink"/>
            <w:noProof/>
          </w:rPr>
          <w:t>Executive summary</w:t>
        </w:r>
        <w:r w:rsidR="001C6E5A">
          <w:rPr>
            <w:noProof/>
            <w:webHidden/>
          </w:rPr>
          <w:tab/>
        </w:r>
        <w:r w:rsidR="001C6E5A">
          <w:rPr>
            <w:noProof/>
            <w:webHidden/>
          </w:rPr>
          <w:fldChar w:fldCharType="begin"/>
        </w:r>
        <w:r w:rsidR="001C6E5A">
          <w:rPr>
            <w:noProof/>
            <w:webHidden/>
          </w:rPr>
          <w:instrText xml:space="preserve"> PAGEREF _Toc114215674 \h </w:instrText>
        </w:r>
        <w:r w:rsidR="001C6E5A">
          <w:rPr>
            <w:noProof/>
            <w:webHidden/>
          </w:rPr>
        </w:r>
        <w:r w:rsidR="001C6E5A">
          <w:rPr>
            <w:noProof/>
            <w:webHidden/>
          </w:rPr>
          <w:fldChar w:fldCharType="separate"/>
        </w:r>
        <w:r w:rsidR="001C6E5A">
          <w:rPr>
            <w:noProof/>
            <w:webHidden/>
          </w:rPr>
          <w:t>iv</w:t>
        </w:r>
        <w:r w:rsidR="001C6E5A">
          <w:rPr>
            <w:noProof/>
            <w:webHidden/>
          </w:rPr>
          <w:fldChar w:fldCharType="end"/>
        </w:r>
      </w:hyperlink>
    </w:p>
    <w:p w14:paraId="3925228F" w14:textId="452DEC10" w:rsidR="001C6E5A" w:rsidRDefault="00F73507">
      <w:pPr>
        <w:pStyle w:val="TOC1"/>
        <w:rPr>
          <w:rFonts w:eastAsiaTheme="minorEastAsia" w:cstheme="minorBidi"/>
          <w:b w:val="0"/>
          <w:bCs w:val="0"/>
          <w:caps w:val="0"/>
          <w:noProof/>
          <w:sz w:val="22"/>
          <w:szCs w:val="22"/>
          <w:lang w:val="en-AU" w:eastAsia="en-AU" w:bidi="ar-SA"/>
        </w:rPr>
      </w:pPr>
      <w:hyperlink w:anchor="_Toc114215675" w:history="1">
        <w:r w:rsidR="001C6E5A" w:rsidRPr="00AA0B5E">
          <w:rPr>
            <w:rStyle w:val="Hyperlink"/>
            <w:noProof/>
          </w:rPr>
          <w:t>1</w:t>
        </w:r>
        <w:r w:rsidR="001C6E5A">
          <w:rPr>
            <w:rFonts w:eastAsiaTheme="minorEastAsia" w:cstheme="minorBidi"/>
            <w:b w:val="0"/>
            <w:bCs w:val="0"/>
            <w:caps w:val="0"/>
            <w:noProof/>
            <w:sz w:val="22"/>
            <w:szCs w:val="22"/>
            <w:lang w:val="en-AU" w:eastAsia="en-AU" w:bidi="ar-SA"/>
          </w:rPr>
          <w:tab/>
        </w:r>
        <w:r w:rsidR="001C6E5A" w:rsidRPr="00AA0B5E">
          <w:rPr>
            <w:rStyle w:val="Hyperlink"/>
            <w:noProof/>
          </w:rPr>
          <w:t>Introduction</w:t>
        </w:r>
        <w:r w:rsidR="001C6E5A">
          <w:rPr>
            <w:noProof/>
            <w:webHidden/>
          </w:rPr>
          <w:tab/>
        </w:r>
        <w:r w:rsidR="001C6E5A">
          <w:rPr>
            <w:noProof/>
            <w:webHidden/>
          </w:rPr>
          <w:fldChar w:fldCharType="begin"/>
        </w:r>
        <w:r w:rsidR="001C6E5A">
          <w:rPr>
            <w:noProof/>
            <w:webHidden/>
          </w:rPr>
          <w:instrText xml:space="preserve"> PAGEREF _Toc114215675 \h </w:instrText>
        </w:r>
        <w:r w:rsidR="001C6E5A">
          <w:rPr>
            <w:noProof/>
            <w:webHidden/>
          </w:rPr>
        </w:r>
        <w:r w:rsidR="001C6E5A">
          <w:rPr>
            <w:noProof/>
            <w:webHidden/>
          </w:rPr>
          <w:fldChar w:fldCharType="separate"/>
        </w:r>
        <w:r w:rsidR="001C6E5A">
          <w:rPr>
            <w:noProof/>
            <w:webHidden/>
          </w:rPr>
          <w:t>1</w:t>
        </w:r>
        <w:r w:rsidR="001C6E5A">
          <w:rPr>
            <w:noProof/>
            <w:webHidden/>
          </w:rPr>
          <w:fldChar w:fldCharType="end"/>
        </w:r>
      </w:hyperlink>
    </w:p>
    <w:p w14:paraId="60ABA801" w14:textId="7D5BF357" w:rsidR="001C6E5A" w:rsidRDefault="00F73507" w:rsidP="001C6E5A">
      <w:pPr>
        <w:pStyle w:val="TOC2"/>
        <w:rPr>
          <w:rFonts w:eastAsiaTheme="minorEastAsia" w:cstheme="minorBidi"/>
          <w:noProof/>
          <w:sz w:val="22"/>
          <w:szCs w:val="22"/>
          <w:lang w:val="en-AU" w:eastAsia="en-AU" w:bidi="ar-SA"/>
        </w:rPr>
      </w:pPr>
      <w:hyperlink w:anchor="_Toc114215676" w:history="1">
        <w:r w:rsidR="001C6E5A" w:rsidRPr="00AA0B5E">
          <w:rPr>
            <w:rStyle w:val="Hyperlink"/>
            <w:noProof/>
          </w:rPr>
          <w:t>1.1</w:t>
        </w:r>
        <w:r w:rsidR="001C6E5A">
          <w:rPr>
            <w:rFonts w:eastAsiaTheme="minorEastAsia" w:cstheme="minorBidi"/>
            <w:noProof/>
            <w:sz w:val="22"/>
            <w:szCs w:val="22"/>
            <w:lang w:val="en-AU" w:eastAsia="en-AU" w:bidi="ar-SA"/>
          </w:rPr>
          <w:tab/>
        </w:r>
        <w:r w:rsidR="001C6E5A" w:rsidRPr="00AA0B5E">
          <w:rPr>
            <w:rStyle w:val="Hyperlink"/>
            <w:noProof/>
          </w:rPr>
          <w:t>The Applicant</w:t>
        </w:r>
        <w:r w:rsidR="001C6E5A">
          <w:rPr>
            <w:noProof/>
            <w:webHidden/>
          </w:rPr>
          <w:tab/>
        </w:r>
        <w:r w:rsidR="001C6E5A">
          <w:rPr>
            <w:noProof/>
            <w:webHidden/>
          </w:rPr>
          <w:fldChar w:fldCharType="begin"/>
        </w:r>
        <w:r w:rsidR="001C6E5A">
          <w:rPr>
            <w:noProof/>
            <w:webHidden/>
          </w:rPr>
          <w:instrText xml:space="preserve"> PAGEREF _Toc114215676 \h </w:instrText>
        </w:r>
        <w:r w:rsidR="001C6E5A">
          <w:rPr>
            <w:noProof/>
            <w:webHidden/>
          </w:rPr>
        </w:r>
        <w:r w:rsidR="001C6E5A">
          <w:rPr>
            <w:noProof/>
            <w:webHidden/>
          </w:rPr>
          <w:fldChar w:fldCharType="separate"/>
        </w:r>
        <w:r w:rsidR="001C6E5A">
          <w:rPr>
            <w:noProof/>
            <w:webHidden/>
          </w:rPr>
          <w:t>1</w:t>
        </w:r>
        <w:r w:rsidR="001C6E5A">
          <w:rPr>
            <w:noProof/>
            <w:webHidden/>
          </w:rPr>
          <w:fldChar w:fldCharType="end"/>
        </w:r>
      </w:hyperlink>
    </w:p>
    <w:p w14:paraId="34592952" w14:textId="0F5B5323" w:rsidR="001C6E5A" w:rsidRDefault="00F73507" w:rsidP="001C6E5A">
      <w:pPr>
        <w:pStyle w:val="TOC2"/>
        <w:rPr>
          <w:rFonts w:eastAsiaTheme="minorEastAsia" w:cstheme="minorBidi"/>
          <w:noProof/>
          <w:sz w:val="22"/>
          <w:szCs w:val="22"/>
          <w:lang w:val="en-AU" w:eastAsia="en-AU" w:bidi="ar-SA"/>
        </w:rPr>
      </w:pPr>
      <w:hyperlink w:anchor="_Toc114215677" w:history="1">
        <w:r w:rsidR="001C6E5A" w:rsidRPr="00AA0B5E">
          <w:rPr>
            <w:rStyle w:val="Hyperlink"/>
            <w:noProof/>
          </w:rPr>
          <w:t>1.2</w:t>
        </w:r>
        <w:r w:rsidR="001C6E5A">
          <w:rPr>
            <w:rFonts w:eastAsiaTheme="minorEastAsia" w:cstheme="minorBidi"/>
            <w:noProof/>
            <w:sz w:val="22"/>
            <w:szCs w:val="22"/>
            <w:lang w:val="en-AU" w:eastAsia="en-AU" w:bidi="ar-SA"/>
          </w:rPr>
          <w:tab/>
        </w:r>
        <w:r w:rsidR="001C6E5A" w:rsidRPr="00AA0B5E">
          <w:rPr>
            <w:rStyle w:val="Hyperlink"/>
            <w:noProof/>
          </w:rPr>
          <w:t>The Application</w:t>
        </w:r>
        <w:r w:rsidR="001C6E5A">
          <w:rPr>
            <w:noProof/>
            <w:webHidden/>
          </w:rPr>
          <w:tab/>
        </w:r>
        <w:r w:rsidR="001C6E5A">
          <w:rPr>
            <w:noProof/>
            <w:webHidden/>
          </w:rPr>
          <w:fldChar w:fldCharType="begin"/>
        </w:r>
        <w:r w:rsidR="001C6E5A">
          <w:rPr>
            <w:noProof/>
            <w:webHidden/>
          </w:rPr>
          <w:instrText xml:space="preserve"> PAGEREF _Toc114215677 \h </w:instrText>
        </w:r>
        <w:r w:rsidR="001C6E5A">
          <w:rPr>
            <w:noProof/>
            <w:webHidden/>
          </w:rPr>
        </w:r>
        <w:r w:rsidR="001C6E5A">
          <w:rPr>
            <w:noProof/>
            <w:webHidden/>
          </w:rPr>
          <w:fldChar w:fldCharType="separate"/>
        </w:r>
        <w:r w:rsidR="001C6E5A">
          <w:rPr>
            <w:noProof/>
            <w:webHidden/>
          </w:rPr>
          <w:t>1</w:t>
        </w:r>
        <w:r w:rsidR="001C6E5A">
          <w:rPr>
            <w:noProof/>
            <w:webHidden/>
          </w:rPr>
          <w:fldChar w:fldCharType="end"/>
        </w:r>
      </w:hyperlink>
    </w:p>
    <w:p w14:paraId="5B930B66" w14:textId="5314380C" w:rsidR="001C6E5A" w:rsidRDefault="00F73507" w:rsidP="001C6E5A">
      <w:pPr>
        <w:pStyle w:val="TOC2"/>
        <w:rPr>
          <w:rFonts w:eastAsiaTheme="minorEastAsia" w:cstheme="minorBidi"/>
          <w:noProof/>
          <w:sz w:val="22"/>
          <w:szCs w:val="22"/>
          <w:lang w:val="en-AU" w:eastAsia="en-AU" w:bidi="ar-SA"/>
        </w:rPr>
      </w:pPr>
      <w:hyperlink w:anchor="_Toc114215678" w:history="1">
        <w:r w:rsidR="001C6E5A" w:rsidRPr="00AA0B5E">
          <w:rPr>
            <w:rStyle w:val="Hyperlink"/>
            <w:noProof/>
          </w:rPr>
          <w:t>1.3</w:t>
        </w:r>
        <w:r w:rsidR="001C6E5A">
          <w:rPr>
            <w:rFonts w:eastAsiaTheme="minorEastAsia" w:cstheme="minorBidi"/>
            <w:noProof/>
            <w:sz w:val="22"/>
            <w:szCs w:val="22"/>
            <w:lang w:val="en-AU" w:eastAsia="en-AU" w:bidi="ar-SA"/>
          </w:rPr>
          <w:tab/>
        </w:r>
        <w:r w:rsidR="001C6E5A" w:rsidRPr="00AA0B5E">
          <w:rPr>
            <w:rStyle w:val="Hyperlink"/>
            <w:noProof/>
          </w:rPr>
          <w:t>The current standard</w:t>
        </w:r>
        <w:r w:rsidR="001C6E5A">
          <w:rPr>
            <w:noProof/>
            <w:webHidden/>
          </w:rPr>
          <w:tab/>
        </w:r>
        <w:r w:rsidR="001C6E5A">
          <w:rPr>
            <w:noProof/>
            <w:webHidden/>
          </w:rPr>
          <w:fldChar w:fldCharType="begin"/>
        </w:r>
        <w:r w:rsidR="001C6E5A">
          <w:rPr>
            <w:noProof/>
            <w:webHidden/>
          </w:rPr>
          <w:instrText xml:space="preserve"> PAGEREF _Toc114215678 \h </w:instrText>
        </w:r>
        <w:r w:rsidR="001C6E5A">
          <w:rPr>
            <w:noProof/>
            <w:webHidden/>
          </w:rPr>
        </w:r>
        <w:r w:rsidR="001C6E5A">
          <w:rPr>
            <w:noProof/>
            <w:webHidden/>
          </w:rPr>
          <w:fldChar w:fldCharType="separate"/>
        </w:r>
        <w:r w:rsidR="001C6E5A">
          <w:rPr>
            <w:noProof/>
            <w:webHidden/>
          </w:rPr>
          <w:t>1</w:t>
        </w:r>
        <w:r w:rsidR="001C6E5A">
          <w:rPr>
            <w:noProof/>
            <w:webHidden/>
          </w:rPr>
          <w:fldChar w:fldCharType="end"/>
        </w:r>
      </w:hyperlink>
    </w:p>
    <w:p w14:paraId="33293560" w14:textId="2FC48039"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79" w:history="1">
        <w:r w:rsidR="001C6E5A" w:rsidRPr="00AA0B5E">
          <w:rPr>
            <w:rStyle w:val="Hyperlink"/>
            <w:noProof/>
          </w:rPr>
          <w:t>1.3.1</w:t>
        </w:r>
        <w:r w:rsidR="001C6E5A">
          <w:rPr>
            <w:rFonts w:eastAsiaTheme="minorEastAsia" w:cstheme="minorBidi"/>
            <w:i w:val="0"/>
            <w:iCs w:val="0"/>
            <w:noProof/>
            <w:sz w:val="22"/>
            <w:szCs w:val="22"/>
            <w:lang w:val="en-AU" w:eastAsia="en-AU" w:bidi="ar-SA"/>
          </w:rPr>
          <w:tab/>
        </w:r>
        <w:r w:rsidR="001C6E5A" w:rsidRPr="00AA0B5E">
          <w:rPr>
            <w:rStyle w:val="Hyperlink"/>
            <w:noProof/>
          </w:rPr>
          <w:t>International standards</w:t>
        </w:r>
        <w:r w:rsidR="001C6E5A">
          <w:rPr>
            <w:noProof/>
            <w:webHidden/>
          </w:rPr>
          <w:tab/>
        </w:r>
        <w:r w:rsidR="001C6E5A">
          <w:rPr>
            <w:noProof/>
            <w:webHidden/>
          </w:rPr>
          <w:fldChar w:fldCharType="begin"/>
        </w:r>
        <w:r w:rsidR="001C6E5A">
          <w:rPr>
            <w:noProof/>
            <w:webHidden/>
          </w:rPr>
          <w:instrText xml:space="preserve"> PAGEREF _Toc114215679 \h </w:instrText>
        </w:r>
        <w:r w:rsidR="001C6E5A">
          <w:rPr>
            <w:noProof/>
            <w:webHidden/>
          </w:rPr>
        </w:r>
        <w:r w:rsidR="001C6E5A">
          <w:rPr>
            <w:noProof/>
            <w:webHidden/>
          </w:rPr>
          <w:fldChar w:fldCharType="separate"/>
        </w:r>
        <w:r w:rsidR="001C6E5A">
          <w:rPr>
            <w:noProof/>
            <w:webHidden/>
          </w:rPr>
          <w:t>3</w:t>
        </w:r>
        <w:r w:rsidR="001C6E5A">
          <w:rPr>
            <w:noProof/>
            <w:webHidden/>
          </w:rPr>
          <w:fldChar w:fldCharType="end"/>
        </w:r>
      </w:hyperlink>
    </w:p>
    <w:p w14:paraId="4EF17E3D" w14:textId="19636E17" w:rsidR="001C6E5A" w:rsidRDefault="00F73507" w:rsidP="001C6E5A">
      <w:pPr>
        <w:pStyle w:val="TOC2"/>
        <w:rPr>
          <w:rFonts w:eastAsiaTheme="minorEastAsia" w:cstheme="minorBidi"/>
          <w:noProof/>
          <w:sz w:val="22"/>
          <w:szCs w:val="22"/>
          <w:lang w:val="en-AU" w:eastAsia="en-AU" w:bidi="ar-SA"/>
        </w:rPr>
      </w:pPr>
      <w:hyperlink w:anchor="_Toc114215680" w:history="1">
        <w:r w:rsidR="001C6E5A" w:rsidRPr="00AA0B5E">
          <w:rPr>
            <w:rStyle w:val="Hyperlink"/>
            <w:noProof/>
          </w:rPr>
          <w:t>1.4</w:t>
        </w:r>
        <w:r w:rsidR="001C6E5A">
          <w:rPr>
            <w:rFonts w:eastAsiaTheme="minorEastAsia" w:cstheme="minorBidi"/>
            <w:noProof/>
            <w:sz w:val="22"/>
            <w:szCs w:val="22"/>
            <w:lang w:val="en-AU" w:eastAsia="en-AU" w:bidi="ar-SA"/>
          </w:rPr>
          <w:tab/>
        </w:r>
        <w:r w:rsidR="001C6E5A" w:rsidRPr="00AA0B5E">
          <w:rPr>
            <w:rStyle w:val="Hyperlink"/>
            <w:noProof/>
          </w:rPr>
          <w:t>Reasons for accepting Application</w:t>
        </w:r>
        <w:r w:rsidR="001C6E5A">
          <w:rPr>
            <w:noProof/>
            <w:webHidden/>
          </w:rPr>
          <w:tab/>
        </w:r>
        <w:r w:rsidR="001C6E5A">
          <w:rPr>
            <w:noProof/>
            <w:webHidden/>
          </w:rPr>
          <w:fldChar w:fldCharType="begin"/>
        </w:r>
        <w:r w:rsidR="001C6E5A">
          <w:rPr>
            <w:noProof/>
            <w:webHidden/>
          </w:rPr>
          <w:instrText xml:space="preserve"> PAGEREF _Toc114215680 \h </w:instrText>
        </w:r>
        <w:r w:rsidR="001C6E5A">
          <w:rPr>
            <w:noProof/>
            <w:webHidden/>
          </w:rPr>
        </w:r>
        <w:r w:rsidR="001C6E5A">
          <w:rPr>
            <w:noProof/>
            <w:webHidden/>
          </w:rPr>
          <w:fldChar w:fldCharType="separate"/>
        </w:r>
        <w:r w:rsidR="001C6E5A">
          <w:rPr>
            <w:noProof/>
            <w:webHidden/>
          </w:rPr>
          <w:t>3</w:t>
        </w:r>
        <w:r w:rsidR="001C6E5A">
          <w:rPr>
            <w:noProof/>
            <w:webHidden/>
          </w:rPr>
          <w:fldChar w:fldCharType="end"/>
        </w:r>
      </w:hyperlink>
    </w:p>
    <w:p w14:paraId="2184C640" w14:textId="2C6334BC" w:rsidR="001C6E5A" w:rsidRDefault="00F73507" w:rsidP="001C6E5A">
      <w:pPr>
        <w:pStyle w:val="TOC2"/>
        <w:rPr>
          <w:rFonts w:eastAsiaTheme="minorEastAsia" w:cstheme="minorBidi"/>
          <w:noProof/>
          <w:sz w:val="22"/>
          <w:szCs w:val="22"/>
          <w:lang w:val="en-AU" w:eastAsia="en-AU" w:bidi="ar-SA"/>
        </w:rPr>
      </w:pPr>
      <w:hyperlink w:anchor="_Toc114215681" w:history="1">
        <w:r w:rsidR="001C6E5A" w:rsidRPr="00AA0B5E">
          <w:rPr>
            <w:rStyle w:val="Hyperlink"/>
            <w:noProof/>
          </w:rPr>
          <w:t>1.5</w:t>
        </w:r>
        <w:r w:rsidR="001C6E5A">
          <w:rPr>
            <w:rFonts w:eastAsiaTheme="minorEastAsia" w:cstheme="minorBidi"/>
            <w:noProof/>
            <w:sz w:val="22"/>
            <w:szCs w:val="22"/>
            <w:lang w:val="en-AU" w:eastAsia="en-AU" w:bidi="ar-SA"/>
          </w:rPr>
          <w:tab/>
        </w:r>
        <w:r w:rsidR="001C6E5A" w:rsidRPr="00AA0B5E">
          <w:rPr>
            <w:rStyle w:val="Hyperlink"/>
            <w:noProof/>
          </w:rPr>
          <w:t>Procedure for assessment</w:t>
        </w:r>
        <w:r w:rsidR="001C6E5A">
          <w:rPr>
            <w:noProof/>
            <w:webHidden/>
          </w:rPr>
          <w:tab/>
        </w:r>
        <w:r w:rsidR="001C6E5A">
          <w:rPr>
            <w:noProof/>
            <w:webHidden/>
          </w:rPr>
          <w:fldChar w:fldCharType="begin"/>
        </w:r>
        <w:r w:rsidR="001C6E5A">
          <w:rPr>
            <w:noProof/>
            <w:webHidden/>
          </w:rPr>
          <w:instrText xml:space="preserve"> PAGEREF _Toc114215681 \h </w:instrText>
        </w:r>
        <w:r w:rsidR="001C6E5A">
          <w:rPr>
            <w:noProof/>
            <w:webHidden/>
          </w:rPr>
        </w:r>
        <w:r w:rsidR="001C6E5A">
          <w:rPr>
            <w:noProof/>
            <w:webHidden/>
          </w:rPr>
          <w:fldChar w:fldCharType="separate"/>
        </w:r>
        <w:r w:rsidR="001C6E5A">
          <w:rPr>
            <w:noProof/>
            <w:webHidden/>
          </w:rPr>
          <w:t>3</w:t>
        </w:r>
        <w:r w:rsidR="001C6E5A">
          <w:rPr>
            <w:noProof/>
            <w:webHidden/>
          </w:rPr>
          <w:fldChar w:fldCharType="end"/>
        </w:r>
      </w:hyperlink>
    </w:p>
    <w:p w14:paraId="7DB641CA" w14:textId="595D99F7" w:rsidR="001C6E5A" w:rsidRDefault="00F73507">
      <w:pPr>
        <w:pStyle w:val="TOC1"/>
        <w:rPr>
          <w:rFonts w:eastAsiaTheme="minorEastAsia" w:cstheme="minorBidi"/>
          <w:b w:val="0"/>
          <w:bCs w:val="0"/>
          <w:caps w:val="0"/>
          <w:noProof/>
          <w:sz w:val="22"/>
          <w:szCs w:val="22"/>
          <w:lang w:val="en-AU" w:eastAsia="en-AU" w:bidi="ar-SA"/>
        </w:rPr>
      </w:pPr>
      <w:hyperlink w:anchor="_Toc114215682" w:history="1">
        <w:r w:rsidR="001C6E5A" w:rsidRPr="00AA0B5E">
          <w:rPr>
            <w:rStyle w:val="Hyperlink"/>
            <w:noProof/>
          </w:rPr>
          <w:t>2</w:t>
        </w:r>
        <w:r w:rsidR="001C6E5A">
          <w:rPr>
            <w:rFonts w:eastAsiaTheme="minorEastAsia" w:cstheme="minorBidi"/>
            <w:b w:val="0"/>
            <w:bCs w:val="0"/>
            <w:caps w:val="0"/>
            <w:noProof/>
            <w:sz w:val="22"/>
            <w:szCs w:val="22"/>
            <w:lang w:val="en-AU" w:eastAsia="en-AU" w:bidi="ar-SA"/>
          </w:rPr>
          <w:tab/>
        </w:r>
        <w:r w:rsidR="001C6E5A" w:rsidRPr="00AA0B5E">
          <w:rPr>
            <w:rStyle w:val="Hyperlink"/>
            <w:noProof/>
          </w:rPr>
          <w:t>Summary of the assessment</w:t>
        </w:r>
        <w:r w:rsidR="001C6E5A">
          <w:rPr>
            <w:noProof/>
            <w:webHidden/>
          </w:rPr>
          <w:tab/>
        </w:r>
        <w:r w:rsidR="001C6E5A">
          <w:rPr>
            <w:noProof/>
            <w:webHidden/>
          </w:rPr>
          <w:fldChar w:fldCharType="begin"/>
        </w:r>
        <w:r w:rsidR="001C6E5A">
          <w:rPr>
            <w:noProof/>
            <w:webHidden/>
          </w:rPr>
          <w:instrText xml:space="preserve"> PAGEREF _Toc114215682 \h </w:instrText>
        </w:r>
        <w:r w:rsidR="001C6E5A">
          <w:rPr>
            <w:noProof/>
            <w:webHidden/>
          </w:rPr>
        </w:r>
        <w:r w:rsidR="001C6E5A">
          <w:rPr>
            <w:noProof/>
            <w:webHidden/>
          </w:rPr>
          <w:fldChar w:fldCharType="separate"/>
        </w:r>
        <w:r w:rsidR="001C6E5A">
          <w:rPr>
            <w:noProof/>
            <w:webHidden/>
          </w:rPr>
          <w:t>3</w:t>
        </w:r>
        <w:r w:rsidR="001C6E5A">
          <w:rPr>
            <w:noProof/>
            <w:webHidden/>
          </w:rPr>
          <w:fldChar w:fldCharType="end"/>
        </w:r>
      </w:hyperlink>
    </w:p>
    <w:p w14:paraId="5406D998" w14:textId="2DDA4587" w:rsidR="001C6E5A" w:rsidRDefault="00F73507" w:rsidP="001C6E5A">
      <w:pPr>
        <w:pStyle w:val="TOC2"/>
        <w:rPr>
          <w:rFonts w:eastAsiaTheme="minorEastAsia" w:cstheme="minorBidi"/>
          <w:noProof/>
          <w:sz w:val="22"/>
          <w:szCs w:val="22"/>
          <w:lang w:val="en-AU" w:eastAsia="en-AU" w:bidi="ar-SA"/>
        </w:rPr>
      </w:pPr>
      <w:hyperlink w:anchor="_Toc114215683" w:history="1">
        <w:r w:rsidR="001C6E5A" w:rsidRPr="00AA0B5E">
          <w:rPr>
            <w:rStyle w:val="Hyperlink"/>
            <w:noProof/>
          </w:rPr>
          <w:t>2.1</w:t>
        </w:r>
        <w:r w:rsidR="001C6E5A">
          <w:rPr>
            <w:rFonts w:eastAsiaTheme="minorEastAsia" w:cstheme="minorBidi"/>
            <w:noProof/>
            <w:sz w:val="22"/>
            <w:szCs w:val="22"/>
            <w:lang w:val="en-AU" w:eastAsia="en-AU" w:bidi="ar-SA"/>
          </w:rPr>
          <w:tab/>
        </w:r>
        <w:r w:rsidR="001C6E5A" w:rsidRPr="00AA0B5E">
          <w:rPr>
            <w:rStyle w:val="Hyperlink"/>
            <w:noProof/>
          </w:rPr>
          <w:t>Risk assessment</w:t>
        </w:r>
        <w:r w:rsidR="001C6E5A">
          <w:rPr>
            <w:noProof/>
            <w:webHidden/>
          </w:rPr>
          <w:tab/>
        </w:r>
        <w:r w:rsidR="001C6E5A">
          <w:rPr>
            <w:noProof/>
            <w:webHidden/>
          </w:rPr>
          <w:fldChar w:fldCharType="begin"/>
        </w:r>
        <w:r w:rsidR="001C6E5A">
          <w:rPr>
            <w:noProof/>
            <w:webHidden/>
          </w:rPr>
          <w:instrText xml:space="preserve"> PAGEREF _Toc114215683 \h </w:instrText>
        </w:r>
        <w:r w:rsidR="001C6E5A">
          <w:rPr>
            <w:noProof/>
            <w:webHidden/>
          </w:rPr>
        </w:r>
        <w:r w:rsidR="001C6E5A">
          <w:rPr>
            <w:noProof/>
            <w:webHidden/>
          </w:rPr>
          <w:fldChar w:fldCharType="separate"/>
        </w:r>
        <w:r w:rsidR="001C6E5A">
          <w:rPr>
            <w:noProof/>
            <w:webHidden/>
          </w:rPr>
          <w:t>3</w:t>
        </w:r>
        <w:r w:rsidR="001C6E5A">
          <w:rPr>
            <w:noProof/>
            <w:webHidden/>
          </w:rPr>
          <w:fldChar w:fldCharType="end"/>
        </w:r>
      </w:hyperlink>
    </w:p>
    <w:p w14:paraId="25D675C3" w14:textId="5AE84A65" w:rsidR="001C6E5A" w:rsidRDefault="00F73507" w:rsidP="001C6E5A">
      <w:pPr>
        <w:pStyle w:val="TOC2"/>
        <w:rPr>
          <w:rFonts w:eastAsiaTheme="minorEastAsia" w:cstheme="minorBidi"/>
          <w:noProof/>
          <w:sz w:val="22"/>
          <w:szCs w:val="22"/>
          <w:lang w:val="en-AU" w:eastAsia="en-AU" w:bidi="ar-SA"/>
        </w:rPr>
      </w:pPr>
      <w:hyperlink w:anchor="_Toc114215684" w:history="1">
        <w:r w:rsidR="001C6E5A" w:rsidRPr="00AA0B5E">
          <w:rPr>
            <w:rStyle w:val="Hyperlink"/>
            <w:noProof/>
          </w:rPr>
          <w:t>2.2</w:t>
        </w:r>
        <w:r w:rsidR="001C6E5A">
          <w:rPr>
            <w:rFonts w:eastAsiaTheme="minorEastAsia" w:cstheme="minorBidi"/>
            <w:noProof/>
            <w:sz w:val="22"/>
            <w:szCs w:val="22"/>
            <w:lang w:val="en-AU" w:eastAsia="en-AU" w:bidi="ar-SA"/>
          </w:rPr>
          <w:tab/>
        </w:r>
        <w:r w:rsidR="001C6E5A" w:rsidRPr="00AA0B5E">
          <w:rPr>
            <w:rStyle w:val="Hyperlink"/>
            <w:noProof/>
          </w:rPr>
          <w:t>Risk management</w:t>
        </w:r>
        <w:r w:rsidR="001C6E5A">
          <w:rPr>
            <w:noProof/>
            <w:webHidden/>
          </w:rPr>
          <w:tab/>
        </w:r>
        <w:r w:rsidR="001C6E5A">
          <w:rPr>
            <w:noProof/>
            <w:webHidden/>
          </w:rPr>
          <w:fldChar w:fldCharType="begin"/>
        </w:r>
        <w:r w:rsidR="001C6E5A">
          <w:rPr>
            <w:noProof/>
            <w:webHidden/>
          </w:rPr>
          <w:instrText xml:space="preserve"> PAGEREF _Toc114215684 \h </w:instrText>
        </w:r>
        <w:r w:rsidR="001C6E5A">
          <w:rPr>
            <w:noProof/>
            <w:webHidden/>
          </w:rPr>
        </w:r>
        <w:r w:rsidR="001C6E5A">
          <w:rPr>
            <w:noProof/>
            <w:webHidden/>
          </w:rPr>
          <w:fldChar w:fldCharType="separate"/>
        </w:r>
        <w:r w:rsidR="001C6E5A">
          <w:rPr>
            <w:noProof/>
            <w:webHidden/>
          </w:rPr>
          <w:t>4</w:t>
        </w:r>
        <w:r w:rsidR="001C6E5A">
          <w:rPr>
            <w:noProof/>
            <w:webHidden/>
          </w:rPr>
          <w:fldChar w:fldCharType="end"/>
        </w:r>
      </w:hyperlink>
    </w:p>
    <w:p w14:paraId="2F706FA4" w14:textId="7527978E"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85" w:history="1">
        <w:r w:rsidR="001C6E5A" w:rsidRPr="00AA0B5E">
          <w:rPr>
            <w:rStyle w:val="Hyperlink"/>
            <w:noProof/>
          </w:rPr>
          <w:t>2.2.1</w:t>
        </w:r>
        <w:r w:rsidR="001C6E5A">
          <w:rPr>
            <w:rFonts w:eastAsiaTheme="minorEastAsia" w:cstheme="minorBidi"/>
            <w:i w:val="0"/>
            <w:iCs w:val="0"/>
            <w:noProof/>
            <w:sz w:val="22"/>
            <w:szCs w:val="22"/>
            <w:lang w:val="en-AU" w:eastAsia="en-AU" w:bidi="ar-SA"/>
          </w:rPr>
          <w:tab/>
        </w:r>
        <w:r w:rsidR="001C6E5A" w:rsidRPr="00AA0B5E">
          <w:rPr>
            <w:rStyle w:val="Hyperlink"/>
            <w:noProof/>
          </w:rPr>
          <w:t>Regulatory approval for enzymes</w:t>
        </w:r>
        <w:r w:rsidR="001C6E5A">
          <w:rPr>
            <w:noProof/>
            <w:webHidden/>
          </w:rPr>
          <w:tab/>
        </w:r>
        <w:r w:rsidR="001C6E5A">
          <w:rPr>
            <w:noProof/>
            <w:webHidden/>
          </w:rPr>
          <w:fldChar w:fldCharType="begin"/>
        </w:r>
        <w:r w:rsidR="001C6E5A">
          <w:rPr>
            <w:noProof/>
            <w:webHidden/>
          </w:rPr>
          <w:instrText xml:space="preserve"> PAGEREF _Toc114215685 \h </w:instrText>
        </w:r>
        <w:r w:rsidR="001C6E5A">
          <w:rPr>
            <w:noProof/>
            <w:webHidden/>
          </w:rPr>
        </w:r>
        <w:r w:rsidR="001C6E5A">
          <w:rPr>
            <w:noProof/>
            <w:webHidden/>
          </w:rPr>
          <w:fldChar w:fldCharType="separate"/>
        </w:r>
        <w:r w:rsidR="001C6E5A">
          <w:rPr>
            <w:noProof/>
            <w:webHidden/>
          </w:rPr>
          <w:t>4</w:t>
        </w:r>
        <w:r w:rsidR="001C6E5A">
          <w:rPr>
            <w:noProof/>
            <w:webHidden/>
          </w:rPr>
          <w:fldChar w:fldCharType="end"/>
        </w:r>
      </w:hyperlink>
    </w:p>
    <w:p w14:paraId="0777AA18" w14:textId="1635661B"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86" w:history="1">
        <w:r w:rsidR="001C6E5A" w:rsidRPr="00AA0B5E">
          <w:rPr>
            <w:rStyle w:val="Hyperlink"/>
            <w:noProof/>
          </w:rPr>
          <w:t>2.2.2</w:t>
        </w:r>
        <w:r w:rsidR="001C6E5A">
          <w:rPr>
            <w:rFonts w:eastAsiaTheme="minorEastAsia" w:cstheme="minorBidi"/>
            <w:i w:val="0"/>
            <w:iCs w:val="0"/>
            <w:noProof/>
            <w:sz w:val="22"/>
            <w:szCs w:val="22"/>
            <w:lang w:val="en-AU" w:eastAsia="en-AU" w:bidi="ar-SA"/>
          </w:rPr>
          <w:tab/>
        </w:r>
        <w:r w:rsidR="001C6E5A" w:rsidRPr="00AA0B5E">
          <w:rPr>
            <w:rStyle w:val="Hyperlink"/>
            <w:noProof/>
          </w:rPr>
          <w:t>Enzyme nomenclature</w:t>
        </w:r>
        <w:r w:rsidR="001C6E5A">
          <w:rPr>
            <w:noProof/>
            <w:webHidden/>
          </w:rPr>
          <w:tab/>
        </w:r>
        <w:r w:rsidR="001C6E5A">
          <w:rPr>
            <w:noProof/>
            <w:webHidden/>
          </w:rPr>
          <w:fldChar w:fldCharType="begin"/>
        </w:r>
        <w:r w:rsidR="001C6E5A">
          <w:rPr>
            <w:noProof/>
            <w:webHidden/>
          </w:rPr>
          <w:instrText xml:space="preserve"> PAGEREF _Toc114215686 \h </w:instrText>
        </w:r>
        <w:r w:rsidR="001C6E5A">
          <w:rPr>
            <w:noProof/>
            <w:webHidden/>
          </w:rPr>
        </w:r>
        <w:r w:rsidR="001C6E5A">
          <w:rPr>
            <w:noProof/>
            <w:webHidden/>
          </w:rPr>
          <w:fldChar w:fldCharType="separate"/>
        </w:r>
        <w:r w:rsidR="001C6E5A">
          <w:rPr>
            <w:noProof/>
            <w:webHidden/>
          </w:rPr>
          <w:t>4</w:t>
        </w:r>
        <w:r w:rsidR="001C6E5A">
          <w:rPr>
            <w:noProof/>
            <w:webHidden/>
          </w:rPr>
          <w:fldChar w:fldCharType="end"/>
        </w:r>
      </w:hyperlink>
    </w:p>
    <w:p w14:paraId="14C50116" w14:textId="54F0B5D9"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87" w:history="1">
        <w:r w:rsidR="001C6E5A" w:rsidRPr="00AA0B5E">
          <w:rPr>
            <w:rStyle w:val="Hyperlink"/>
            <w:noProof/>
          </w:rPr>
          <w:t>2.2.3</w:t>
        </w:r>
        <w:r w:rsidR="001C6E5A">
          <w:rPr>
            <w:rFonts w:eastAsiaTheme="minorEastAsia" w:cstheme="minorBidi"/>
            <w:i w:val="0"/>
            <w:iCs w:val="0"/>
            <w:noProof/>
            <w:sz w:val="22"/>
            <w:szCs w:val="22"/>
            <w:lang w:val="en-AU" w:eastAsia="en-AU" w:bidi="ar-SA"/>
          </w:rPr>
          <w:tab/>
        </w:r>
        <w:r w:rsidR="001C6E5A" w:rsidRPr="00AA0B5E">
          <w:rPr>
            <w:rStyle w:val="Hyperlink"/>
            <w:noProof/>
          </w:rPr>
          <w:t>Labelling</w:t>
        </w:r>
        <w:r w:rsidR="001C6E5A">
          <w:rPr>
            <w:noProof/>
            <w:webHidden/>
          </w:rPr>
          <w:tab/>
        </w:r>
        <w:r w:rsidR="001C6E5A">
          <w:rPr>
            <w:noProof/>
            <w:webHidden/>
          </w:rPr>
          <w:fldChar w:fldCharType="begin"/>
        </w:r>
        <w:r w:rsidR="001C6E5A">
          <w:rPr>
            <w:noProof/>
            <w:webHidden/>
          </w:rPr>
          <w:instrText xml:space="preserve"> PAGEREF _Toc114215687 \h </w:instrText>
        </w:r>
        <w:r w:rsidR="001C6E5A">
          <w:rPr>
            <w:noProof/>
            <w:webHidden/>
          </w:rPr>
        </w:r>
        <w:r w:rsidR="001C6E5A">
          <w:rPr>
            <w:noProof/>
            <w:webHidden/>
          </w:rPr>
          <w:fldChar w:fldCharType="separate"/>
        </w:r>
        <w:r w:rsidR="001C6E5A">
          <w:rPr>
            <w:noProof/>
            <w:webHidden/>
          </w:rPr>
          <w:t>5</w:t>
        </w:r>
        <w:r w:rsidR="001C6E5A">
          <w:rPr>
            <w:noProof/>
            <w:webHidden/>
          </w:rPr>
          <w:fldChar w:fldCharType="end"/>
        </w:r>
      </w:hyperlink>
    </w:p>
    <w:p w14:paraId="64C75C77" w14:textId="376B986F"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88" w:history="1">
        <w:r w:rsidR="001C6E5A" w:rsidRPr="00AA0B5E">
          <w:rPr>
            <w:rStyle w:val="Hyperlink"/>
            <w:noProof/>
          </w:rPr>
          <w:t>2.2.4</w:t>
        </w:r>
        <w:r w:rsidR="001C6E5A">
          <w:rPr>
            <w:rFonts w:eastAsiaTheme="minorEastAsia" w:cstheme="minorBidi"/>
            <w:i w:val="0"/>
            <w:iCs w:val="0"/>
            <w:noProof/>
            <w:sz w:val="22"/>
            <w:szCs w:val="22"/>
            <w:lang w:val="en-AU" w:eastAsia="en-AU" w:bidi="ar-SA"/>
          </w:rPr>
          <w:tab/>
        </w:r>
        <w:r w:rsidR="001C6E5A" w:rsidRPr="00AA0B5E">
          <w:rPr>
            <w:rStyle w:val="Hyperlink"/>
            <w:noProof/>
          </w:rPr>
          <w:t>Risk management conclusion</w:t>
        </w:r>
        <w:r w:rsidR="001C6E5A">
          <w:rPr>
            <w:noProof/>
            <w:webHidden/>
          </w:rPr>
          <w:tab/>
        </w:r>
        <w:r w:rsidR="001C6E5A">
          <w:rPr>
            <w:noProof/>
            <w:webHidden/>
          </w:rPr>
          <w:fldChar w:fldCharType="begin"/>
        </w:r>
        <w:r w:rsidR="001C6E5A">
          <w:rPr>
            <w:noProof/>
            <w:webHidden/>
          </w:rPr>
          <w:instrText xml:space="preserve"> PAGEREF _Toc114215688 \h </w:instrText>
        </w:r>
        <w:r w:rsidR="001C6E5A">
          <w:rPr>
            <w:noProof/>
            <w:webHidden/>
          </w:rPr>
        </w:r>
        <w:r w:rsidR="001C6E5A">
          <w:rPr>
            <w:noProof/>
            <w:webHidden/>
          </w:rPr>
          <w:fldChar w:fldCharType="separate"/>
        </w:r>
        <w:r w:rsidR="001C6E5A">
          <w:rPr>
            <w:noProof/>
            <w:webHidden/>
          </w:rPr>
          <w:t>5</w:t>
        </w:r>
        <w:r w:rsidR="001C6E5A">
          <w:rPr>
            <w:noProof/>
            <w:webHidden/>
          </w:rPr>
          <w:fldChar w:fldCharType="end"/>
        </w:r>
      </w:hyperlink>
    </w:p>
    <w:p w14:paraId="4F333944" w14:textId="08EFA8B7" w:rsidR="001C6E5A" w:rsidRDefault="00F73507" w:rsidP="001C6E5A">
      <w:pPr>
        <w:pStyle w:val="TOC2"/>
        <w:rPr>
          <w:rFonts w:eastAsiaTheme="minorEastAsia" w:cstheme="minorBidi"/>
          <w:noProof/>
          <w:sz w:val="22"/>
          <w:szCs w:val="22"/>
          <w:lang w:val="en-AU" w:eastAsia="en-AU" w:bidi="ar-SA"/>
        </w:rPr>
      </w:pPr>
      <w:hyperlink w:anchor="_Toc114215689" w:history="1">
        <w:r w:rsidR="001C6E5A" w:rsidRPr="00AA0B5E">
          <w:rPr>
            <w:rStyle w:val="Hyperlink"/>
            <w:noProof/>
          </w:rPr>
          <w:t>2.3</w:t>
        </w:r>
        <w:r w:rsidR="001C6E5A">
          <w:rPr>
            <w:rFonts w:eastAsiaTheme="minorEastAsia" w:cstheme="minorBidi"/>
            <w:noProof/>
            <w:sz w:val="22"/>
            <w:szCs w:val="22"/>
            <w:lang w:val="en-AU" w:eastAsia="en-AU" w:bidi="ar-SA"/>
          </w:rPr>
          <w:tab/>
        </w:r>
        <w:r w:rsidR="001C6E5A" w:rsidRPr="00AA0B5E">
          <w:rPr>
            <w:rStyle w:val="Hyperlink"/>
            <w:noProof/>
          </w:rPr>
          <w:t>Risk communication</w:t>
        </w:r>
        <w:r w:rsidR="001C6E5A">
          <w:rPr>
            <w:noProof/>
            <w:webHidden/>
          </w:rPr>
          <w:tab/>
        </w:r>
        <w:r w:rsidR="001C6E5A">
          <w:rPr>
            <w:noProof/>
            <w:webHidden/>
          </w:rPr>
          <w:fldChar w:fldCharType="begin"/>
        </w:r>
        <w:r w:rsidR="001C6E5A">
          <w:rPr>
            <w:noProof/>
            <w:webHidden/>
          </w:rPr>
          <w:instrText xml:space="preserve"> PAGEREF _Toc114215689 \h </w:instrText>
        </w:r>
        <w:r w:rsidR="001C6E5A">
          <w:rPr>
            <w:noProof/>
            <w:webHidden/>
          </w:rPr>
        </w:r>
        <w:r w:rsidR="001C6E5A">
          <w:rPr>
            <w:noProof/>
            <w:webHidden/>
          </w:rPr>
          <w:fldChar w:fldCharType="separate"/>
        </w:r>
        <w:r w:rsidR="001C6E5A">
          <w:rPr>
            <w:noProof/>
            <w:webHidden/>
          </w:rPr>
          <w:t>6</w:t>
        </w:r>
        <w:r w:rsidR="001C6E5A">
          <w:rPr>
            <w:noProof/>
            <w:webHidden/>
          </w:rPr>
          <w:fldChar w:fldCharType="end"/>
        </w:r>
      </w:hyperlink>
    </w:p>
    <w:p w14:paraId="7B28BF17" w14:textId="3B7AC109"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90" w:history="1">
        <w:r w:rsidR="001C6E5A" w:rsidRPr="00AA0B5E">
          <w:rPr>
            <w:rStyle w:val="Hyperlink"/>
            <w:noProof/>
          </w:rPr>
          <w:t>2.3.1</w:t>
        </w:r>
        <w:r w:rsidR="001C6E5A">
          <w:rPr>
            <w:rFonts w:eastAsiaTheme="minorEastAsia" w:cstheme="minorBidi"/>
            <w:i w:val="0"/>
            <w:iCs w:val="0"/>
            <w:noProof/>
            <w:sz w:val="22"/>
            <w:szCs w:val="22"/>
            <w:lang w:val="en-AU" w:eastAsia="en-AU" w:bidi="ar-SA"/>
          </w:rPr>
          <w:tab/>
        </w:r>
        <w:r w:rsidR="001C6E5A" w:rsidRPr="00AA0B5E">
          <w:rPr>
            <w:rStyle w:val="Hyperlink"/>
            <w:noProof/>
          </w:rPr>
          <w:t>Consultation</w:t>
        </w:r>
        <w:r w:rsidR="001C6E5A">
          <w:rPr>
            <w:noProof/>
            <w:webHidden/>
          </w:rPr>
          <w:tab/>
        </w:r>
        <w:r w:rsidR="001C6E5A">
          <w:rPr>
            <w:noProof/>
            <w:webHidden/>
          </w:rPr>
          <w:fldChar w:fldCharType="begin"/>
        </w:r>
        <w:r w:rsidR="001C6E5A">
          <w:rPr>
            <w:noProof/>
            <w:webHidden/>
          </w:rPr>
          <w:instrText xml:space="preserve"> PAGEREF _Toc114215690 \h </w:instrText>
        </w:r>
        <w:r w:rsidR="001C6E5A">
          <w:rPr>
            <w:noProof/>
            <w:webHidden/>
          </w:rPr>
        </w:r>
        <w:r w:rsidR="001C6E5A">
          <w:rPr>
            <w:noProof/>
            <w:webHidden/>
          </w:rPr>
          <w:fldChar w:fldCharType="separate"/>
        </w:r>
        <w:r w:rsidR="001C6E5A">
          <w:rPr>
            <w:noProof/>
            <w:webHidden/>
          </w:rPr>
          <w:t>6</w:t>
        </w:r>
        <w:r w:rsidR="001C6E5A">
          <w:rPr>
            <w:noProof/>
            <w:webHidden/>
          </w:rPr>
          <w:fldChar w:fldCharType="end"/>
        </w:r>
      </w:hyperlink>
    </w:p>
    <w:p w14:paraId="6537C9F1" w14:textId="2686FA0D"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91" w:history="1">
        <w:r w:rsidR="001C6E5A" w:rsidRPr="00AA0B5E">
          <w:rPr>
            <w:rStyle w:val="Hyperlink"/>
            <w:noProof/>
          </w:rPr>
          <w:t>2.3.2</w:t>
        </w:r>
        <w:r w:rsidR="001C6E5A">
          <w:rPr>
            <w:rFonts w:eastAsiaTheme="minorEastAsia" w:cstheme="minorBidi"/>
            <w:i w:val="0"/>
            <w:iCs w:val="0"/>
            <w:noProof/>
            <w:sz w:val="22"/>
            <w:szCs w:val="22"/>
            <w:lang w:val="en-AU" w:eastAsia="en-AU" w:bidi="ar-SA"/>
          </w:rPr>
          <w:tab/>
        </w:r>
        <w:r w:rsidR="001C6E5A" w:rsidRPr="00AA0B5E">
          <w:rPr>
            <w:rStyle w:val="Hyperlink"/>
            <w:noProof/>
          </w:rPr>
          <w:t>World Trade Organization (WTO)</w:t>
        </w:r>
        <w:r w:rsidR="001C6E5A">
          <w:rPr>
            <w:noProof/>
            <w:webHidden/>
          </w:rPr>
          <w:tab/>
        </w:r>
        <w:r w:rsidR="001C6E5A">
          <w:rPr>
            <w:noProof/>
            <w:webHidden/>
          </w:rPr>
          <w:fldChar w:fldCharType="begin"/>
        </w:r>
        <w:r w:rsidR="001C6E5A">
          <w:rPr>
            <w:noProof/>
            <w:webHidden/>
          </w:rPr>
          <w:instrText xml:space="preserve"> PAGEREF _Toc114215691 \h </w:instrText>
        </w:r>
        <w:r w:rsidR="001C6E5A">
          <w:rPr>
            <w:noProof/>
            <w:webHidden/>
          </w:rPr>
        </w:r>
        <w:r w:rsidR="001C6E5A">
          <w:rPr>
            <w:noProof/>
            <w:webHidden/>
          </w:rPr>
          <w:fldChar w:fldCharType="separate"/>
        </w:r>
        <w:r w:rsidR="001C6E5A">
          <w:rPr>
            <w:noProof/>
            <w:webHidden/>
          </w:rPr>
          <w:t>6</w:t>
        </w:r>
        <w:r w:rsidR="001C6E5A">
          <w:rPr>
            <w:noProof/>
            <w:webHidden/>
          </w:rPr>
          <w:fldChar w:fldCharType="end"/>
        </w:r>
      </w:hyperlink>
    </w:p>
    <w:p w14:paraId="284B14AB" w14:textId="3E54B640" w:rsidR="001C6E5A" w:rsidRDefault="00F73507" w:rsidP="001C6E5A">
      <w:pPr>
        <w:pStyle w:val="TOC2"/>
        <w:rPr>
          <w:rFonts w:eastAsiaTheme="minorEastAsia" w:cstheme="minorBidi"/>
          <w:noProof/>
          <w:sz w:val="22"/>
          <w:szCs w:val="22"/>
          <w:lang w:val="en-AU" w:eastAsia="en-AU" w:bidi="ar-SA"/>
        </w:rPr>
      </w:pPr>
      <w:hyperlink w:anchor="_Toc114215692" w:history="1">
        <w:r w:rsidR="001C6E5A" w:rsidRPr="00AA0B5E">
          <w:rPr>
            <w:rStyle w:val="Hyperlink"/>
            <w:noProof/>
          </w:rPr>
          <w:t>2.4</w:t>
        </w:r>
        <w:r w:rsidR="001C6E5A">
          <w:rPr>
            <w:rFonts w:eastAsiaTheme="minorEastAsia" w:cstheme="minorBidi"/>
            <w:noProof/>
            <w:sz w:val="22"/>
            <w:szCs w:val="22"/>
            <w:lang w:val="en-AU" w:eastAsia="en-AU" w:bidi="ar-SA"/>
          </w:rPr>
          <w:tab/>
        </w:r>
        <w:r w:rsidR="001C6E5A" w:rsidRPr="00AA0B5E">
          <w:rPr>
            <w:rStyle w:val="Hyperlink"/>
            <w:noProof/>
          </w:rPr>
          <w:t>FSANZ Act assessment requirements</w:t>
        </w:r>
        <w:r w:rsidR="001C6E5A">
          <w:rPr>
            <w:noProof/>
            <w:webHidden/>
          </w:rPr>
          <w:tab/>
        </w:r>
        <w:r w:rsidR="001C6E5A">
          <w:rPr>
            <w:noProof/>
            <w:webHidden/>
          </w:rPr>
          <w:fldChar w:fldCharType="begin"/>
        </w:r>
        <w:r w:rsidR="001C6E5A">
          <w:rPr>
            <w:noProof/>
            <w:webHidden/>
          </w:rPr>
          <w:instrText xml:space="preserve"> PAGEREF _Toc114215692 \h </w:instrText>
        </w:r>
        <w:r w:rsidR="001C6E5A">
          <w:rPr>
            <w:noProof/>
            <w:webHidden/>
          </w:rPr>
        </w:r>
        <w:r w:rsidR="001C6E5A">
          <w:rPr>
            <w:noProof/>
            <w:webHidden/>
          </w:rPr>
          <w:fldChar w:fldCharType="separate"/>
        </w:r>
        <w:r w:rsidR="001C6E5A">
          <w:rPr>
            <w:noProof/>
            <w:webHidden/>
          </w:rPr>
          <w:t>6</w:t>
        </w:r>
        <w:r w:rsidR="001C6E5A">
          <w:rPr>
            <w:noProof/>
            <w:webHidden/>
          </w:rPr>
          <w:fldChar w:fldCharType="end"/>
        </w:r>
      </w:hyperlink>
    </w:p>
    <w:p w14:paraId="6364B019" w14:textId="275813F5"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93" w:history="1">
        <w:r w:rsidR="001C6E5A" w:rsidRPr="00AA0B5E">
          <w:rPr>
            <w:rStyle w:val="Hyperlink"/>
            <w:noProof/>
          </w:rPr>
          <w:t>2.4.1</w:t>
        </w:r>
        <w:r w:rsidR="001C6E5A">
          <w:rPr>
            <w:rFonts w:eastAsiaTheme="minorEastAsia" w:cstheme="minorBidi"/>
            <w:i w:val="0"/>
            <w:iCs w:val="0"/>
            <w:noProof/>
            <w:sz w:val="22"/>
            <w:szCs w:val="22"/>
            <w:lang w:val="en-AU" w:eastAsia="en-AU" w:bidi="ar-SA"/>
          </w:rPr>
          <w:tab/>
        </w:r>
        <w:r w:rsidR="001C6E5A" w:rsidRPr="00AA0B5E">
          <w:rPr>
            <w:rStyle w:val="Hyperlink"/>
            <w:noProof/>
          </w:rPr>
          <w:t>Section 29</w:t>
        </w:r>
        <w:r w:rsidR="001C6E5A">
          <w:rPr>
            <w:noProof/>
            <w:webHidden/>
          </w:rPr>
          <w:tab/>
        </w:r>
        <w:r w:rsidR="001C6E5A">
          <w:rPr>
            <w:noProof/>
            <w:webHidden/>
          </w:rPr>
          <w:fldChar w:fldCharType="begin"/>
        </w:r>
        <w:r w:rsidR="001C6E5A">
          <w:rPr>
            <w:noProof/>
            <w:webHidden/>
          </w:rPr>
          <w:instrText xml:space="preserve"> PAGEREF _Toc114215693 \h </w:instrText>
        </w:r>
        <w:r w:rsidR="001C6E5A">
          <w:rPr>
            <w:noProof/>
            <w:webHidden/>
          </w:rPr>
        </w:r>
        <w:r w:rsidR="001C6E5A">
          <w:rPr>
            <w:noProof/>
            <w:webHidden/>
          </w:rPr>
          <w:fldChar w:fldCharType="separate"/>
        </w:r>
        <w:r w:rsidR="001C6E5A">
          <w:rPr>
            <w:noProof/>
            <w:webHidden/>
          </w:rPr>
          <w:t>6</w:t>
        </w:r>
        <w:r w:rsidR="001C6E5A">
          <w:rPr>
            <w:noProof/>
            <w:webHidden/>
          </w:rPr>
          <w:fldChar w:fldCharType="end"/>
        </w:r>
      </w:hyperlink>
    </w:p>
    <w:p w14:paraId="28C48FF7" w14:textId="4A903EA2" w:rsidR="001C6E5A" w:rsidRDefault="00F73507">
      <w:pPr>
        <w:pStyle w:val="TOC3"/>
        <w:tabs>
          <w:tab w:val="right" w:leader="dot" w:pos="9060"/>
        </w:tabs>
        <w:rPr>
          <w:rFonts w:eastAsiaTheme="minorEastAsia" w:cstheme="minorBidi"/>
          <w:i w:val="0"/>
          <w:iCs w:val="0"/>
          <w:noProof/>
          <w:sz w:val="22"/>
          <w:szCs w:val="22"/>
          <w:lang w:val="en-AU" w:eastAsia="en-AU" w:bidi="ar-SA"/>
        </w:rPr>
      </w:pPr>
      <w:hyperlink w:anchor="_Toc114215694" w:history="1">
        <w:r w:rsidR="001C6E5A" w:rsidRPr="00AA0B5E">
          <w:rPr>
            <w:rStyle w:val="Hyperlink"/>
            <w:noProof/>
          </w:rPr>
          <w:t>2.4.2    Subsection 18(1)</w:t>
        </w:r>
        <w:r w:rsidR="001C6E5A">
          <w:rPr>
            <w:noProof/>
            <w:webHidden/>
          </w:rPr>
          <w:tab/>
        </w:r>
        <w:r w:rsidR="001C6E5A">
          <w:rPr>
            <w:noProof/>
            <w:webHidden/>
          </w:rPr>
          <w:fldChar w:fldCharType="begin"/>
        </w:r>
        <w:r w:rsidR="001C6E5A">
          <w:rPr>
            <w:noProof/>
            <w:webHidden/>
          </w:rPr>
          <w:instrText xml:space="preserve"> PAGEREF _Toc114215694 \h </w:instrText>
        </w:r>
        <w:r w:rsidR="001C6E5A">
          <w:rPr>
            <w:noProof/>
            <w:webHidden/>
          </w:rPr>
        </w:r>
        <w:r w:rsidR="001C6E5A">
          <w:rPr>
            <w:noProof/>
            <w:webHidden/>
          </w:rPr>
          <w:fldChar w:fldCharType="separate"/>
        </w:r>
        <w:r w:rsidR="001C6E5A">
          <w:rPr>
            <w:noProof/>
            <w:webHidden/>
          </w:rPr>
          <w:t>8</w:t>
        </w:r>
        <w:r w:rsidR="001C6E5A">
          <w:rPr>
            <w:noProof/>
            <w:webHidden/>
          </w:rPr>
          <w:fldChar w:fldCharType="end"/>
        </w:r>
      </w:hyperlink>
    </w:p>
    <w:p w14:paraId="17D3CB41" w14:textId="7A53FAA9" w:rsidR="001C6E5A" w:rsidRDefault="00F73507">
      <w:pPr>
        <w:pStyle w:val="TOC3"/>
        <w:tabs>
          <w:tab w:val="left" w:pos="1100"/>
          <w:tab w:val="right" w:leader="dot" w:pos="9060"/>
        </w:tabs>
        <w:rPr>
          <w:rFonts w:eastAsiaTheme="minorEastAsia" w:cstheme="minorBidi"/>
          <w:i w:val="0"/>
          <w:iCs w:val="0"/>
          <w:noProof/>
          <w:sz w:val="22"/>
          <w:szCs w:val="22"/>
          <w:lang w:val="en-AU" w:eastAsia="en-AU" w:bidi="ar-SA"/>
        </w:rPr>
      </w:pPr>
      <w:hyperlink w:anchor="_Toc114215695" w:history="1">
        <w:r w:rsidR="001C6E5A" w:rsidRPr="00AA0B5E">
          <w:rPr>
            <w:rStyle w:val="Hyperlink"/>
            <w:noProof/>
          </w:rPr>
          <w:t>2.4.3</w:t>
        </w:r>
        <w:r w:rsidR="001C6E5A">
          <w:rPr>
            <w:rFonts w:eastAsiaTheme="minorEastAsia" w:cstheme="minorBidi"/>
            <w:i w:val="0"/>
            <w:iCs w:val="0"/>
            <w:noProof/>
            <w:sz w:val="22"/>
            <w:szCs w:val="22"/>
            <w:lang w:val="en-AU" w:eastAsia="en-AU" w:bidi="ar-SA"/>
          </w:rPr>
          <w:tab/>
        </w:r>
        <w:r w:rsidR="001C6E5A" w:rsidRPr="00AA0B5E">
          <w:rPr>
            <w:rStyle w:val="Hyperlink"/>
            <w:noProof/>
          </w:rPr>
          <w:t>Subsection 18(2) considerations</w:t>
        </w:r>
        <w:r w:rsidR="001C6E5A">
          <w:rPr>
            <w:noProof/>
            <w:webHidden/>
          </w:rPr>
          <w:tab/>
        </w:r>
        <w:r w:rsidR="001C6E5A">
          <w:rPr>
            <w:noProof/>
            <w:webHidden/>
          </w:rPr>
          <w:fldChar w:fldCharType="begin"/>
        </w:r>
        <w:r w:rsidR="001C6E5A">
          <w:rPr>
            <w:noProof/>
            <w:webHidden/>
          </w:rPr>
          <w:instrText xml:space="preserve"> PAGEREF _Toc114215695 \h </w:instrText>
        </w:r>
        <w:r w:rsidR="001C6E5A">
          <w:rPr>
            <w:noProof/>
            <w:webHidden/>
          </w:rPr>
        </w:r>
        <w:r w:rsidR="001C6E5A">
          <w:rPr>
            <w:noProof/>
            <w:webHidden/>
          </w:rPr>
          <w:fldChar w:fldCharType="separate"/>
        </w:r>
        <w:r w:rsidR="001C6E5A">
          <w:rPr>
            <w:noProof/>
            <w:webHidden/>
          </w:rPr>
          <w:t>8</w:t>
        </w:r>
        <w:r w:rsidR="001C6E5A">
          <w:rPr>
            <w:noProof/>
            <w:webHidden/>
          </w:rPr>
          <w:fldChar w:fldCharType="end"/>
        </w:r>
      </w:hyperlink>
    </w:p>
    <w:p w14:paraId="33292BE5" w14:textId="05DE6383" w:rsidR="001C6E5A" w:rsidRDefault="00F73507">
      <w:pPr>
        <w:pStyle w:val="TOC1"/>
        <w:rPr>
          <w:rFonts w:eastAsiaTheme="minorEastAsia" w:cstheme="minorBidi"/>
          <w:b w:val="0"/>
          <w:bCs w:val="0"/>
          <w:caps w:val="0"/>
          <w:noProof/>
          <w:sz w:val="22"/>
          <w:szCs w:val="22"/>
          <w:lang w:val="en-AU" w:eastAsia="en-AU" w:bidi="ar-SA"/>
        </w:rPr>
      </w:pPr>
      <w:hyperlink w:anchor="_Toc114215696" w:history="1">
        <w:r w:rsidR="001C6E5A" w:rsidRPr="00AA0B5E">
          <w:rPr>
            <w:rStyle w:val="Hyperlink"/>
            <w:noProof/>
          </w:rPr>
          <w:t>3</w:t>
        </w:r>
        <w:r w:rsidR="001C6E5A">
          <w:rPr>
            <w:rFonts w:eastAsiaTheme="minorEastAsia" w:cstheme="minorBidi"/>
            <w:b w:val="0"/>
            <w:bCs w:val="0"/>
            <w:caps w:val="0"/>
            <w:noProof/>
            <w:sz w:val="22"/>
            <w:szCs w:val="22"/>
            <w:lang w:val="en-AU" w:eastAsia="en-AU" w:bidi="ar-SA"/>
          </w:rPr>
          <w:tab/>
        </w:r>
        <w:r w:rsidR="001C6E5A" w:rsidRPr="00AA0B5E">
          <w:rPr>
            <w:rStyle w:val="Hyperlink"/>
            <w:noProof/>
          </w:rPr>
          <w:t>Draft variation</w:t>
        </w:r>
        <w:r w:rsidR="001C6E5A">
          <w:rPr>
            <w:noProof/>
            <w:webHidden/>
          </w:rPr>
          <w:tab/>
        </w:r>
        <w:r w:rsidR="001C6E5A">
          <w:rPr>
            <w:noProof/>
            <w:webHidden/>
          </w:rPr>
          <w:fldChar w:fldCharType="begin"/>
        </w:r>
        <w:r w:rsidR="001C6E5A">
          <w:rPr>
            <w:noProof/>
            <w:webHidden/>
          </w:rPr>
          <w:instrText xml:space="preserve"> PAGEREF _Toc114215696 \h </w:instrText>
        </w:r>
        <w:r w:rsidR="001C6E5A">
          <w:rPr>
            <w:noProof/>
            <w:webHidden/>
          </w:rPr>
        </w:r>
        <w:r w:rsidR="001C6E5A">
          <w:rPr>
            <w:noProof/>
            <w:webHidden/>
          </w:rPr>
          <w:fldChar w:fldCharType="separate"/>
        </w:r>
        <w:r w:rsidR="001C6E5A">
          <w:rPr>
            <w:noProof/>
            <w:webHidden/>
          </w:rPr>
          <w:t>10</w:t>
        </w:r>
        <w:r w:rsidR="001C6E5A">
          <w:rPr>
            <w:noProof/>
            <w:webHidden/>
          </w:rPr>
          <w:fldChar w:fldCharType="end"/>
        </w:r>
      </w:hyperlink>
    </w:p>
    <w:p w14:paraId="4D85BB45" w14:textId="1C1C7927" w:rsidR="001C6E5A" w:rsidRDefault="00F73507">
      <w:pPr>
        <w:pStyle w:val="TOC1"/>
        <w:rPr>
          <w:rFonts w:eastAsiaTheme="minorEastAsia" w:cstheme="minorBidi"/>
          <w:b w:val="0"/>
          <w:bCs w:val="0"/>
          <w:caps w:val="0"/>
          <w:noProof/>
          <w:sz w:val="22"/>
          <w:szCs w:val="22"/>
          <w:lang w:val="en-AU" w:eastAsia="en-AU" w:bidi="ar-SA"/>
        </w:rPr>
      </w:pPr>
      <w:hyperlink w:anchor="_Toc114215697" w:history="1">
        <w:r w:rsidR="001C6E5A" w:rsidRPr="00AA0B5E">
          <w:rPr>
            <w:rStyle w:val="Hyperlink"/>
            <w:noProof/>
          </w:rPr>
          <w:t>4</w:t>
        </w:r>
        <w:r w:rsidR="001C6E5A">
          <w:rPr>
            <w:rFonts w:eastAsiaTheme="minorEastAsia" w:cstheme="minorBidi"/>
            <w:b w:val="0"/>
            <w:bCs w:val="0"/>
            <w:caps w:val="0"/>
            <w:noProof/>
            <w:sz w:val="22"/>
            <w:szCs w:val="22"/>
            <w:lang w:val="en-AU" w:eastAsia="en-AU" w:bidi="ar-SA"/>
          </w:rPr>
          <w:tab/>
        </w:r>
        <w:r w:rsidR="001C6E5A" w:rsidRPr="00AA0B5E">
          <w:rPr>
            <w:rStyle w:val="Hyperlink"/>
            <w:noProof/>
          </w:rPr>
          <w:t>References</w:t>
        </w:r>
        <w:r w:rsidR="001C6E5A">
          <w:rPr>
            <w:noProof/>
            <w:webHidden/>
          </w:rPr>
          <w:tab/>
        </w:r>
        <w:r w:rsidR="001C6E5A">
          <w:rPr>
            <w:noProof/>
            <w:webHidden/>
          </w:rPr>
          <w:fldChar w:fldCharType="begin"/>
        </w:r>
        <w:r w:rsidR="001C6E5A">
          <w:rPr>
            <w:noProof/>
            <w:webHidden/>
          </w:rPr>
          <w:instrText xml:space="preserve"> PAGEREF _Toc114215697 \h </w:instrText>
        </w:r>
        <w:r w:rsidR="001C6E5A">
          <w:rPr>
            <w:noProof/>
            <w:webHidden/>
          </w:rPr>
        </w:r>
        <w:r w:rsidR="001C6E5A">
          <w:rPr>
            <w:noProof/>
            <w:webHidden/>
          </w:rPr>
          <w:fldChar w:fldCharType="separate"/>
        </w:r>
        <w:r w:rsidR="001C6E5A">
          <w:rPr>
            <w:noProof/>
            <w:webHidden/>
          </w:rPr>
          <w:t>10</w:t>
        </w:r>
        <w:r w:rsidR="001C6E5A">
          <w:rPr>
            <w:noProof/>
            <w:webHidden/>
          </w:rPr>
          <w:fldChar w:fldCharType="end"/>
        </w:r>
      </w:hyperlink>
    </w:p>
    <w:p w14:paraId="1E6E200F" w14:textId="359706EA" w:rsidR="001C6E5A" w:rsidRDefault="00F73507" w:rsidP="001C6E5A">
      <w:pPr>
        <w:pStyle w:val="TOC2"/>
        <w:rPr>
          <w:rFonts w:eastAsiaTheme="minorEastAsia" w:cstheme="minorBidi"/>
          <w:noProof/>
          <w:sz w:val="22"/>
          <w:szCs w:val="22"/>
          <w:lang w:val="en-AU" w:eastAsia="en-AU" w:bidi="ar-SA"/>
        </w:rPr>
      </w:pPr>
      <w:hyperlink w:anchor="_Toc114215698" w:history="1">
        <w:r w:rsidR="001C6E5A" w:rsidRPr="00AA0B5E">
          <w:rPr>
            <w:rStyle w:val="Hyperlink"/>
            <w:noProof/>
          </w:rPr>
          <w:t>Attachment A – Draft variation to the Australia New Zealand Food Standards Code</w:t>
        </w:r>
        <w:r w:rsidR="001C6E5A">
          <w:rPr>
            <w:noProof/>
            <w:webHidden/>
          </w:rPr>
          <w:tab/>
        </w:r>
        <w:r w:rsidR="001C6E5A">
          <w:rPr>
            <w:noProof/>
            <w:webHidden/>
          </w:rPr>
          <w:fldChar w:fldCharType="begin"/>
        </w:r>
        <w:r w:rsidR="001C6E5A">
          <w:rPr>
            <w:noProof/>
            <w:webHidden/>
          </w:rPr>
          <w:instrText xml:space="preserve"> PAGEREF _Toc114215698 \h </w:instrText>
        </w:r>
        <w:r w:rsidR="001C6E5A">
          <w:rPr>
            <w:noProof/>
            <w:webHidden/>
          </w:rPr>
        </w:r>
        <w:r w:rsidR="001C6E5A">
          <w:rPr>
            <w:noProof/>
            <w:webHidden/>
          </w:rPr>
          <w:fldChar w:fldCharType="separate"/>
        </w:r>
        <w:r w:rsidR="001C6E5A">
          <w:rPr>
            <w:noProof/>
            <w:webHidden/>
          </w:rPr>
          <w:t>11</w:t>
        </w:r>
        <w:r w:rsidR="001C6E5A">
          <w:rPr>
            <w:noProof/>
            <w:webHidden/>
          </w:rPr>
          <w:fldChar w:fldCharType="end"/>
        </w:r>
      </w:hyperlink>
    </w:p>
    <w:p w14:paraId="01D098B3" w14:textId="2CB0F63B" w:rsidR="001C6E5A" w:rsidRDefault="00F73507" w:rsidP="001C6E5A">
      <w:pPr>
        <w:pStyle w:val="TOC2"/>
        <w:rPr>
          <w:rFonts w:eastAsiaTheme="minorEastAsia" w:cstheme="minorBidi"/>
          <w:noProof/>
          <w:sz w:val="22"/>
          <w:szCs w:val="22"/>
          <w:lang w:val="en-AU" w:eastAsia="en-AU" w:bidi="ar-SA"/>
        </w:rPr>
      </w:pPr>
      <w:hyperlink w:anchor="_Toc114215699" w:history="1">
        <w:r w:rsidR="001C6E5A" w:rsidRPr="00AA0B5E">
          <w:rPr>
            <w:rStyle w:val="Hyperlink"/>
            <w:noProof/>
          </w:rPr>
          <w:t>Attachment B – Draft Explanatory Statement</w:t>
        </w:r>
        <w:r w:rsidR="001C6E5A">
          <w:rPr>
            <w:noProof/>
            <w:webHidden/>
          </w:rPr>
          <w:tab/>
        </w:r>
        <w:r w:rsidR="001C6E5A">
          <w:rPr>
            <w:noProof/>
            <w:webHidden/>
          </w:rPr>
          <w:fldChar w:fldCharType="begin"/>
        </w:r>
        <w:r w:rsidR="001C6E5A">
          <w:rPr>
            <w:noProof/>
            <w:webHidden/>
          </w:rPr>
          <w:instrText xml:space="preserve"> PAGEREF _Toc114215699 \h </w:instrText>
        </w:r>
        <w:r w:rsidR="001C6E5A">
          <w:rPr>
            <w:noProof/>
            <w:webHidden/>
          </w:rPr>
        </w:r>
        <w:r w:rsidR="001C6E5A">
          <w:rPr>
            <w:noProof/>
            <w:webHidden/>
          </w:rPr>
          <w:fldChar w:fldCharType="separate"/>
        </w:r>
        <w:r w:rsidR="001C6E5A">
          <w:rPr>
            <w:noProof/>
            <w:webHidden/>
          </w:rPr>
          <w:t>13</w:t>
        </w:r>
        <w:r w:rsidR="001C6E5A">
          <w:rPr>
            <w:noProof/>
            <w:webHidden/>
          </w:rPr>
          <w:fldChar w:fldCharType="end"/>
        </w:r>
      </w:hyperlink>
    </w:p>
    <w:p w14:paraId="4600FE45" w14:textId="21C8714F" w:rsidR="00051ED9" w:rsidRPr="0059227F" w:rsidRDefault="00051ED9" w:rsidP="00051ED9">
      <w:pPr>
        <w:rPr>
          <w:rFonts w:cs="Arial"/>
        </w:rPr>
      </w:pPr>
      <w:r w:rsidRPr="002C4A91">
        <w:rPr>
          <w:rFonts w:cs="Arial"/>
          <w:sz w:val="20"/>
          <w:szCs w:val="20"/>
        </w:rPr>
        <w:fldChar w:fldCharType="end"/>
      </w:r>
    </w:p>
    <w:p w14:paraId="2F27678C" w14:textId="77777777" w:rsidR="00D73931" w:rsidRPr="00E203C2" w:rsidRDefault="00D73931" w:rsidP="00051ED9"/>
    <w:p w14:paraId="15BC2E78" w14:textId="478693C7" w:rsidR="0037520F" w:rsidRPr="008844E4" w:rsidRDefault="0037520F" w:rsidP="0037520F">
      <w:pPr>
        <w:rPr>
          <w:b/>
          <w:szCs w:val="22"/>
        </w:rPr>
      </w:pPr>
      <w:r w:rsidRPr="008844E4">
        <w:rPr>
          <w:b/>
          <w:szCs w:val="22"/>
        </w:rPr>
        <w:t>Supporting document</w:t>
      </w:r>
    </w:p>
    <w:p w14:paraId="6F4F6571" w14:textId="77777777" w:rsidR="0037520F" w:rsidRPr="0089264A" w:rsidRDefault="0037520F" w:rsidP="0037520F">
      <w:pPr>
        <w:rPr>
          <w:szCs w:val="22"/>
        </w:rPr>
      </w:pPr>
    </w:p>
    <w:p w14:paraId="53F39490" w14:textId="4FF824A2" w:rsidR="0037520F" w:rsidRPr="000543F5" w:rsidRDefault="0037520F" w:rsidP="0037520F">
      <w:r w:rsidRPr="5EAB5E02">
        <w:t xml:space="preserve">The </w:t>
      </w:r>
      <w:hyperlink r:id="rId26">
        <w:r w:rsidR="007D01B1" w:rsidRPr="5EAB5E02">
          <w:rPr>
            <w:rStyle w:val="Hyperlink"/>
          </w:rPr>
          <w:t>following document</w:t>
        </w:r>
      </w:hyperlink>
      <w:r w:rsidR="00A12550" w:rsidRPr="5EAB5E02">
        <w:rPr>
          <w:rStyle w:val="FootnoteReference"/>
        </w:rPr>
        <w:footnoteReference w:id="2"/>
      </w:r>
      <w:r w:rsidRPr="00186769">
        <w:rPr>
          <w:szCs w:val="22"/>
        </w:rPr>
        <w:t xml:space="preserve"> </w:t>
      </w:r>
      <w:r w:rsidR="00681754" w:rsidRPr="5EAB5E02">
        <w:t xml:space="preserve">which informed the assessment of this </w:t>
      </w:r>
      <w:r w:rsidR="009E695C" w:rsidRPr="5EAB5E02">
        <w:t>a</w:t>
      </w:r>
      <w:r w:rsidR="00186769" w:rsidRPr="5EAB5E02">
        <w:t>pplication</w:t>
      </w:r>
      <w:r>
        <w:rPr>
          <w:szCs w:val="22"/>
        </w:rPr>
        <w:t xml:space="preserve"> </w:t>
      </w:r>
      <w:r w:rsidR="007A5811" w:rsidRPr="5EAB5E02">
        <w:t>is</w:t>
      </w:r>
      <w:r w:rsidR="007A5811" w:rsidRPr="0089264A">
        <w:rPr>
          <w:szCs w:val="22"/>
        </w:rPr>
        <w:t xml:space="preserve"> </w:t>
      </w:r>
      <w:r w:rsidRPr="5EAB5E02">
        <w:t>available on the FSANZ website</w:t>
      </w:r>
      <w:r w:rsidR="00820535">
        <w:rPr>
          <w:szCs w:val="22"/>
        </w:rPr>
        <w:t>:</w:t>
      </w:r>
    </w:p>
    <w:p w14:paraId="42974389" w14:textId="77777777" w:rsidR="0089264A" w:rsidRPr="00186769" w:rsidRDefault="0089264A" w:rsidP="0089264A">
      <w:pPr>
        <w:rPr>
          <w:szCs w:val="22"/>
        </w:rPr>
      </w:pPr>
    </w:p>
    <w:p w14:paraId="4006B5D6" w14:textId="34C512B8" w:rsidR="0089264A" w:rsidRPr="00186769" w:rsidRDefault="00186769" w:rsidP="003A7725">
      <w:pPr>
        <w:ind w:left="1134" w:hanging="1134"/>
      </w:pPr>
      <w:r w:rsidRPr="00A12550">
        <w:t>SD1</w:t>
      </w:r>
      <w:r w:rsidRPr="00A12550">
        <w:tab/>
        <w:t>Risk and Technical assessment</w:t>
      </w:r>
      <w:r w:rsidRPr="00186769">
        <w:t xml:space="preserve"> </w:t>
      </w:r>
    </w:p>
    <w:p w14:paraId="5C7AAF21" w14:textId="77777777" w:rsidR="00051ED9" w:rsidRDefault="00562917" w:rsidP="00772BDC">
      <w:r w:rsidRPr="00E203C2">
        <w:br w:type="page"/>
      </w:r>
    </w:p>
    <w:p w14:paraId="699D5D67" w14:textId="77777777" w:rsidR="00E063C6" w:rsidRDefault="00F33BB8" w:rsidP="000A5DF8">
      <w:pPr>
        <w:pStyle w:val="Heading1"/>
      </w:pPr>
      <w:bookmarkStart w:id="0" w:name="_Toc286391001"/>
      <w:bookmarkStart w:id="1" w:name="_Toc300933414"/>
      <w:bookmarkStart w:id="2" w:name="_Toc100584089"/>
      <w:bookmarkStart w:id="3" w:name="_Toc110607904"/>
      <w:bookmarkStart w:id="4" w:name="_Toc114215674"/>
      <w:bookmarkStart w:id="5" w:name="_Toc11735627"/>
      <w:bookmarkStart w:id="6" w:name="_Toc29883110"/>
      <w:bookmarkStart w:id="7" w:name="_Toc41906797"/>
      <w:bookmarkStart w:id="8" w:name="_Toc41907544"/>
      <w:bookmarkStart w:id="9" w:name="_Toc120358575"/>
      <w:r>
        <w:lastRenderedPageBreak/>
        <w:t>E</w:t>
      </w:r>
      <w:r w:rsidR="0037520F">
        <w:t>xecutive s</w:t>
      </w:r>
      <w:r w:rsidR="00E063C6" w:rsidRPr="00E203C2">
        <w:t>ummary</w:t>
      </w:r>
      <w:bookmarkEnd w:id="0"/>
      <w:bookmarkEnd w:id="1"/>
      <w:bookmarkEnd w:id="2"/>
      <w:bookmarkEnd w:id="3"/>
      <w:bookmarkEnd w:id="4"/>
    </w:p>
    <w:p w14:paraId="55151F25" w14:textId="3FC06E3E" w:rsidR="00D73931" w:rsidRDefault="0013476F" w:rsidP="00D73931">
      <w:r>
        <w:rPr>
          <w:lang w:bidi="ar-SA"/>
        </w:rPr>
        <w:t>Novozymes Australia Pty Ltd</w:t>
      </w:r>
      <w:r w:rsidRPr="007B7625">
        <w:rPr>
          <w:lang w:bidi="ar-SA"/>
        </w:rPr>
        <w:t xml:space="preserve"> submitted an application to Food Standards Australia New Zealand (FSANZ) </w:t>
      </w:r>
      <w:r w:rsidR="00BB282C">
        <w:rPr>
          <w:lang w:bidi="ar-SA"/>
        </w:rPr>
        <w:t xml:space="preserve">to </w:t>
      </w:r>
      <w:r w:rsidR="00DA51B8">
        <w:rPr>
          <w:lang w:bidi="ar-SA"/>
        </w:rPr>
        <w:t xml:space="preserve">amend the Australia New Zealand Food Standards Code (the Code) to </w:t>
      </w:r>
      <w:r w:rsidR="00BB282C">
        <w:rPr>
          <w:lang w:bidi="ar-SA"/>
        </w:rPr>
        <w:t>permit the use of</w:t>
      </w:r>
      <w:r w:rsidR="0094004B">
        <w:rPr>
          <w:lang w:bidi="ar-SA"/>
        </w:rPr>
        <w:t xml:space="preserve"> a protein engineered variant of</w:t>
      </w:r>
      <w:r>
        <w:rPr>
          <w:lang w:bidi="ar-SA"/>
        </w:rPr>
        <w:t xml:space="preserve"> </w:t>
      </w:r>
      <w:r w:rsidR="0094004B">
        <w:rPr>
          <w:lang w:bidi="ar-SA"/>
        </w:rPr>
        <w:t>the</w:t>
      </w:r>
      <w:r w:rsidR="00ED3ADC">
        <w:rPr>
          <w:lang w:bidi="ar-SA"/>
        </w:rPr>
        <w:t xml:space="preserve"> </w:t>
      </w:r>
      <w:r w:rsidR="002040BF">
        <w:rPr>
          <w:lang w:bidi="ar-SA"/>
        </w:rPr>
        <w:t>glucoamylase</w:t>
      </w:r>
      <w:r w:rsidR="0094004B">
        <w:rPr>
          <w:lang w:bidi="ar-SA"/>
        </w:rPr>
        <w:t xml:space="preserve"> enzyme</w:t>
      </w:r>
      <w:r>
        <w:rPr>
          <w:lang w:bidi="ar-SA"/>
        </w:rPr>
        <w:t xml:space="preserve"> (EC </w:t>
      </w:r>
      <w:r w:rsidR="00F932EC">
        <w:rPr>
          <w:lang w:bidi="ar-SA"/>
        </w:rPr>
        <w:t>3.2.1.3</w:t>
      </w:r>
      <w:r w:rsidRPr="00E751D5">
        <w:rPr>
          <w:lang w:bidi="ar-SA"/>
        </w:rPr>
        <w:t xml:space="preserve">), sourced from genetically modified (GM) </w:t>
      </w:r>
      <w:r w:rsidR="002040BF">
        <w:rPr>
          <w:i/>
          <w:lang w:bidi="ar-SA"/>
        </w:rPr>
        <w:t>Aspergillus niger (A. niger</w:t>
      </w:r>
      <w:r w:rsidR="00DA51B8">
        <w:rPr>
          <w:i/>
          <w:lang w:bidi="ar-SA"/>
        </w:rPr>
        <w:t>)</w:t>
      </w:r>
      <w:r>
        <w:rPr>
          <w:i/>
          <w:lang w:bidi="ar-SA"/>
        </w:rPr>
        <w:t>,</w:t>
      </w:r>
      <w:r w:rsidR="001C2F76" w:rsidRPr="001C2F76">
        <w:rPr>
          <w:lang w:bidi="ar-SA"/>
        </w:rPr>
        <w:t xml:space="preserve"> </w:t>
      </w:r>
      <w:r w:rsidR="00587D59">
        <w:rPr>
          <w:lang w:bidi="ar-SA"/>
        </w:rPr>
        <w:t xml:space="preserve">containing </w:t>
      </w:r>
      <w:r w:rsidR="00552FD8">
        <w:rPr>
          <w:lang w:bidi="ar-SA"/>
        </w:rPr>
        <w:t xml:space="preserve">the </w:t>
      </w:r>
      <w:r w:rsidR="002040BF">
        <w:rPr>
          <w:lang w:bidi="ar-SA"/>
        </w:rPr>
        <w:t>glucoamylase</w:t>
      </w:r>
      <w:r w:rsidR="00BC0CCC">
        <w:rPr>
          <w:lang w:bidi="ar-SA"/>
        </w:rPr>
        <w:t xml:space="preserve"> </w:t>
      </w:r>
      <w:r w:rsidR="001C2F76" w:rsidRPr="0084781E">
        <w:rPr>
          <w:lang w:bidi="ar-SA"/>
        </w:rPr>
        <w:t>gene from</w:t>
      </w:r>
      <w:r w:rsidR="001C2F76">
        <w:rPr>
          <w:i/>
          <w:lang w:bidi="ar-SA"/>
        </w:rPr>
        <w:t xml:space="preserve"> </w:t>
      </w:r>
      <w:r w:rsidR="002040BF">
        <w:rPr>
          <w:i/>
          <w:lang w:bidi="ar-SA"/>
        </w:rPr>
        <w:t>Penicillium oxalicum (P. oxalicum</w:t>
      </w:r>
      <w:r w:rsidR="001C2F76">
        <w:rPr>
          <w:i/>
          <w:lang w:bidi="ar-SA"/>
        </w:rPr>
        <w:t>)</w:t>
      </w:r>
      <w:r w:rsidR="4FA9EB09" w:rsidRPr="4B241FD5">
        <w:rPr>
          <w:i/>
          <w:iCs/>
          <w:lang w:bidi="ar-SA"/>
        </w:rPr>
        <w:t>.</w:t>
      </w:r>
      <w:r>
        <w:rPr>
          <w:i/>
          <w:lang w:bidi="ar-SA"/>
        </w:rPr>
        <w:t xml:space="preserve"> </w:t>
      </w:r>
      <w:r w:rsidR="2B29E8E3" w:rsidRPr="4B241FD5">
        <w:rPr>
          <w:lang w:bidi="ar-SA"/>
        </w:rPr>
        <w:t>The enzyme is proposed to be used as</w:t>
      </w:r>
      <w:r>
        <w:rPr>
          <w:lang w:bidi="ar-SA"/>
        </w:rPr>
        <w:t xml:space="preserve"> new</w:t>
      </w:r>
      <w:r w:rsidRPr="00FC4204">
        <w:rPr>
          <w:lang w:bidi="ar-SA"/>
        </w:rPr>
        <w:t xml:space="preserve"> processing aid</w:t>
      </w:r>
      <w:r>
        <w:rPr>
          <w:lang w:bidi="ar-SA"/>
        </w:rPr>
        <w:t xml:space="preserve"> </w:t>
      </w:r>
      <w:r w:rsidR="00F932EC">
        <w:rPr>
          <w:lang w:bidi="ar-SA"/>
        </w:rPr>
        <w:t xml:space="preserve">in </w:t>
      </w:r>
      <w:r w:rsidR="002F0BD8">
        <w:t xml:space="preserve">baking processes, brewing processes and </w:t>
      </w:r>
      <w:r w:rsidR="002D0D41" w:rsidRPr="002D0D41">
        <w:t>starch processing for th</w:t>
      </w:r>
      <w:r w:rsidR="00557177">
        <w:t>e production of starch hydrolys</w:t>
      </w:r>
      <w:r w:rsidR="002D0D41" w:rsidRPr="002D0D41">
        <w:t>ates, including glucose syrups.</w:t>
      </w:r>
    </w:p>
    <w:p w14:paraId="1D084B0A" w14:textId="77777777" w:rsidR="002D0D41" w:rsidRPr="000543F5" w:rsidRDefault="002D0D41" w:rsidP="00D73931">
      <w:pPr>
        <w:rPr>
          <w:lang w:bidi="ar-SA"/>
        </w:rPr>
      </w:pPr>
    </w:p>
    <w:p w14:paraId="5A211145" w14:textId="46853526" w:rsidR="00121B4D" w:rsidRDefault="00121B4D" w:rsidP="00121B4D">
      <w:pPr>
        <w:rPr>
          <w:lang w:bidi="ar-SA"/>
        </w:rPr>
      </w:pPr>
      <w:bookmarkStart w:id="10" w:name="_Toc286391003"/>
      <w:r w:rsidRPr="51B0D0D1">
        <w:rPr>
          <w:lang w:bidi="ar-SA"/>
        </w:rPr>
        <w:t xml:space="preserve">Glucoamylase </w:t>
      </w:r>
      <w:r w:rsidR="7F0C8F9C" w:rsidRPr="4B241FD5">
        <w:rPr>
          <w:lang w:bidi="ar-SA"/>
        </w:rPr>
        <w:t>breaks down</w:t>
      </w:r>
      <w:r w:rsidRPr="51B0D0D1">
        <w:rPr>
          <w:lang w:bidi="ar-SA"/>
        </w:rPr>
        <w:t xml:space="preserve"> starch (saccharification) to release glucose to produce various products such as alcohol (ethanol) and amino and organic acids. End products can be further processed to produce glucose syrups and other starch hydrolysates (Kumar and Satyanarayana 2009). </w:t>
      </w:r>
    </w:p>
    <w:p w14:paraId="47418202" w14:textId="100C38BE" w:rsidR="002040BF" w:rsidRDefault="002040BF" w:rsidP="005F5D00">
      <w:pPr>
        <w:rPr>
          <w:lang w:bidi="ar-SA"/>
        </w:rPr>
      </w:pPr>
    </w:p>
    <w:p w14:paraId="27689576" w14:textId="72E25FC6" w:rsidR="00121B4D" w:rsidRDefault="00121B4D" w:rsidP="00121B4D">
      <w:r>
        <w:t xml:space="preserve">FSANZ identified no public health and safety concerns in the assessment of the protein engineered glucoamylase (EC 3.2.1.3) from a genetically modified (GM) strain of </w:t>
      </w:r>
      <w:r w:rsidRPr="51B0D0D1">
        <w:rPr>
          <w:i/>
          <w:iCs/>
        </w:rPr>
        <w:t xml:space="preserve">A. niger </w:t>
      </w:r>
      <w:r>
        <w:t xml:space="preserve">under the proposed use conditions. The </w:t>
      </w:r>
      <w:r w:rsidRPr="51B0D0D1">
        <w:rPr>
          <w:i/>
          <w:iCs/>
        </w:rPr>
        <w:t>A</w:t>
      </w:r>
      <w:r>
        <w:t xml:space="preserve">. </w:t>
      </w:r>
      <w:r w:rsidRPr="51B0D0D1">
        <w:rPr>
          <w:i/>
          <w:iCs/>
        </w:rPr>
        <w:t>niger</w:t>
      </w:r>
      <w:r>
        <w:t xml:space="preserve"> host is neither pathogenic nor toxigenic. Analysis of the modified production strain confirmed the presence and stability of the inserted DNA.</w:t>
      </w:r>
    </w:p>
    <w:p w14:paraId="3E0DA259" w14:textId="77777777" w:rsidR="00121B4D" w:rsidRPr="006E2ACC" w:rsidRDefault="00121B4D" w:rsidP="00121B4D"/>
    <w:p w14:paraId="67467DCE" w14:textId="2488C1B8" w:rsidR="00121B4D" w:rsidRDefault="00121B4D" w:rsidP="00CB1D3D">
      <w:r>
        <w:t xml:space="preserve">Glucoamylase does not show any sequence homology with known toxins. The enzyme was not genotoxic </w:t>
      </w:r>
      <w:r w:rsidRPr="0009675B">
        <w:rPr>
          <w:i/>
        </w:rPr>
        <w:t>in vitro</w:t>
      </w:r>
      <w:r>
        <w:t>, and no treatment-related adverse effects were observed</w:t>
      </w:r>
      <w:r w:rsidR="7EE6F78D">
        <w:t xml:space="preserve"> </w:t>
      </w:r>
      <w:r w:rsidR="73CDCA37" w:rsidRPr="4B241FD5">
        <w:rPr>
          <w:rFonts w:eastAsia="Arial" w:cs="Arial"/>
          <w:color w:val="000000" w:themeColor="text1"/>
          <w:szCs w:val="22"/>
        </w:rPr>
        <w:t xml:space="preserve">and no treatment-related adverse effects were observed in a 13-week oral toxicity study in rats. The no observed adverse effect level (NOAEL) was the highest dose tested, 1360 mg total organic solids (TOS)/kg </w:t>
      </w:r>
      <w:proofErr w:type="spellStart"/>
      <w:r w:rsidR="73CDCA37" w:rsidRPr="4B241FD5">
        <w:rPr>
          <w:rFonts w:eastAsia="Arial" w:cs="Arial"/>
          <w:color w:val="000000" w:themeColor="text1"/>
          <w:szCs w:val="22"/>
        </w:rPr>
        <w:t>bw</w:t>
      </w:r>
      <w:proofErr w:type="spellEnd"/>
      <w:r w:rsidR="73CDCA37" w:rsidRPr="4B241FD5">
        <w:rPr>
          <w:rFonts w:eastAsia="Arial" w:cs="Arial"/>
          <w:color w:val="000000" w:themeColor="text1"/>
          <w:szCs w:val="22"/>
        </w:rPr>
        <w:t>/day</w:t>
      </w:r>
      <w:r w:rsidR="467D5817">
        <w:t>.</w:t>
      </w:r>
      <w:r>
        <w:t xml:space="preserve"> </w:t>
      </w:r>
      <w:r w:rsidRPr="006F58E8">
        <w:t>No significant homology to known food allergens was identified. Based on the available evidence the enzyme is unlikely to pose a food allergenicity concern</w:t>
      </w:r>
      <w:r>
        <w:t>.</w:t>
      </w:r>
    </w:p>
    <w:p w14:paraId="6E9BAAA4" w14:textId="77777777" w:rsidR="007F291D" w:rsidRDefault="007F291D" w:rsidP="00CB1D3D"/>
    <w:p w14:paraId="2A3E845E" w14:textId="2B714003" w:rsidR="00FA705B" w:rsidRDefault="00FA705B" w:rsidP="00FA705B">
      <w:pPr>
        <w:rPr>
          <w:rFonts w:eastAsia="Arial"/>
          <w:szCs w:val="22"/>
        </w:rPr>
      </w:pPr>
      <w:r w:rsidRPr="3F6E6AE9">
        <w:rPr>
          <w:rFonts w:eastAsia="Arial" w:cs="Arial"/>
          <w:color w:val="000000" w:themeColor="text1"/>
        </w:rPr>
        <w:t xml:space="preserve">The applicant has advised that wheat flour is used </w:t>
      </w:r>
      <w:r w:rsidR="1A5BA092" w:rsidRPr="4B241FD5">
        <w:rPr>
          <w:rFonts w:eastAsia="Arial" w:cs="Arial"/>
          <w:color w:val="000000" w:themeColor="text1"/>
        </w:rPr>
        <w:t>as the</w:t>
      </w:r>
      <w:r w:rsidRPr="3F6E6AE9">
        <w:rPr>
          <w:rFonts w:eastAsia="Arial" w:cs="Arial"/>
          <w:color w:val="000000" w:themeColor="text1"/>
        </w:rPr>
        <w:t xml:space="preserve"> carrier and that wheat protein is present in the final enzyme preparation</w:t>
      </w:r>
      <w:r w:rsidRPr="3F6E6AE9">
        <w:rPr>
          <w:rFonts w:eastAsia="Arial" w:cs="Arial"/>
          <w:color w:val="000000" w:themeColor="text1"/>
          <w:vertAlign w:val="superscript"/>
        </w:rPr>
        <w:t>3</w:t>
      </w:r>
      <w:r w:rsidRPr="3F6E6AE9">
        <w:rPr>
          <w:rFonts w:eastAsia="Arial" w:cs="Arial"/>
          <w:color w:val="000000" w:themeColor="text1"/>
        </w:rPr>
        <w:t>. This only applies to the granulate</w:t>
      </w:r>
      <w:r>
        <w:rPr>
          <w:rFonts w:eastAsia="Arial" w:cs="Arial"/>
          <w:color w:val="000000" w:themeColor="text1"/>
        </w:rPr>
        <w:t>d</w:t>
      </w:r>
      <w:r w:rsidRPr="3F6E6AE9">
        <w:rPr>
          <w:rFonts w:eastAsia="Arial" w:cs="Arial"/>
          <w:color w:val="000000" w:themeColor="text1"/>
        </w:rPr>
        <w:t xml:space="preserve"> preparation</w:t>
      </w:r>
      <w:r w:rsidR="7390F7B3" w:rsidRPr="4B241FD5">
        <w:rPr>
          <w:rFonts w:eastAsia="Arial" w:cs="Arial"/>
          <w:color w:val="000000" w:themeColor="text1"/>
        </w:rPr>
        <w:t>,</w:t>
      </w:r>
      <w:r w:rsidRPr="3F6E6AE9">
        <w:rPr>
          <w:rFonts w:eastAsia="Arial" w:cs="Arial"/>
          <w:color w:val="000000" w:themeColor="text1"/>
        </w:rPr>
        <w:t xml:space="preserve"> which is used in baking processes. </w:t>
      </w:r>
      <w:r w:rsidR="1B20260B" w:rsidRPr="4B241FD5">
        <w:rPr>
          <w:lang w:bidi="ar-SA"/>
        </w:rPr>
        <w:t xml:space="preserve"> If wheat is present in a food for sale, including when present as a processing aid or an ingredient or component of a processing aid, it must be declared unless an exemption applies.</w:t>
      </w:r>
    </w:p>
    <w:p w14:paraId="61A7FC56" w14:textId="77777777" w:rsidR="00654EB3" w:rsidRDefault="00654EB3" w:rsidP="00CB1D3D"/>
    <w:p w14:paraId="3E77E57E" w14:textId="01535C83" w:rsidR="00121B4D" w:rsidRDefault="00121B4D" w:rsidP="00121B4D">
      <w:pPr>
        <w:rPr>
          <w:lang w:bidi="ar-SA"/>
        </w:rPr>
      </w:pPr>
      <w:r w:rsidRPr="51B0D0D1">
        <w:rPr>
          <w:lang w:bidi="ar-SA"/>
        </w:rPr>
        <w:t>FSANZ has therefore prepared a draft variation to the Code which, if approved, would list the enzyme glucoamylase</w:t>
      </w:r>
      <w:r w:rsidRPr="51B0D0D1">
        <w:rPr>
          <w:lang w:eastAsia="en-AU" w:bidi="ar-SA"/>
        </w:rPr>
        <w:t xml:space="preserve"> </w:t>
      </w:r>
      <w:r>
        <w:t xml:space="preserve">derived from GM </w:t>
      </w:r>
      <w:r w:rsidRPr="51B0D0D1">
        <w:rPr>
          <w:i/>
          <w:iCs/>
        </w:rPr>
        <w:t>A. niger</w:t>
      </w:r>
      <w:r>
        <w:t xml:space="preserve">, containing a protein engineered variant of the glucoamylase gene from </w:t>
      </w:r>
      <w:r w:rsidRPr="51B0D0D1">
        <w:rPr>
          <w:i/>
          <w:iCs/>
        </w:rPr>
        <w:t>P. oxalicum</w:t>
      </w:r>
      <w:r>
        <w:t xml:space="preserve">, </w:t>
      </w:r>
      <w:r w:rsidRPr="51B0D0D1">
        <w:rPr>
          <w:lang w:bidi="ar-SA"/>
        </w:rPr>
        <w:t xml:space="preserve">in the table to subsection S18—9(3) </w:t>
      </w:r>
      <w:r>
        <w:t>as a permitted processing aid for use in baking processes, brewing processes and starch processing for th</w:t>
      </w:r>
      <w:r w:rsidR="00557177">
        <w:t>e production of starch hydrolys</w:t>
      </w:r>
      <w:r>
        <w:t xml:space="preserve">ates, including glucose syrups. This permission would be subject </w:t>
      </w:r>
      <w:r w:rsidRPr="51B0D0D1">
        <w:rPr>
          <w:lang w:bidi="ar-SA"/>
        </w:rPr>
        <w:t xml:space="preserve">to the condition that </w:t>
      </w:r>
      <w:r>
        <w:t>the maximum permitted level or amount of the enzyme that may be present in the food must be consistent with Good Manufacturing Practice</w:t>
      </w:r>
      <w:r w:rsidRPr="51B0D0D1">
        <w:rPr>
          <w:lang w:bidi="ar-SA"/>
        </w:rPr>
        <w:t>.</w:t>
      </w:r>
    </w:p>
    <w:p w14:paraId="2AB50CAC" w14:textId="77777777" w:rsidR="00121B4D" w:rsidRDefault="00121B4D" w:rsidP="005F5D00">
      <w:pPr>
        <w:rPr>
          <w:lang w:bidi="ar-SA"/>
        </w:rPr>
      </w:pPr>
    </w:p>
    <w:p w14:paraId="6A2606B7" w14:textId="24DBE15F" w:rsidR="005F5D00" w:rsidRDefault="005F5D00" w:rsidP="005F5D00">
      <w:pPr>
        <w:sectPr w:rsidR="005F5D00" w:rsidSect="007C75EE">
          <w:headerReference w:type="even" r:id="rId27"/>
          <w:headerReference w:type="default" r:id="rId28"/>
          <w:footerReference w:type="even" r:id="rId29"/>
          <w:headerReference w:type="first" r:id="rId30"/>
          <w:footerReference w:type="first" r:id="rId31"/>
          <w:pgSz w:w="11906" w:h="16838"/>
          <w:pgMar w:top="1418" w:right="1418" w:bottom="1418" w:left="1418" w:header="709" w:footer="709" w:gutter="0"/>
          <w:pgNumType w:fmt="lowerRoman"/>
          <w:cols w:space="708"/>
          <w:docGrid w:linePitch="360"/>
        </w:sectPr>
      </w:pPr>
      <w:r>
        <w:rPr>
          <w:lang w:bidi="ar-SA"/>
        </w:rPr>
        <w:t xml:space="preserve">FSANZ </w:t>
      </w:r>
      <w:r w:rsidR="004A10F0">
        <w:rPr>
          <w:lang w:bidi="ar-SA"/>
        </w:rPr>
        <w:t xml:space="preserve">invites </w:t>
      </w:r>
      <w:r>
        <w:rPr>
          <w:lang w:bidi="ar-SA"/>
        </w:rPr>
        <w:t>submissions on the draft variation.</w:t>
      </w:r>
    </w:p>
    <w:p w14:paraId="3267C1E4" w14:textId="77777777" w:rsidR="002A5F8B" w:rsidRPr="000B6AF2" w:rsidRDefault="00F33BB8" w:rsidP="000B6AF2">
      <w:pPr>
        <w:pStyle w:val="Heading1"/>
      </w:pPr>
      <w:bookmarkStart w:id="11" w:name="_Toc300933417"/>
      <w:bookmarkStart w:id="12" w:name="_Toc100584090"/>
      <w:bookmarkStart w:id="13" w:name="_Toc110607905"/>
      <w:bookmarkStart w:id="14" w:name="_Toc114215675"/>
      <w:r>
        <w:lastRenderedPageBreak/>
        <w:t>1</w:t>
      </w:r>
      <w:r w:rsidR="001542D8">
        <w:tab/>
      </w:r>
      <w:r w:rsidR="002A5F8B" w:rsidRPr="000B6AF2">
        <w:t>Introduction</w:t>
      </w:r>
      <w:bookmarkEnd w:id="10"/>
      <w:bookmarkEnd w:id="11"/>
      <w:bookmarkEnd w:id="12"/>
      <w:bookmarkEnd w:id="13"/>
      <w:bookmarkEnd w:id="14"/>
    </w:p>
    <w:p w14:paraId="518609C4" w14:textId="623E1AA0" w:rsidR="0053464E" w:rsidRPr="0053464E" w:rsidRDefault="00F33BB8" w:rsidP="00A56E34">
      <w:pPr>
        <w:pStyle w:val="Heading2"/>
      </w:pPr>
      <w:bookmarkStart w:id="15" w:name="_Toc300761890"/>
      <w:bookmarkStart w:id="16" w:name="_Toc300933419"/>
      <w:bookmarkStart w:id="17" w:name="_Toc100584091"/>
      <w:bookmarkStart w:id="18" w:name="_Toc110607906"/>
      <w:bookmarkStart w:id="19" w:name="_Toc114215676"/>
      <w:r>
        <w:t>1</w:t>
      </w:r>
      <w:r w:rsidR="0053464E" w:rsidRPr="0053464E">
        <w:t>.1</w:t>
      </w:r>
      <w:r w:rsidR="0053464E" w:rsidRPr="0053464E">
        <w:tab/>
        <w:t>The Applicant</w:t>
      </w:r>
      <w:bookmarkEnd w:id="15"/>
      <w:bookmarkEnd w:id="16"/>
      <w:bookmarkEnd w:id="17"/>
      <w:bookmarkEnd w:id="18"/>
      <w:bookmarkEnd w:id="19"/>
    </w:p>
    <w:p w14:paraId="1E31780D" w14:textId="69A90792" w:rsidR="0053464E" w:rsidRPr="00501E0A" w:rsidRDefault="00186769" w:rsidP="0053464E">
      <w:r w:rsidRPr="00501E0A">
        <w:t xml:space="preserve">Novozymes Australia Pty Ltd </w:t>
      </w:r>
      <w:r w:rsidR="002F0CA9" w:rsidRPr="00501E0A">
        <w:t xml:space="preserve">is a manufacturer of enzymes, microorganisms and precision proteins based in Sydney, Australia. </w:t>
      </w:r>
    </w:p>
    <w:p w14:paraId="6AD74803" w14:textId="7C7034B7" w:rsidR="0053464E" w:rsidRPr="0053464E" w:rsidRDefault="00F33BB8" w:rsidP="00A56E34">
      <w:pPr>
        <w:pStyle w:val="Heading2"/>
      </w:pPr>
      <w:bookmarkStart w:id="20" w:name="_Toc300761891"/>
      <w:bookmarkStart w:id="21" w:name="_Toc300933420"/>
      <w:bookmarkStart w:id="22" w:name="_Toc100584092"/>
      <w:bookmarkStart w:id="23" w:name="_Toc110607907"/>
      <w:bookmarkStart w:id="24" w:name="_Toc114215677"/>
      <w:r>
        <w:t>1</w:t>
      </w:r>
      <w:r w:rsidR="0053464E" w:rsidRPr="0053464E">
        <w:t>.2</w:t>
      </w:r>
      <w:r w:rsidR="0053464E" w:rsidRPr="0053464E">
        <w:tab/>
        <w:t xml:space="preserve">The </w:t>
      </w:r>
      <w:r w:rsidR="0053464E" w:rsidRPr="00186769">
        <w:t>Application</w:t>
      </w:r>
      <w:bookmarkEnd w:id="20"/>
      <w:bookmarkEnd w:id="21"/>
      <w:bookmarkEnd w:id="22"/>
      <w:bookmarkEnd w:id="23"/>
      <w:bookmarkEnd w:id="24"/>
    </w:p>
    <w:p w14:paraId="3D145EF1" w14:textId="0B68656D" w:rsidR="00DF7D3D" w:rsidRPr="000543F5" w:rsidRDefault="002F0CA9" w:rsidP="0053464E">
      <w:r>
        <w:t>The purpose</w:t>
      </w:r>
      <w:r w:rsidR="00DF7D3D">
        <w:t xml:space="preserve"> of the application is to amend the Australia New Zealand Food Standards Code (the Code) to permit</w:t>
      </w:r>
      <w:r>
        <w:t xml:space="preserve"> the use of </w:t>
      </w:r>
      <w:bookmarkStart w:id="25" w:name="_Toc300761892"/>
      <w:bookmarkStart w:id="26" w:name="_Toc300933421"/>
      <w:r w:rsidR="00A30F35">
        <w:t>a new protein engineered variant of gl</w:t>
      </w:r>
      <w:r w:rsidR="00C67484">
        <w:t>ucoamylase</w:t>
      </w:r>
      <w:r w:rsidR="006E3623">
        <w:t xml:space="preserve"> (EC 3.2.1.3</w:t>
      </w:r>
      <w:r w:rsidR="008E6838">
        <w:t xml:space="preserve">), sourced from genetically modified </w:t>
      </w:r>
      <w:r w:rsidR="008E6838" w:rsidRPr="51B0D0D1">
        <w:rPr>
          <w:lang w:bidi="ar-SA"/>
        </w:rPr>
        <w:t xml:space="preserve">(GM) </w:t>
      </w:r>
      <w:r w:rsidR="00C67484" w:rsidRPr="51B0D0D1">
        <w:rPr>
          <w:i/>
          <w:iCs/>
          <w:lang w:bidi="ar-SA"/>
        </w:rPr>
        <w:t>Aspergillus niger (A. niger</w:t>
      </w:r>
      <w:r w:rsidR="00C4158E" w:rsidRPr="51B0D0D1">
        <w:rPr>
          <w:i/>
          <w:iCs/>
          <w:lang w:bidi="ar-SA"/>
        </w:rPr>
        <w:t>)</w:t>
      </w:r>
      <w:r w:rsidR="00DF7D3D" w:rsidRPr="51B0D0D1">
        <w:rPr>
          <w:lang w:bidi="ar-SA"/>
        </w:rPr>
        <w:t>, a</w:t>
      </w:r>
      <w:r w:rsidR="006E3623" w:rsidRPr="51B0D0D1">
        <w:rPr>
          <w:lang w:bidi="ar-SA"/>
        </w:rPr>
        <w:t xml:space="preserve">s a processing aid for use in </w:t>
      </w:r>
      <w:r w:rsidR="002F0BD8">
        <w:t xml:space="preserve">baking processes, brewing processes and </w:t>
      </w:r>
      <w:r w:rsidR="002D0D41">
        <w:t>starch processing for the production</w:t>
      </w:r>
      <w:r w:rsidR="00557177">
        <w:t xml:space="preserve"> of starch hydrolys</w:t>
      </w:r>
      <w:r w:rsidR="002D0D41">
        <w:t xml:space="preserve">ates, including glucose syrups. </w:t>
      </w:r>
      <w:r w:rsidR="00DF7D3D" w:rsidRPr="51B0D0D1">
        <w:rPr>
          <w:lang w:bidi="ar-SA"/>
        </w:rPr>
        <w:t>This</w:t>
      </w:r>
      <w:r w:rsidR="008E6838" w:rsidRPr="51B0D0D1">
        <w:rPr>
          <w:lang w:bidi="ar-SA"/>
        </w:rPr>
        <w:t xml:space="preserve"> organism contains</w:t>
      </w:r>
      <w:r w:rsidR="00C67484">
        <w:t xml:space="preserve"> the glucoamylase</w:t>
      </w:r>
      <w:r w:rsidR="008E6838">
        <w:t xml:space="preserve"> gene from </w:t>
      </w:r>
      <w:r w:rsidR="00C67484" w:rsidRPr="51B0D0D1">
        <w:rPr>
          <w:i/>
          <w:iCs/>
        </w:rPr>
        <w:t>Penicillium oxalicum (P. oxalicum</w:t>
      </w:r>
      <w:r w:rsidR="00C4158E" w:rsidRPr="51B0D0D1">
        <w:rPr>
          <w:i/>
          <w:iCs/>
        </w:rPr>
        <w:t>)</w:t>
      </w:r>
      <w:r w:rsidR="008E6838">
        <w:t>.</w:t>
      </w:r>
      <w:r w:rsidR="008E6838" w:rsidRPr="51B0D0D1">
        <w:rPr>
          <w:lang w:bidi="ar-SA"/>
        </w:rPr>
        <w:t xml:space="preserve"> </w:t>
      </w:r>
      <w:r w:rsidR="00DF7D3D">
        <w:t>Novozymes is requesting the a</w:t>
      </w:r>
      <w:r w:rsidR="00C67484">
        <w:t>pproval of this glucoamylase</w:t>
      </w:r>
      <w:r w:rsidR="00DF7D3D">
        <w:t xml:space="preserve"> to perform the technological function of</w:t>
      </w:r>
      <w:r w:rsidR="00216CF2">
        <w:t xml:space="preserve"> </w:t>
      </w:r>
      <w:bookmarkEnd w:id="25"/>
      <w:bookmarkEnd w:id="26"/>
      <w:r w:rsidR="009D1452" w:rsidRPr="51B0D0D1">
        <w:rPr>
          <w:lang w:bidi="ar-SA"/>
        </w:rPr>
        <w:t xml:space="preserve">hydrolysis of the terminal (1-&gt;4)-linked alpha-D-glucose residues from non-reducing ends of </w:t>
      </w:r>
      <w:r w:rsidR="598C9874" w:rsidRPr="4B241FD5">
        <w:rPr>
          <w:lang w:bidi="ar-SA"/>
        </w:rPr>
        <w:t>carbohydrate</w:t>
      </w:r>
      <w:r w:rsidR="009D1452" w:rsidRPr="51B0D0D1">
        <w:rPr>
          <w:lang w:bidi="ar-SA"/>
        </w:rPr>
        <w:t xml:space="preserve"> chains</w:t>
      </w:r>
      <w:r w:rsidR="004B6B87">
        <w:rPr>
          <w:lang w:bidi="ar-SA"/>
        </w:rPr>
        <w:t>.</w:t>
      </w:r>
      <w:r w:rsidR="00216CF2">
        <w:t xml:space="preserve"> </w:t>
      </w:r>
    </w:p>
    <w:p w14:paraId="298C86D3" w14:textId="77777777" w:rsidR="0029351E" w:rsidRPr="0053464E" w:rsidRDefault="0029351E" w:rsidP="0029351E">
      <w:pPr>
        <w:pStyle w:val="Heading2"/>
      </w:pPr>
      <w:bookmarkStart w:id="27" w:name="_Toc96085432"/>
      <w:bookmarkStart w:id="28" w:name="_Toc100584093"/>
      <w:bookmarkStart w:id="29" w:name="_Toc110607908"/>
      <w:bookmarkStart w:id="30" w:name="_Toc114215678"/>
      <w:r>
        <w:t>1.3</w:t>
      </w:r>
      <w:r>
        <w:tab/>
        <w:t>The c</w:t>
      </w:r>
      <w:r w:rsidRPr="0053464E">
        <w:t xml:space="preserve">urrent </w:t>
      </w:r>
      <w:r>
        <w:t>s</w:t>
      </w:r>
      <w:r w:rsidRPr="0053464E">
        <w:t>tandard</w:t>
      </w:r>
      <w:bookmarkEnd w:id="27"/>
      <w:bookmarkEnd w:id="28"/>
      <w:bookmarkEnd w:id="29"/>
      <w:bookmarkEnd w:id="30"/>
    </w:p>
    <w:p w14:paraId="0F1D07B3" w14:textId="4AD8FD1B" w:rsidR="0029351E" w:rsidRPr="004C62B3" w:rsidRDefault="0029351E" w:rsidP="0029351E">
      <w:r>
        <w:t xml:space="preserve">Australian and New Zealand food laws require food for sale to comply with relevant requirements in the </w:t>
      </w:r>
      <w:r w:rsidRPr="00DC1D7F">
        <w:t>Code</w:t>
      </w:r>
      <w:r w:rsidRPr="00D77322">
        <w:t xml:space="preserve">. </w:t>
      </w:r>
      <w:r>
        <w:t xml:space="preserve">The requirements relevant </w:t>
      </w:r>
      <w:r w:rsidRPr="00D77322">
        <w:t>to this application are summarised below.</w:t>
      </w:r>
    </w:p>
    <w:p w14:paraId="67BD1699" w14:textId="77777777" w:rsidR="0029351E" w:rsidRDefault="0029351E" w:rsidP="0029351E">
      <w:pPr>
        <w:rPr>
          <w:i/>
        </w:rPr>
      </w:pPr>
    </w:p>
    <w:p w14:paraId="5C18CABD" w14:textId="77777777" w:rsidR="0029351E" w:rsidRPr="002B1C9E" w:rsidRDefault="0029351E" w:rsidP="0029351E">
      <w:pPr>
        <w:rPr>
          <w:i/>
        </w:rPr>
      </w:pPr>
      <w:r w:rsidRPr="002B1C9E">
        <w:rPr>
          <w:i/>
        </w:rPr>
        <w:t>Permitted use</w:t>
      </w:r>
    </w:p>
    <w:p w14:paraId="3E26A8B9" w14:textId="77777777" w:rsidR="0029351E" w:rsidRDefault="0029351E" w:rsidP="0029351E"/>
    <w:p w14:paraId="6C23A8E8" w14:textId="77777777" w:rsidR="0029351E" w:rsidRDefault="0029351E" w:rsidP="0029351E">
      <w:r w:rsidRPr="00DC1D7F">
        <w:t xml:space="preserve">Enzymes used </w:t>
      </w:r>
      <w:r>
        <w:t>to process</w:t>
      </w:r>
      <w:r w:rsidRPr="00DC1D7F">
        <w:t xml:space="preserve"> and manufactur</w:t>
      </w:r>
      <w:r>
        <w:t>e</w:t>
      </w:r>
      <w:r w:rsidRPr="00DC1D7F">
        <w:t xml:space="preserve"> food are considered processing aids. </w:t>
      </w:r>
      <w:r>
        <w:t xml:space="preserve">Although they may be present in the final food, </w:t>
      </w:r>
      <w:r w:rsidRPr="007A2B38">
        <w:t>they no longer provid</w:t>
      </w:r>
      <w:r>
        <w:t>e</w:t>
      </w:r>
      <w:r w:rsidRPr="007A2B38">
        <w:t xml:space="preserve"> a technological purpose</w:t>
      </w:r>
      <w:r>
        <w:t xml:space="preserve"> in the final food.</w:t>
      </w:r>
    </w:p>
    <w:p w14:paraId="2F13B51B" w14:textId="77777777" w:rsidR="0029351E" w:rsidRDefault="0029351E" w:rsidP="0029351E"/>
    <w:p w14:paraId="6647A726" w14:textId="501E6255" w:rsidR="00E03125" w:rsidRDefault="00E03125" w:rsidP="00E03125">
      <w:r>
        <w:t xml:space="preserve">Paragraph 1.1.1—10(6)(c) provides that food for sale cannot contain, as an ingredient or component, a substance used as a processing aid unless that substance’s use as a processing aid is expressly permitted by the Code. Section 1.1.2—13 provides that a substance used as a processing aid in relation to a food is a substance used during the course of processing that meets all of the following conditions: </w:t>
      </w:r>
    </w:p>
    <w:p w14:paraId="65E43C7D" w14:textId="77777777" w:rsidR="00E03125" w:rsidRDefault="00E03125" w:rsidP="00E03125">
      <w:pPr>
        <w:pStyle w:val="ListParagraph"/>
        <w:numPr>
          <w:ilvl w:val="0"/>
          <w:numId w:val="14"/>
        </w:numPr>
      </w:pPr>
      <w:r>
        <w:t>it is used to perform a technological purpose during the course of processing</w:t>
      </w:r>
    </w:p>
    <w:p w14:paraId="7FF16AFC" w14:textId="77777777" w:rsidR="00E03125" w:rsidRDefault="00E03125" w:rsidP="00E03125">
      <w:pPr>
        <w:pStyle w:val="ListParagraph"/>
        <w:numPr>
          <w:ilvl w:val="0"/>
          <w:numId w:val="14"/>
        </w:numPr>
      </w:pPr>
      <w:r>
        <w:t xml:space="preserve">it does not perform a technological purpose in the food for sale, and </w:t>
      </w:r>
    </w:p>
    <w:p w14:paraId="6BA2551B" w14:textId="77777777" w:rsidR="00E03125" w:rsidRDefault="00E03125" w:rsidP="00E03125">
      <w:pPr>
        <w:pStyle w:val="ListParagraph"/>
        <w:numPr>
          <w:ilvl w:val="0"/>
          <w:numId w:val="14"/>
        </w:numPr>
      </w:pPr>
      <w:r>
        <w:t xml:space="preserve">it is a substance listed in Schedule 18 or identified in section S16—2 as an additive permitted at </w:t>
      </w:r>
      <w:r w:rsidRPr="00AC3A80">
        <w:rPr>
          <w:lang w:val="en-AU" w:bidi="ar-SA"/>
        </w:rPr>
        <w:t>Good Manufacturing Pract</w:t>
      </w:r>
      <w:r>
        <w:rPr>
          <w:lang w:val="en-AU" w:bidi="ar-SA"/>
        </w:rPr>
        <w:t>ice (</w:t>
      </w:r>
      <w:r>
        <w:t>GMP).</w:t>
      </w:r>
    </w:p>
    <w:p w14:paraId="010D7839" w14:textId="77777777" w:rsidR="0029351E" w:rsidRDefault="0029351E" w:rsidP="0029351E"/>
    <w:p w14:paraId="7CC9C4A5" w14:textId="285FF300" w:rsidR="0029351E" w:rsidRDefault="0029351E" w:rsidP="00402864">
      <w:r>
        <w:t xml:space="preserve">Standard 1.3.3 and Schedule 18 of the Code list permitted processing aids. Enzymes of microbial origin permitted to be used as processing aids are listed in the table to subsection S18—4(5) or in the table to subsection S18—9(3) of Schedule 18, depending on whether a technological purpose has been specified. Enzymes of microbial origin listed in the table to subsection S18—4(5) are permitted for use as a processing aid to perform </w:t>
      </w:r>
      <w:r w:rsidRPr="00402864">
        <w:t xml:space="preserve">any </w:t>
      </w:r>
      <w:r>
        <w:t xml:space="preserve">technological purpose if the enzyme is derived from the corresponding source specified in the table. The table to subsection S18—9(3) lists those substances, including enzymes derived from particular sources, that are permitted to be used as processing aids for </w:t>
      </w:r>
      <w:r w:rsidRPr="00402864">
        <w:t>specific</w:t>
      </w:r>
      <w:r>
        <w:t xml:space="preserve"> technological purposes in relation to:</w:t>
      </w:r>
    </w:p>
    <w:p w14:paraId="6389F902" w14:textId="77777777" w:rsidR="0029351E" w:rsidRDefault="0029351E" w:rsidP="0029351E"/>
    <w:p w14:paraId="3F22ABE6" w14:textId="77777777" w:rsidR="0029351E" w:rsidRDefault="0029351E" w:rsidP="0029351E">
      <w:r>
        <w:t>•</w:t>
      </w:r>
      <w:r>
        <w:tab/>
        <w:t>if a food is specified—that food; or</w:t>
      </w:r>
    </w:p>
    <w:p w14:paraId="30297F28" w14:textId="77777777" w:rsidR="0029351E" w:rsidRDefault="0029351E" w:rsidP="0029351E">
      <w:r>
        <w:t>•</w:t>
      </w:r>
      <w:r>
        <w:tab/>
        <w:t xml:space="preserve">if no food is specified—any food. </w:t>
      </w:r>
    </w:p>
    <w:p w14:paraId="42FFEAE3" w14:textId="77777777" w:rsidR="0029351E" w:rsidRDefault="0029351E" w:rsidP="0029351E"/>
    <w:p w14:paraId="6EE2D9A2" w14:textId="2CA1F485" w:rsidR="0029351E" w:rsidRDefault="0029351E" w:rsidP="0029351E">
      <w:r>
        <w:lastRenderedPageBreak/>
        <w:t>Additionally, paragraph 1.3.3—11(c) specifies that the substance may only be used as a processing aid if it is not present in the food at greater than the maximum permitted level for that substance indicated in the table to section S18—9.</w:t>
      </w:r>
    </w:p>
    <w:p w14:paraId="0FC40D85" w14:textId="77777777" w:rsidR="0029351E" w:rsidRDefault="0029351E" w:rsidP="0029351E"/>
    <w:p w14:paraId="6F476FEB" w14:textId="11066431" w:rsidR="0029351E" w:rsidRDefault="0029351E" w:rsidP="0029351E">
      <w:r w:rsidRPr="00D77322">
        <w:t>Paragraph 1.1.1—10(6)(g) requires that the presence as an ingredient or component in a food for sale of a food produced using gene technology must be expressly permitted by the Code.</w:t>
      </w:r>
      <w:r>
        <w:t xml:space="preserve"> Paragraph</w:t>
      </w:r>
      <w:r w:rsidRPr="00D77322">
        <w:t xml:space="preserve"> 1.5.2—3</w:t>
      </w:r>
      <w:r>
        <w:t>(b)</w:t>
      </w:r>
      <w:r w:rsidRPr="00D77322">
        <w:t xml:space="preserve"> provides that permission in the Code for use as a processing aid also constitutes the permission required by paragraph 1.1.1—10(6)(g).</w:t>
      </w:r>
    </w:p>
    <w:p w14:paraId="3D3E6280" w14:textId="1C3F4473" w:rsidR="00120600" w:rsidRDefault="00120600" w:rsidP="0029351E"/>
    <w:p w14:paraId="42319EE8" w14:textId="61B495D8" w:rsidR="00120600" w:rsidRPr="004B41F5" w:rsidRDefault="00D03772" w:rsidP="0029351E">
      <w:pPr>
        <w:rPr>
          <w:i/>
        </w:rPr>
      </w:pPr>
      <w:r w:rsidRPr="00D03772">
        <w:t xml:space="preserve">There are currently permissions for glucoamylase (EC 3.2.1.3) from other source organisms including </w:t>
      </w:r>
      <w:r w:rsidRPr="002B7E6D">
        <w:rPr>
          <w:i/>
          <w:iCs/>
        </w:rPr>
        <w:t>A. niger</w:t>
      </w:r>
      <w:r w:rsidRPr="00D03772">
        <w:t xml:space="preserve"> within the table to subsection S18—4(5), to be used in the manufacture of all foods. Glucoamylase from </w:t>
      </w:r>
      <w:r w:rsidRPr="00AB5955">
        <w:rPr>
          <w:i/>
          <w:iCs/>
        </w:rPr>
        <w:t>A. niger</w:t>
      </w:r>
      <w:r w:rsidRPr="00D03772">
        <w:t xml:space="preserve"> with other gene donors is also permitted in S18—9(3) to hydrolyse starch in brewing, the manufacture of bakery products, syrups, beverages, cereal-based products, fruit products and vegetable products; and for use in starch processing and the production of potable alcohol. </w:t>
      </w:r>
      <w:r w:rsidR="001D1E20" w:rsidRPr="001D1E20">
        <w:t>However, glucoamylase from the particular microbial source and gene donor that is the subject of this application is not currently permitted</w:t>
      </w:r>
      <w:r w:rsidR="001D1E20">
        <w:t>.</w:t>
      </w:r>
    </w:p>
    <w:p w14:paraId="229D8AF3" w14:textId="77777777" w:rsidR="0029351E" w:rsidRDefault="0029351E" w:rsidP="0029351E"/>
    <w:p w14:paraId="10E85A6E" w14:textId="77777777" w:rsidR="0029351E" w:rsidRPr="002B1C9E" w:rsidRDefault="0029351E" w:rsidP="0029351E">
      <w:pPr>
        <w:rPr>
          <w:i/>
        </w:rPr>
      </w:pPr>
      <w:r w:rsidRPr="002B1C9E">
        <w:rPr>
          <w:i/>
        </w:rPr>
        <w:t>Identity and purity requirements</w:t>
      </w:r>
    </w:p>
    <w:p w14:paraId="3CE1F2BF" w14:textId="77777777" w:rsidR="0029351E" w:rsidRDefault="0029351E" w:rsidP="0029351E"/>
    <w:p w14:paraId="432A597C" w14:textId="6C541F7F" w:rsidR="0029351E" w:rsidRDefault="00E03125" w:rsidP="0029351E">
      <w:r>
        <w:t xml:space="preserve">Paragraph </w:t>
      </w:r>
      <w:r w:rsidR="0029351E">
        <w:t xml:space="preserve">1.1.1—15(1)(b) of the Code requires substances used as processing aids to comply with any relevant identity and purity specifications listed in Schedule 3 of the Code. </w:t>
      </w:r>
    </w:p>
    <w:p w14:paraId="4AB7CA8E" w14:textId="77777777" w:rsidR="0029351E" w:rsidRDefault="0029351E" w:rsidP="0029351E"/>
    <w:p w14:paraId="07E281A1" w14:textId="36947EC7" w:rsidR="0029351E" w:rsidRDefault="0029351E" w:rsidP="0029351E">
      <w:r w:rsidRPr="006733D8">
        <w:rPr>
          <w:szCs w:val="22"/>
        </w:rPr>
        <w:t xml:space="preserve">Subsection S3—2(1) of Schedule 3 incorporates by reference the specifications </w:t>
      </w:r>
      <w:r w:rsidRPr="006733D8">
        <w:rPr>
          <w:rFonts w:eastAsia="Calibri" w:cs="Arial"/>
          <w:bCs/>
          <w:szCs w:val="22"/>
          <w:lang w:val="en-AU" w:bidi="ar-SA"/>
        </w:rPr>
        <w:t xml:space="preserve">listed in </w:t>
      </w:r>
      <w:r w:rsidRPr="006733D8">
        <w:rPr>
          <w:szCs w:val="22"/>
        </w:rPr>
        <w:t>the Joint FAO/WHO Expert Committee on Food Additives (JECFA) Combined Compendium of Food Additive Specifications (</w:t>
      </w:r>
      <w:r w:rsidR="00D20D66">
        <w:rPr>
          <w:szCs w:val="22"/>
        </w:rPr>
        <w:t>FAO JECFA Monographs 23 (2019))</w:t>
      </w:r>
      <w:r w:rsidRPr="006733D8">
        <w:rPr>
          <w:rFonts w:cs="Arial"/>
          <w:szCs w:val="22"/>
        </w:rPr>
        <w:t xml:space="preserve"> </w:t>
      </w:r>
      <w:r w:rsidRPr="006733D8">
        <w:rPr>
          <w:szCs w:val="22"/>
        </w:rPr>
        <w:t>and the United States Pharmacopeial Convention</w:t>
      </w:r>
      <w:r w:rsidR="00D20D66">
        <w:rPr>
          <w:szCs w:val="22"/>
        </w:rPr>
        <w:t xml:space="preserve"> </w:t>
      </w:r>
      <w:r w:rsidRPr="006733D8">
        <w:rPr>
          <w:szCs w:val="22"/>
        </w:rPr>
        <w:t xml:space="preserve">Food </w:t>
      </w:r>
      <w:r>
        <w:rPr>
          <w:szCs w:val="22"/>
        </w:rPr>
        <w:t>C</w:t>
      </w:r>
      <w:r w:rsidRPr="006733D8">
        <w:rPr>
          <w:szCs w:val="22"/>
        </w:rPr>
        <w:t xml:space="preserve">hemicals </w:t>
      </w:r>
      <w:r>
        <w:rPr>
          <w:szCs w:val="22"/>
        </w:rPr>
        <w:t>C</w:t>
      </w:r>
      <w:r w:rsidRPr="006733D8">
        <w:rPr>
          <w:szCs w:val="22"/>
        </w:rPr>
        <w:t>odex (1</w:t>
      </w:r>
      <w:r>
        <w:rPr>
          <w:szCs w:val="22"/>
        </w:rPr>
        <w:t>2</w:t>
      </w:r>
      <w:r w:rsidRPr="006733D8">
        <w:rPr>
          <w:szCs w:val="22"/>
          <w:vertAlign w:val="superscript"/>
        </w:rPr>
        <w:t>th</w:t>
      </w:r>
      <w:r w:rsidRPr="006733D8">
        <w:rPr>
          <w:szCs w:val="22"/>
        </w:rPr>
        <w:t xml:space="preserve"> edition</w:t>
      </w:r>
      <w:r w:rsidR="00D20D66">
        <w:rPr>
          <w:szCs w:val="22"/>
        </w:rPr>
        <w:t>, 2020</w:t>
      </w:r>
      <w:r w:rsidRPr="006733D8">
        <w:rPr>
          <w:szCs w:val="22"/>
        </w:rPr>
        <w:t xml:space="preserve">). </w:t>
      </w:r>
      <w:r w:rsidR="00E03125">
        <w:t xml:space="preserve">These include specifications for enzyme preparations </w:t>
      </w:r>
      <w:r w:rsidR="00E03125" w:rsidRPr="00E64C85">
        <w:t>used in food processing.</w:t>
      </w:r>
    </w:p>
    <w:p w14:paraId="1793C160" w14:textId="77777777" w:rsidR="0029351E" w:rsidRDefault="0029351E" w:rsidP="0029351E"/>
    <w:p w14:paraId="1A6E4915" w14:textId="77777777" w:rsidR="0029351E" w:rsidRPr="00FC7102" w:rsidRDefault="0029351E" w:rsidP="0029351E">
      <w:pPr>
        <w:rPr>
          <w:i/>
        </w:rPr>
      </w:pPr>
      <w:r w:rsidRPr="00FC7102">
        <w:rPr>
          <w:i/>
        </w:rPr>
        <w:t>Labelling requirements</w:t>
      </w:r>
    </w:p>
    <w:p w14:paraId="13F66FDE" w14:textId="77777777" w:rsidR="0029351E" w:rsidRDefault="0029351E" w:rsidP="0029351E"/>
    <w:p w14:paraId="1931092E" w14:textId="451D17B6" w:rsidR="0099490F" w:rsidRPr="004F6BCD" w:rsidRDefault="00810887" w:rsidP="0099490F">
      <w:pPr>
        <w:rPr>
          <w:rFonts w:cs="Arial"/>
          <w:szCs w:val="22"/>
        </w:rPr>
      </w:pPr>
      <w:bookmarkStart w:id="31" w:name="_Toc526345341"/>
      <w:bookmarkStart w:id="32" w:name="_Toc9433808"/>
      <w:bookmarkStart w:id="33" w:name="_Toc28004028"/>
      <w:bookmarkStart w:id="34" w:name="_Toc87259487"/>
      <w:r>
        <w:rPr>
          <w:rFonts w:cs="Arial"/>
          <w:szCs w:val="22"/>
        </w:rPr>
        <w:t>Paragraph</w:t>
      </w:r>
      <w:r w:rsidR="0099490F" w:rsidRPr="004F6BCD">
        <w:rPr>
          <w:rFonts w:cs="Arial"/>
          <w:szCs w:val="22"/>
        </w:rPr>
        <w:t xml:space="preserve"> 1.1.1</w:t>
      </w:r>
      <w:r w:rsidR="0099490F" w:rsidRPr="004F6BCD">
        <w:rPr>
          <w:rFonts w:cs="Arial"/>
          <w:szCs w:val="22"/>
          <w:lang w:val="en-AU"/>
        </w:rPr>
        <w:t>—</w:t>
      </w:r>
      <w:r w:rsidR="0099490F" w:rsidRPr="004F6BCD">
        <w:rPr>
          <w:rFonts w:cs="Arial"/>
          <w:szCs w:val="22"/>
        </w:rPr>
        <w:t xml:space="preserve">10(8) </w:t>
      </w:r>
      <w:r>
        <w:rPr>
          <w:rFonts w:cs="Arial"/>
          <w:szCs w:val="22"/>
        </w:rPr>
        <w:t xml:space="preserve">of the Code </w:t>
      </w:r>
      <w:r w:rsidR="0099490F" w:rsidRPr="004F6BCD">
        <w:rPr>
          <w:rFonts w:cs="Arial"/>
          <w:szCs w:val="22"/>
        </w:rPr>
        <w:t xml:space="preserve">provides that food for sale must comply with all relevant labelling requirements </w:t>
      </w:r>
      <w:r w:rsidR="0099490F">
        <w:rPr>
          <w:rFonts w:cs="Arial"/>
          <w:szCs w:val="22"/>
        </w:rPr>
        <w:t>in</w:t>
      </w:r>
      <w:r w:rsidR="0099490F" w:rsidRPr="004F6BCD">
        <w:rPr>
          <w:rFonts w:cs="Arial"/>
          <w:szCs w:val="22"/>
        </w:rPr>
        <w:t xml:space="preserve"> the Code.</w:t>
      </w:r>
    </w:p>
    <w:p w14:paraId="0939F3AB" w14:textId="77777777" w:rsidR="0099490F" w:rsidRDefault="0099490F" w:rsidP="0099490F">
      <w:pPr>
        <w:rPr>
          <w:rFonts w:cs="Arial"/>
          <w:szCs w:val="22"/>
        </w:rPr>
      </w:pPr>
    </w:p>
    <w:p w14:paraId="0F45A551" w14:textId="2A59DEEC" w:rsidR="0099490F" w:rsidRDefault="0099490F" w:rsidP="0099490F">
      <w:r w:rsidRPr="00026189">
        <w:t>Subsection 1.2.3—4(1) requires certain food</w:t>
      </w:r>
      <w:r>
        <w:t>s</w:t>
      </w:r>
      <w:r w:rsidRPr="00026189">
        <w:t xml:space="preserve"> </w:t>
      </w:r>
      <w:r>
        <w:t xml:space="preserve">or their derivatives (as listed in the table to section S9—3 of Schedule 9) </w:t>
      </w:r>
      <w:r w:rsidRPr="00026189">
        <w:t>to be declared when present in a food for sale</w:t>
      </w:r>
      <w:r>
        <w:t xml:space="preserve"> (unless they are exempt under subsection 1.2.3—4(4))</w:t>
      </w:r>
      <w:r w:rsidRPr="00026189">
        <w:t xml:space="preserve">. </w:t>
      </w:r>
      <w:r>
        <w:t>The food may be present as a substance used as a processing aid or as an ingredient or component of a substance used a processing aid (paragraph 1.2.3—4(5)(c)). Subsection 1.2.3—6(2) requires a declaration to be made</w:t>
      </w:r>
      <w:r w:rsidR="003F78B0">
        <w:rPr>
          <w:rStyle w:val="FootnoteReference"/>
        </w:rPr>
        <w:footnoteReference w:id="3"/>
      </w:r>
      <w:r>
        <w:t xml:space="preserve"> by (among other things) listing in the statement of ingredients the required name</w:t>
      </w:r>
      <w:r>
        <w:rPr>
          <w:rStyle w:val="FootnoteReference"/>
        </w:rPr>
        <w:footnoteReference w:id="4"/>
      </w:r>
      <w:r>
        <w:t xml:space="preserve"> of the food and the words ‘processing aid’ in conjunction with that required name</w:t>
      </w:r>
      <w:r>
        <w:rPr>
          <w:rStyle w:val="FootnoteReference"/>
        </w:rPr>
        <w:footnoteReference w:id="5"/>
      </w:r>
      <w:r>
        <w:t xml:space="preserve">. </w:t>
      </w:r>
      <w:r w:rsidRPr="006802D7">
        <w:t xml:space="preserve">If the food is not required to bear a label, the </w:t>
      </w:r>
      <w:r>
        <w:t xml:space="preserve">declaration </w:t>
      </w:r>
      <w:r w:rsidRPr="006802D7">
        <w:t>must be displayed in connection with the display of the food or provided to the purchaser on request (subsections 1.2.1—9(6) and (7)</w:t>
      </w:r>
      <w:r>
        <w:t>).</w:t>
      </w:r>
    </w:p>
    <w:p w14:paraId="7DE3BEC2" w14:textId="77777777" w:rsidR="0099490F" w:rsidRPr="004F6BCD" w:rsidRDefault="0099490F" w:rsidP="0099490F">
      <w:pPr>
        <w:rPr>
          <w:rFonts w:cs="Arial"/>
          <w:szCs w:val="22"/>
        </w:rPr>
      </w:pPr>
    </w:p>
    <w:p w14:paraId="251A0A5F" w14:textId="77777777" w:rsidR="0099490F" w:rsidRPr="004F6BCD" w:rsidRDefault="0099490F" w:rsidP="0099490F">
      <w:pPr>
        <w:rPr>
          <w:lang w:eastAsia="en-AU" w:bidi="ar-SA"/>
        </w:rPr>
      </w:pPr>
      <w:r w:rsidRPr="004F6BCD">
        <w:t>Paragraphs 1.2.4—3(2)(d) and (e) exempt processing aids from the requirement to be declared in the statement of ingredients, unless other requirements apply.</w:t>
      </w:r>
    </w:p>
    <w:p w14:paraId="0D93DC44" w14:textId="37729BFD" w:rsidR="009B00FC" w:rsidRPr="00A45826" w:rsidRDefault="0099490F" w:rsidP="00DD2FCE">
      <w:pPr>
        <w:rPr>
          <w:rStyle w:val="eop"/>
        </w:rPr>
      </w:pPr>
      <w:r>
        <w:t xml:space="preserve"> </w:t>
      </w:r>
      <w:bookmarkStart w:id="35" w:name="_Hlk112227373"/>
      <w:r w:rsidR="009B00FC" w:rsidRPr="00B82D7F">
        <w:rPr>
          <w:rStyle w:val="normaltextrun"/>
          <w:rFonts w:cs="Arial"/>
          <w:szCs w:val="22"/>
          <w:lang w:val="en-US"/>
        </w:rPr>
        <w:t xml:space="preserve">Section 1.5.2—4 requires processing aids that are, or have as ingredients, foods produced </w:t>
      </w:r>
      <w:r w:rsidR="009B00FC" w:rsidRPr="00B82D7F">
        <w:rPr>
          <w:rStyle w:val="normaltextrun"/>
          <w:rFonts w:cs="Arial"/>
          <w:szCs w:val="22"/>
          <w:lang w:val="en-US"/>
        </w:rPr>
        <w:lastRenderedPageBreak/>
        <w:t xml:space="preserve">using gene technology to be labelled ‘genetically modified’ in conjunction with the name of that food, where novel DNA and/or novel protein from the processing aid remains present in the final food. The requirement applies to foods for sale that consist of or have as an ingredient, food that is a </w:t>
      </w:r>
      <w:r w:rsidR="009B00FC" w:rsidRPr="00B82D7F">
        <w:rPr>
          <w:i/>
          <w:iCs/>
        </w:rPr>
        <w:t>genetically modified food</w:t>
      </w:r>
      <w:r w:rsidR="009B00FC" w:rsidRPr="00B82D7F">
        <w:rPr>
          <w:rStyle w:val="FootnoteReference"/>
          <w:rFonts w:cs="Arial"/>
          <w:i/>
          <w:iCs/>
          <w:szCs w:val="22"/>
          <w:lang w:val="en-US"/>
        </w:rPr>
        <w:footnoteReference w:id="6"/>
      </w:r>
      <w:r w:rsidR="009B00FC" w:rsidRPr="00B82D7F">
        <w:rPr>
          <w:rStyle w:val="normaltextrun"/>
          <w:rFonts w:cs="Arial"/>
          <w:i/>
          <w:iCs/>
          <w:szCs w:val="22"/>
          <w:lang w:val="en-US"/>
        </w:rPr>
        <w:t xml:space="preserve"> </w:t>
      </w:r>
      <w:r w:rsidR="009B00FC" w:rsidRPr="00B82D7F">
        <w:t xml:space="preserve">(GM food). The requirements imposed by section 1.5.2—4 apply only to foods </w:t>
      </w:r>
      <w:r w:rsidR="009B00FC" w:rsidRPr="00B82D7F">
        <w:rPr>
          <w:rStyle w:val="normaltextrun"/>
          <w:rFonts w:cs="Arial"/>
          <w:szCs w:val="22"/>
          <w:lang w:val="en-US"/>
        </w:rPr>
        <w:t>for sale prescribed by Divisions 2 to 4 of Standard 1.2.1.</w:t>
      </w:r>
      <w:r w:rsidR="009B00FC" w:rsidRPr="00A45826">
        <w:rPr>
          <w:rStyle w:val="eop"/>
          <w:rFonts w:cs="Arial"/>
          <w:szCs w:val="22"/>
        </w:rPr>
        <w:t> </w:t>
      </w:r>
    </w:p>
    <w:p w14:paraId="2C2DADE5" w14:textId="77777777" w:rsidR="0029351E" w:rsidRPr="00C5588A" w:rsidRDefault="0029351E" w:rsidP="0029351E">
      <w:pPr>
        <w:pStyle w:val="Heading3"/>
      </w:pPr>
      <w:bookmarkStart w:id="37" w:name="_Toc96085433"/>
      <w:bookmarkStart w:id="38" w:name="_Toc100584094"/>
      <w:bookmarkStart w:id="39" w:name="_Toc110607909"/>
      <w:bookmarkStart w:id="40" w:name="_Toc114215679"/>
      <w:bookmarkEnd w:id="35"/>
      <w:r>
        <w:t>1.3.1</w:t>
      </w:r>
      <w:r w:rsidRPr="00C5588A">
        <w:tab/>
        <w:t>International standards</w:t>
      </w:r>
      <w:bookmarkEnd w:id="31"/>
      <w:bookmarkEnd w:id="32"/>
      <w:bookmarkEnd w:id="33"/>
      <w:bookmarkEnd w:id="34"/>
      <w:bookmarkEnd w:id="37"/>
      <w:bookmarkEnd w:id="38"/>
      <w:bookmarkEnd w:id="39"/>
      <w:bookmarkEnd w:id="40"/>
    </w:p>
    <w:p w14:paraId="0FE4FBC0" w14:textId="4CB4AD16" w:rsidR="0029351E" w:rsidRPr="00E53C3C" w:rsidRDefault="000C4127" w:rsidP="00E53C3C">
      <w:pPr>
        <w:tabs>
          <w:tab w:val="left" w:pos="993"/>
        </w:tabs>
        <w:rPr>
          <w:rFonts w:cs="Arial"/>
          <w:b/>
          <w:bCs/>
          <w:sz w:val="28"/>
          <w:szCs w:val="28"/>
          <w:lang w:bidi="ar-SA"/>
        </w:rPr>
      </w:pPr>
      <w:r>
        <w:t>In developing food regulatory measures, FSANZ must have regard to the promotion of consistency between domestic and international food standards. In terms of food safety, the relevant international standard setting body is the Codex Alimentarius Commission (Codex). T</w:t>
      </w:r>
      <w:r w:rsidRPr="00D4472B">
        <w:t xml:space="preserve">here </w:t>
      </w:r>
      <w:r>
        <w:t xml:space="preserve">is no Codex Alimentarius ‘general standard’ </w:t>
      </w:r>
      <w:r w:rsidRPr="00D4472B">
        <w:t>for enzymes</w:t>
      </w:r>
      <w:r>
        <w:t>, however as noted above there are internationally recognised specifications for enzyme preparations established by JECFA and Food Chemicals Codex.</w:t>
      </w:r>
      <w:r w:rsidR="00786B5F">
        <w:t xml:space="preserve"> </w:t>
      </w:r>
      <w:r w:rsidRPr="000C4127">
        <w:t>The applicant has advised that the enzyme is permitted for use in Denmark.</w:t>
      </w:r>
    </w:p>
    <w:p w14:paraId="6E893A90" w14:textId="45B57D11" w:rsidR="00AF387F" w:rsidRPr="000B6AF2" w:rsidRDefault="00F33BB8" w:rsidP="00D062E4">
      <w:pPr>
        <w:pStyle w:val="Heading2"/>
        <w:rPr>
          <w:u w:color="FFFF00"/>
        </w:rPr>
      </w:pPr>
      <w:bookmarkStart w:id="41" w:name="_Toc286391007"/>
      <w:bookmarkStart w:id="42" w:name="_Toc300933423"/>
      <w:bookmarkStart w:id="43" w:name="_Toc100584095"/>
      <w:bookmarkStart w:id="44" w:name="_Toc110607910"/>
      <w:bookmarkStart w:id="45" w:name="_Toc114215680"/>
      <w:bookmarkStart w:id="46" w:name="_Toc175381432"/>
      <w:r>
        <w:rPr>
          <w:u w:color="FFFF00"/>
        </w:rPr>
        <w:t>1</w:t>
      </w:r>
      <w:r w:rsidR="00606C88">
        <w:rPr>
          <w:u w:color="FFFF00"/>
        </w:rPr>
        <w:t>.4</w:t>
      </w:r>
      <w:r w:rsidR="001542D8">
        <w:rPr>
          <w:u w:color="FFFF00"/>
        </w:rPr>
        <w:tab/>
      </w:r>
      <w:r w:rsidR="00741EFE">
        <w:rPr>
          <w:u w:color="FFFF00"/>
        </w:rPr>
        <w:t xml:space="preserve">Reasons for </w:t>
      </w:r>
      <w:r w:rsidR="00741EFE" w:rsidRPr="002F0CA9">
        <w:rPr>
          <w:u w:color="FFFF00"/>
        </w:rPr>
        <w:t>accepting A</w:t>
      </w:r>
      <w:r w:rsidR="00AF387F" w:rsidRPr="002F0CA9">
        <w:rPr>
          <w:u w:color="FFFF00"/>
        </w:rPr>
        <w:t>pplication</w:t>
      </w:r>
      <w:bookmarkEnd w:id="41"/>
      <w:bookmarkEnd w:id="42"/>
      <w:bookmarkEnd w:id="43"/>
      <w:bookmarkEnd w:id="44"/>
      <w:bookmarkEnd w:id="45"/>
    </w:p>
    <w:p w14:paraId="21988B3E" w14:textId="5B5E98FD" w:rsidR="00180C41" w:rsidRPr="003C098F" w:rsidRDefault="003C6C68" w:rsidP="00180C41">
      <w:bookmarkStart w:id="47" w:name="_Toc286391008"/>
      <w:bookmarkStart w:id="48" w:name="_Toc11735630"/>
      <w:bookmarkStart w:id="49" w:name="_Toc29883114"/>
      <w:bookmarkStart w:id="50" w:name="_Toc41906801"/>
      <w:bookmarkStart w:id="51" w:name="_Toc41907548"/>
      <w:bookmarkStart w:id="52" w:name="_Toc120358578"/>
      <w:bookmarkStart w:id="53" w:name="_Toc175381435"/>
      <w:bookmarkEnd w:id="5"/>
      <w:bookmarkEnd w:id="6"/>
      <w:bookmarkEnd w:id="7"/>
      <w:bookmarkEnd w:id="8"/>
      <w:bookmarkEnd w:id="9"/>
      <w:bookmarkEnd w:id="46"/>
      <w:r>
        <w:t>The a</w:t>
      </w:r>
      <w:r w:rsidR="00180C41" w:rsidRPr="003C098F">
        <w:t xml:space="preserve">pplication was accepted for assessment </w:t>
      </w:r>
      <w:r w:rsidR="00741EFE" w:rsidRPr="003C098F">
        <w:t>because</w:t>
      </w:r>
      <w:r w:rsidR="00180C41" w:rsidRPr="003C098F">
        <w:t>:</w:t>
      </w:r>
    </w:p>
    <w:p w14:paraId="34E30789" w14:textId="557F68CB" w:rsidR="003C098F" w:rsidRPr="00AF210A" w:rsidRDefault="003C098F" w:rsidP="003C098F"/>
    <w:p w14:paraId="04A4D144" w14:textId="1B7FDB58" w:rsidR="003C098F" w:rsidRPr="00AF210A" w:rsidRDefault="003C098F" w:rsidP="003C098F">
      <w:pPr>
        <w:pStyle w:val="FSBullet1"/>
      </w:pPr>
      <w:r w:rsidRPr="00AF210A">
        <w:t>it complied with the procedural requirements under subsection 22(2)</w:t>
      </w:r>
      <w:r w:rsidR="009E6A64">
        <w:t xml:space="preserve"> of the </w:t>
      </w:r>
      <w:r w:rsidR="009E6A64">
        <w:rPr>
          <w:i/>
        </w:rPr>
        <w:t xml:space="preserve">Food Standards Australia New Zealand Act 1991 </w:t>
      </w:r>
      <w:r w:rsidR="009E6A64">
        <w:t>(</w:t>
      </w:r>
      <w:r w:rsidR="00485AB1">
        <w:t>FSANZ Act</w:t>
      </w:r>
      <w:r w:rsidR="009E6A64">
        <w:t>)</w:t>
      </w:r>
    </w:p>
    <w:p w14:paraId="41FCBD8C" w14:textId="79977041" w:rsidR="003C098F" w:rsidRPr="00AF210A" w:rsidRDefault="003C098F" w:rsidP="003C098F">
      <w:pPr>
        <w:pStyle w:val="FSBullet1"/>
      </w:pPr>
      <w:r w:rsidRPr="00AF210A">
        <w:t>it related to a matter that might be developed as a food regulatory measure</w:t>
      </w:r>
      <w:r w:rsidR="00485AB1">
        <w:t>.</w:t>
      </w:r>
    </w:p>
    <w:p w14:paraId="0093F1A4" w14:textId="2D165A53" w:rsidR="00DE79D9" w:rsidRDefault="00D3171B" w:rsidP="003C098F">
      <w:pPr>
        <w:pStyle w:val="Heading2"/>
        <w:ind w:left="0" w:firstLine="0"/>
      </w:pPr>
      <w:bookmarkStart w:id="54" w:name="_Toc100584096"/>
      <w:bookmarkStart w:id="55" w:name="_Toc110607911"/>
      <w:bookmarkStart w:id="56" w:name="_Toc114215681"/>
      <w:r>
        <w:t>1</w:t>
      </w:r>
      <w:r w:rsidR="00606C88">
        <w:t>.5</w:t>
      </w:r>
      <w:r w:rsidR="00DE79D9">
        <w:tab/>
        <w:t>Procedure for assessment</w:t>
      </w:r>
      <w:bookmarkEnd w:id="54"/>
      <w:bookmarkEnd w:id="55"/>
      <w:bookmarkEnd w:id="56"/>
    </w:p>
    <w:p w14:paraId="46A9C2E5" w14:textId="774A9102" w:rsidR="00DE79D9" w:rsidRDefault="00DE79D9" w:rsidP="00DE79D9">
      <w:r w:rsidRPr="00932F14">
        <w:t xml:space="preserve">The </w:t>
      </w:r>
      <w:r w:rsidR="003C6C68">
        <w:t>a</w:t>
      </w:r>
      <w:r w:rsidR="002F0CA9" w:rsidRPr="002F0CA9">
        <w:t>pplication</w:t>
      </w:r>
      <w:r w:rsidRPr="002F0CA9">
        <w:t xml:space="preserve"> is being assessed under the </w:t>
      </w:r>
      <w:r w:rsidR="002F0CA9" w:rsidRPr="002F0CA9">
        <w:t>General</w:t>
      </w:r>
      <w:r w:rsidRPr="002F0CA9">
        <w:t xml:space="preserve"> </w:t>
      </w:r>
      <w:r>
        <w:t>P</w:t>
      </w:r>
      <w:r w:rsidRPr="00932F14">
        <w:t>rocedure</w:t>
      </w:r>
      <w:r w:rsidR="009E6A64">
        <w:t xml:space="preserve"> of the FSANZ Act</w:t>
      </w:r>
      <w:r w:rsidRPr="00932F14">
        <w:t>.</w:t>
      </w:r>
    </w:p>
    <w:p w14:paraId="79A6AC5F" w14:textId="77777777" w:rsidR="00DE79D9" w:rsidRPr="00D062E4" w:rsidRDefault="00DE79D9" w:rsidP="00180C41"/>
    <w:p w14:paraId="51CEAAC2" w14:textId="20656DAE" w:rsidR="00D3171B" w:rsidRPr="002F0CA9" w:rsidRDefault="00D3171B" w:rsidP="002F0CA9">
      <w:pPr>
        <w:pStyle w:val="Heading1"/>
      </w:pPr>
      <w:bookmarkStart w:id="57" w:name="_Toc300933424"/>
      <w:bookmarkStart w:id="58" w:name="_Toc100584097"/>
      <w:bookmarkStart w:id="59" w:name="_Toc110607912"/>
      <w:bookmarkStart w:id="60" w:name="_Toc114215682"/>
      <w:r>
        <w:t>2</w:t>
      </w:r>
      <w:r w:rsidR="001542D8">
        <w:tab/>
      </w:r>
      <w:r w:rsidR="00350DBD">
        <w:t>S</w:t>
      </w:r>
      <w:r w:rsidR="00FB1533">
        <w:t>ummary of the a</w:t>
      </w:r>
      <w:r w:rsidR="00FD2FBE">
        <w:t>ssessment</w:t>
      </w:r>
      <w:bookmarkStart w:id="61" w:name="_Toc286391009"/>
      <w:bookmarkStart w:id="62" w:name="_Toc300933425"/>
      <w:bookmarkStart w:id="63" w:name="_Toc120358583"/>
      <w:bookmarkStart w:id="64" w:name="_Toc175381440"/>
      <w:bookmarkEnd w:id="47"/>
      <w:bookmarkEnd w:id="57"/>
      <w:bookmarkEnd w:id="58"/>
      <w:bookmarkEnd w:id="59"/>
      <w:bookmarkEnd w:id="60"/>
    </w:p>
    <w:p w14:paraId="0079B80F" w14:textId="39A65347" w:rsidR="004F69F6" w:rsidRDefault="00D3171B" w:rsidP="004646F8">
      <w:pPr>
        <w:pStyle w:val="Heading2"/>
      </w:pPr>
      <w:bookmarkStart w:id="65" w:name="_Toc100584098"/>
      <w:bookmarkStart w:id="66" w:name="_Toc110607913"/>
      <w:bookmarkStart w:id="67" w:name="_Toc114215683"/>
      <w:r>
        <w:t>2</w:t>
      </w:r>
      <w:r w:rsidR="00271F00">
        <w:t>.</w:t>
      </w:r>
      <w:r w:rsidR="002F0CA9">
        <w:t>1</w:t>
      </w:r>
      <w:r w:rsidR="00271F00">
        <w:tab/>
      </w:r>
      <w:r w:rsidR="004F69F6" w:rsidRPr="00932F14">
        <w:t xml:space="preserve">Risk </w:t>
      </w:r>
      <w:r w:rsidR="00741EFE">
        <w:t>a</w:t>
      </w:r>
      <w:r w:rsidR="004F69F6" w:rsidRPr="00932F14">
        <w:t>ssessment</w:t>
      </w:r>
      <w:bookmarkEnd w:id="61"/>
      <w:bookmarkEnd w:id="62"/>
      <w:bookmarkEnd w:id="65"/>
      <w:bookmarkEnd w:id="66"/>
      <w:bookmarkEnd w:id="67"/>
      <w:r w:rsidR="004F69F6" w:rsidRPr="00932F14">
        <w:t xml:space="preserve"> </w:t>
      </w:r>
      <w:bookmarkEnd w:id="63"/>
      <w:bookmarkEnd w:id="64"/>
    </w:p>
    <w:p w14:paraId="04D7966D" w14:textId="4A6795CB" w:rsidR="00E9157E" w:rsidRDefault="00CC3C92" w:rsidP="0029503E">
      <w:r>
        <w:t>FSANZ has assessed the public health and safety risks associated</w:t>
      </w:r>
      <w:r w:rsidR="006E3623">
        <w:t xml:space="preserve"> with </w:t>
      </w:r>
      <w:r w:rsidR="00CF7098">
        <w:t xml:space="preserve">the </w:t>
      </w:r>
      <w:r w:rsidR="007E5F81">
        <w:t xml:space="preserve">protein engineered </w:t>
      </w:r>
      <w:r w:rsidR="006E251B">
        <w:t xml:space="preserve">variant of the </w:t>
      </w:r>
      <w:r w:rsidR="006E3623">
        <w:t xml:space="preserve">glucoamylase </w:t>
      </w:r>
      <w:r w:rsidR="00CF7098">
        <w:t>enzyme</w:t>
      </w:r>
      <w:r w:rsidR="006E3623">
        <w:t xml:space="preserve"> </w:t>
      </w:r>
      <w:r w:rsidR="001643F4">
        <w:t xml:space="preserve">from </w:t>
      </w:r>
      <w:r w:rsidR="001643F4" w:rsidRPr="51B0D0D1">
        <w:rPr>
          <w:i/>
          <w:iCs/>
        </w:rPr>
        <w:t>P. oxalicum</w:t>
      </w:r>
      <w:r w:rsidR="001643F4">
        <w:t xml:space="preserve"> that is produced by GM </w:t>
      </w:r>
      <w:r w:rsidR="00C67484" w:rsidRPr="51B0D0D1">
        <w:rPr>
          <w:i/>
          <w:iCs/>
        </w:rPr>
        <w:t>A. niger</w:t>
      </w:r>
      <w:r w:rsidR="00C67484">
        <w:t xml:space="preserve"> </w:t>
      </w:r>
      <w:r w:rsidR="001643F4">
        <w:t xml:space="preserve">and its proposed use as a processing aid. </w:t>
      </w:r>
      <w:r>
        <w:t>A summary of this risk assessment is provided below</w:t>
      </w:r>
      <w:r w:rsidR="00BE5D3D">
        <w:t>.</w:t>
      </w:r>
    </w:p>
    <w:p w14:paraId="2A9A88FB" w14:textId="77777777" w:rsidR="001643F4" w:rsidRPr="00E9157E" w:rsidRDefault="001643F4" w:rsidP="0029503E">
      <w:pPr>
        <w:rPr>
          <w:rFonts w:cs="Arial"/>
          <w:szCs w:val="22"/>
          <w:lang w:val="en-AU"/>
        </w:rPr>
      </w:pPr>
    </w:p>
    <w:p w14:paraId="09C0F172" w14:textId="61DC739B" w:rsidR="00E9157E" w:rsidRDefault="001643F4" w:rsidP="0029503E">
      <w:pPr>
        <w:rPr>
          <w:rFonts w:cs="Arial"/>
          <w:szCs w:val="22"/>
          <w:lang w:val="en-AU"/>
        </w:rPr>
      </w:pPr>
      <w:r w:rsidRPr="0091222F">
        <w:t xml:space="preserve">The proposed use </w:t>
      </w:r>
      <w:r w:rsidRPr="0091222F">
        <w:rPr>
          <w:rFonts w:cs="Arial"/>
          <w:szCs w:val="22"/>
          <w:lang w:val="en-AU"/>
        </w:rPr>
        <w:t>of</w:t>
      </w:r>
      <w:r>
        <w:rPr>
          <w:rFonts w:cs="Arial"/>
          <w:szCs w:val="22"/>
          <w:lang w:val="en-AU"/>
        </w:rPr>
        <w:t xml:space="preserve"> this </w:t>
      </w:r>
      <w:r w:rsidR="004D4C9E">
        <w:t>protein engineered</w:t>
      </w:r>
      <w:r w:rsidR="004D4C9E">
        <w:rPr>
          <w:rFonts w:cs="Arial"/>
          <w:szCs w:val="22"/>
          <w:lang w:val="en-AU"/>
        </w:rPr>
        <w:t xml:space="preserve"> </w:t>
      </w:r>
      <w:r w:rsidR="00212E4A">
        <w:rPr>
          <w:rFonts w:cs="Arial"/>
          <w:szCs w:val="22"/>
          <w:lang w:val="en-AU"/>
        </w:rPr>
        <w:t xml:space="preserve">variant of the </w:t>
      </w:r>
      <w:r>
        <w:rPr>
          <w:rFonts w:cs="Arial"/>
          <w:szCs w:val="22"/>
          <w:lang w:val="en-AU"/>
        </w:rPr>
        <w:t xml:space="preserve">glucoamylase </w:t>
      </w:r>
      <w:r w:rsidR="00CF7098">
        <w:rPr>
          <w:rFonts w:cs="Arial"/>
          <w:szCs w:val="22"/>
          <w:lang w:val="en-AU"/>
        </w:rPr>
        <w:t xml:space="preserve">enzyme </w:t>
      </w:r>
      <w:r>
        <w:rPr>
          <w:rFonts w:cs="Arial"/>
          <w:szCs w:val="22"/>
          <w:lang w:val="en-AU"/>
        </w:rPr>
        <w:t xml:space="preserve">as a processing aid in baking processes, brewing processes and starch processing </w:t>
      </w:r>
      <w:r w:rsidRPr="0091222F">
        <w:rPr>
          <w:rFonts w:cs="Arial"/>
          <w:szCs w:val="22"/>
          <w:lang w:val="en-AU"/>
        </w:rPr>
        <w:t>is technologically justified.</w:t>
      </w:r>
    </w:p>
    <w:p w14:paraId="519DCA73" w14:textId="77777777" w:rsidR="001643F4" w:rsidRDefault="001643F4" w:rsidP="0029503E">
      <w:pPr>
        <w:rPr>
          <w:rFonts w:cs="Arial"/>
          <w:szCs w:val="22"/>
          <w:lang w:val="en-AU"/>
        </w:rPr>
      </w:pPr>
    </w:p>
    <w:p w14:paraId="4FA91578" w14:textId="4B5F2AD9" w:rsidR="007D19E8" w:rsidRDefault="001643F4" w:rsidP="00FD21F6">
      <w:r>
        <w:t>N</w:t>
      </w:r>
      <w:r w:rsidR="00E9157E" w:rsidRPr="00CD69C7">
        <w:t>o public health and safety concer</w:t>
      </w:r>
      <w:r w:rsidR="00E9157E">
        <w:t xml:space="preserve">ns </w:t>
      </w:r>
      <w:r>
        <w:t xml:space="preserve">were identified </w:t>
      </w:r>
      <w:r w:rsidR="00E9157E">
        <w:t xml:space="preserve">in the assessment of </w:t>
      </w:r>
      <w:r w:rsidR="00F804B7">
        <w:t xml:space="preserve">this </w:t>
      </w:r>
      <w:r w:rsidR="00F42D55">
        <w:t>protein engineered</w:t>
      </w:r>
      <w:r w:rsidR="00F804B7">
        <w:rPr>
          <w:rFonts w:cs="Arial"/>
          <w:szCs w:val="22"/>
          <w:lang w:val="en-AU"/>
        </w:rPr>
        <w:t xml:space="preserve"> </w:t>
      </w:r>
      <w:r w:rsidR="00212E4A">
        <w:rPr>
          <w:rFonts w:cs="Arial"/>
          <w:szCs w:val="22"/>
          <w:lang w:val="en-AU"/>
        </w:rPr>
        <w:t xml:space="preserve">variant of the </w:t>
      </w:r>
      <w:r w:rsidR="00E9157E">
        <w:t xml:space="preserve">glucoamylase </w:t>
      </w:r>
      <w:r w:rsidR="00CF7098">
        <w:t xml:space="preserve">enzyme </w:t>
      </w:r>
      <w:r w:rsidR="00E9157E" w:rsidRPr="00632CDA">
        <w:t>from GM</w:t>
      </w:r>
      <w:r w:rsidR="00960A7E">
        <w:t xml:space="preserve"> </w:t>
      </w:r>
      <w:r w:rsidR="00E9157E">
        <w:rPr>
          <w:i/>
        </w:rPr>
        <w:t>A</w:t>
      </w:r>
      <w:r>
        <w:rPr>
          <w:i/>
        </w:rPr>
        <w:t>.</w:t>
      </w:r>
      <w:r w:rsidR="00E9157E">
        <w:rPr>
          <w:i/>
        </w:rPr>
        <w:t xml:space="preserve"> niger </w:t>
      </w:r>
      <w:r w:rsidR="00E9157E">
        <w:t>under the proposed conditions</w:t>
      </w:r>
      <w:r>
        <w:t xml:space="preserve"> of use</w:t>
      </w:r>
      <w:r w:rsidR="00743E68">
        <w:t>. A microbio</w:t>
      </w:r>
      <w:r w:rsidR="00E9157E">
        <w:t>l</w:t>
      </w:r>
      <w:r>
        <w:t>ogical</w:t>
      </w:r>
      <w:r w:rsidR="00E9157E">
        <w:t xml:space="preserve"> assessment concluded that t</w:t>
      </w:r>
      <w:r w:rsidR="00E9157E" w:rsidRPr="00107DC2">
        <w:t xml:space="preserve">he </w:t>
      </w:r>
      <w:r w:rsidR="00E9157E" w:rsidRPr="00107DC2">
        <w:rPr>
          <w:i/>
        </w:rPr>
        <w:t>A</w:t>
      </w:r>
      <w:r w:rsidR="00E9157E" w:rsidRPr="00107DC2">
        <w:t xml:space="preserve">. </w:t>
      </w:r>
      <w:r w:rsidR="00E9157E" w:rsidRPr="00107DC2">
        <w:rPr>
          <w:i/>
        </w:rPr>
        <w:t>niger</w:t>
      </w:r>
      <w:r w:rsidR="00E9157E" w:rsidRPr="00107DC2">
        <w:t xml:space="preserve"> </w:t>
      </w:r>
      <w:r>
        <w:t>has a long history of safe use in food and</w:t>
      </w:r>
      <w:r w:rsidR="00E9157E" w:rsidRPr="00107DC2">
        <w:t xml:space="preserve"> is neither</w:t>
      </w:r>
      <w:r w:rsidR="00E9157E">
        <w:t xml:space="preserve"> pathogenic nor toxigenic. </w:t>
      </w:r>
      <w:r w:rsidR="00960A7E">
        <w:t xml:space="preserve">A biotechnological assessment confirmed the genetic modification is as described and that the inserted gene has been stably introduced. </w:t>
      </w:r>
      <w:r w:rsidR="00E9157E" w:rsidRPr="0091222F">
        <w:t>A</w:t>
      </w:r>
      <w:r w:rsidR="00E9157E">
        <w:t xml:space="preserve"> toxicological </w:t>
      </w:r>
      <w:r w:rsidR="00960A7E">
        <w:t xml:space="preserve">assessment combined with a </w:t>
      </w:r>
      <w:r w:rsidR="00E9157E">
        <w:t xml:space="preserve">dietary exposure </w:t>
      </w:r>
      <w:r w:rsidR="00E9157E" w:rsidRPr="0091222F">
        <w:lastRenderedPageBreak/>
        <w:t xml:space="preserve">assessment concluded that </w:t>
      </w:r>
      <w:r w:rsidR="00960A7E">
        <w:t>the enzyme is safe under the proposed conditions of use.</w:t>
      </w:r>
      <w:r w:rsidR="00E9157E">
        <w:t xml:space="preserve"> </w:t>
      </w:r>
      <w:r w:rsidR="007D19E8" w:rsidRPr="006F58E8">
        <w:t>Based on the available evidence the enzyme is unlikely to pose a food allergenicity concern.</w:t>
      </w:r>
    </w:p>
    <w:p w14:paraId="1BCBE091" w14:textId="77777777" w:rsidR="000B5B4D" w:rsidRDefault="000B5B4D" w:rsidP="00FD21F6"/>
    <w:p w14:paraId="6B071E23" w14:textId="4847FA80" w:rsidR="00D70CC1" w:rsidRDefault="005A17B2" w:rsidP="00743E68">
      <w:pPr>
        <w:rPr>
          <w:rFonts w:eastAsia="Arial" w:cs="Arial"/>
          <w:color w:val="000000" w:themeColor="text1"/>
        </w:rPr>
      </w:pPr>
      <w:r w:rsidRPr="005A17B2">
        <w:rPr>
          <w:rFonts w:eastAsia="Arial" w:cs="Arial"/>
          <w:color w:val="000000" w:themeColor="text1"/>
        </w:rPr>
        <w:t>The applicant has advised that wheat flour is used as the carrier and that wheat protein is present in the final enzyme preparation3. This only applies to the granulated preparation, which is used in baking processes.  If wheat is present in a food for sale, including when present as a processing aid or an ingredient or component of a processing aid, it must be declared unless an exemption applies.</w:t>
      </w:r>
    </w:p>
    <w:p w14:paraId="54E2BCBE" w14:textId="77777777" w:rsidR="005A17B2" w:rsidRDefault="005A17B2" w:rsidP="00743E68"/>
    <w:p w14:paraId="12642C19" w14:textId="15AB02F6" w:rsidR="00AB62FC" w:rsidRDefault="00E9157E" w:rsidP="00EC57DF">
      <w:pPr>
        <w:spacing w:after="240"/>
      </w:pPr>
      <w:r w:rsidRPr="0091222F">
        <w:t>In the absence of any identifiable hazard, an acceptable daily intake (ADI) ‘not specified’ is appropriate.</w:t>
      </w:r>
    </w:p>
    <w:p w14:paraId="0D231BED" w14:textId="589A0C28" w:rsidR="00960A7E" w:rsidRPr="003A01FB" w:rsidRDefault="00960A7E" w:rsidP="00EC57DF">
      <w:pPr>
        <w:spacing w:after="240"/>
      </w:pPr>
      <w:r>
        <w:t>For further details on the risk assessment, refer to SD – Risk and Technical Assessment</w:t>
      </w:r>
      <w:r w:rsidR="00A23584">
        <w:t>.</w:t>
      </w:r>
    </w:p>
    <w:p w14:paraId="2E40FD43" w14:textId="1B378716" w:rsidR="004F69F6" w:rsidRPr="00932F14" w:rsidRDefault="00D3171B" w:rsidP="004646F8">
      <w:pPr>
        <w:pStyle w:val="Heading2"/>
      </w:pPr>
      <w:bookmarkStart w:id="68" w:name="_Toc175381442"/>
      <w:bookmarkStart w:id="69" w:name="_Toc286391010"/>
      <w:bookmarkStart w:id="70" w:name="_Toc300933426"/>
      <w:bookmarkStart w:id="71" w:name="_Toc100584099"/>
      <w:bookmarkStart w:id="72" w:name="_Toc110607914"/>
      <w:bookmarkStart w:id="73" w:name="_Toc114215684"/>
      <w:r>
        <w:t>2</w:t>
      </w:r>
      <w:r w:rsidR="0045556F">
        <w:t>.</w:t>
      </w:r>
      <w:r w:rsidR="002F0CA9">
        <w:t>2</w:t>
      </w:r>
      <w:r w:rsidR="00271F00">
        <w:tab/>
      </w:r>
      <w:bookmarkEnd w:id="68"/>
      <w:bookmarkEnd w:id="69"/>
      <w:bookmarkEnd w:id="70"/>
      <w:r w:rsidR="0045556F">
        <w:t>R</w:t>
      </w:r>
      <w:r w:rsidR="00707E72">
        <w:t>isk m</w:t>
      </w:r>
      <w:r w:rsidR="008A35FB">
        <w:t>anagement</w:t>
      </w:r>
      <w:bookmarkEnd w:id="71"/>
      <w:bookmarkEnd w:id="72"/>
      <w:bookmarkEnd w:id="73"/>
    </w:p>
    <w:p w14:paraId="23551899" w14:textId="6CFA4164" w:rsidR="00D74FA2" w:rsidRDefault="00D74FA2" w:rsidP="00D74FA2">
      <w:bookmarkStart w:id="74" w:name="_Toc300761910"/>
      <w:r w:rsidRPr="004F3BDD">
        <w:t>The risk management options available to FSANZ after assessment, were</w:t>
      </w:r>
      <w:r>
        <w:t xml:space="preserve"> </w:t>
      </w:r>
      <w:r w:rsidRPr="004F3BDD">
        <w:t>to</w:t>
      </w:r>
      <w:r w:rsidR="00B14C76">
        <w:t xml:space="preserve"> either</w:t>
      </w:r>
      <w:r>
        <w:t>:</w:t>
      </w:r>
    </w:p>
    <w:p w14:paraId="129D7AEE" w14:textId="77777777" w:rsidR="00D74FA2" w:rsidRDefault="00D74FA2" w:rsidP="00D74FA2"/>
    <w:p w14:paraId="3E81ABAB" w14:textId="0522D4F2" w:rsidR="00D74FA2" w:rsidRDefault="00D74FA2" w:rsidP="00D74FA2">
      <w:pPr>
        <w:pStyle w:val="FSBullet1"/>
      </w:pPr>
      <w:r w:rsidRPr="004F3BDD">
        <w:t>reject the application</w:t>
      </w:r>
      <w:r w:rsidR="00B14C76">
        <w:t>, or</w:t>
      </w:r>
    </w:p>
    <w:p w14:paraId="0C611A01" w14:textId="0D49F3EC" w:rsidR="00D8331B" w:rsidRPr="00D8331B" w:rsidRDefault="00D74FA2" w:rsidP="00DD3C5E">
      <w:pPr>
        <w:pStyle w:val="FSBullet1"/>
        <w:rPr>
          <w:lang w:val="en-AU"/>
        </w:rPr>
      </w:pPr>
      <w:r>
        <w:t>prepare a draft variation of the Code</w:t>
      </w:r>
      <w:r w:rsidR="00A23584">
        <w:t>.</w:t>
      </w:r>
      <w:r>
        <w:t xml:space="preserve"> </w:t>
      </w:r>
    </w:p>
    <w:p w14:paraId="433D9468" w14:textId="77777777" w:rsidR="00D8331B" w:rsidRDefault="00D8331B" w:rsidP="00D8331B">
      <w:pPr>
        <w:pStyle w:val="FSBullet1"/>
        <w:numPr>
          <w:ilvl w:val="0"/>
          <w:numId w:val="0"/>
        </w:numPr>
        <w:rPr>
          <w:lang w:val="en-AU"/>
        </w:rPr>
      </w:pPr>
    </w:p>
    <w:p w14:paraId="7D6E0B61" w14:textId="392C5EB7" w:rsidR="00612617" w:rsidRPr="00D8331B" w:rsidRDefault="00D8331B" w:rsidP="00D8331B">
      <w:pPr>
        <w:pStyle w:val="FSBullet1"/>
        <w:numPr>
          <w:ilvl w:val="0"/>
          <w:numId w:val="0"/>
        </w:numPr>
        <w:rPr>
          <w:lang w:val="en-AU"/>
        </w:rPr>
      </w:pPr>
      <w:r w:rsidRPr="51B0D0D1">
        <w:rPr>
          <w:lang w:val="en-AU"/>
        </w:rPr>
        <w:t xml:space="preserve">For the reasons listed in this report, FSANZ decided to prepare a draft variation to the Code </w:t>
      </w:r>
      <w:r w:rsidR="00D74FA2">
        <w:t xml:space="preserve">permitting </w:t>
      </w:r>
      <w:r w:rsidR="00C67484">
        <w:t xml:space="preserve">the </w:t>
      </w:r>
      <w:r w:rsidR="00BE728A">
        <w:t xml:space="preserve">protein engineered </w:t>
      </w:r>
      <w:r w:rsidR="00D121F1">
        <w:t xml:space="preserve">variant of the </w:t>
      </w:r>
      <w:r w:rsidR="00C67484">
        <w:t>enzyme</w:t>
      </w:r>
      <w:r w:rsidR="006E3623">
        <w:t>, glucoamylase (EC 3.2.1.3</w:t>
      </w:r>
      <w:r w:rsidR="00D74FA2">
        <w:t xml:space="preserve">) sourced from </w:t>
      </w:r>
      <w:r w:rsidR="00C67484" w:rsidRPr="51B0D0D1">
        <w:rPr>
          <w:i/>
          <w:iCs/>
        </w:rPr>
        <w:t>A. niger</w:t>
      </w:r>
      <w:r w:rsidR="00C67484">
        <w:t xml:space="preserve"> containing the glucoamylase</w:t>
      </w:r>
      <w:r w:rsidR="00DE4C33">
        <w:t xml:space="preserve"> </w:t>
      </w:r>
      <w:r w:rsidR="00587D59">
        <w:t xml:space="preserve">gene </w:t>
      </w:r>
      <w:r w:rsidR="00DE4C33">
        <w:t xml:space="preserve">from </w:t>
      </w:r>
      <w:r w:rsidR="00C67484" w:rsidRPr="51B0D0D1">
        <w:rPr>
          <w:i/>
          <w:iCs/>
        </w:rPr>
        <w:t>P. oxalicum</w:t>
      </w:r>
      <w:r w:rsidR="00D74FA2" w:rsidRPr="51B0D0D1">
        <w:rPr>
          <w:rFonts w:eastAsia="Calibri"/>
          <w:lang w:val="en-AU"/>
        </w:rPr>
        <w:t>,</w:t>
      </w:r>
      <w:bookmarkStart w:id="75" w:name="_Hlk111813741"/>
      <w:r w:rsidR="00D74FA2" w:rsidRPr="51B0D0D1">
        <w:rPr>
          <w:rFonts w:eastAsia="Calibri"/>
          <w:lang w:val="en-AU"/>
        </w:rPr>
        <w:t xml:space="preserve"> </w:t>
      </w:r>
      <w:r w:rsidR="00D74FA2" w:rsidRPr="51B0D0D1">
        <w:rPr>
          <w:lang w:val="en-AU"/>
        </w:rPr>
        <w:t xml:space="preserve">to be used as a processing aid </w:t>
      </w:r>
      <w:r w:rsidR="00D74FA2">
        <w:t xml:space="preserve">in </w:t>
      </w:r>
      <w:r w:rsidR="002F0BD8">
        <w:t xml:space="preserve">baking processes, brewing processes and </w:t>
      </w:r>
      <w:r>
        <w:t>starch processing for th</w:t>
      </w:r>
      <w:r w:rsidR="00557177">
        <w:t>e production of starch hydrolys</w:t>
      </w:r>
      <w:r>
        <w:t>ates, including glucose syrups</w:t>
      </w:r>
      <w:bookmarkEnd w:id="75"/>
      <w:r>
        <w:t xml:space="preserve">, </w:t>
      </w:r>
      <w:r w:rsidR="00D74FA2">
        <w:t>subject to the condition that the amount of enzyme used must be consistent with GMP</w:t>
      </w:r>
      <w:r w:rsidR="00D74FA2" w:rsidRPr="51B0D0D1">
        <w:rPr>
          <w:lang w:val="en-AU"/>
        </w:rPr>
        <w:t>.</w:t>
      </w:r>
    </w:p>
    <w:p w14:paraId="6377DC55" w14:textId="34A7D2C6" w:rsidR="00AB62FC" w:rsidRDefault="00AB62FC" w:rsidP="00AB62FC">
      <w:pPr>
        <w:rPr>
          <w:lang w:val="en-AU" w:bidi="ar-SA"/>
        </w:rPr>
      </w:pPr>
    </w:p>
    <w:p w14:paraId="172CCE85" w14:textId="485C61E5" w:rsidR="00D8331B" w:rsidRDefault="00D8331B" w:rsidP="00D8331B">
      <w:r w:rsidRPr="00850C8E">
        <w:t xml:space="preserve">The </w:t>
      </w:r>
      <w:r>
        <w:t>R</w:t>
      </w:r>
      <w:r w:rsidRPr="00850C8E">
        <w:t>isk</w:t>
      </w:r>
      <w:r>
        <w:t xml:space="preserve"> and </w:t>
      </w:r>
      <w:r w:rsidR="28FD192F">
        <w:t>T</w:t>
      </w:r>
      <w:r w:rsidR="4D3DD88E">
        <w:t xml:space="preserve">echnical </w:t>
      </w:r>
      <w:r w:rsidR="5692CC80">
        <w:t>A</w:t>
      </w:r>
      <w:r w:rsidR="4D3DD88E">
        <w:t>ssessment</w:t>
      </w:r>
      <w:r>
        <w:t xml:space="preserve"> report</w:t>
      </w:r>
      <w:r w:rsidRPr="00850C8E">
        <w:t xml:space="preserve"> concluded that there are no safety concerns relating to </w:t>
      </w:r>
      <w:r>
        <w:t xml:space="preserve">using </w:t>
      </w:r>
      <w:r w:rsidR="0058586E" w:rsidRPr="0058586E">
        <w:rPr>
          <w:rFonts w:eastAsia="Calibri"/>
          <w:lang w:eastAsia="en-AU"/>
        </w:rPr>
        <w:t>this protein engineered variant of glucoamylase</w:t>
      </w:r>
      <w:r w:rsidR="0058586E">
        <w:rPr>
          <w:rFonts w:eastAsia="Calibri"/>
          <w:lang w:eastAsia="en-AU"/>
        </w:rPr>
        <w:t xml:space="preserve"> </w:t>
      </w:r>
      <w:r>
        <w:rPr>
          <w:rFonts w:eastAsia="Calibri"/>
          <w:lang w:eastAsia="en-AU"/>
        </w:rPr>
        <w:t>for its proposed purpose</w:t>
      </w:r>
      <w:r w:rsidRPr="00850C8E">
        <w:rPr>
          <w:rFonts w:eastAsia="Calibri"/>
          <w:lang w:eastAsia="en-AU"/>
        </w:rPr>
        <w:t>.</w:t>
      </w:r>
      <w:r w:rsidRPr="00850C8E">
        <w:t xml:space="preserve"> </w:t>
      </w:r>
      <w:r>
        <w:t>Further details are provided below</w:t>
      </w:r>
      <w:r w:rsidRPr="00850C8E">
        <w:t>.</w:t>
      </w:r>
    </w:p>
    <w:p w14:paraId="300B8618" w14:textId="77777777" w:rsidR="00D8331B" w:rsidRPr="00850C8E" w:rsidRDefault="00D8331B" w:rsidP="00D8331B"/>
    <w:p w14:paraId="254DD2D8" w14:textId="1C8EE986" w:rsidR="00D8331B" w:rsidRPr="00D8331B" w:rsidRDefault="00D8331B" w:rsidP="00AB62FC">
      <w:r w:rsidRPr="00850C8E">
        <w:t>If permitted, this enzyme preparation will provide the food industry with an alternative source of glucoamylase.</w:t>
      </w:r>
    </w:p>
    <w:p w14:paraId="44409999" w14:textId="77777777" w:rsidR="00612617" w:rsidRPr="006C16A9" w:rsidRDefault="00612617" w:rsidP="00612617">
      <w:pPr>
        <w:pStyle w:val="Heading3"/>
        <w:ind w:left="0" w:firstLine="0"/>
      </w:pPr>
      <w:bookmarkStart w:id="76" w:name="_Toc96085439"/>
      <w:bookmarkStart w:id="77" w:name="_Toc100584100"/>
      <w:bookmarkStart w:id="78" w:name="_Toc110607915"/>
      <w:bookmarkStart w:id="79" w:name="_Toc114215685"/>
      <w:r w:rsidRPr="006C16A9">
        <w:t>2.2.1</w:t>
      </w:r>
      <w:r w:rsidRPr="006C16A9">
        <w:tab/>
        <w:t>Regulatory approval for enzymes</w:t>
      </w:r>
      <w:bookmarkEnd w:id="76"/>
      <w:bookmarkEnd w:id="77"/>
      <w:bookmarkEnd w:id="78"/>
      <w:bookmarkEnd w:id="79"/>
    </w:p>
    <w:p w14:paraId="7D51511A" w14:textId="47E3DABA" w:rsidR="00612617" w:rsidRPr="00534527" w:rsidRDefault="00612617" w:rsidP="00612617">
      <w:r>
        <w:t xml:space="preserve">As stated above, </w:t>
      </w:r>
      <w:r w:rsidRPr="00984CA2">
        <w:t xml:space="preserve">FSANZ </w:t>
      </w:r>
      <w:r>
        <w:t xml:space="preserve">has </w:t>
      </w:r>
      <w:r w:rsidRPr="00984CA2">
        <w:t xml:space="preserve">prepared a draft variation to permit the use of </w:t>
      </w:r>
      <w:r w:rsidR="007E5F81" w:rsidRPr="00984CA2">
        <w:t>th</w:t>
      </w:r>
      <w:r w:rsidR="007E5F81">
        <w:t>is</w:t>
      </w:r>
      <w:r w:rsidR="007E5F81" w:rsidRPr="00984CA2">
        <w:t xml:space="preserve"> </w:t>
      </w:r>
      <w:r w:rsidRPr="00984CA2">
        <w:t xml:space="preserve">enzyme as a processing aid </w:t>
      </w:r>
      <w:r w:rsidR="00AB62FC">
        <w:t>i</w:t>
      </w:r>
      <w:r w:rsidR="00AB62FC" w:rsidRPr="00AB62FC">
        <w:t>n</w:t>
      </w:r>
      <w:r w:rsidR="00AB62FC">
        <w:t xml:space="preserve"> baking processes, brewing processes and </w:t>
      </w:r>
      <w:r w:rsidR="001456DA" w:rsidRPr="001456DA">
        <w:t>starch processing for th</w:t>
      </w:r>
      <w:r w:rsidR="00557177">
        <w:t>e production of starch hydrolys</w:t>
      </w:r>
      <w:r w:rsidR="001456DA" w:rsidRPr="001456DA">
        <w:t xml:space="preserve">ates, including glucose syrups. </w:t>
      </w:r>
      <w:r w:rsidRPr="00364FE5">
        <w:t>The express permission for the enzyme to be used as a processing aid would also provide the permission for its potential presence in the food for sale as a food produced using gene technology. The enzyme is a food produced using gene technology for Code purposes as it is derived from an organism that has been modified using gene technology (see subsection 1.1.2—2(3) of the Code)</w:t>
      </w:r>
      <w:r>
        <w:rPr>
          <w:rStyle w:val="FootnoteReference"/>
        </w:rPr>
        <w:footnoteReference w:id="7"/>
      </w:r>
      <w:r w:rsidRPr="00364FE5">
        <w:t xml:space="preserve">. </w:t>
      </w:r>
    </w:p>
    <w:p w14:paraId="33A1606F" w14:textId="77777777" w:rsidR="00612617" w:rsidRPr="006C1F64" w:rsidRDefault="00612617" w:rsidP="00612617">
      <w:pPr>
        <w:pStyle w:val="Heading3"/>
      </w:pPr>
      <w:bookmarkStart w:id="80" w:name="_Toc96085440"/>
      <w:bookmarkStart w:id="81" w:name="_Toc100584101"/>
      <w:bookmarkStart w:id="82" w:name="_Toc110607916"/>
      <w:bookmarkStart w:id="83" w:name="_Toc114215686"/>
      <w:r w:rsidRPr="006C1F64">
        <w:t>2.2.2</w:t>
      </w:r>
      <w:r>
        <w:tab/>
      </w:r>
      <w:r w:rsidRPr="006C1F64">
        <w:t>Enzyme nomenclature</w:t>
      </w:r>
      <w:bookmarkEnd w:id="80"/>
      <w:bookmarkEnd w:id="81"/>
      <w:bookmarkEnd w:id="82"/>
      <w:bookmarkEnd w:id="83"/>
      <w:r w:rsidRPr="006C1F64">
        <w:t xml:space="preserve"> </w:t>
      </w:r>
    </w:p>
    <w:p w14:paraId="50FD6441" w14:textId="57570CED" w:rsidR="00612617" w:rsidRPr="00534527" w:rsidRDefault="00612617" w:rsidP="00612617">
      <w:r w:rsidRPr="001A4FFF">
        <w:t xml:space="preserve">FSANZ noted that the International Union of Biochemistry and Molecular Biology (IUBMB), the internationally recognised authority for enzyme nomenclature, uses the ‘accepted’ name </w:t>
      </w:r>
      <w:r w:rsidR="00485AB1">
        <w:t>‘</w:t>
      </w:r>
      <w:r w:rsidR="00C67484">
        <w:t>glucoamylase</w:t>
      </w:r>
      <w:r w:rsidRPr="001A4FFF">
        <w:t xml:space="preserve">’ for the enzyme </w:t>
      </w:r>
      <w:r w:rsidR="006E3623">
        <w:t>with an EC number of EC 3.2.1.3</w:t>
      </w:r>
      <w:r w:rsidRPr="001A4FFF">
        <w:t xml:space="preserve"> (IUBMB </w:t>
      </w:r>
      <w:r w:rsidR="004C6EBD">
        <w:t>2018</w:t>
      </w:r>
      <w:r w:rsidR="0003638C">
        <w:t>)</w:t>
      </w:r>
      <w:r w:rsidRPr="001A4FFF">
        <w:t xml:space="preserve">. </w:t>
      </w:r>
      <w:r>
        <w:t xml:space="preserve">This is consistent with how </w:t>
      </w:r>
      <w:r w:rsidR="009212DA">
        <w:t>it is</w:t>
      </w:r>
      <w:r>
        <w:t xml:space="preserve"> already permitted for use in the Code</w:t>
      </w:r>
      <w:r w:rsidR="006E3623">
        <w:t>.</w:t>
      </w:r>
    </w:p>
    <w:p w14:paraId="23FBFAF7" w14:textId="6950519D" w:rsidR="00612617" w:rsidRDefault="00612617" w:rsidP="00612617">
      <w:pPr>
        <w:pStyle w:val="Heading3"/>
      </w:pPr>
      <w:bookmarkStart w:id="84" w:name="_Toc96085441"/>
      <w:bookmarkStart w:id="85" w:name="_Toc100584102"/>
      <w:bookmarkStart w:id="86" w:name="_Toc110607917"/>
      <w:bookmarkStart w:id="87" w:name="_Toc114215687"/>
      <w:r>
        <w:lastRenderedPageBreak/>
        <w:t>2.2.3</w:t>
      </w:r>
      <w:r>
        <w:tab/>
        <w:t>Labelling</w:t>
      </w:r>
      <w:bookmarkEnd w:id="84"/>
      <w:bookmarkEnd w:id="85"/>
      <w:bookmarkEnd w:id="86"/>
      <w:bookmarkEnd w:id="87"/>
    </w:p>
    <w:p w14:paraId="2E2F5D4E" w14:textId="22ED7CC0" w:rsidR="0034527C" w:rsidRPr="00186189" w:rsidRDefault="00186189" w:rsidP="008F78A1">
      <w:r w:rsidRPr="00384B4A">
        <w:t xml:space="preserve">In general, processing aids are exempt from the requirement to be declared in the statement of ingredients, unless other labelling requirements </w:t>
      </w:r>
      <w:r w:rsidRPr="00186189">
        <w:t>apply (see Section 1.3 above</w:t>
      </w:r>
      <w:r w:rsidRPr="00384B4A">
        <w:t xml:space="preserve">). In the case of foods manufactured using this </w:t>
      </w:r>
      <w:r w:rsidRPr="00186189">
        <w:t xml:space="preserve">processing aid, other requirements apply as detailed in </w:t>
      </w:r>
      <w:r w:rsidRPr="00186189">
        <w:rPr>
          <w:lang w:eastAsia="en-AU" w:bidi="ar-SA"/>
        </w:rPr>
        <w:t>sections 2.2.3.1 and 2.2.3.2</w:t>
      </w:r>
      <w:r w:rsidRPr="00186189">
        <w:t xml:space="preserve"> below.</w:t>
      </w:r>
    </w:p>
    <w:p w14:paraId="2DF0AE52" w14:textId="14E48C44" w:rsidR="00612617" w:rsidRDefault="00612617" w:rsidP="00612617">
      <w:pPr>
        <w:pStyle w:val="Heading4"/>
      </w:pPr>
      <w:r>
        <w:t>2.2.3.1</w:t>
      </w:r>
      <w:r>
        <w:tab/>
      </w:r>
      <w:r w:rsidR="00EC3347" w:rsidRPr="00030D81">
        <w:t xml:space="preserve">Declaration of certain </w:t>
      </w:r>
      <w:r w:rsidR="00EC18A3">
        <w:t>food</w:t>
      </w:r>
      <w:r w:rsidR="00EC18A3" w:rsidRPr="00030D81">
        <w:t xml:space="preserve">s </w:t>
      </w:r>
    </w:p>
    <w:p w14:paraId="466F4BD8" w14:textId="2F3CE915" w:rsidR="00186189" w:rsidRDefault="00AB62FC" w:rsidP="009B44E2">
      <w:r>
        <w:rPr>
          <w:rFonts w:cs="Arial"/>
        </w:rPr>
        <w:t>Wheat flour is used in the granulate enzyme preparation for baking application</w:t>
      </w:r>
      <w:r w:rsidR="009B44E2">
        <w:rPr>
          <w:rFonts w:cs="Arial"/>
        </w:rPr>
        <w:t>s as discussed in Section 2.2.1</w:t>
      </w:r>
      <w:r>
        <w:rPr>
          <w:rFonts w:cs="Arial"/>
        </w:rPr>
        <w:t xml:space="preserve"> of SD1</w:t>
      </w:r>
      <w:r w:rsidRPr="00AB62FC">
        <w:rPr>
          <w:rFonts w:cs="Arial"/>
        </w:rPr>
        <w:t>.</w:t>
      </w:r>
      <w:r>
        <w:rPr>
          <w:rFonts w:cs="Arial"/>
        </w:rPr>
        <w:t xml:space="preserve"> </w:t>
      </w:r>
      <w:r w:rsidR="00186189">
        <w:rPr>
          <w:lang w:bidi="ar-SA"/>
        </w:rPr>
        <w:t>If wheat is</w:t>
      </w:r>
      <w:r w:rsidR="00186189" w:rsidRPr="006B7E42">
        <w:rPr>
          <w:lang w:bidi="ar-SA"/>
        </w:rPr>
        <w:t xml:space="preserve"> present in a food for sale, including when present as a processing aid or an ingredient or component of a processing aid, </w:t>
      </w:r>
      <w:r w:rsidR="00186189">
        <w:rPr>
          <w:lang w:bidi="ar-SA"/>
        </w:rPr>
        <w:t xml:space="preserve">it </w:t>
      </w:r>
      <w:r w:rsidR="00186189">
        <w:t>must be declared unless an exemption applies (Division 3 of Standard 1.2.3).</w:t>
      </w:r>
    </w:p>
    <w:p w14:paraId="4CA1AD5F" w14:textId="77777777" w:rsidR="00186189" w:rsidRDefault="00186189" w:rsidP="00C67484">
      <w:pPr>
        <w:rPr>
          <w:szCs w:val="22"/>
        </w:rPr>
      </w:pPr>
    </w:p>
    <w:p w14:paraId="1EE5D7B5" w14:textId="41AACC15" w:rsidR="00C67484" w:rsidRDefault="00421FD9" w:rsidP="00C67484">
      <w:pPr>
        <w:rPr>
          <w:rFonts w:cs="Arial"/>
        </w:rPr>
      </w:pPr>
      <w:r>
        <w:rPr>
          <w:rFonts w:cs="Arial"/>
        </w:rPr>
        <w:t xml:space="preserve">FSANZ notes that one of the intended uses of </w:t>
      </w:r>
      <w:r w:rsidR="00730214" w:rsidRPr="009B44E2">
        <w:t>glucoamylase</w:t>
      </w:r>
      <w:r>
        <w:t xml:space="preserve"> is in the manufacture of bakery products. If these b</w:t>
      </w:r>
      <w:r w:rsidR="00AB62FC">
        <w:rPr>
          <w:rFonts w:cs="Arial"/>
        </w:rPr>
        <w:t xml:space="preserve">akery products </w:t>
      </w:r>
      <w:r>
        <w:rPr>
          <w:rFonts w:cs="Arial"/>
        </w:rPr>
        <w:t xml:space="preserve">are </w:t>
      </w:r>
      <w:r w:rsidR="00AB62FC">
        <w:rPr>
          <w:rFonts w:cs="Arial"/>
        </w:rPr>
        <w:t>made with wheat-derived ingredients (e.g. wheat flour, wheat bran)</w:t>
      </w:r>
      <w:r>
        <w:rPr>
          <w:rFonts w:cs="Arial"/>
        </w:rPr>
        <w:t>, then they will be r</w:t>
      </w:r>
      <w:r w:rsidR="00AB62FC">
        <w:rPr>
          <w:rFonts w:cs="Arial"/>
        </w:rPr>
        <w:t xml:space="preserve">equired to declare ‘wheat’ and ‘gluten’ in accordance with requirements in </w:t>
      </w:r>
      <w:r w:rsidR="00AB62FC" w:rsidRPr="009B44E2">
        <w:rPr>
          <w:rFonts w:cs="Arial"/>
        </w:rPr>
        <w:t xml:space="preserve">Division 3 of Standard 1.2.3. Wheat-free bakery products that are manufactured using </w:t>
      </w:r>
      <w:r w:rsidR="009B44E2" w:rsidRPr="009B44E2">
        <w:t>glucoamylase</w:t>
      </w:r>
      <w:r w:rsidR="009B44E2">
        <w:rPr>
          <w:rFonts w:cs="Arial"/>
        </w:rPr>
        <w:t xml:space="preserve"> </w:t>
      </w:r>
      <w:r w:rsidR="00AB62FC">
        <w:rPr>
          <w:rFonts w:cs="Arial"/>
        </w:rPr>
        <w:t>will also be subject to ‘wheat’ and ‘gluten’ declarations if wheat and gluten from the enzyme remain in the food for sale.</w:t>
      </w:r>
    </w:p>
    <w:p w14:paraId="3580000E" w14:textId="5CB9CCE3" w:rsidR="00186189" w:rsidRPr="00614681" w:rsidRDefault="00186189" w:rsidP="00186189">
      <w:pPr>
        <w:rPr>
          <w:szCs w:val="22"/>
        </w:rPr>
      </w:pPr>
      <w:r>
        <w:rPr>
          <w:lang w:bidi="ar-SA"/>
        </w:rPr>
        <w:t xml:space="preserve"> </w:t>
      </w:r>
    </w:p>
    <w:p w14:paraId="1EB2D635" w14:textId="77FC4DA0" w:rsidR="008355FA" w:rsidRPr="001A2E9E" w:rsidRDefault="00170336" w:rsidP="001A2E9E">
      <w:pPr>
        <w:rPr>
          <w:rFonts w:cs="Arial"/>
          <w:szCs w:val="22"/>
          <w:lang w:bidi="ar-SA"/>
        </w:rPr>
      </w:pPr>
      <w:r>
        <w:t xml:space="preserve">The applicant has </w:t>
      </w:r>
      <w:r w:rsidR="00421FD9">
        <w:t xml:space="preserve">also </w:t>
      </w:r>
      <w:r>
        <w:t xml:space="preserve">mentioned that another potential use </w:t>
      </w:r>
      <w:r w:rsidR="00730214">
        <w:t xml:space="preserve">of the proposed </w:t>
      </w:r>
      <w:r w:rsidR="00730214" w:rsidRPr="009B44E2">
        <w:t>glucoamylase</w:t>
      </w:r>
      <w:r>
        <w:t xml:space="preserve"> preparation is in starch processing for glucose syrups. There are existing exemptions for glucose syrups from the requirement to declare wheat, providing the glucose syrup meets certain conditions that are detailed in subsection 1.2.3—4(4) of the Code. </w:t>
      </w:r>
    </w:p>
    <w:p w14:paraId="38958887" w14:textId="18917143" w:rsidR="00612617" w:rsidRPr="00030D81" w:rsidRDefault="00612617" w:rsidP="00612617">
      <w:pPr>
        <w:pStyle w:val="Heading4"/>
      </w:pPr>
      <w:r w:rsidRPr="00030D81">
        <w:t>2.2.</w:t>
      </w:r>
      <w:r>
        <w:t>3</w:t>
      </w:r>
      <w:r w:rsidRPr="00030D81">
        <w:t>.2</w:t>
      </w:r>
      <w:r w:rsidRPr="00030D81">
        <w:tab/>
        <w:t xml:space="preserve"> </w:t>
      </w:r>
      <w:r w:rsidR="00EC3347">
        <w:t>Labelling requirements for food produced using gene technology</w:t>
      </w:r>
    </w:p>
    <w:p w14:paraId="71AFAA3F" w14:textId="77777777" w:rsidR="00445A39" w:rsidRPr="00B3579E" w:rsidRDefault="00445A39" w:rsidP="00445A39">
      <w:pPr>
        <w:rPr>
          <w:rFonts w:cs="Arial"/>
          <w:lang w:val="en-AU"/>
        </w:rPr>
      </w:pPr>
      <w:bookmarkStart w:id="88" w:name="_Hlk112227460"/>
      <w:r w:rsidRPr="00B82D7F">
        <w:rPr>
          <w:rFonts w:cs="Arial"/>
          <w:lang w:val="en-AU"/>
        </w:rPr>
        <w:t>Section 1.5.2—4 of the Code generally requires a food for sale that consists of a GM food or has a GM food as an ingredient to be labelled as ‘genetically modified’, unless one of the exemptions listed in that subsection apply. If the GM food is present in the food for sale as an ingredient due to its use as a processing aid, the ‘genetically modified’ statement must be in conjunction with the name of the GM food (subsection 1.5.2—4(2)) and it may be included in the statement of ingredients for the food for sale (subsection 1.5.2—4(3)).</w:t>
      </w:r>
    </w:p>
    <w:bookmarkEnd w:id="88"/>
    <w:p w14:paraId="54EBC162" w14:textId="77777777" w:rsidR="003B0AE6" w:rsidRDefault="003B0AE6" w:rsidP="00421FD9"/>
    <w:p w14:paraId="47A294D4" w14:textId="7520780C" w:rsidR="00B16236" w:rsidRPr="00E94537" w:rsidRDefault="00B16236" w:rsidP="00B16236">
      <w:pPr>
        <w:rPr>
          <w:color w:val="000000" w:themeColor="text1"/>
        </w:rPr>
      </w:pPr>
      <w:r w:rsidRPr="00E94537">
        <w:rPr>
          <w:color w:val="000000" w:themeColor="text1"/>
        </w:rPr>
        <w:t xml:space="preserve">FSANZ notes the </w:t>
      </w:r>
      <w:r w:rsidR="00445A39">
        <w:rPr>
          <w:color w:val="000000" w:themeColor="text1"/>
        </w:rPr>
        <w:t xml:space="preserve">intended </w:t>
      </w:r>
      <w:r w:rsidRPr="00E94537">
        <w:rPr>
          <w:color w:val="000000" w:themeColor="text1"/>
        </w:rPr>
        <w:t xml:space="preserve">use of the enzyme is to manufacture </w:t>
      </w:r>
      <w:r>
        <w:rPr>
          <w:color w:val="000000" w:themeColor="text1"/>
        </w:rPr>
        <w:t xml:space="preserve">brewed beverages such as </w:t>
      </w:r>
      <w:r w:rsidRPr="00E94537">
        <w:rPr>
          <w:color w:val="000000" w:themeColor="text1"/>
        </w:rPr>
        <w:t>potable alcohol</w:t>
      </w:r>
      <w:r w:rsidR="00A95E6A">
        <w:rPr>
          <w:color w:val="000000" w:themeColor="text1"/>
        </w:rPr>
        <w:t xml:space="preserve"> but also </w:t>
      </w:r>
      <w:r w:rsidR="00A95E6A" w:rsidRPr="00A95E6A">
        <w:rPr>
          <w:color w:val="000000" w:themeColor="text1"/>
        </w:rPr>
        <w:t>to be used as a processing aid in baking processes and starch processing for the production of starch hydrolysates, including glucose syrups</w:t>
      </w:r>
      <w:r w:rsidRPr="00E94537">
        <w:rPr>
          <w:color w:val="000000" w:themeColor="text1"/>
        </w:rPr>
        <w:t xml:space="preserve">. Potable alcohol </w:t>
      </w:r>
      <w:r>
        <w:rPr>
          <w:color w:val="000000" w:themeColor="text1"/>
        </w:rPr>
        <w:t>is</w:t>
      </w:r>
      <w:r w:rsidRPr="00E94537">
        <w:rPr>
          <w:color w:val="000000" w:themeColor="text1"/>
        </w:rPr>
        <w:t xml:space="preserve"> manufactured using a distillation process. If a distillation process is used, novel DNA and novel protein would be removed and the requirement to label </w:t>
      </w:r>
      <w:r w:rsidRPr="00B16236">
        <w:t>g</w:t>
      </w:r>
      <w:r w:rsidRPr="00B16236">
        <w:rPr>
          <w:szCs w:val="22"/>
        </w:rPr>
        <w:t xml:space="preserve">lucoamylase sourced from </w:t>
      </w:r>
      <w:r w:rsidRPr="00B16236">
        <w:rPr>
          <w:i/>
          <w:szCs w:val="22"/>
        </w:rPr>
        <w:t xml:space="preserve">A. niger </w:t>
      </w:r>
      <w:r w:rsidRPr="00E94537">
        <w:rPr>
          <w:color w:val="000000" w:themeColor="text1"/>
        </w:rPr>
        <w:t>as ‘genetically modified’ would not apply.</w:t>
      </w:r>
    </w:p>
    <w:p w14:paraId="7A4DCFFC" w14:textId="42A56FBB" w:rsidR="00612617" w:rsidRDefault="00911FCD" w:rsidP="002E7AE9">
      <w:pPr>
        <w:pStyle w:val="Heading3"/>
      </w:pPr>
      <w:bookmarkStart w:id="89" w:name="_Toc110607918"/>
      <w:bookmarkStart w:id="90" w:name="_Toc114215688"/>
      <w:r>
        <w:t>2.2.4</w:t>
      </w:r>
      <w:r>
        <w:tab/>
      </w:r>
      <w:r w:rsidR="00612617">
        <w:t>Risk management conclusion</w:t>
      </w:r>
      <w:bookmarkEnd w:id="89"/>
      <w:bookmarkEnd w:id="90"/>
    </w:p>
    <w:p w14:paraId="5FBC43DB" w14:textId="587E964D" w:rsidR="00F25919" w:rsidRDefault="001E0CBE" w:rsidP="00F25919">
      <w:r>
        <w:t>The risk management conclusion is to permit the enzyme glucoamylase (EC 3.2.1.3) sourced from</w:t>
      </w:r>
      <w:r w:rsidR="00C70896">
        <w:t xml:space="preserve"> a GM strain of</w:t>
      </w:r>
      <w:r>
        <w:t xml:space="preserve"> </w:t>
      </w:r>
      <w:r w:rsidRPr="7293741D">
        <w:rPr>
          <w:i/>
          <w:iCs/>
        </w:rPr>
        <w:t xml:space="preserve">A. niger, </w:t>
      </w:r>
      <w:r>
        <w:t xml:space="preserve">containing a protein engineered variant of the glucoamylase gene from </w:t>
      </w:r>
      <w:r w:rsidRPr="7293741D">
        <w:rPr>
          <w:i/>
          <w:iCs/>
        </w:rPr>
        <w:t>P. oxalicum</w:t>
      </w:r>
      <w:r>
        <w:t xml:space="preserve">, for use as a food processing aid. If </w:t>
      </w:r>
      <w:r w:rsidR="009F500D">
        <w:t xml:space="preserve">the draft variation is </w:t>
      </w:r>
      <w:r>
        <w:t>approved, the permission would be listed in the table to subsection S18—9(3) of the Code, which includes enzymes permitted for a specific technological purpose. The technological purpose of this enzyme would be as a processing aid in baking processes, brewing processes and starch processing for th</w:t>
      </w:r>
      <w:r w:rsidR="00557177">
        <w:t>e production of starch hydrolys</w:t>
      </w:r>
      <w:r>
        <w:t>ates, including glucose syrups. The maximum permitted level or amount of the enzyme that may be present in the food would have to be consistent with GMP. The express permission for the enzyme to be used as a processing aid in Schedule 18 of the Code would also provide the permission for the enzyme’s potential presence in the food for sale as a food produced using gene technology.</w:t>
      </w:r>
    </w:p>
    <w:p w14:paraId="0C9B440F" w14:textId="77777777" w:rsidR="00750860" w:rsidRDefault="00750860" w:rsidP="00750860"/>
    <w:p w14:paraId="3B8EB131" w14:textId="23B7C708" w:rsidR="00750860" w:rsidRPr="00B859FF" w:rsidRDefault="00750860" w:rsidP="00750860">
      <w:pPr>
        <w:rPr>
          <w:lang w:val="en-AU"/>
        </w:rPr>
      </w:pPr>
      <w:r w:rsidRPr="00B859FF">
        <w:t xml:space="preserve">Mandatory declarations for </w:t>
      </w:r>
      <w:r>
        <w:t xml:space="preserve">wheat </w:t>
      </w:r>
      <w:r w:rsidR="00991D15">
        <w:t xml:space="preserve">and gluten </w:t>
      </w:r>
      <w:r w:rsidRPr="00B859FF">
        <w:t>would apply when present in a food for sale</w:t>
      </w:r>
      <w:r w:rsidRPr="00B859FF">
        <w:rPr>
          <w:lang w:val="en-AU"/>
        </w:rPr>
        <w:t>.</w:t>
      </w:r>
    </w:p>
    <w:p w14:paraId="6217151A" w14:textId="7C44A346" w:rsidR="00E520FE" w:rsidRPr="00932F14" w:rsidRDefault="002F0CA9" w:rsidP="00E520FE">
      <w:pPr>
        <w:pStyle w:val="Heading2"/>
      </w:pPr>
      <w:bookmarkStart w:id="91" w:name="_Toc300933435"/>
      <w:bookmarkStart w:id="92" w:name="_Toc100584103"/>
      <w:bookmarkStart w:id="93" w:name="_Toc110607919"/>
      <w:bookmarkStart w:id="94" w:name="_Toc114215689"/>
      <w:r>
        <w:t>2.3</w:t>
      </w:r>
      <w:r w:rsidR="00E520FE">
        <w:tab/>
        <w:t>Risk communication</w:t>
      </w:r>
      <w:bookmarkEnd w:id="91"/>
      <w:bookmarkEnd w:id="92"/>
      <w:bookmarkEnd w:id="93"/>
      <w:bookmarkEnd w:id="94"/>
      <w:r w:rsidR="00E520FE">
        <w:t xml:space="preserve"> </w:t>
      </w:r>
    </w:p>
    <w:p w14:paraId="2A916143" w14:textId="33FD0FAD" w:rsidR="00E520FE" w:rsidRPr="0099271B" w:rsidRDefault="002F0CA9" w:rsidP="0099271B">
      <w:pPr>
        <w:pStyle w:val="Heading3"/>
      </w:pPr>
      <w:bookmarkStart w:id="95" w:name="_Toc300933437"/>
      <w:bookmarkStart w:id="96" w:name="_Toc100584104"/>
      <w:bookmarkStart w:id="97" w:name="_Toc110607920"/>
      <w:bookmarkStart w:id="98" w:name="_Toc114215690"/>
      <w:bookmarkStart w:id="99" w:name="_Toc286391012"/>
      <w:r w:rsidRPr="0099271B">
        <w:t>2.3</w:t>
      </w:r>
      <w:r w:rsidR="00E520FE" w:rsidRPr="0099271B">
        <w:t>.1</w:t>
      </w:r>
      <w:r w:rsidR="00E520FE" w:rsidRPr="0099271B">
        <w:tab/>
        <w:t>Consultation</w:t>
      </w:r>
      <w:bookmarkEnd w:id="95"/>
      <w:bookmarkEnd w:id="96"/>
      <w:bookmarkEnd w:id="97"/>
      <w:bookmarkEnd w:id="98"/>
    </w:p>
    <w:p w14:paraId="6F551539" w14:textId="77777777" w:rsidR="0099271B" w:rsidRPr="00A23A42" w:rsidRDefault="0099271B" w:rsidP="0099271B">
      <w:pPr>
        <w:rPr>
          <w:szCs w:val="22"/>
        </w:rPr>
      </w:pPr>
      <w:bookmarkStart w:id="100" w:name="_Toc300761912"/>
      <w:bookmarkStart w:id="101" w:name="_Toc300933439"/>
      <w:bookmarkEnd w:id="99"/>
      <w:r w:rsidRPr="0027513D">
        <w:rPr>
          <w:szCs w:val="22"/>
        </w:rPr>
        <w:t xml:space="preserve">Consultation is a key part of FSANZ’s standards development process. </w:t>
      </w:r>
      <w:r w:rsidRPr="00A23A42">
        <w:rPr>
          <w:szCs w:val="22"/>
        </w:rPr>
        <w:t>FSANZ developed and applied a standard communication strategy to this application. All calls for submissions are notified via the Food Standards Notification Circular, media release, FSANZ’s social media tools and Food Standards News.</w:t>
      </w:r>
    </w:p>
    <w:p w14:paraId="2E1C15BB" w14:textId="77777777" w:rsidR="0099271B" w:rsidRPr="00A23A42" w:rsidRDefault="0099271B" w:rsidP="0099271B">
      <w:pPr>
        <w:rPr>
          <w:szCs w:val="22"/>
        </w:rPr>
      </w:pPr>
    </w:p>
    <w:p w14:paraId="067A81AD" w14:textId="77777777" w:rsidR="0099271B" w:rsidRPr="00A23A42" w:rsidRDefault="0099271B" w:rsidP="0099271B">
      <w:pPr>
        <w:rPr>
          <w:szCs w:val="22"/>
        </w:rPr>
      </w:pPr>
      <w:r w:rsidRPr="00A23A42">
        <w:rPr>
          <w:szCs w:val="22"/>
        </w:rPr>
        <w:t xml:space="preserve">The process by which FSANZ approaches standards development matters is open, accountable, consultative and transparent. Public submissions are called to obtain the views of interested parties on issues raised by the application and the impacts of regulatory options. </w:t>
      </w:r>
    </w:p>
    <w:p w14:paraId="24CD7C0D" w14:textId="77777777" w:rsidR="0099271B" w:rsidRPr="00A23A42" w:rsidRDefault="0099271B" w:rsidP="0099271B">
      <w:pPr>
        <w:rPr>
          <w:szCs w:val="22"/>
        </w:rPr>
      </w:pPr>
    </w:p>
    <w:p w14:paraId="7A1CCD05" w14:textId="77777777" w:rsidR="0099271B" w:rsidRPr="00534527" w:rsidRDefault="0099271B" w:rsidP="0099271B">
      <w:r w:rsidRPr="00A23A42">
        <w:rPr>
          <w:szCs w:val="22"/>
        </w:rPr>
        <w:t>The draft variation will be considered for approval by the FSANZ Board taking into account all public comments received from this call for submissions.</w:t>
      </w:r>
    </w:p>
    <w:p w14:paraId="23B15904" w14:textId="423A1C07" w:rsidR="00E520FE" w:rsidRPr="00022DBC" w:rsidRDefault="002F0CA9" w:rsidP="00022DBC">
      <w:pPr>
        <w:pStyle w:val="Heading3"/>
      </w:pPr>
      <w:bookmarkStart w:id="102" w:name="_Toc100584105"/>
      <w:bookmarkStart w:id="103" w:name="_Toc110607921"/>
      <w:bookmarkStart w:id="104" w:name="_Toc114215691"/>
      <w:r>
        <w:t>2.3</w:t>
      </w:r>
      <w:r w:rsidR="00022DBC" w:rsidRPr="00022DBC">
        <w:t>.2</w:t>
      </w:r>
      <w:r w:rsidR="00E520FE" w:rsidRPr="00022DBC">
        <w:tab/>
        <w:t>World Trade Organization (WTO)</w:t>
      </w:r>
      <w:bookmarkEnd w:id="100"/>
      <w:bookmarkEnd w:id="101"/>
      <w:bookmarkEnd w:id="102"/>
      <w:bookmarkEnd w:id="103"/>
      <w:bookmarkEnd w:id="104"/>
    </w:p>
    <w:p w14:paraId="256B6E8A" w14:textId="77777777" w:rsidR="0099271B" w:rsidRDefault="0099271B" w:rsidP="0099271B">
      <w:pPr>
        <w:rPr>
          <w:rFonts w:cs="Arial"/>
          <w:color w:val="000000"/>
        </w:rPr>
      </w:pPr>
      <w:r w:rsidRPr="00DC6570">
        <w:rPr>
          <w:rFonts w:cs="Arial"/>
          <w:color w:val="000000"/>
        </w:rPr>
        <w:t>As members of the World Trade Organization (WTO), Australia and New Zealand are obliged to notify WTO member</w:t>
      </w:r>
      <w:r>
        <w:rPr>
          <w:rFonts w:cs="Arial"/>
          <w:color w:val="000000"/>
        </w:rPr>
        <w:t>s</w:t>
      </w:r>
      <w:r w:rsidRPr="00DC6570">
        <w:rPr>
          <w:rFonts w:cs="Arial"/>
          <w:color w:val="000000"/>
        </w:rPr>
        <w:t xml:space="preserve"> where proposed mandatory regulatory measures are inconsistent with any existing or imminent international standards and the proposed measure may have a significant effect on trade.</w:t>
      </w:r>
    </w:p>
    <w:p w14:paraId="257C7C2D" w14:textId="77777777" w:rsidR="0099271B" w:rsidRDefault="0099271B" w:rsidP="0099271B">
      <w:pPr>
        <w:rPr>
          <w:rFonts w:cs="Arial"/>
          <w:color w:val="000000"/>
        </w:rPr>
      </w:pPr>
    </w:p>
    <w:p w14:paraId="33B48E3C" w14:textId="77777777" w:rsidR="0099271B" w:rsidRDefault="0099271B" w:rsidP="0099271B">
      <w:r w:rsidRPr="001F7BC2">
        <w:t>There are no relevant international standards (i.e. Codex</w:t>
      </w:r>
      <w:r>
        <w:t xml:space="preserve"> Alimentarius Standards</w:t>
      </w:r>
      <w:r w:rsidRPr="001F7BC2">
        <w:t>) and amending the Code to approve the enzyme as a processing aid is unlikely to have a significant effect on international trade</w:t>
      </w:r>
      <w:r>
        <w:t xml:space="preserve">. </w:t>
      </w:r>
    </w:p>
    <w:p w14:paraId="30C15D01" w14:textId="77777777" w:rsidR="0099271B" w:rsidRDefault="0099271B" w:rsidP="0099271B">
      <w:pPr>
        <w:rPr>
          <w:b/>
          <w:bCs/>
        </w:rPr>
      </w:pPr>
      <w:r>
        <w:t xml:space="preserve"> </w:t>
      </w:r>
    </w:p>
    <w:p w14:paraId="0519B49A" w14:textId="77777777" w:rsidR="0099271B" w:rsidRPr="001F7BC2" w:rsidRDefault="0099271B" w:rsidP="0099271B">
      <w:pPr>
        <w:rPr>
          <w:b/>
          <w:bCs/>
          <w:color w:val="000000" w:themeColor="text1"/>
        </w:rPr>
      </w:pPr>
      <w:r w:rsidRPr="00EF0B99">
        <w:rPr>
          <w:szCs w:val="22"/>
        </w:rPr>
        <w:t>Therefore, a notification to the WTO under Australia’s and New Zealand’s obligations under the WTO Technical Barriers to Trade or Application of Sanitary and Phytosanitary Measures Agreement was not considered</w:t>
      </w:r>
      <w:r w:rsidRPr="00EF0B99">
        <w:t xml:space="preserve"> </w:t>
      </w:r>
      <w:r w:rsidRPr="00EF0B99">
        <w:rPr>
          <w:color w:val="000000" w:themeColor="text1"/>
        </w:rPr>
        <w:t>necessary</w:t>
      </w:r>
      <w:r>
        <w:rPr>
          <w:color w:val="000000" w:themeColor="text1"/>
        </w:rPr>
        <w:t>.</w:t>
      </w:r>
    </w:p>
    <w:p w14:paraId="38959684" w14:textId="2C08327F" w:rsidR="00E520FE" w:rsidRDefault="002F0CA9" w:rsidP="00022DBC">
      <w:pPr>
        <w:pStyle w:val="Heading2"/>
      </w:pPr>
      <w:bookmarkStart w:id="105" w:name="_Toc100584106"/>
      <w:bookmarkStart w:id="106" w:name="_Toc110607922"/>
      <w:bookmarkStart w:id="107" w:name="_Toc114215692"/>
      <w:r>
        <w:t>2.4</w:t>
      </w:r>
      <w:r w:rsidR="00022DBC">
        <w:tab/>
        <w:t>FSANZ Act assessment requirements</w:t>
      </w:r>
      <w:bookmarkEnd w:id="105"/>
      <w:bookmarkEnd w:id="106"/>
      <w:bookmarkEnd w:id="107"/>
    </w:p>
    <w:p w14:paraId="3D89C0D4" w14:textId="0328EA8A" w:rsidR="00B102F7" w:rsidRPr="002F0CA9" w:rsidRDefault="00B102F7" w:rsidP="00B102F7">
      <w:r>
        <w:t>When assessing this application and the subsequent development of a food regulatory measure, FSANZ has had regard to the following matters in section 29 of the FSANZ Act:</w:t>
      </w:r>
    </w:p>
    <w:p w14:paraId="68B75A22" w14:textId="77777777" w:rsidR="00B102F7" w:rsidRPr="002F0CA9" w:rsidRDefault="00B102F7" w:rsidP="00B102F7">
      <w:pPr>
        <w:pStyle w:val="Heading3"/>
      </w:pPr>
      <w:bookmarkStart w:id="108" w:name="_Toc100584107"/>
      <w:bookmarkStart w:id="109" w:name="_Toc110607923"/>
      <w:bookmarkStart w:id="110" w:name="_Toc114215693"/>
      <w:r w:rsidRPr="002F0CA9">
        <w:t>2.4.1</w:t>
      </w:r>
      <w:r w:rsidRPr="002F0CA9">
        <w:tab/>
        <w:t>Section 29</w:t>
      </w:r>
      <w:bookmarkEnd w:id="108"/>
      <w:bookmarkEnd w:id="109"/>
      <w:bookmarkEnd w:id="110"/>
    </w:p>
    <w:p w14:paraId="5D09B160" w14:textId="77777777" w:rsidR="00B102F7" w:rsidRDefault="00B102F7" w:rsidP="00B102F7">
      <w:pPr>
        <w:pStyle w:val="Heading4"/>
      </w:pPr>
      <w:r>
        <w:t>2.4.1.1</w:t>
      </w:r>
      <w:r>
        <w:tab/>
        <w:t>Co</w:t>
      </w:r>
      <w:proofErr w:type="spellStart"/>
      <w:r>
        <w:rPr>
          <w:lang w:val="en-AU"/>
        </w:rPr>
        <w:t>nsideration</w:t>
      </w:r>
      <w:proofErr w:type="spellEnd"/>
      <w:r>
        <w:rPr>
          <w:lang w:val="en-AU"/>
        </w:rPr>
        <w:t xml:space="preserve"> of costs and benefits</w:t>
      </w:r>
    </w:p>
    <w:p w14:paraId="57E6A6B6" w14:textId="38B0A9E2" w:rsidR="00B102F7" w:rsidRPr="00816722" w:rsidRDefault="00B102F7" w:rsidP="00B102F7">
      <w:r w:rsidRPr="00816722">
        <w:t>The Office of Best Practice Regulation (OBPR) granted FSANZ a standing exemption from the requirement to develop a Regulatory Impact Statement for</w:t>
      </w:r>
      <w:r w:rsidR="007621F7">
        <w:t xml:space="preserve"> applications relating to permitting</w:t>
      </w:r>
      <w:r w:rsidRPr="00816722">
        <w:t xml:space="preserve"> </w:t>
      </w:r>
      <w:r w:rsidR="008C242F">
        <w:t xml:space="preserve">new </w:t>
      </w:r>
      <w:r w:rsidRPr="00816722">
        <w:t xml:space="preserve">processing aids </w:t>
      </w:r>
      <w:r w:rsidR="007621F7">
        <w:t xml:space="preserve">and GM foods </w:t>
      </w:r>
      <w:r w:rsidRPr="00816722">
        <w:t>(OBPR correspondence dated 24 November 2010, reference 12065). This st</w:t>
      </w:r>
      <w:r>
        <w:t xml:space="preserve">anding exemption was provided </w:t>
      </w:r>
      <w:r w:rsidR="007621F7">
        <w:t>as permitting</w:t>
      </w:r>
      <w:r w:rsidR="00F84695">
        <w:t xml:space="preserve"> new</w:t>
      </w:r>
      <w:r w:rsidR="007621F7">
        <w:t xml:space="preserve"> processing aids and GM foods is deregulatory as their use will be voluntary if the application </w:t>
      </w:r>
      <w:r w:rsidR="00925ADE">
        <w:t xml:space="preserve">concerned </w:t>
      </w:r>
      <w:r w:rsidR="007621F7">
        <w:t xml:space="preserve">is approved. This standing exception relates to the introduction of a food to the food supply that has been determined to be safe. </w:t>
      </w:r>
    </w:p>
    <w:p w14:paraId="4696711A" w14:textId="77777777" w:rsidR="00B102F7" w:rsidRPr="00816722" w:rsidRDefault="00B102F7" w:rsidP="00B102F7"/>
    <w:p w14:paraId="147DDC3F" w14:textId="41D591B5" w:rsidR="00B102F7" w:rsidRPr="00816722" w:rsidRDefault="00B102F7" w:rsidP="00B102F7">
      <w:r w:rsidRPr="00816722">
        <w:t>FSANZ</w:t>
      </w:r>
      <w:r>
        <w:t>,</w:t>
      </w:r>
      <w:r w:rsidRPr="00816722">
        <w:t xml:space="preserve"> however</w:t>
      </w:r>
      <w:r>
        <w:t>,</w:t>
      </w:r>
      <w:r w:rsidRPr="00816722">
        <w:t xml:space="preserve"> has given consideration to the costs and benefits that may arise from the proposed measure for the purposes of meeting FSANZ Act considerations. The FSANZ Act </w:t>
      </w:r>
      <w:r w:rsidRPr="00816722">
        <w:lastRenderedPageBreak/>
        <w:t xml:space="preserve">requires FSANZ to have regard to whether costs that would arise from the proposed measure outweigh the direct and indirect benefits to the community, government or industry that would arise from the proposed measure (paragraph 29(2)(a)). </w:t>
      </w:r>
    </w:p>
    <w:p w14:paraId="3B7722A5" w14:textId="77777777" w:rsidR="00B102F7" w:rsidRPr="00534527" w:rsidRDefault="00B102F7" w:rsidP="00B102F7">
      <w:pPr>
        <w:rPr>
          <w:lang w:bidi="ar-SA"/>
        </w:rPr>
      </w:pPr>
    </w:p>
    <w:p w14:paraId="6478F1E6" w14:textId="1AC4D85E" w:rsidR="00B102F7" w:rsidRDefault="00B102F7" w:rsidP="00B102F7">
      <w:r w:rsidRPr="00816722">
        <w:t xml:space="preserve">The purpose of this consideration is to determine if the community, government and industry as a whole is likely to benefit, on balance, from a move from the status quo (i.e. rejecting the application). This analysis considers permitting the use of </w:t>
      </w:r>
      <w:r w:rsidR="00A325C4">
        <w:t xml:space="preserve">a </w:t>
      </w:r>
      <w:r w:rsidR="00C36422">
        <w:t xml:space="preserve">protein engineered </w:t>
      </w:r>
      <w:r w:rsidR="00EE7C4B">
        <w:t xml:space="preserve">variant of the </w:t>
      </w:r>
      <w:r w:rsidR="001A5F58">
        <w:rPr>
          <w:lang w:bidi="ar-SA"/>
        </w:rPr>
        <w:t>enz</w:t>
      </w:r>
      <w:r w:rsidR="006E3623">
        <w:rPr>
          <w:lang w:bidi="ar-SA"/>
        </w:rPr>
        <w:t>yme glucoamylase (EC 3.2.1.3</w:t>
      </w:r>
      <w:r w:rsidRPr="00E751D5">
        <w:rPr>
          <w:lang w:bidi="ar-SA"/>
        </w:rPr>
        <w:t xml:space="preserve">), sourced from </w:t>
      </w:r>
      <w:r w:rsidR="00CC54B4">
        <w:rPr>
          <w:lang w:bidi="ar-SA"/>
        </w:rPr>
        <w:t>this</w:t>
      </w:r>
      <w:r w:rsidR="00CC54B4" w:rsidRPr="00E751D5">
        <w:rPr>
          <w:lang w:bidi="ar-SA"/>
        </w:rPr>
        <w:t xml:space="preserve"> </w:t>
      </w:r>
      <w:r w:rsidRPr="00E751D5">
        <w:rPr>
          <w:lang w:bidi="ar-SA"/>
        </w:rPr>
        <w:t xml:space="preserve">GM strain of </w:t>
      </w:r>
      <w:r>
        <w:rPr>
          <w:i/>
          <w:lang w:bidi="ar-SA"/>
        </w:rPr>
        <w:t>A</w:t>
      </w:r>
      <w:r w:rsidR="00995EA4">
        <w:rPr>
          <w:i/>
          <w:lang w:bidi="ar-SA"/>
        </w:rPr>
        <w:t>.</w:t>
      </w:r>
      <w:r w:rsidR="001A5F58">
        <w:rPr>
          <w:i/>
          <w:lang w:bidi="ar-SA"/>
        </w:rPr>
        <w:t xml:space="preserve"> niger</w:t>
      </w:r>
      <w:r>
        <w:rPr>
          <w:lang w:bidi="ar-SA"/>
        </w:rPr>
        <w:t xml:space="preserve"> </w:t>
      </w:r>
      <w:r w:rsidR="00056913">
        <w:rPr>
          <w:lang w:bidi="ar-SA"/>
        </w:rPr>
        <w:t xml:space="preserve">as a processing aid </w:t>
      </w:r>
      <w:r>
        <w:rPr>
          <w:lang w:bidi="ar-SA"/>
        </w:rPr>
        <w:t>fo</w:t>
      </w:r>
      <w:r w:rsidR="006E3623">
        <w:rPr>
          <w:lang w:bidi="ar-SA"/>
        </w:rPr>
        <w:t xml:space="preserve">r </w:t>
      </w:r>
      <w:r w:rsidR="006E3623">
        <w:t xml:space="preserve">baking processes, brewing processes and </w:t>
      </w:r>
      <w:r w:rsidR="001456DA" w:rsidRPr="001456DA">
        <w:t>starch processing for th</w:t>
      </w:r>
      <w:r w:rsidR="00557177">
        <w:t>e production of starch hydrolys</w:t>
      </w:r>
      <w:r w:rsidR="001456DA" w:rsidRPr="001456DA">
        <w:t>ates, including glucose syrups.</w:t>
      </w:r>
      <w:r w:rsidR="001456DA">
        <w:t xml:space="preserve"> </w:t>
      </w:r>
      <w:r>
        <w:t>That enzyme would be listed in the table of</w:t>
      </w:r>
      <w:r w:rsidRPr="00816722">
        <w:t xml:space="preserve"> subsection S18—9(3) of the Code, which includes enzymes permitted </w:t>
      </w:r>
      <w:r w:rsidR="009C5D5A">
        <w:t xml:space="preserve">to be used as processing aids </w:t>
      </w:r>
      <w:r w:rsidRPr="00816722">
        <w:t>for specific technological purpose</w:t>
      </w:r>
      <w:r w:rsidR="005650F7">
        <w:t>s</w:t>
      </w:r>
      <w:r w:rsidRPr="00816722">
        <w:t xml:space="preserve">. </w:t>
      </w:r>
    </w:p>
    <w:p w14:paraId="0EE4FC38" w14:textId="77777777" w:rsidR="00B102F7" w:rsidRDefault="00B102F7" w:rsidP="00B102F7"/>
    <w:p w14:paraId="578B5BA8" w14:textId="6C24A31D" w:rsidR="00B102F7" w:rsidRPr="00534527" w:rsidRDefault="008919B0" w:rsidP="00B102F7">
      <w:pPr>
        <w:rPr>
          <w:lang w:bidi="ar-SA"/>
        </w:rPr>
      </w:pPr>
      <w:r w:rsidRPr="008C3439">
        <w:t>FSANZ’s conclusions regarding costs and benefits of the proposed measure are set out below. However, information received from the call for submissions may result in FSANZ arriving at different conclusions</w:t>
      </w:r>
      <w:r>
        <w:t>.</w:t>
      </w:r>
    </w:p>
    <w:p w14:paraId="1504E55B" w14:textId="77777777" w:rsidR="00BE5D3D" w:rsidRPr="00534527" w:rsidRDefault="00BE5D3D" w:rsidP="00B102F7">
      <w:pPr>
        <w:rPr>
          <w:lang w:bidi="ar-SA"/>
        </w:rPr>
      </w:pPr>
    </w:p>
    <w:p w14:paraId="18482C47" w14:textId="0B935DD9" w:rsidR="00B102F7" w:rsidRPr="00816722" w:rsidRDefault="00B102F7" w:rsidP="00B102F7">
      <w:pPr>
        <w:rPr>
          <w:color w:val="000000" w:themeColor="text1"/>
          <w:lang w:bidi="ar-SA"/>
        </w:rPr>
      </w:pPr>
      <w:r w:rsidRPr="00816722">
        <w:rPr>
          <w:color w:val="000000" w:themeColor="text1"/>
          <w:lang w:bidi="ar-SA"/>
        </w:rPr>
        <w:t>The consideration of the costs and benefits in this section is not intended to be an exhaustive, quantitative economic analys</w:t>
      </w:r>
      <w:r>
        <w:rPr>
          <w:color w:val="000000" w:themeColor="text1"/>
          <w:lang w:bidi="ar-SA"/>
        </w:rPr>
        <w:t>is of the proposed measure. I</w:t>
      </w:r>
      <w:r w:rsidRPr="00816722">
        <w:rPr>
          <w:color w:val="000000" w:themeColor="text1"/>
          <w:lang w:bidi="ar-SA"/>
        </w:rPr>
        <w:t xml:space="preserve">n fact, most of the effects that were considered cannot easily be assigned a dollar value. Rather, the assessment seeks to highlight the likely positives and negatives of moving away from the status quo by permitting the </w:t>
      </w:r>
      <w:r w:rsidR="00F425FB">
        <w:rPr>
          <w:color w:val="000000" w:themeColor="text1"/>
          <w:lang w:bidi="ar-SA"/>
        </w:rPr>
        <w:t xml:space="preserve">proposed </w:t>
      </w:r>
      <w:r w:rsidRPr="00816722">
        <w:rPr>
          <w:color w:val="000000" w:themeColor="text1"/>
          <w:lang w:bidi="ar-SA"/>
        </w:rPr>
        <w:t>use of the enzyme</w:t>
      </w:r>
      <w:r>
        <w:rPr>
          <w:color w:val="000000" w:themeColor="text1"/>
          <w:lang w:bidi="ar-SA"/>
        </w:rPr>
        <w:t xml:space="preserve"> from the new source </w:t>
      </w:r>
      <w:r>
        <w:rPr>
          <w:lang w:bidi="ar-SA"/>
        </w:rPr>
        <w:t>GM</w:t>
      </w:r>
      <w:r w:rsidRPr="00E751D5">
        <w:rPr>
          <w:lang w:bidi="ar-SA"/>
        </w:rPr>
        <w:t xml:space="preserve"> strain of </w:t>
      </w:r>
      <w:r>
        <w:rPr>
          <w:i/>
          <w:lang w:bidi="ar-SA"/>
        </w:rPr>
        <w:t>A</w:t>
      </w:r>
      <w:r w:rsidR="00E71E43">
        <w:rPr>
          <w:i/>
          <w:lang w:bidi="ar-SA"/>
        </w:rPr>
        <w:t>.</w:t>
      </w:r>
      <w:r w:rsidR="001A5F58">
        <w:rPr>
          <w:i/>
          <w:lang w:bidi="ar-SA"/>
        </w:rPr>
        <w:t xml:space="preserve"> niger</w:t>
      </w:r>
      <w:r w:rsidRPr="00816722">
        <w:rPr>
          <w:color w:val="000000" w:themeColor="text1"/>
          <w:lang w:bidi="ar-SA"/>
        </w:rPr>
        <w:t>.</w:t>
      </w:r>
    </w:p>
    <w:p w14:paraId="23D76E05" w14:textId="77777777" w:rsidR="00B102F7" w:rsidRPr="00816722" w:rsidRDefault="00B102F7" w:rsidP="00B102F7">
      <w:pPr>
        <w:widowControl/>
        <w:rPr>
          <w:rStyle w:val="Heading5Char"/>
          <w:rFonts w:cs="Arial"/>
          <w:color w:val="000000" w:themeColor="text1"/>
        </w:rPr>
      </w:pPr>
    </w:p>
    <w:p w14:paraId="1AA48192" w14:textId="08257BDD" w:rsidR="00B102F7" w:rsidRPr="00EC418F" w:rsidRDefault="00B102F7" w:rsidP="51B0D0D1">
      <w:pPr>
        <w:pStyle w:val="FSFigureTitle"/>
        <w:rPr>
          <w:i w:val="0"/>
          <w:color w:val="000000" w:themeColor="text1"/>
        </w:rPr>
      </w:pPr>
      <w:r w:rsidRPr="51B0D0D1">
        <w:rPr>
          <w:rStyle w:val="Heading5Char"/>
          <w:i/>
          <w:iCs/>
          <w:color w:val="000000" w:themeColor="text1"/>
        </w:rPr>
        <w:t xml:space="preserve">Costs and benefits of permitting </w:t>
      </w:r>
      <w:r w:rsidR="006F7649" w:rsidRPr="51B0D0D1">
        <w:rPr>
          <w:color w:val="000000" w:themeColor="text1"/>
        </w:rPr>
        <w:t>the</w:t>
      </w:r>
      <w:r w:rsidR="00F425FB" w:rsidRPr="51B0D0D1">
        <w:rPr>
          <w:color w:val="000000" w:themeColor="text1"/>
        </w:rPr>
        <w:t xml:space="preserve"> </w:t>
      </w:r>
      <w:r w:rsidRPr="51B0D0D1">
        <w:rPr>
          <w:color w:val="000000" w:themeColor="text1"/>
        </w:rPr>
        <w:t>use of</w:t>
      </w:r>
      <w:r w:rsidR="006F7649" w:rsidRPr="51B0D0D1">
        <w:rPr>
          <w:color w:val="000000" w:themeColor="text1"/>
        </w:rPr>
        <w:t xml:space="preserve"> a protein engineered</w:t>
      </w:r>
      <w:r w:rsidRPr="51B0D0D1">
        <w:rPr>
          <w:rStyle w:val="Heading5Char"/>
        </w:rPr>
        <w:t xml:space="preserve"> </w:t>
      </w:r>
      <w:r w:rsidR="001A5F58" w:rsidRPr="51B0D0D1">
        <w:rPr>
          <w:rStyle w:val="Heading5Char"/>
          <w:i/>
          <w:iCs/>
          <w:color w:val="000000" w:themeColor="text1"/>
        </w:rPr>
        <w:t xml:space="preserve">glucoamylase </w:t>
      </w:r>
      <w:r w:rsidR="006F7649" w:rsidRPr="51B0D0D1">
        <w:rPr>
          <w:rStyle w:val="Heading5Char"/>
          <w:i/>
          <w:iCs/>
          <w:color w:val="000000" w:themeColor="text1"/>
        </w:rPr>
        <w:t xml:space="preserve">enzyme </w:t>
      </w:r>
      <w:r w:rsidR="001A5F58" w:rsidRPr="51B0D0D1">
        <w:rPr>
          <w:rStyle w:val="Heading5Char"/>
          <w:i/>
          <w:iCs/>
          <w:color w:val="000000" w:themeColor="text1"/>
        </w:rPr>
        <w:t xml:space="preserve">(EC </w:t>
      </w:r>
      <w:r w:rsidR="006E3623" w:rsidRPr="51B0D0D1">
        <w:rPr>
          <w:rStyle w:val="Heading5Char"/>
          <w:i/>
          <w:iCs/>
          <w:color w:val="000000" w:themeColor="text1"/>
        </w:rPr>
        <w:t>3.2.1.3</w:t>
      </w:r>
      <w:r w:rsidR="00B64B3B" w:rsidRPr="51B0D0D1">
        <w:rPr>
          <w:rStyle w:val="Heading5Char"/>
          <w:i/>
          <w:iCs/>
          <w:color w:val="000000" w:themeColor="text1"/>
        </w:rPr>
        <w:t xml:space="preserve">) sourced from </w:t>
      </w:r>
      <w:r w:rsidR="00B20D1E" w:rsidRPr="51B0D0D1">
        <w:rPr>
          <w:rStyle w:val="Heading5Char"/>
          <w:i/>
          <w:iCs/>
          <w:color w:val="000000" w:themeColor="text1"/>
        </w:rPr>
        <w:t xml:space="preserve">this </w:t>
      </w:r>
      <w:r w:rsidRPr="51B0D0D1">
        <w:rPr>
          <w:rStyle w:val="Heading5Char"/>
          <w:i/>
          <w:iCs/>
          <w:color w:val="000000" w:themeColor="text1"/>
        </w:rPr>
        <w:t>GM</w:t>
      </w:r>
      <w:r w:rsidR="00B64B3B" w:rsidRPr="51B0D0D1">
        <w:rPr>
          <w:rStyle w:val="Heading5Char"/>
          <w:i/>
          <w:iCs/>
          <w:color w:val="000000" w:themeColor="text1"/>
        </w:rPr>
        <w:t xml:space="preserve"> strain of</w:t>
      </w:r>
      <w:r w:rsidRPr="51B0D0D1">
        <w:rPr>
          <w:rStyle w:val="Heading5Char"/>
        </w:rPr>
        <w:t xml:space="preserve"> </w:t>
      </w:r>
      <w:r w:rsidR="00B64B3B" w:rsidRPr="51B0D0D1">
        <w:rPr>
          <w:rStyle w:val="Heading5Char"/>
          <w:color w:val="000000" w:themeColor="text1"/>
        </w:rPr>
        <w:t>A.</w:t>
      </w:r>
      <w:r w:rsidR="001A5F58" w:rsidRPr="51B0D0D1">
        <w:rPr>
          <w:rStyle w:val="Heading5Char"/>
          <w:color w:val="000000" w:themeColor="text1"/>
        </w:rPr>
        <w:t xml:space="preserve"> niger</w:t>
      </w:r>
      <w:r w:rsidR="00B64B3B" w:rsidRPr="51B0D0D1">
        <w:rPr>
          <w:rStyle w:val="Heading5Char"/>
          <w:i/>
          <w:iCs/>
          <w:color w:val="000000" w:themeColor="text1"/>
        </w:rPr>
        <w:t xml:space="preserve"> as a processing aid</w:t>
      </w:r>
      <w:r w:rsidR="00A23584" w:rsidRPr="51B0D0D1">
        <w:rPr>
          <w:rStyle w:val="Heading5Char"/>
          <w:i/>
          <w:iCs/>
          <w:color w:val="000000" w:themeColor="text1"/>
        </w:rPr>
        <w:t>.</w:t>
      </w:r>
    </w:p>
    <w:p w14:paraId="340B8A04" w14:textId="77777777" w:rsidR="00B102F7" w:rsidRPr="00E61CA0" w:rsidRDefault="00B102F7" w:rsidP="00B102F7">
      <w:pPr>
        <w:rPr>
          <w:rFonts w:eastAsia="Calibri"/>
          <w:color w:val="000000" w:themeColor="text1"/>
          <w:highlight w:val="yellow"/>
          <w:lang w:eastAsia="en-AU"/>
        </w:rPr>
      </w:pPr>
    </w:p>
    <w:p w14:paraId="1D31AB53" w14:textId="77777777" w:rsidR="00B71E08" w:rsidRPr="00816722" w:rsidRDefault="00B71E08" w:rsidP="00B71E08">
      <w:pPr>
        <w:rPr>
          <w:rFonts w:eastAsia="Calibri"/>
          <w:i/>
          <w:color w:val="000000" w:themeColor="text1"/>
          <w:lang w:eastAsia="en-AU"/>
        </w:rPr>
      </w:pPr>
      <w:r w:rsidRPr="00816722">
        <w:rPr>
          <w:rFonts w:eastAsia="Calibri"/>
          <w:i/>
          <w:color w:val="000000" w:themeColor="text1"/>
          <w:lang w:eastAsia="en-AU"/>
        </w:rPr>
        <w:t>Industry</w:t>
      </w:r>
    </w:p>
    <w:p w14:paraId="15865E34" w14:textId="77777777" w:rsidR="00B71E08" w:rsidRDefault="00B71E08" w:rsidP="00B71E08">
      <w:pPr>
        <w:rPr>
          <w:color w:val="000000" w:themeColor="text1"/>
        </w:rPr>
      </w:pPr>
    </w:p>
    <w:p w14:paraId="5ED8BC91" w14:textId="4F17C2A0" w:rsidR="00B71E08" w:rsidRDefault="00B71E08" w:rsidP="00B71E08">
      <w:pPr>
        <w:rPr>
          <w:color w:val="000000" w:themeColor="text1"/>
        </w:rPr>
      </w:pPr>
      <w:r>
        <w:rPr>
          <w:color w:val="000000" w:themeColor="text1"/>
        </w:rPr>
        <w:t xml:space="preserve">The </w:t>
      </w:r>
      <w:r w:rsidRPr="00B64B3B">
        <w:rPr>
          <w:color w:val="000000" w:themeColor="text1"/>
        </w:rPr>
        <w:t>enzyme</w:t>
      </w:r>
      <w:r w:rsidRPr="00B64B3B">
        <w:rPr>
          <w:rStyle w:val="Heading5Char"/>
        </w:rPr>
        <w:t xml:space="preserve"> </w:t>
      </w:r>
      <w:r w:rsidRPr="00B71E08">
        <w:rPr>
          <w:rStyle w:val="Heading5Char"/>
          <w:i w:val="0"/>
          <w:color w:val="000000" w:themeColor="text1"/>
        </w:rPr>
        <w:t>glucoamylase</w:t>
      </w:r>
      <w:r w:rsidR="00E259B8">
        <w:rPr>
          <w:rStyle w:val="Heading5Char"/>
          <w:i w:val="0"/>
          <w:color w:val="000000" w:themeColor="text1"/>
        </w:rPr>
        <w:t xml:space="preserve"> (not protein engineered)</w:t>
      </w:r>
      <w:r w:rsidRPr="00B71E08">
        <w:rPr>
          <w:rStyle w:val="Heading5Char"/>
          <w:color w:val="000000" w:themeColor="text1"/>
        </w:rPr>
        <w:t xml:space="preserve"> </w:t>
      </w:r>
      <w:r w:rsidRPr="00B71E08">
        <w:rPr>
          <w:color w:val="000000" w:themeColor="text1"/>
        </w:rPr>
        <w:t>is</w:t>
      </w:r>
      <w:r>
        <w:rPr>
          <w:color w:val="000000" w:themeColor="text1"/>
        </w:rPr>
        <w:t xml:space="preserve"> already available to industry from other production sources. </w:t>
      </w:r>
      <w:r w:rsidRPr="00816722">
        <w:rPr>
          <w:color w:val="000000" w:themeColor="text1"/>
        </w:rPr>
        <w:t>Due to the voluntary nature of the</w:t>
      </w:r>
      <w:r>
        <w:rPr>
          <w:color w:val="000000" w:themeColor="text1"/>
        </w:rPr>
        <w:t xml:space="preserve"> proposed permission, industry will use </w:t>
      </w:r>
      <w:r w:rsidR="5106A766" w:rsidRPr="4B241FD5">
        <w:rPr>
          <w:color w:val="000000" w:themeColor="text1"/>
        </w:rPr>
        <w:t xml:space="preserve">this </w:t>
      </w:r>
      <w:r w:rsidRPr="00B71E08">
        <w:rPr>
          <w:rStyle w:val="Heading5Char"/>
          <w:i w:val="0"/>
          <w:color w:val="000000" w:themeColor="text1"/>
        </w:rPr>
        <w:t>glucoamylase</w:t>
      </w:r>
      <w:r>
        <w:rPr>
          <w:color w:val="000000" w:themeColor="text1"/>
        </w:rPr>
        <w:t xml:space="preserve"> </w:t>
      </w:r>
      <w:r w:rsidRPr="00816722">
        <w:rPr>
          <w:color w:val="000000" w:themeColor="text1"/>
        </w:rPr>
        <w:t>where</w:t>
      </w:r>
      <w:r>
        <w:rPr>
          <w:color w:val="000000" w:themeColor="text1"/>
        </w:rPr>
        <w:t xml:space="preserve"> businesses in the</w:t>
      </w:r>
      <w:r w:rsidRPr="00816722">
        <w:rPr>
          <w:color w:val="000000" w:themeColor="text1"/>
        </w:rPr>
        <w:t xml:space="preserve"> </w:t>
      </w:r>
      <w:r>
        <w:rPr>
          <w:color w:val="000000" w:themeColor="text1"/>
        </w:rPr>
        <w:t xml:space="preserve">industry </w:t>
      </w:r>
      <w:r w:rsidRPr="00816722">
        <w:rPr>
          <w:color w:val="000000" w:themeColor="text1"/>
        </w:rPr>
        <w:t>believe a net benefit exists for them.</w:t>
      </w:r>
      <w:r>
        <w:rPr>
          <w:color w:val="000000" w:themeColor="text1"/>
        </w:rPr>
        <w:t xml:space="preserve"> An additional source of this enzyme may help industry save on costs of </w:t>
      </w:r>
      <w:r w:rsidRPr="00B71E08">
        <w:rPr>
          <w:color w:val="000000" w:themeColor="text1"/>
        </w:rPr>
        <w:t xml:space="preserve">baking processes, brewing processes and </w:t>
      </w:r>
      <w:r w:rsidR="009C2912" w:rsidRPr="009C2912">
        <w:rPr>
          <w:color w:val="000000" w:themeColor="text1"/>
        </w:rPr>
        <w:t>starch processing for th</w:t>
      </w:r>
      <w:r w:rsidR="00557177">
        <w:rPr>
          <w:color w:val="000000" w:themeColor="text1"/>
        </w:rPr>
        <w:t>e production of starch hydrolys</w:t>
      </w:r>
      <w:r w:rsidR="009C2912" w:rsidRPr="009C2912">
        <w:rPr>
          <w:color w:val="000000" w:themeColor="text1"/>
        </w:rPr>
        <w:t>ates, including glucose syrups.</w:t>
      </w:r>
    </w:p>
    <w:p w14:paraId="3BC6F20C" w14:textId="77777777" w:rsidR="00B71E08" w:rsidRDefault="00B71E08" w:rsidP="00B71E08">
      <w:pPr>
        <w:rPr>
          <w:color w:val="000000" w:themeColor="text1"/>
        </w:rPr>
      </w:pPr>
    </w:p>
    <w:p w14:paraId="5A409B5D" w14:textId="5D924DAA" w:rsidR="00B71E08" w:rsidRPr="002505D8" w:rsidRDefault="00B220EC" w:rsidP="00B71E08">
      <w:r w:rsidRPr="000C4127">
        <w:t>The applicant has advised that the enzyme is permitted for use in Denmark.</w:t>
      </w:r>
      <w:r w:rsidR="5951B5E3">
        <w:t xml:space="preserve"> </w:t>
      </w:r>
      <w:r w:rsidR="00B71E08">
        <w:t xml:space="preserve">Therefore, the approval of this source </w:t>
      </w:r>
      <w:r w:rsidR="277F5DF9">
        <w:t>of</w:t>
      </w:r>
      <w:r w:rsidR="00B71E08">
        <w:t xml:space="preserve"> </w:t>
      </w:r>
      <w:r w:rsidR="00B71E08" w:rsidRPr="7293741D">
        <w:rPr>
          <w:rStyle w:val="Heading5Char"/>
          <w:i w:val="0"/>
          <w:color w:val="000000" w:themeColor="text1"/>
        </w:rPr>
        <w:t xml:space="preserve">glucoamylase </w:t>
      </w:r>
      <w:r w:rsidR="00B71E08">
        <w:t xml:space="preserve">in the Code may help some of Australia’s and New Zealand’s sales in international markets. There may, however, be more </w:t>
      </w:r>
      <w:r w:rsidR="00B71E08" w:rsidRPr="7293741D">
        <w:rPr>
          <w:lang w:bidi="ar-SA"/>
        </w:rPr>
        <w:t xml:space="preserve">competing imports in the domestic market in future from countries that use the GM strain of </w:t>
      </w:r>
      <w:r w:rsidR="00B71E08" w:rsidRPr="7293741D">
        <w:rPr>
          <w:i/>
          <w:iCs/>
          <w:lang w:bidi="ar-SA"/>
        </w:rPr>
        <w:t>A. niger</w:t>
      </w:r>
      <w:r w:rsidR="00B71E08" w:rsidRPr="7293741D">
        <w:rPr>
          <w:lang w:bidi="ar-SA"/>
        </w:rPr>
        <w:t xml:space="preserve"> as a source for this </w:t>
      </w:r>
      <w:r w:rsidR="00B71E08" w:rsidRPr="7293741D">
        <w:rPr>
          <w:rStyle w:val="Heading5Char"/>
          <w:i w:val="0"/>
          <w:color w:val="000000" w:themeColor="text1"/>
        </w:rPr>
        <w:t>glucoamylase</w:t>
      </w:r>
      <w:r w:rsidR="00B71E08" w:rsidRPr="7293741D">
        <w:rPr>
          <w:color w:val="000000" w:themeColor="text1"/>
        </w:rPr>
        <w:t xml:space="preserve"> </w:t>
      </w:r>
      <w:r w:rsidR="00B71E08" w:rsidRPr="7293741D">
        <w:rPr>
          <w:lang w:bidi="ar-SA"/>
        </w:rPr>
        <w:t>enzyme.</w:t>
      </w:r>
    </w:p>
    <w:p w14:paraId="7B9512ED" w14:textId="77777777" w:rsidR="00B71E08" w:rsidRPr="00001C91" w:rsidRDefault="00B71E08" w:rsidP="00B71E08">
      <w:pPr>
        <w:rPr>
          <w:i/>
          <w:lang w:bidi="ar-SA"/>
        </w:rPr>
      </w:pPr>
    </w:p>
    <w:p w14:paraId="21040DA1" w14:textId="77777777" w:rsidR="00B71E08" w:rsidRDefault="00B71E08" w:rsidP="00B71E08">
      <w:pPr>
        <w:rPr>
          <w:i/>
          <w:color w:val="000000" w:themeColor="text1"/>
          <w:lang w:bidi="ar-SA"/>
        </w:rPr>
      </w:pPr>
      <w:r w:rsidRPr="00816722">
        <w:rPr>
          <w:i/>
          <w:color w:val="000000" w:themeColor="text1"/>
          <w:lang w:bidi="ar-SA"/>
        </w:rPr>
        <w:t>Consumers</w:t>
      </w:r>
    </w:p>
    <w:p w14:paraId="338B92F6" w14:textId="77777777" w:rsidR="00B71E08" w:rsidRPr="00816722" w:rsidRDefault="00B71E08" w:rsidP="00B71E08">
      <w:pPr>
        <w:rPr>
          <w:i/>
          <w:color w:val="000000" w:themeColor="text1"/>
          <w:lang w:bidi="ar-SA"/>
        </w:rPr>
      </w:pPr>
    </w:p>
    <w:p w14:paraId="0C91A70F" w14:textId="06BB7F4D" w:rsidR="00B71E08" w:rsidRPr="00816722" w:rsidRDefault="00B71E08" w:rsidP="00B71E08">
      <w:pPr>
        <w:rPr>
          <w:color w:val="000000" w:themeColor="text1"/>
          <w:lang w:bidi="ar-SA"/>
        </w:rPr>
      </w:pPr>
      <w:r w:rsidRPr="00816722">
        <w:rPr>
          <w:color w:val="000000" w:themeColor="text1"/>
          <w:lang w:bidi="ar-SA"/>
        </w:rPr>
        <w:t>Industry may pass cost savings to consumers</w:t>
      </w:r>
      <w:r>
        <w:rPr>
          <w:color w:val="000000" w:themeColor="text1"/>
          <w:lang w:bidi="ar-SA"/>
        </w:rPr>
        <w:t>,</w:t>
      </w:r>
      <w:r w:rsidRPr="00816722">
        <w:rPr>
          <w:color w:val="000000" w:themeColor="text1"/>
          <w:lang w:bidi="ar-SA"/>
        </w:rPr>
        <w:t xml:space="preserve"> where it is cheaper to source</w:t>
      </w:r>
      <w:r>
        <w:rPr>
          <w:lang w:bidi="ar-SA"/>
        </w:rPr>
        <w:t xml:space="preserve"> </w:t>
      </w:r>
      <w:r w:rsidRPr="00B71E08">
        <w:rPr>
          <w:rStyle w:val="Heading5Char"/>
          <w:i w:val="0"/>
          <w:color w:val="000000" w:themeColor="text1"/>
        </w:rPr>
        <w:t>glucoamylase</w:t>
      </w:r>
      <w:r>
        <w:rPr>
          <w:color w:val="000000" w:themeColor="text1"/>
        </w:rPr>
        <w:t xml:space="preserve"> </w:t>
      </w:r>
      <w:r w:rsidRPr="008326BF">
        <w:rPr>
          <w:lang w:bidi="ar-SA"/>
        </w:rPr>
        <w:t>enzyme</w:t>
      </w:r>
      <w:r>
        <w:rPr>
          <w:color w:val="000000" w:themeColor="text1"/>
          <w:lang w:bidi="ar-SA"/>
        </w:rPr>
        <w:t xml:space="preserve"> </w:t>
      </w:r>
      <w:r w:rsidR="00E00B8D">
        <w:rPr>
          <w:color w:val="000000" w:themeColor="text1"/>
          <w:lang w:bidi="ar-SA"/>
        </w:rPr>
        <w:t xml:space="preserve">from this </w:t>
      </w:r>
      <w:r>
        <w:rPr>
          <w:color w:val="000000" w:themeColor="text1"/>
          <w:lang w:bidi="ar-SA"/>
        </w:rPr>
        <w:t xml:space="preserve">GM </w:t>
      </w:r>
      <w:r w:rsidR="00E00B8D">
        <w:rPr>
          <w:color w:val="000000" w:themeColor="text1"/>
          <w:lang w:bidi="ar-SA"/>
        </w:rPr>
        <w:t xml:space="preserve">strain of </w:t>
      </w:r>
      <w:r w:rsidRPr="00776E6F">
        <w:rPr>
          <w:i/>
        </w:rPr>
        <w:t>A. niger</w:t>
      </w:r>
      <w:r w:rsidR="004753BE">
        <w:rPr>
          <w:i/>
        </w:rPr>
        <w:t xml:space="preserve"> </w:t>
      </w:r>
      <w:r w:rsidR="004753BE" w:rsidRPr="00CE5793">
        <w:rPr>
          <w:iCs/>
        </w:rPr>
        <w:t>(gene donor</w:t>
      </w:r>
      <w:r w:rsidR="00CE5793" w:rsidRPr="00CE5793">
        <w:rPr>
          <w:iCs/>
        </w:rPr>
        <w:t xml:space="preserve">: </w:t>
      </w:r>
      <w:r w:rsidR="00CE5793" w:rsidRPr="00CE5793">
        <w:rPr>
          <w:i/>
        </w:rPr>
        <w:t>Penicillium oxalicum</w:t>
      </w:r>
      <w:r w:rsidR="00CE5793" w:rsidRPr="00CE5793">
        <w:rPr>
          <w:iCs/>
        </w:rPr>
        <w:t>)</w:t>
      </w:r>
      <w:r>
        <w:t xml:space="preserve"> </w:t>
      </w:r>
      <w:r>
        <w:rPr>
          <w:color w:val="000000" w:themeColor="text1"/>
        </w:rPr>
        <w:t>in production processes</w:t>
      </w:r>
      <w:r w:rsidRPr="00816722">
        <w:rPr>
          <w:color w:val="000000" w:themeColor="text1"/>
          <w:lang w:bidi="ar-SA"/>
        </w:rPr>
        <w:t xml:space="preserve">. </w:t>
      </w:r>
    </w:p>
    <w:p w14:paraId="4AC2AD0F" w14:textId="77777777" w:rsidR="00B71E08" w:rsidRPr="007E4065" w:rsidRDefault="00B71E08" w:rsidP="00B71E08">
      <w:pPr>
        <w:rPr>
          <w:lang w:bidi="ar-SA"/>
        </w:rPr>
      </w:pPr>
    </w:p>
    <w:p w14:paraId="297604A6" w14:textId="77777777" w:rsidR="00B71E08" w:rsidRPr="007E4065" w:rsidRDefault="00B71E08" w:rsidP="00B71E08">
      <w:pPr>
        <w:rPr>
          <w:i/>
          <w:lang w:bidi="ar-SA"/>
        </w:rPr>
      </w:pPr>
      <w:r w:rsidRPr="007E4065">
        <w:rPr>
          <w:i/>
          <w:lang w:bidi="ar-SA"/>
        </w:rPr>
        <w:t>Government</w:t>
      </w:r>
    </w:p>
    <w:p w14:paraId="2F9D12DF" w14:textId="77777777" w:rsidR="00B71E08" w:rsidRPr="007E4065" w:rsidRDefault="00B71E08" w:rsidP="00B71E08">
      <w:pPr>
        <w:rPr>
          <w:i/>
          <w:lang w:bidi="ar-SA"/>
        </w:rPr>
      </w:pPr>
    </w:p>
    <w:p w14:paraId="37E9C230" w14:textId="310E2329" w:rsidR="00B71E08" w:rsidRPr="007E4065" w:rsidRDefault="00B71E08" w:rsidP="00B71E08">
      <w:pPr>
        <w:rPr>
          <w:lang w:bidi="ar-SA"/>
        </w:rPr>
      </w:pPr>
      <w:r w:rsidRPr="007E4065">
        <w:rPr>
          <w:lang w:bidi="ar-SA"/>
        </w:rPr>
        <w:t xml:space="preserve">Permitting </w:t>
      </w:r>
      <w:r>
        <w:rPr>
          <w:lang w:bidi="ar-SA"/>
        </w:rPr>
        <w:t>the proposed use</w:t>
      </w:r>
      <w:r w:rsidRPr="007E4065">
        <w:rPr>
          <w:lang w:bidi="ar-SA"/>
        </w:rPr>
        <w:t xml:space="preserve"> of </w:t>
      </w:r>
      <w:r>
        <w:rPr>
          <w:lang w:bidi="ar-SA"/>
        </w:rPr>
        <w:t xml:space="preserve">this </w:t>
      </w:r>
      <w:r w:rsidRPr="00B71E08">
        <w:rPr>
          <w:rStyle w:val="Heading5Char"/>
          <w:i w:val="0"/>
          <w:color w:val="000000" w:themeColor="text1"/>
        </w:rPr>
        <w:t>glucoamylase</w:t>
      </w:r>
      <w:r>
        <w:rPr>
          <w:color w:val="000000" w:themeColor="text1"/>
        </w:rPr>
        <w:t xml:space="preserve"> </w:t>
      </w:r>
      <w:r w:rsidRPr="008326BF">
        <w:rPr>
          <w:lang w:bidi="ar-SA"/>
        </w:rPr>
        <w:t>enzyme</w:t>
      </w:r>
      <w:r w:rsidRPr="007E4065">
        <w:rPr>
          <w:lang w:bidi="ar-SA"/>
        </w:rPr>
        <w:t xml:space="preserve"> </w:t>
      </w:r>
      <w:r>
        <w:rPr>
          <w:lang w:bidi="ar-SA"/>
        </w:rPr>
        <w:t>m</w:t>
      </w:r>
      <w:r w:rsidRPr="007E4065">
        <w:rPr>
          <w:lang w:bidi="ar-SA"/>
        </w:rPr>
        <w:t xml:space="preserve">ay result in a small cost to government in terms of </w:t>
      </w:r>
      <w:r>
        <w:rPr>
          <w:lang w:bidi="ar-SA"/>
        </w:rPr>
        <w:t xml:space="preserve">an addition </w:t>
      </w:r>
      <w:r w:rsidRPr="007E4065">
        <w:rPr>
          <w:lang w:bidi="ar-SA"/>
        </w:rPr>
        <w:t>to the current range of</w:t>
      </w:r>
      <w:r>
        <w:rPr>
          <w:lang w:bidi="ar-SA"/>
        </w:rPr>
        <w:t xml:space="preserve"> sources of</w:t>
      </w:r>
      <w:r w:rsidRPr="007E4065">
        <w:rPr>
          <w:lang w:bidi="ar-SA"/>
        </w:rPr>
        <w:t xml:space="preserve"> processing aids that are monitored for compliance.</w:t>
      </w:r>
    </w:p>
    <w:p w14:paraId="1DCB88BA" w14:textId="77777777" w:rsidR="00B71E08" w:rsidRPr="007E4065" w:rsidRDefault="00B71E08" w:rsidP="00B71E08">
      <w:pPr>
        <w:rPr>
          <w:lang w:bidi="ar-SA"/>
        </w:rPr>
      </w:pPr>
    </w:p>
    <w:p w14:paraId="24490085" w14:textId="77777777" w:rsidR="00B71E08" w:rsidRDefault="00B71E08" w:rsidP="00B71E08">
      <w:pPr>
        <w:rPr>
          <w:i/>
          <w:color w:val="000000" w:themeColor="text1"/>
        </w:rPr>
      </w:pPr>
      <w:r w:rsidRPr="00816722">
        <w:rPr>
          <w:i/>
          <w:color w:val="000000" w:themeColor="text1"/>
        </w:rPr>
        <w:lastRenderedPageBreak/>
        <w:t>Conclusions from cost benefit considerations</w:t>
      </w:r>
    </w:p>
    <w:p w14:paraId="1FA5A398" w14:textId="77777777" w:rsidR="00B71E08" w:rsidRPr="00816722" w:rsidRDefault="00B71E08" w:rsidP="00B71E08">
      <w:pPr>
        <w:rPr>
          <w:i/>
          <w:color w:val="000000" w:themeColor="text1"/>
        </w:rPr>
      </w:pPr>
    </w:p>
    <w:p w14:paraId="79F34157" w14:textId="73A26D76" w:rsidR="00B102F7" w:rsidRPr="006F7649" w:rsidRDefault="00B71E08" w:rsidP="00B102F7">
      <w:pPr>
        <w:rPr>
          <w:color w:val="000000" w:themeColor="text1"/>
          <w:lang w:bidi="ar-SA"/>
        </w:rPr>
      </w:pPr>
      <w:r w:rsidRPr="00816722">
        <w:rPr>
          <w:color w:val="000000" w:themeColor="text1"/>
          <w:lang w:bidi="ar-SA"/>
        </w:rPr>
        <w:t xml:space="preserve">FSANZ’s assessment is that the direct and indirect benefits that would arise from permitting </w:t>
      </w:r>
      <w:r>
        <w:rPr>
          <w:color w:val="000000" w:themeColor="text1"/>
          <w:lang w:bidi="ar-SA"/>
        </w:rPr>
        <w:t xml:space="preserve">the proposed use of </w:t>
      </w:r>
      <w:r w:rsidR="00264C30" w:rsidRPr="00816722">
        <w:rPr>
          <w:color w:val="000000" w:themeColor="text1"/>
        </w:rPr>
        <w:t>th</w:t>
      </w:r>
      <w:r w:rsidR="00264C30">
        <w:rPr>
          <w:color w:val="000000" w:themeColor="text1"/>
        </w:rPr>
        <w:t>is</w:t>
      </w:r>
      <w:r w:rsidR="00264C30" w:rsidRPr="00816722">
        <w:rPr>
          <w:color w:val="000000" w:themeColor="text1"/>
        </w:rPr>
        <w:t xml:space="preserve"> </w:t>
      </w:r>
      <w:r w:rsidRPr="00816722">
        <w:rPr>
          <w:color w:val="000000" w:themeColor="text1"/>
        </w:rPr>
        <w:t>enzyme</w:t>
      </w:r>
      <w:r>
        <w:rPr>
          <w:color w:val="000000" w:themeColor="text1"/>
          <w:lang w:bidi="ar-SA"/>
        </w:rPr>
        <w:t xml:space="preserve"> (</w:t>
      </w:r>
      <w:r w:rsidRPr="000C4CBF">
        <w:rPr>
          <w:color w:val="000000" w:themeColor="text1"/>
          <w:lang w:bidi="ar-SA"/>
        </w:rPr>
        <w:t xml:space="preserve">as a processing aid in </w:t>
      </w:r>
      <w:r>
        <w:rPr>
          <w:lang w:val="en-AU" w:bidi="ar-SA"/>
        </w:rPr>
        <w:t xml:space="preserve">the </w:t>
      </w:r>
      <w:r w:rsidRPr="00B71E08">
        <w:rPr>
          <w:color w:val="000000" w:themeColor="text1"/>
        </w:rPr>
        <w:t xml:space="preserve">baking processes, brewing processes and </w:t>
      </w:r>
      <w:r w:rsidR="009C2912" w:rsidRPr="009C2912">
        <w:rPr>
          <w:color w:val="000000" w:themeColor="text1"/>
        </w:rPr>
        <w:t>starch processing for the production of starch hydrolys</w:t>
      </w:r>
      <w:r w:rsidR="009C2912">
        <w:rPr>
          <w:color w:val="000000" w:themeColor="text1"/>
        </w:rPr>
        <w:t>ates, including glucose syrups</w:t>
      </w:r>
      <w:r>
        <w:rPr>
          <w:lang w:val="en-AU" w:bidi="ar-SA"/>
        </w:rPr>
        <w:t>)</w:t>
      </w:r>
      <w:r>
        <w:rPr>
          <w:color w:val="000000" w:themeColor="text1"/>
        </w:rPr>
        <w:t xml:space="preserve"> </w:t>
      </w:r>
      <w:r w:rsidRPr="00816722">
        <w:rPr>
          <w:color w:val="000000" w:themeColor="text1"/>
          <w:lang w:bidi="ar-SA"/>
        </w:rPr>
        <w:t>most likely</w:t>
      </w:r>
      <w:r w:rsidR="006F7649">
        <w:rPr>
          <w:color w:val="000000" w:themeColor="text1"/>
          <w:lang w:bidi="ar-SA"/>
        </w:rPr>
        <w:t xml:space="preserve"> outweigh the associated costs.</w:t>
      </w:r>
    </w:p>
    <w:p w14:paraId="6C6CA300" w14:textId="77777777" w:rsidR="0099271B" w:rsidRDefault="0099271B" w:rsidP="0099271B">
      <w:pPr>
        <w:pStyle w:val="Heading4"/>
      </w:pPr>
      <w:r>
        <w:t>2.4.1.2</w:t>
      </w:r>
      <w:r>
        <w:tab/>
        <w:t>Other measures</w:t>
      </w:r>
    </w:p>
    <w:p w14:paraId="1EB632A2" w14:textId="6AAB85F5" w:rsidR="0099271B" w:rsidRPr="00534527" w:rsidRDefault="0099271B" w:rsidP="0099271B">
      <w:r>
        <w:t>There are no</w:t>
      </w:r>
      <w:r w:rsidRPr="007F7BF7">
        <w:t xml:space="preserve"> other measures </w:t>
      </w:r>
      <w:r>
        <w:t xml:space="preserve">(whether available to FSANZ or not) that </w:t>
      </w:r>
      <w:r w:rsidRPr="007F7BF7">
        <w:t>would</w:t>
      </w:r>
      <w:r>
        <w:t xml:space="preserve"> be more cost-effective than a food regulatory measure developed or varied as a result of the </w:t>
      </w:r>
      <w:r w:rsidR="00BA503B">
        <w:t>Ap</w:t>
      </w:r>
      <w:r w:rsidRPr="00AF210A">
        <w:t>plication.</w:t>
      </w:r>
    </w:p>
    <w:p w14:paraId="4EC13F9A" w14:textId="77777777" w:rsidR="0099271B" w:rsidRDefault="0099271B" w:rsidP="0099271B">
      <w:pPr>
        <w:pStyle w:val="Heading4"/>
      </w:pPr>
      <w:r>
        <w:t>2.4.1.3</w:t>
      </w:r>
      <w:r>
        <w:tab/>
        <w:t>A</w:t>
      </w:r>
      <w:r w:rsidRPr="00914030">
        <w:t>ny relevant New Zealand standards</w:t>
      </w:r>
    </w:p>
    <w:p w14:paraId="66B1CD1C" w14:textId="3CF75C5C" w:rsidR="0099271B" w:rsidRDefault="0099271B" w:rsidP="0099271B">
      <w:pPr>
        <w:rPr>
          <w:lang w:bidi="ar-SA"/>
        </w:rPr>
      </w:pPr>
      <w:r>
        <w:t>The relevant standards apply in</w:t>
      </w:r>
      <w:r w:rsidRPr="00F50F1B">
        <w:t xml:space="preserve"> both Australia and New Zealand and </w:t>
      </w:r>
      <w:r>
        <w:rPr>
          <w:lang w:bidi="ar-SA"/>
        </w:rPr>
        <w:t xml:space="preserve">there are no relevant New Zealand </w:t>
      </w:r>
      <w:r w:rsidR="00992E5F">
        <w:rPr>
          <w:lang w:bidi="ar-SA"/>
        </w:rPr>
        <w:t xml:space="preserve">only </w:t>
      </w:r>
      <w:r>
        <w:rPr>
          <w:lang w:bidi="ar-SA"/>
        </w:rPr>
        <w:t>Standards.</w:t>
      </w:r>
    </w:p>
    <w:p w14:paraId="4E16A707" w14:textId="77777777" w:rsidR="0099271B" w:rsidRDefault="0099271B" w:rsidP="0099271B">
      <w:pPr>
        <w:pStyle w:val="Heading4"/>
      </w:pPr>
      <w:r>
        <w:t>2.4.1.4</w:t>
      </w:r>
      <w:r>
        <w:tab/>
        <w:t>Any other relevant matters</w:t>
      </w:r>
    </w:p>
    <w:p w14:paraId="56129B0C" w14:textId="77777777" w:rsidR="0099271B" w:rsidRDefault="0099271B" w:rsidP="0099271B">
      <w:pPr>
        <w:rPr>
          <w:lang w:bidi="ar-SA"/>
        </w:rPr>
      </w:pPr>
      <w:r>
        <w:t>Other relevant matters are considered below</w:t>
      </w:r>
      <w:r>
        <w:rPr>
          <w:lang w:bidi="ar-SA"/>
        </w:rPr>
        <w:t>.</w:t>
      </w:r>
      <w:r>
        <w:t xml:space="preserve"> </w:t>
      </w:r>
    </w:p>
    <w:p w14:paraId="22D2FD98" w14:textId="77777777" w:rsidR="0099271B" w:rsidRPr="00E751D5" w:rsidRDefault="0099271B" w:rsidP="0099271B">
      <w:pPr>
        <w:pStyle w:val="Heading3"/>
      </w:pPr>
      <w:bookmarkStart w:id="111" w:name="_Toc96085447"/>
      <w:bookmarkStart w:id="112" w:name="_Toc100584108"/>
      <w:bookmarkStart w:id="113" w:name="_Toc110607924"/>
      <w:bookmarkStart w:id="114" w:name="_Toc114215694"/>
      <w:bookmarkStart w:id="115" w:name="_Toc300761897"/>
      <w:bookmarkStart w:id="116" w:name="_Toc300933440"/>
      <w:r w:rsidRPr="00E751D5">
        <w:t xml:space="preserve">2.4.2  </w:t>
      </w:r>
      <w:r>
        <w:t xml:space="preserve">  </w:t>
      </w:r>
      <w:r w:rsidRPr="00E751D5">
        <w:t>Subsection 18(1)</w:t>
      </w:r>
      <w:bookmarkEnd w:id="111"/>
      <w:bookmarkEnd w:id="112"/>
      <w:bookmarkEnd w:id="113"/>
      <w:bookmarkEnd w:id="114"/>
      <w:r w:rsidRPr="00E751D5">
        <w:t xml:space="preserve"> </w:t>
      </w:r>
      <w:bookmarkEnd w:id="115"/>
      <w:bookmarkEnd w:id="116"/>
    </w:p>
    <w:p w14:paraId="135768B8" w14:textId="77777777" w:rsidR="0099271B" w:rsidRPr="00914030" w:rsidRDefault="0099271B" w:rsidP="0099271B">
      <w:r>
        <w:rPr>
          <w:rFonts w:cs="Arial"/>
        </w:rPr>
        <w:t>FS</w:t>
      </w:r>
      <w:r w:rsidRPr="00914030">
        <w:rPr>
          <w:rFonts w:cs="Arial"/>
        </w:rPr>
        <w:t xml:space="preserve">ANZ has also </w:t>
      </w:r>
      <w:r w:rsidRPr="00914030">
        <w:t xml:space="preserve">considered the three objectives in subsection 18(1) of the </w:t>
      </w:r>
      <w:r>
        <w:t>FSANZ Act during the assessment.</w:t>
      </w:r>
    </w:p>
    <w:p w14:paraId="1B590CAC" w14:textId="77777777" w:rsidR="0099271B" w:rsidRPr="00914030" w:rsidRDefault="0099271B" w:rsidP="0099271B">
      <w:pPr>
        <w:pStyle w:val="Heading4"/>
        <w:rPr>
          <w:lang w:eastAsia="en-AU"/>
        </w:rPr>
      </w:pPr>
      <w:bookmarkStart w:id="117" w:name="_Toc297029117"/>
      <w:bookmarkStart w:id="118" w:name="_Toc300761898"/>
      <w:bookmarkStart w:id="119" w:name="_Toc300933441"/>
      <w:r>
        <w:rPr>
          <w:lang w:eastAsia="en-AU"/>
        </w:rPr>
        <w:t>2.4.2</w:t>
      </w:r>
      <w:r w:rsidRPr="00914030">
        <w:rPr>
          <w:lang w:eastAsia="en-AU"/>
        </w:rPr>
        <w:t>.1</w:t>
      </w:r>
      <w:r w:rsidRPr="00914030">
        <w:rPr>
          <w:lang w:eastAsia="en-AU"/>
        </w:rPr>
        <w:tab/>
        <w:t>Protection of public health and safety</w:t>
      </w:r>
      <w:bookmarkEnd w:id="117"/>
      <w:bookmarkEnd w:id="118"/>
      <w:bookmarkEnd w:id="119"/>
    </w:p>
    <w:p w14:paraId="4247F44E" w14:textId="77777777" w:rsidR="0099271B" w:rsidRPr="00AF210A" w:rsidRDefault="0099271B" w:rsidP="0099271B">
      <w:r w:rsidRPr="00AF210A">
        <w:t>FSANZ undertook a safety assessment (see SD1) and concluded there were no public health and safety concerns associated with the proposed use of this enzyme.</w:t>
      </w:r>
    </w:p>
    <w:p w14:paraId="5D743BA9" w14:textId="77777777" w:rsidR="0099271B" w:rsidRPr="00914030" w:rsidRDefault="0099271B" w:rsidP="0099271B">
      <w:pPr>
        <w:pStyle w:val="Heading4"/>
        <w:rPr>
          <w:lang w:eastAsia="en-AU"/>
        </w:rPr>
      </w:pPr>
      <w:bookmarkStart w:id="120" w:name="_Toc300761899"/>
      <w:bookmarkStart w:id="121" w:name="_Toc300933442"/>
      <w:r>
        <w:rPr>
          <w:lang w:eastAsia="en-AU"/>
        </w:rPr>
        <w:t>2.4.2.</w:t>
      </w:r>
      <w:r w:rsidRPr="00914030">
        <w:rPr>
          <w:lang w:eastAsia="en-AU"/>
        </w:rPr>
        <w:t>2</w:t>
      </w:r>
      <w:r w:rsidRPr="00914030">
        <w:rPr>
          <w:lang w:eastAsia="en-AU"/>
        </w:rPr>
        <w:tab/>
        <w:t>The provision of adequate information relating to food to enable consumers to make informed choices</w:t>
      </w:r>
      <w:bookmarkEnd w:id="120"/>
      <w:bookmarkEnd w:id="121"/>
    </w:p>
    <w:p w14:paraId="51D9E837" w14:textId="5CFDCC04" w:rsidR="0099271B" w:rsidRPr="00081FB5" w:rsidRDefault="0099271B" w:rsidP="0099271B">
      <w:bookmarkStart w:id="122" w:name="_Toc300761900"/>
      <w:bookmarkStart w:id="123" w:name="_Toc300933443"/>
      <w:r w:rsidRPr="00DF3D74">
        <w:t xml:space="preserve">The labelling </w:t>
      </w:r>
      <w:r w:rsidR="00D457E1">
        <w:t>requirements</w:t>
      </w:r>
      <w:r w:rsidRPr="00DF3D74">
        <w:t xml:space="preserve"> for </w:t>
      </w:r>
      <w:r w:rsidR="006D5649">
        <w:t>this</w:t>
      </w:r>
      <w:r>
        <w:t xml:space="preserve"> enzyme are discussed in S</w:t>
      </w:r>
      <w:r w:rsidRPr="00081FB5">
        <w:t>ection 2.2.3</w:t>
      </w:r>
      <w:r>
        <w:t xml:space="preserve"> of this report</w:t>
      </w:r>
      <w:r w:rsidRPr="00081FB5">
        <w:t xml:space="preserve">. </w:t>
      </w:r>
    </w:p>
    <w:p w14:paraId="2FAE79AC" w14:textId="77777777" w:rsidR="0099271B" w:rsidRPr="00914030" w:rsidRDefault="0099271B" w:rsidP="0099271B">
      <w:pPr>
        <w:pStyle w:val="Heading4"/>
        <w:rPr>
          <w:lang w:eastAsia="en-AU"/>
        </w:rPr>
      </w:pPr>
      <w:r>
        <w:rPr>
          <w:lang w:eastAsia="en-AU"/>
        </w:rPr>
        <w:t>2.4.2.</w:t>
      </w:r>
      <w:r w:rsidRPr="00914030">
        <w:rPr>
          <w:lang w:eastAsia="en-AU"/>
        </w:rPr>
        <w:t>3</w:t>
      </w:r>
      <w:r w:rsidRPr="00914030">
        <w:rPr>
          <w:lang w:eastAsia="en-AU"/>
        </w:rPr>
        <w:tab/>
        <w:t>The prevention of misleading or deceptive conduct</w:t>
      </w:r>
      <w:bookmarkEnd w:id="122"/>
      <w:bookmarkEnd w:id="123"/>
    </w:p>
    <w:p w14:paraId="537E8058" w14:textId="77777777" w:rsidR="0099271B" w:rsidRPr="007A6D49" w:rsidRDefault="0099271B" w:rsidP="0099271B">
      <w:r w:rsidRPr="007A6D49">
        <w:t>There are no issues identified with this application relevant to this objective.</w:t>
      </w:r>
    </w:p>
    <w:p w14:paraId="370E8709" w14:textId="77777777" w:rsidR="0099271B" w:rsidRPr="00914030" w:rsidRDefault="0099271B" w:rsidP="0099271B">
      <w:pPr>
        <w:pStyle w:val="Heading3"/>
      </w:pPr>
      <w:bookmarkStart w:id="124" w:name="_Toc300761901"/>
      <w:bookmarkStart w:id="125" w:name="_Toc300933444"/>
      <w:bookmarkStart w:id="126" w:name="_Toc96085448"/>
      <w:bookmarkStart w:id="127" w:name="_Toc100584109"/>
      <w:bookmarkStart w:id="128" w:name="_Toc110607925"/>
      <w:bookmarkStart w:id="129" w:name="_Toc114215695"/>
      <w:r>
        <w:t>2.4.3</w:t>
      </w:r>
      <w:r w:rsidRPr="00914030">
        <w:tab/>
        <w:t xml:space="preserve">Subsection 18(2) </w:t>
      </w:r>
      <w:bookmarkEnd w:id="124"/>
      <w:bookmarkEnd w:id="125"/>
      <w:r w:rsidRPr="00914030">
        <w:t>considerations</w:t>
      </w:r>
      <w:bookmarkEnd w:id="126"/>
      <w:bookmarkEnd w:id="127"/>
      <w:bookmarkEnd w:id="128"/>
      <w:bookmarkEnd w:id="129"/>
    </w:p>
    <w:p w14:paraId="435F40A8" w14:textId="77777777" w:rsidR="0099271B" w:rsidRPr="00914030" w:rsidRDefault="0099271B" w:rsidP="0099271B">
      <w:pPr>
        <w:rPr>
          <w:rFonts w:cs="Arial"/>
        </w:rPr>
      </w:pPr>
      <w:r w:rsidRPr="00914030">
        <w:rPr>
          <w:rFonts w:cs="Arial"/>
        </w:rPr>
        <w:t>FSANZ has also had regard to:</w:t>
      </w:r>
    </w:p>
    <w:p w14:paraId="38404573" w14:textId="77777777" w:rsidR="0099271B" w:rsidRPr="00914030" w:rsidRDefault="0099271B" w:rsidP="0099271B">
      <w:pPr>
        <w:rPr>
          <w:rFonts w:cs="Arial"/>
        </w:rPr>
      </w:pPr>
    </w:p>
    <w:p w14:paraId="14B50D25" w14:textId="77777777" w:rsidR="0099271B" w:rsidRDefault="0099271B" w:rsidP="0099271B">
      <w:pPr>
        <w:pStyle w:val="FSBullet1"/>
        <w:rPr>
          <w:b/>
        </w:rPr>
      </w:pPr>
      <w:r w:rsidRPr="008828D9">
        <w:rPr>
          <w:b/>
        </w:rPr>
        <w:t>the need for standards to be based on risk analysis using the best available scientific evidence</w:t>
      </w:r>
    </w:p>
    <w:p w14:paraId="00C5F90C" w14:textId="77777777" w:rsidR="0099271B" w:rsidRPr="009D19C8" w:rsidRDefault="0099271B" w:rsidP="0099271B">
      <w:pPr>
        <w:rPr>
          <w:lang w:bidi="ar-SA"/>
        </w:rPr>
      </w:pPr>
    </w:p>
    <w:p w14:paraId="45EFE21A" w14:textId="2FF3897C" w:rsidR="0099271B" w:rsidRDefault="0099271B" w:rsidP="0099271B">
      <w:pPr>
        <w:pStyle w:val="FSBullet1"/>
        <w:numPr>
          <w:ilvl w:val="0"/>
          <w:numId w:val="0"/>
        </w:numPr>
      </w:pPr>
      <w:r w:rsidRPr="00871CF9">
        <w:t>FSANZ used the best available scientific evidence to conduct the risk analysis</w:t>
      </w:r>
      <w:r>
        <w:t>,</w:t>
      </w:r>
      <w:r w:rsidRPr="00871CF9">
        <w:t xml:space="preserve"> </w:t>
      </w:r>
      <w:r>
        <w:t>which is provided in SD1</w:t>
      </w:r>
      <w:r w:rsidRPr="00871CF9">
        <w:t xml:space="preserve">. The </w:t>
      </w:r>
      <w:r>
        <w:t>a</w:t>
      </w:r>
      <w:r w:rsidRPr="00871CF9">
        <w:t xml:space="preserve">pplicant submitted a dossier of </w:t>
      </w:r>
      <w:r>
        <w:t xml:space="preserve">information and </w:t>
      </w:r>
      <w:r w:rsidRPr="00871CF9">
        <w:t xml:space="preserve">scientific </w:t>
      </w:r>
      <w:r>
        <w:t xml:space="preserve">literature </w:t>
      </w:r>
      <w:r w:rsidRPr="00871CF9">
        <w:t xml:space="preserve">as part of </w:t>
      </w:r>
      <w:r>
        <w:t>its</w:t>
      </w:r>
      <w:r w:rsidRPr="00871CF9">
        <w:t xml:space="preserve"> </w:t>
      </w:r>
      <w:r>
        <w:t>a</w:t>
      </w:r>
      <w:r w:rsidRPr="00871CF9">
        <w:t xml:space="preserve">pplication. </w:t>
      </w:r>
      <w:r>
        <w:t>This dossier, together with o</w:t>
      </w:r>
      <w:r w:rsidRPr="00871CF9">
        <w:t xml:space="preserve">ther technical </w:t>
      </w:r>
      <w:r>
        <w:t xml:space="preserve">and scientific </w:t>
      </w:r>
      <w:r w:rsidRPr="00871CF9">
        <w:t>information</w:t>
      </w:r>
      <w:r>
        <w:t>,</w:t>
      </w:r>
      <w:r w:rsidRPr="00871CF9">
        <w:t xml:space="preserve"> was </w:t>
      </w:r>
      <w:r>
        <w:t>considered by FSANZ</w:t>
      </w:r>
      <w:r w:rsidRPr="00871CF9">
        <w:t xml:space="preserve"> in assessing the </w:t>
      </w:r>
      <w:r>
        <w:t>a</w:t>
      </w:r>
      <w:r w:rsidRPr="00871CF9">
        <w:t>pplication</w:t>
      </w:r>
      <w:r>
        <w:t>.</w:t>
      </w:r>
    </w:p>
    <w:p w14:paraId="1EC1E7C0" w14:textId="77777777" w:rsidR="0099271B" w:rsidRPr="00534527" w:rsidRDefault="0099271B" w:rsidP="0099271B"/>
    <w:p w14:paraId="0FE469B3" w14:textId="77777777" w:rsidR="0099271B" w:rsidRPr="008828D9" w:rsidRDefault="0099271B" w:rsidP="0099271B">
      <w:pPr>
        <w:pStyle w:val="FSBullet1"/>
        <w:rPr>
          <w:b/>
        </w:rPr>
      </w:pPr>
      <w:r w:rsidRPr="008828D9">
        <w:rPr>
          <w:b/>
        </w:rPr>
        <w:t>the promotion of consistency between domestic and international food standards</w:t>
      </w:r>
    </w:p>
    <w:p w14:paraId="48B7AD4D" w14:textId="77777777" w:rsidR="0099271B" w:rsidRDefault="0099271B" w:rsidP="0099271B">
      <w:pPr>
        <w:rPr>
          <w:lang w:bidi="ar-SA"/>
        </w:rPr>
      </w:pPr>
    </w:p>
    <w:p w14:paraId="4980426E" w14:textId="3CC3EA3B" w:rsidR="0099271B" w:rsidRPr="005F1A32" w:rsidRDefault="0099271B" w:rsidP="788831B0">
      <w:pPr>
        <w:rPr>
          <w:highlight w:val="yellow"/>
        </w:rPr>
      </w:pPr>
      <w:r>
        <w:lastRenderedPageBreak/>
        <w:t xml:space="preserve">There are no Codex Alimentarius Standards for processing aids or enzymes. </w:t>
      </w:r>
      <w:r w:rsidR="002B58DD">
        <w:t>The enzyme processing aid</w:t>
      </w:r>
      <w:r>
        <w:t xml:space="preserve"> meets international specifications for enzyme preparations, being the JECFA </w:t>
      </w:r>
      <w:r w:rsidR="002B58DD">
        <w:t xml:space="preserve">Combined </w:t>
      </w:r>
      <w:r>
        <w:t>Compendium of Food Additive Specifications and the Food Chemicals Codex specifications for enzymes</w:t>
      </w:r>
      <w:r w:rsidR="002B58DD">
        <w:t xml:space="preserve"> referred to in Section 1.3 of this report.</w:t>
      </w:r>
      <w:r w:rsidR="00A23584">
        <w:t xml:space="preserve"> </w:t>
      </w:r>
      <w:r w:rsidR="00B220EC" w:rsidRPr="000C4127">
        <w:t>The applicant has advised that the enzyme is permitted for use in Denmark.</w:t>
      </w:r>
    </w:p>
    <w:p w14:paraId="50CF63FC" w14:textId="1B3555B5" w:rsidR="008828D9" w:rsidRPr="008828D9" w:rsidRDefault="008828D9" w:rsidP="008828D9">
      <w:pPr>
        <w:rPr>
          <w:lang w:bidi="ar-SA"/>
        </w:rPr>
      </w:pPr>
    </w:p>
    <w:p w14:paraId="3F3B9D14" w14:textId="77777777" w:rsidR="00022DBC" w:rsidRPr="008828D9" w:rsidRDefault="00022DBC" w:rsidP="00022DBC">
      <w:pPr>
        <w:pStyle w:val="FSBullet1"/>
        <w:rPr>
          <w:b/>
        </w:rPr>
      </w:pPr>
      <w:r w:rsidRPr="008828D9">
        <w:rPr>
          <w:b/>
        </w:rPr>
        <w:t>the desirability of an efficient and internationally competitive food industry</w:t>
      </w:r>
    </w:p>
    <w:p w14:paraId="6D05DCA2" w14:textId="77777777" w:rsidR="008828D9" w:rsidRDefault="008828D9" w:rsidP="008828D9">
      <w:pPr>
        <w:rPr>
          <w:lang w:bidi="ar-SA"/>
        </w:rPr>
      </w:pPr>
    </w:p>
    <w:p w14:paraId="635961C8" w14:textId="7FB54271" w:rsidR="002505D8" w:rsidRPr="002505D8" w:rsidRDefault="00992E5F" w:rsidP="002505D8">
      <w:r>
        <w:t>As mentioned above, t</w:t>
      </w:r>
      <w:r w:rsidR="002505D8">
        <w:t>he</w:t>
      </w:r>
      <w:r w:rsidR="00B220EC" w:rsidRPr="000C4127">
        <w:t xml:space="preserve"> applicant has advised that the enzyme is permitted for use in Denmark.</w:t>
      </w:r>
      <w:r w:rsidR="00B220EC">
        <w:t xml:space="preserve"> </w:t>
      </w:r>
      <w:r w:rsidR="002505D8">
        <w:t>Therefore, the approval for use of this enzyme would bring Australia and New Zealand into line with the other countries where it is already authorised for use. In this way, Australia and New Zealand will remain competitive with other international markets. This will also help foster continued innovation and improvements in food manufacturing techniques and processes.</w:t>
      </w:r>
    </w:p>
    <w:p w14:paraId="77092E4A" w14:textId="77777777" w:rsidR="002505D8" w:rsidRPr="002505D8" w:rsidRDefault="002505D8" w:rsidP="002505D8"/>
    <w:p w14:paraId="3641B7A8" w14:textId="138B5CDD" w:rsidR="002505D8" w:rsidRPr="002505D8" w:rsidRDefault="002505D8" w:rsidP="002505D8">
      <w:r w:rsidRPr="002505D8">
        <w:t xml:space="preserve">The conclusion of the risk assessment is there are no public health and safety concerns associated with the production microorganism or with using </w:t>
      </w:r>
      <w:r w:rsidR="004A22A2" w:rsidRPr="002505D8">
        <w:t>th</w:t>
      </w:r>
      <w:r w:rsidR="004A22A2">
        <w:t xml:space="preserve">is </w:t>
      </w:r>
      <w:r w:rsidR="000B2DA6">
        <w:t xml:space="preserve">protein engineered variant of glucoamylase </w:t>
      </w:r>
      <w:r w:rsidR="00D01DC3" w:rsidRPr="002505D8">
        <w:t>enzyme</w:t>
      </w:r>
      <w:r w:rsidR="00D01DC3">
        <w:t xml:space="preserve"> </w:t>
      </w:r>
      <w:r w:rsidR="000B2DA6">
        <w:t xml:space="preserve">(gene </w:t>
      </w:r>
      <w:proofErr w:type="spellStart"/>
      <w:r w:rsidR="000B2DA6">
        <w:t>donar</w:t>
      </w:r>
      <w:proofErr w:type="spellEnd"/>
      <w:r w:rsidR="000B2DA6">
        <w:t xml:space="preserve">: </w:t>
      </w:r>
      <w:r w:rsidR="000B2DA6">
        <w:rPr>
          <w:i/>
          <w:iCs/>
        </w:rPr>
        <w:t>P. oxa</w:t>
      </w:r>
      <w:r w:rsidR="005F6AF6">
        <w:rPr>
          <w:i/>
          <w:iCs/>
        </w:rPr>
        <w:t>licum</w:t>
      </w:r>
      <w:r w:rsidR="006B6FFE">
        <w:rPr>
          <w:i/>
          <w:iCs/>
        </w:rPr>
        <w:t xml:space="preserve">) </w:t>
      </w:r>
      <w:r w:rsidRPr="002505D8">
        <w:t xml:space="preserve">as a food processing aid. It is therefore appropriate that Australian and New Zealand food industries are given the opportunity to benefit from </w:t>
      </w:r>
      <w:r w:rsidR="00926C77">
        <w:t xml:space="preserve">the proposed use of </w:t>
      </w:r>
      <w:r w:rsidRPr="002505D8">
        <w:t>this alternative enzyme.</w:t>
      </w:r>
    </w:p>
    <w:p w14:paraId="122F7BBB" w14:textId="77777777" w:rsidR="002505D8" w:rsidRPr="002505D8" w:rsidRDefault="002505D8" w:rsidP="002505D8"/>
    <w:p w14:paraId="14EE20ED" w14:textId="21573A7D" w:rsidR="008828D9" w:rsidRPr="002505D8" w:rsidRDefault="002505D8" w:rsidP="002505D8">
      <w:r w:rsidRPr="002505D8">
        <w:t xml:space="preserve">Ultimately, the domestic food industry will make their own economic decisions, taking into account the costs and benefits of using </w:t>
      </w:r>
      <w:r w:rsidR="00363DA2" w:rsidRPr="002505D8">
        <w:t>th</w:t>
      </w:r>
      <w:r w:rsidR="00363DA2">
        <w:t>i</w:t>
      </w:r>
      <w:r w:rsidR="00D01DC3">
        <w:t>s</w:t>
      </w:r>
      <w:r w:rsidR="00D01DC3" w:rsidRPr="00D01DC3">
        <w:t xml:space="preserve"> </w:t>
      </w:r>
      <w:r w:rsidR="00D01DC3">
        <w:t xml:space="preserve">protein engineered variant of glucoamylase </w:t>
      </w:r>
      <w:r w:rsidR="00D01DC3" w:rsidRPr="002505D8">
        <w:t>enzyme</w:t>
      </w:r>
      <w:r w:rsidR="00D01DC3">
        <w:t xml:space="preserve"> (gene </w:t>
      </w:r>
      <w:proofErr w:type="spellStart"/>
      <w:r w:rsidR="00D01DC3">
        <w:t>donar</w:t>
      </w:r>
      <w:proofErr w:type="spellEnd"/>
      <w:r w:rsidR="00D01DC3">
        <w:t xml:space="preserve">: </w:t>
      </w:r>
      <w:r w:rsidR="00D01DC3">
        <w:rPr>
          <w:i/>
          <w:iCs/>
        </w:rPr>
        <w:t>P. oxalicum)</w:t>
      </w:r>
      <w:r w:rsidRPr="002505D8">
        <w:t>, to determine if it is of benefit to their particular business.</w:t>
      </w:r>
    </w:p>
    <w:p w14:paraId="0E71D122" w14:textId="77777777" w:rsidR="008828D9" w:rsidRPr="008828D9" w:rsidRDefault="008828D9" w:rsidP="008828D9">
      <w:pPr>
        <w:rPr>
          <w:lang w:bidi="ar-SA"/>
        </w:rPr>
      </w:pPr>
    </w:p>
    <w:p w14:paraId="3F70BF32" w14:textId="77777777" w:rsidR="00022DBC" w:rsidRPr="008828D9" w:rsidRDefault="00022DBC" w:rsidP="00022DBC">
      <w:pPr>
        <w:pStyle w:val="FSBullet1"/>
        <w:rPr>
          <w:b/>
        </w:rPr>
      </w:pPr>
      <w:r w:rsidRPr="008828D9">
        <w:rPr>
          <w:b/>
        </w:rPr>
        <w:t>the promotion of fair trading in food</w:t>
      </w:r>
    </w:p>
    <w:p w14:paraId="6363C3B1" w14:textId="77777777" w:rsidR="008828D9" w:rsidRDefault="008828D9" w:rsidP="008828D9">
      <w:pPr>
        <w:rPr>
          <w:lang w:bidi="ar-SA"/>
        </w:rPr>
      </w:pPr>
    </w:p>
    <w:p w14:paraId="0557580A" w14:textId="3F92DD0D" w:rsidR="008828D9" w:rsidRPr="001E042A" w:rsidRDefault="001E042A" w:rsidP="008828D9">
      <w:r w:rsidRPr="00100F37">
        <w:rPr>
          <w:lang w:bidi="ar-SA"/>
        </w:rPr>
        <w:t>No issues were identified for this application relevant to this objective</w:t>
      </w:r>
      <w:r w:rsidRPr="00F24C7A">
        <w:rPr>
          <w:lang w:bidi="ar-SA"/>
        </w:rPr>
        <w:t>.</w:t>
      </w:r>
    </w:p>
    <w:p w14:paraId="02D918FB" w14:textId="77777777" w:rsidR="008828D9" w:rsidRPr="008828D9" w:rsidRDefault="008828D9" w:rsidP="008828D9">
      <w:pPr>
        <w:rPr>
          <w:lang w:bidi="ar-SA"/>
        </w:rPr>
      </w:pPr>
    </w:p>
    <w:p w14:paraId="5DA00224" w14:textId="5F5BFF56" w:rsidR="00022DBC" w:rsidRPr="005E2F53" w:rsidRDefault="00022DBC" w:rsidP="00022DBC">
      <w:pPr>
        <w:pStyle w:val="FSBullet1"/>
      </w:pPr>
      <w:r w:rsidRPr="008828D9">
        <w:rPr>
          <w:b/>
        </w:rPr>
        <w:t xml:space="preserve">any written policy guidelines formulated by the </w:t>
      </w:r>
      <w:r w:rsidR="00214928">
        <w:rPr>
          <w:b/>
        </w:rPr>
        <w:t>Food Ministers’ Meeting</w:t>
      </w:r>
      <w:r w:rsidR="00214928">
        <w:rPr>
          <w:rStyle w:val="FootnoteReference"/>
          <w:b/>
        </w:rPr>
        <w:footnoteReference w:id="8"/>
      </w:r>
    </w:p>
    <w:p w14:paraId="5E7EF852" w14:textId="77777777" w:rsidR="00022DBC" w:rsidRDefault="00022DBC" w:rsidP="00022DBC">
      <w:pPr>
        <w:rPr>
          <w:lang w:bidi="ar-SA"/>
        </w:rPr>
      </w:pPr>
    </w:p>
    <w:p w14:paraId="51A5AB67" w14:textId="38D81BA5" w:rsidR="00A721DF" w:rsidRPr="002E0B4D" w:rsidRDefault="00A721DF" w:rsidP="00A721DF">
      <w:r w:rsidRPr="002E0B4D">
        <w:t xml:space="preserve">The Policy Guideline </w:t>
      </w:r>
      <w:r w:rsidRPr="002E6A6C">
        <w:rPr>
          <w:i/>
        </w:rPr>
        <w:t>Addition to Food of Substances other than Vitamins and Minerals</w:t>
      </w:r>
      <w:r w:rsidRPr="006364C4">
        <w:rPr>
          <w:sz w:val="20"/>
          <w:szCs w:val="20"/>
          <w:vertAlign w:val="superscript"/>
        </w:rPr>
        <w:footnoteReference w:id="9"/>
      </w:r>
      <w:r w:rsidRPr="002E0B4D">
        <w:t xml:space="preserve"> includes specific order policy principles for substances added to achieve a solely technological function, such as processing aids. These specific order policy principles state that permission should be granted where:</w:t>
      </w:r>
    </w:p>
    <w:p w14:paraId="5BAD6662" w14:textId="77777777" w:rsidR="00A721DF" w:rsidRPr="002E0B4D" w:rsidRDefault="00A721DF" w:rsidP="00A721DF"/>
    <w:p w14:paraId="263DA0E2" w14:textId="77777777" w:rsidR="00A721DF" w:rsidRDefault="00A721DF" w:rsidP="00A721DF">
      <w:pPr>
        <w:pStyle w:val="ListParagraph"/>
        <w:widowControl/>
        <w:numPr>
          <w:ilvl w:val="0"/>
          <w:numId w:val="10"/>
        </w:numPr>
        <w:rPr>
          <w:rFonts w:cs="Arial"/>
          <w:lang w:bidi="ar-SA"/>
        </w:rPr>
      </w:pPr>
      <w:r w:rsidRPr="002E0B4D">
        <w:rPr>
          <w:rFonts w:cs="Arial"/>
          <w:lang w:bidi="ar-SA"/>
        </w:rPr>
        <w:t>the purpose for adding the substance can be articulated clearly by the manufacturer as achieving a solely technological function (i.e. the ‘stated purpose’)</w:t>
      </w:r>
    </w:p>
    <w:p w14:paraId="2551CB6E" w14:textId="77777777" w:rsidR="00A721DF" w:rsidRDefault="00A721DF" w:rsidP="00A721DF">
      <w:pPr>
        <w:pStyle w:val="ListParagraph"/>
        <w:widowControl/>
        <w:numPr>
          <w:ilvl w:val="0"/>
          <w:numId w:val="10"/>
        </w:numPr>
        <w:rPr>
          <w:rFonts w:cs="Arial"/>
          <w:lang w:bidi="ar-SA"/>
        </w:rPr>
      </w:pPr>
      <w:r w:rsidRPr="002E0B4D">
        <w:rPr>
          <w:rFonts w:cs="Arial"/>
          <w:lang w:bidi="ar-SA"/>
        </w:rPr>
        <w:t>the addition of the substance to food is safe for human consumption</w:t>
      </w:r>
    </w:p>
    <w:p w14:paraId="4DF5FFD2" w14:textId="77777777" w:rsidR="00A721DF" w:rsidRPr="002E0B4D" w:rsidRDefault="00A721DF" w:rsidP="00A721DF">
      <w:pPr>
        <w:pStyle w:val="ListParagraph"/>
        <w:widowControl/>
        <w:numPr>
          <w:ilvl w:val="0"/>
          <w:numId w:val="10"/>
        </w:numPr>
        <w:rPr>
          <w:rFonts w:cs="Arial"/>
          <w:lang w:bidi="ar-SA"/>
        </w:rPr>
      </w:pPr>
      <w:r w:rsidRPr="002E0B4D">
        <w:rPr>
          <w:rFonts w:cs="Arial"/>
          <w:lang w:bidi="ar-SA"/>
        </w:rPr>
        <w:t>the amounts added are consistent with achieving the technological function</w:t>
      </w:r>
    </w:p>
    <w:p w14:paraId="7163F25A" w14:textId="77777777" w:rsidR="00A721DF" w:rsidRPr="002E0B4D" w:rsidRDefault="00A721DF" w:rsidP="00A721DF">
      <w:pPr>
        <w:pStyle w:val="ListParagraph"/>
        <w:widowControl/>
        <w:numPr>
          <w:ilvl w:val="0"/>
          <w:numId w:val="10"/>
        </w:numPr>
        <w:rPr>
          <w:rFonts w:cs="Arial"/>
          <w:lang w:bidi="ar-SA"/>
        </w:rPr>
      </w:pPr>
      <w:r w:rsidRPr="002E0B4D">
        <w:rPr>
          <w:rFonts w:cs="Arial"/>
          <w:lang w:bidi="ar-SA"/>
        </w:rPr>
        <w:t>the substance is added in a quantity and a form which is consistent with delivering the stated purpose</w:t>
      </w:r>
    </w:p>
    <w:p w14:paraId="22556973" w14:textId="77777777" w:rsidR="00A721DF" w:rsidRPr="002E0B4D" w:rsidRDefault="00A721DF" w:rsidP="00A721DF">
      <w:pPr>
        <w:pStyle w:val="ListParagraph"/>
        <w:widowControl/>
        <w:numPr>
          <w:ilvl w:val="0"/>
          <w:numId w:val="10"/>
        </w:numPr>
        <w:rPr>
          <w:rFonts w:cs="Arial"/>
          <w:lang w:bidi="ar-SA"/>
        </w:rPr>
      </w:pPr>
      <w:r w:rsidRPr="002E0B4D">
        <w:rPr>
          <w:rFonts w:cs="Arial"/>
          <w:lang w:bidi="ar-SA"/>
        </w:rPr>
        <w:t>no nutrition, health or related claims are to be made in regard to the substance.</w:t>
      </w:r>
    </w:p>
    <w:p w14:paraId="41BB12E8" w14:textId="77777777" w:rsidR="00A721DF" w:rsidRPr="002E0B4D" w:rsidRDefault="00A721DF" w:rsidP="00A721DF"/>
    <w:p w14:paraId="40D1159D" w14:textId="7AD7AF44" w:rsidR="00A721DF" w:rsidRPr="00C22433" w:rsidRDefault="00A721DF" w:rsidP="00A721DF">
      <w:r w:rsidRPr="002E0B4D">
        <w:t xml:space="preserve">FSANZ has determined that permitting the </w:t>
      </w:r>
      <w:r w:rsidR="00BE50DA">
        <w:t xml:space="preserve">proposed </w:t>
      </w:r>
      <w:r w:rsidRPr="002E0B4D">
        <w:t xml:space="preserve">use of </w:t>
      </w:r>
      <w:r>
        <w:t>this enzyme</w:t>
      </w:r>
      <w:r w:rsidR="00B477D6">
        <w:t xml:space="preserve"> as a processing aid</w:t>
      </w:r>
      <w:r w:rsidRPr="002E0B4D">
        <w:t xml:space="preserve"> is consistent with the specific order</w:t>
      </w:r>
      <w:r>
        <w:t xml:space="preserve"> policy</w:t>
      </w:r>
      <w:r w:rsidRPr="002E0B4D">
        <w:t xml:space="preserve"> principles for ‘Technological Function’.</w:t>
      </w:r>
      <w:r>
        <w:t xml:space="preserve"> All other requirements of the policy guidelines are similarly met.</w:t>
      </w:r>
    </w:p>
    <w:p w14:paraId="24DFA58F" w14:textId="77777777" w:rsidR="00E520FE" w:rsidRDefault="00E520FE" w:rsidP="00DD3C5E"/>
    <w:p w14:paraId="32DF2B01" w14:textId="46F9FFED" w:rsidR="005F7342" w:rsidRPr="001E042A" w:rsidRDefault="00867B23" w:rsidP="00E203C2">
      <w:pPr>
        <w:pStyle w:val="Heading1"/>
      </w:pPr>
      <w:bookmarkStart w:id="130" w:name="_Toc286391014"/>
      <w:bookmarkStart w:id="131" w:name="_Toc175381455"/>
      <w:bookmarkStart w:id="132" w:name="_Toc300933445"/>
      <w:bookmarkStart w:id="133" w:name="_Toc100584110"/>
      <w:bookmarkStart w:id="134" w:name="_Toc110607926"/>
      <w:bookmarkStart w:id="135" w:name="_Toc114215696"/>
      <w:bookmarkEnd w:id="48"/>
      <w:bookmarkEnd w:id="49"/>
      <w:bookmarkEnd w:id="50"/>
      <w:bookmarkEnd w:id="51"/>
      <w:bookmarkEnd w:id="52"/>
      <w:bookmarkEnd w:id="53"/>
      <w:bookmarkEnd w:id="74"/>
      <w:r>
        <w:lastRenderedPageBreak/>
        <w:t>3</w:t>
      </w:r>
      <w:r w:rsidR="00F604DE">
        <w:tab/>
      </w:r>
      <w:bookmarkEnd w:id="130"/>
      <w:bookmarkEnd w:id="131"/>
      <w:bookmarkEnd w:id="132"/>
      <w:r w:rsidR="00D14405">
        <w:t xml:space="preserve">Draft </w:t>
      </w:r>
      <w:r w:rsidR="00D14405" w:rsidRPr="001E042A">
        <w:t>variation</w:t>
      </w:r>
      <w:bookmarkEnd w:id="133"/>
      <w:bookmarkEnd w:id="134"/>
      <w:bookmarkEnd w:id="135"/>
    </w:p>
    <w:p w14:paraId="368186DA" w14:textId="036CA332" w:rsidR="00D209C9" w:rsidRPr="001E042A" w:rsidRDefault="00D209C9" w:rsidP="00D209C9">
      <w:r w:rsidRPr="001E042A">
        <w:t>The draft variation to the Code is at Attachment A and</w:t>
      </w:r>
      <w:r w:rsidR="003F3099">
        <w:t>, if approved,</w:t>
      </w:r>
      <w:r w:rsidRPr="001E042A">
        <w:t xml:space="preserve"> is intended to take effect on </w:t>
      </w:r>
      <w:r w:rsidR="001E042A" w:rsidRPr="001E042A">
        <w:t>gazettal.</w:t>
      </w:r>
    </w:p>
    <w:p w14:paraId="221F2998" w14:textId="77777777" w:rsidR="00D209C9" w:rsidRPr="001E1FAB" w:rsidRDefault="00D209C9" w:rsidP="00D209C9">
      <w:pPr>
        <w:rPr>
          <w:color w:val="000000" w:themeColor="text1"/>
        </w:rPr>
      </w:pPr>
    </w:p>
    <w:p w14:paraId="208B823D" w14:textId="77777777" w:rsidR="00A12B44" w:rsidRDefault="002C4A91" w:rsidP="00A12B44">
      <w:r>
        <w:t>A</w:t>
      </w:r>
      <w:r w:rsidR="005358B0">
        <w:t xml:space="preserve"> draft explanator</w:t>
      </w:r>
      <w:r w:rsidR="005358B0" w:rsidRPr="00D26814">
        <w:t>y statement</w:t>
      </w:r>
      <w:r w:rsidR="005358B0">
        <w:t xml:space="preserve"> </w:t>
      </w:r>
      <w:r>
        <w:t>is</w:t>
      </w:r>
      <w:r w:rsidR="005358B0">
        <w:t xml:space="preserve"> at Attachment B. </w:t>
      </w:r>
      <w:r w:rsidR="00D26814">
        <w:t xml:space="preserve">An </w:t>
      </w:r>
      <w:r w:rsidR="00D26814" w:rsidRPr="00D26814">
        <w:t xml:space="preserve">explanatory statement is required to accompany </w:t>
      </w:r>
      <w:r w:rsidR="00D26814">
        <w:t>an</w:t>
      </w:r>
      <w:r w:rsidR="00D26814" w:rsidRPr="00D26814">
        <w:t xml:space="preserve"> instrument </w:t>
      </w:r>
      <w:r w:rsidR="00D26814">
        <w:t>if it is</w:t>
      </w:r>
      <w:r w:rsidR="00D26814" w:rsidRPr="00D26814">
        <w:t xml:space="preserve"> lodged on the Federal Register of Legislati</w:t>
      </w:r>
      <w:r w:rsidR="004D6BBF">
        <w:t>on</w:t>
      </w:r>
      <w:r w:rsidR="00D26814">
        <w:t xml:space="preserve">. </w:t>
      </w:r>
    </w:p>
    <w:p w14:paraId="693EDE4F" w14:textId="3712F49B" w:rsidR="00D157F1" w:rsidRDefault="00D157F1" w:rsidP="00A12B44">
      <w:pPr>
        <w:rPr>
          <w:u w:val="single"/>
        </w:rPr>
      </w:pPr>
    </w:p>
    <w:p w14:paraId="0C84E2B1" w14:textId="77777777" w:rsidR="00D157F1" w:rsidRDefault="00D157F1" w:rsidP="00D157F1">
      <w:pPr>
        <w:pStyle w:val="Heading1"/>
      </w:pPr>
      <w:bookmarkStart w:id="136" w:name="_Toc300933452"/>
      <w:bookmarkStart w:id="137" w:name="_Toc87259505"/>
      <w:bookmarkStart w:id="138" w:name="_Toc110607927"/>
      <w:bookmarkStart w:id="139" w:name="_Toc114215697"/>
      <w:r w:rsidRPr="00D157F1">
        <w:t>4</w:t>
      </w:r>
      <w:r w:rsidRPr="00D157F1">
        <w:tab/>
        <w:t>R</w:t>
      </w:r>
      <w:bookmarkEnd w:id="136"/>
      <w:r w:rsidRPr="00D157F1">
        <w:t>eferences</w:t>
      </w:r>
      <w:bookmarkEnd w:id="137"/>
      <w:bookmarkEnd w:id="138"/>
      <w:bookmarkEnd w:id="139"/>
    </w:p>
    <w:p w14:paraId="29E4C994" w14:textId="77777777" w:rsidR="00D157F1" w:rsidRPr="006E3623" w:rsidRDefault="00D157F1" w:rsidP="00D157F1">
      <w:pPr>
        <w:rPr>
          <w:color w:val="808080" w:themeColor="background1" w:themeShade="80"/>
          <w:sz w:val="20"/>
          <w:szCs w:val="20"/>
        </w:rPr>
      </w:pPr>
      <w:r w:rsidRPr="006E3623">
        <w:rPr>
          <w:sz w:val="20"/>
          <w:szCs w:val="20"/>
        </w:rPr>
        <w:t xml:space="preserve">FAO/WHO (2006) Combined compendium of food additive specifications, Food and Agriculture Organization of the United Nations, Rome. </w:t>
      </w:r>
      <w:hyperlink r:id="rId32" w:history="1">
        <w:r w:rsidRPr="006E3623">
          <w:rPr>
            <w:rStyle w:val="Hyperlink"/>
            <w:sz w:val="20"/>
          </w:rPr>
          <w:t>http://www.fao.org/docrep/009/a0691e/A0691E03.htm</w:t>
        </w:r>
      </w:hyperlink>
      <w:r w:rsidRPr="006E3623">
        <w:rPr>
          <w:rStyle w:val="Hyperlink"/>
          <w:sz w:val="20"/>
        </w:rPr>
        <w:t xml:space="preserve">  </w:t>
      </w:r>
      <w:r w:rsidRPr="006E3623">
        <w:rPr>
          <w:color w:val="808080" w:themeColor="background1" w:themeShade="80"/>
          <w:sz w:val="20"/>
          <w:szCs w:val="20"/>
        </w:rPr>
        <w:t xml:space="preserve"> </w:t>
      </w:r>
    </w:p>
    <w:p w14:paraId="4915F47A" w14:textId="77777777" w:rsidR="00D157F1" w:rsidRPr="006E3623" w:rsidRDefault="00D157F1" w:rsidP="00D157F1">
      <w:pPr>
        <w:rPr>
          <w:sz w:val="20"/>
          <w:szCs w:val="20"/>
        </w:rPr>
      </w:pPr>
    </w:p>
    <w:p w14:paraId="6A50D19F" w14:textId="03EC7002" w:rsidR="00D157F1" w:rsidRPr="006E3623" w:rsidRDefault="00F152A6" w:rsidP="00D157F1">
      <w:pPr>
        <w:rPr>
          <w:sz w:val="20"/>
          <w:szCs w:val="20"/>
        </w:rPr>
      </w:pPr>
      <w:r w:rsidRPr="006E3623">
        <w:rPr>
          <w:sz w:val="20"/>
          <w:szCs w:val="20"/>
        </w:rPr>
        <w:t xml:space="preserve">IUBMB </w:t>
      </w:r>
      <w:r w:rsidR="006E3623" w:rsidRPr="006E3623">
        <w:rPr>
          <w:sz w:val="20"/>
          <w:szCs w:val="20"/>
        </w:rPr>
        <w:t>EC 3.2</w:t>
      </w:r>
      <w:r w:rsidR="00D157F1" w:rsidRPr="006E3623">
        <w:rPr>
          <w:sz w:val="20"/>
          <w:szCs w:val="20"/>
        </w:rPr>
        <w:t>.1</w:t>
      </w:r>
      <w:r w:rsidRPr="006E3623">
        <w:rPr>
          <w:sz w:val="20"/>
          <w:szCs w:val="20"/>
        </w:rPr>
        <w:t>.</w:t>
      </w:r>
      <w:r w:rsidR="00D157F1" w:rsidRPr="006E3623">
        <w:rPr>
          <w:sz w:val="20"/>
          <w:szCs w:val="20"/>
        </w:rPr>
        <w:t xml:space="preserve">3. </w:t>
      </w:r>
      <w:hyperlink r:id="rId33" w:history="1">
        <w:r w:rsidR="006E3623" w:rsidRPr="006E3623">
          <w:rPr>
            <w:rStyle w:val="Hyperlink"/>
            <w:sz w:val="20"/>
            <w:szCs w:val="20"/>
          </w:rPr>
          <w:t>https://iubmb.qmul.ac.uk/enzyme/EC3/2/1/3.html</w:t>
        </w:r>
      </w:hyperlink>
      <w:r w:rsidR="006E3623" w:rsidRPr="006E3623">
        <w:rPr>
          <w:sz w:val="20"/>
          <w:szCs w:val="20"/>
        </w:rPr>
        <w:t xml:space="preserve">. </w:t>
      </w:r>
    </w:p>
    <w:p w14:paraId="3986B0C8" w14:textId="77777777" w:rsidR="00D157F1" w:rsidRPr="006E3623" w:rsidRDefault="00D157F1" w:rsidP="00D157F1">
      <w:pPr>
        <w:rPr>
          <w:sz w:val="20"/>
        </w:rPr>
      </w:pPr>
    </w:p>
    <w:p w14:paraId="7F38B155" w14:textId="77777777" w:rsidR="00D157F1" w:rsidRDefault="00D157F1" w:rsidP="00D157F1">
      <w:pPr>
        <w:rPr>
          <w:color w:val="3333FF"/>
          <w:sz w:val="20"/>
        </w:rPr>
      </w:pPr>
      <w:r w:rsidRPr="006E3623">
        <w:rPr>
          <w:sz w:val="20"/>
          <w:szCs w:val="20"/>
        </w:rPr>
        <w:t>The United States Pharmacopeia (2020) Food Chemicals Codex 12</w:t>
      </w:r>
      <w:r w:rsidRPr="006E3623">
        <w:rPr>
          <w:sz w:val="20"/>
          <w:szCs w:val="20"/>
          <w:vertAlign w:val="superscript"/>
        </w:rPr>
        <w:t>th</w:t>
      </w:r>
      <w:r w:rsidRPr="006E3623">
        <w:rPr>
          <w:sz w:val="20"/>
          <w:szCs w:val="20"/>
        </w:rPr>
        <w:t xml:space="preserve"> Edition, United States Pharmacopeial Convention, Rockville, MD. </w:t>
      </w:r>
      <w:hyperlink r:id="rId34" w:history="1">
        <w:r w:rsidRPr="006E3623">
          <w:rPr>
            <w:rStyle w:val="Hyperlink"/>
            <w:sz w:val="20"/>
          </w:rPr>
          <w:t>http://publications.usp.org/</w:t>
        </w:r>
      </w:hyperlink>
    </w:p>
    <w:p w14:paraId="2F636915" w14:textId="77777777" w:rsidR="003C4969" w:rsidRPr="00924C80" w:rsidRDefault="00924C80" w:rsidP="002432EE">
      <w:pPr>
        <w:spacing w:before="240"/>
        <w:rPr>
          <w:b/>
          <w:sz w:val="28"/>
          <w:szCs w:val="28"/>
        </w:rPr>
      </w:pPr>
      <w:r w:rsidRPr="00924C80">
        <w:rPr>
          <w:b/>
          <w:sz w:val="28"/>
          <w:szCs w:val="28"/>
        </w:rPr>
        <w:t>A</w:t>
      </w:r>
      <w:r>
        <w:rPr>
          <w:b/>
          <w:sz w:val="28"/>
          <w:szCs w:val="28"/>
        </w:rPr>
        <w:t>ttachments</w:t>
      </w:r>
    </w:p>
    <w:p w14:paraId="13C31C14" w14:textId="77777777" w:rsidR="00A4175D" w:rsidRPr="00E203C2" w:rsidRDefault="00A4175D" w:rsidP="00AF06FC"/>
    <w:p w14:paraId="3F18EFC0" w14:textId="2BF277C7" w:rsidR="00AB0275" w:rsidRPr="003F3099" w:rsidRDefault="00AB0275" w:rsidP="00AB0275">
      <w:pPr>
        <w:ind w:left="567" w:hanging="567"/>
      </w:pPr>
      <w:r>
        <w:t>A.</w:t>
      </w:r>
      <w:r>
        <w:tab/>
      </w:r>
      <w:r w:rsidR="00D2071E">
        <w:t>D</w:t>
      </w:r>
      <w:r>
        <w:t>raft variation to the</w:t>
      </w:r>
      <w:r w:rsidR="002C4A91">
        <w:t xml:space="preserve"> </w:t>
      </w:r>
      <w:r w:rsidRPr="00D11655">
        <w:t>Australia New Zealand Food Standards Code</w:t>
      </w:r>
      <w:r w:rsidR="002C4A91" w:rsidRPr="003F3099">
        <w:t xml:space="preserve"> </w:t>
      </w:r>
    </w:p>
    <w:p w14:paraId="6AFF9B3B" w14:textId="2D72248B" w:rsidR="00D60568" w:rsidRPr="00E203C2" w:rsidRDefault="00AB0275" w:rsidP="00F66FBB">
      <w:pPr>
        <w:ind w:left="567" w:hanging="567"/>
      </w:pPr>
      <w:r w:rsidRPr="00456BD5">
        <w:t>B.</w:t>
      </w:r>
      <w:r w:rsidRPr="00456BD5">
        <w:tab/>
      </w:r>
      <w:r w:rsidR="002C4A91">
        <w:t xml:space="preserve">Draft </w:t>
      </w:r>
      <w:r>
        <w:t xml:space="preserve">Explanatory Statement </w:t>
      </w:r>
    </w:p>
    <w:p w14:paraId="6AF32356" w14:textId="1113BD39" w:rsidR="001A5F58" w:rsidRDefault="00AB0275" w:rsidP="00AB0275">
      <w:pPr>
        <w:pStyle w:val="Heading2"/>
        <w:ind w:left="0" w:firstLine="0"/>
        <w:rPr>
          <w:i/>
        </w:rPr>
      </w:pPr>
      <w:bookmarkStart w:id="140" w:name="_Toc300933454"/>
      <w:r w:rsidRPr="00932F14">
        <w:br w:type="page"/>
      </w:r>
      <w:bookmarkStart w:id="141" w:name="_Toc29883131"/>
      <w:bookmarkStart w:id="142" w:name="_Toc41906818"/>
      <w:bookmarkStart w:id="143" w:name="_Toc41907565"/>
      <w:bookmarkStart w:id="144" w:name="_Toc120358596"/>
      <w:bookmarkStart w:id="145" w:name="_Toc175381458"/>
      <w:bookmarkStart w:id="146" w:name="_Toc11735644"/>
      <w:bookmarkStart w:id="147" w:name="_Toc415572037"/>
      <w:bookmarkStart w:id="148" w:name="_Toc100584111"/>
      <w:bookmarkStart w:id="149" w:name="_Toc110607928"/>
      <w:bookmarkStart w:id="150" w:name="_Toc114215698"/>
      <w:r w:rsidRPr="00932F14">
        <w:lastRenderedPageBreak/>
        <w:t xml:space="preserve">Attachment </w:t>
      </w:r>
      <w:bookmarkEnd w:id="141"/>
      <w:bookmarkEnd w:id="142"/>
      <w:bookmarkEnd w:id="143"/>
      <w:bookmarkEnd w:id="144"/>
      <w:bookmarkEnd w:id="145"/>
      <w:r>
        <w:t>A</w:t>
      </w:r>
      <w:bookmarkStart w:id="151" w:name="_Toc120358597"/>
      <w:bookmarkStart w:id="152" w:name="_Toc175381459"/>
      <w:bookmarkEnd w:id="146"/>
      <w:r>
        <w:t xml:space="preserve"> –</w:t>
      </w:r>
      <w:r w:rsidR="00CA3C65">
        <w:t xml:space="preserve"> </w:t>
      </w:r>
      <w:bookmarkStart w:id="153" w:name="_Toc415572039"/>
      <w:bookmarkEnd w:id="140"/>
      <w:bookmarkEnd w:id="147"/>
      <w:bookmarkEnd w:id="151"/>
      <w:bookmarkEnd w:id="152"/>
      <w:r w:rsidR="00CA3C65">
        <w:t>D</w:t>
      </w:r>
      <w:r>
        <w:t xml:space="preserve">raft </w:t>
      </w:r>
      <w:r w:rsidRPr="00932F14">
        <w:t>variation to the</w:t>
      </w:r>
      <w:r w:rsidRPr="00755F02">
        <w:t xml:space="preserve"> </w:t>
      </w:r>
      <w:r w:rsidRPr="00D11655">
        <w:t>Australia New Zealand Food Standards Code</w:t>
      </w:r>
      <w:bookmarkEnd w:id="148"/>
      <w:bookmarkEnd w:id="149"/>
      <w:bookmarkEnd w:id="150"/>
      <w:r>
        <w:rPr>
          <w:i/>
        </w:rPr>
        <w:t xml:space="preserve"> </w:t>
      </w:r>
      <w:bookmarkEnd w:id="153"/>
    </w:p>
    <w:p w14:paraId="5C013A26" w14:textId="77777777" w:rsidR="000A5F03" w:rsidRPr="00C0014E" w:rsidRDefault="000A5F03" w:rsidP="000A5F03">
      <w:pPr>
        <w:rPr>
          <w:noProof/>
          <w:sz w:val="20"/>
          <w:lang w:val="en-AU" w:eastAsia="en-AU"/>
        </w:rPr>
      </w:pPr>
      <w:r w:rsidRPr="00C0014E">
        <w:rPr>
          <w:noProof/>
          <w:sz w:val="20"/>
          <w:lang w:eastAsia="en-GB" w:bidi="ar-SA"/>
        </w:rPr>
        <w:drawing>
          <wp:inline distT="0" distB="0" distL="0" distR="0" wp14:anchorId="03D46B08" wp14:editId="071AC250">
            <wp:extent cx="2657475" cy="438150"/>
            <wp:effectExtent l="0" t="0" r="9525" b="0"/>
            <wp:docPr id="1"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6209B19" w14:textId="77777777" w:rsidR="000A5F03" w:rsidRPr="006153A1" w:rsidRDefault="000A5F03" w:rsidP="000A5F03">
      <w:pPr>
        <w:pBdr>
          <w:bottom w:val="single" w:sz="4" w:space="1" w:color="auto"/>
        </w:pBdr>
        <w:rPr>
          <w:b/>
          <w:bCs/>
        </w:rPr>
      </w:pPr>
    </w:p>
    <w:p w14:paraId="1BEAD903" w14:textId="77777777" w:rsidR="000A5F03" w:rsidRDefault="000A5F03" w:rsidP="000A5F03">
      <w:pPr>
        <w:pBdr>
          <w:bottom w:val="single" w:sz="4" w:space="1" w:color="auto"/>
        </w:pBdr>
        <w:rPr>
          <w:b/>
          <w:sz w:val="20"/>
        </w:rPr>
      </w:pPr>
      <w:r w:rsidRPr="006153A1">
        <w:rPr>
          <w:b/>
          <w:sz w:val="20"/>
        </w:rPr>
        <w:t>Food Standards (</w:t>
      </w:r>
      <w:r>
        <w:rPr>
          <w:b/>
          <w:sz w:val="20"/>
        </w:rPr>
        <w:t>Application A1252</w:t>
      </w:r>
      <w:r w:rsidRPr="00F618DF">
        <w:rPr>
          <w:b/>
          <w:sz w:val="20"/>
        </w:rPr>
        <w:t xml:space="preserve"> </w:t>
      </w:r>
      <w:r w:rsidRPr="00A32232">
        <w:rPr>
          <w:b/>
          <w:sz w:val="20"/>
        </w:rPr>
        <w:t>–</w:t>
      </w:r>
      <w:r>
        <w:rPr>
          <w:b/>
          <w:sz w:val="20"/>
        </w:rPr>
        <w:t xml:space="preserve"> </w:t>
      </w:r>
      <w:r w:rsidRPr="003A6CD2">
        <w:rPr>
          <w:b/>
          <w:sz w:val="20"/>
        </w:rPr>
        <w:t xml:space="preserve">Glucoamylase from GM </w:t>
      </w:r>
      <w:r w:rsidRPr="003A6CD2">
        <w:rPr>
          <w:b/>
          <w:i/>
          <w:sz w:val="20"/>
        </w:rPr>
        <w:t>Aspergillus niger</w:t>
      </w:r>
      <w:r w:rsidRPr="003A6CD2">
        <w:rPr>
          <w:b/>
          <w:sz w:val="20"/>
        </w:rPr>
        <w:t xml:space="preserve"> (gene donor: </w:t>
      </w:r>
      <w:r w:rsidRPr="003A6CD2">
        <w:rPr>
          <w:b/>
          <w:i/>
          <w:sz w:val="20"/>
        </w:rPr>
        <w:t>Penicillium oxalicum</w:t>
      </w:r>
      <w:r w:rsidRPr="003A6CD2">
        <w:rPr>
          <w:b/>
          <w:sz w:val="20"/>
        </w:rPr>
        <w:t>) as a processing aid</w:t>
      </w:r>
      <w:r>
        <w:rPr>
          <w:b/>
          <w:sz w:val="20"/>
        </w:rPr>
        <w:t>)</w:t>
      </w:r>
      <w:r w:rsidRPr="00C0014E">
        <w:rPr>
          <w:b/>
          <w:sz w:val="20"/>
        </w:rPr>
        <w:t xml:space="preserve"> Variation</w:t>
      </w:r>
    </w:p>
    <w:p w14:paraId="1B941425" w14:textId="77777777" w:rsidR="000A5F03" w:rsidRPr="00C0014E" w:rsidRDefault="000A5F03" w:rsidP="000A5F03">
      <w:pPr>
        <w:pBdr>
          <w:bottom w:val="single" w:sz="4" w:space="1" w:color="auto"/>
        </w:pBdr>
        <w:rPr>
          <w:b/>
          <w:sz w:val="20"/>
        </w:rPr>
      </w:pPr>
    </w:p>
    <w:p w14:paraId="1AD590EE" w14:textId="77777777" w:rsidR="000A5F03" w:rsidRPr="008F2616" w:rsidRDefault="000A5F03" w:rsidP="000A5F03">
      <w:pPr>
        <w:rPr>
          <w:sz w:val="20"/>
        </w:rPr>
      </w:pPr>
    </w:p>
    <w:p w14:paraId="0E25CADD" w14:textId="77777777" w:rsidR="000A5F03" w:rsidRPr="008F2616" w:rsidRDefault="000A5F03" w:rsidP="000A5F03">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5AE42FF0" w14:textId="77777777" w:rsidR="000A5F03" w:rsidRPr="008F2616" w:rsidRDefault="000A5F03" w:rsidP="000A5F03">
      <w:pPr>
        <w:rPr>
          <w:sz w:val="20"/>
        </w:rPr>
      </w:pPr>
    </w:p>
    <w:p w14:paraId="7F0FF81B" w14:textId="77777777" w:rsidR="000A5F03" w:rsidRPr="008F2616" w:rsidRDefault="000A5F03" w:rsidP="000A5F03">
      <w:pPr>
        <w:rPr>
          <w:sz w:val="20"/>
        </w:rPr>
      </w:pPr>
      <w:r w:rsidRPr="008F2616">
        <w:rPr>
          <w:sz w:val="20"/>
        </w:rPr>
        <w:t xml:space="preserve">Dated </w:t>
      </w:r>
      <w:r w:rsidRPr="008267DB">
        <w:rPr>
          <w:color w:val="FF0000"/>
          <w:sz w:val="20"/>
        </w:rPr>
        <w:t>[To be completed by the Delegate]</w:t>
      </w:r>
    </w:p>
    <w:p w14:paraId="22AE0F8F" w14:textId="77777777" w:rsidR="000A5F03" w:rsidRPr="008F2616" w:rsidRDefault="000A5F03" w:rsidP="000A5F03">
      <w:pPr>
        <w:rPr>
          <w:sz w:val="20"/>
        </w:rPr>
      </w:pPr>
    </w:p>
    <w:p w14:paraId="0A979C39" w14:textId="77777777" w:rsidR="000A5F03" w:rsidRPr="008F2616" w:rsidRDefault="000A5F03" w:rsidP="000A5F03">
      <w:pPr>
        <w:rPr>
          <w:sz w:val="20"/>
        </w:rPr>
      </w:pPr>
    </w:p>
    <w:p w14:paraId="7550DDD1" w14:textId="77777777" w:rsidR="000A5F03" w:rsidRDefault="000A5F03" w:rsidP="000A5F03">
      <w:pPr>
        <w:rPr>
          <w:sz w:val="20"/>
        </w:rPr>
      </w:pPr>
    </w:p>
    <w:p w14:paraId="3A5A9416" w14:textId="77777777" w:rsidR="000A5F03" w:rsidRDefault="000A5F03" w:rsidP="000A5F03">
      <w:pPr>
        <w:rPr>
          <w:sz w:val="20"/>
        </w:rPr>
      </w:pPr>
    </w:p>
    <w:p w14:paraId="3FEFDEE4" w14:textId="77777777" w:rsidR="000A5F03" w:rsidRPr="008F2616" w:rsidRDefault="000A5F03" w:rsidP="000A5F03">
      <w:pPr>
        <w:rPr>
          <w:sz w:val="20"/>
        </w:rPr>
      </w:pPr>
    </w:p>
    <w:p w14:paraId="7046B4EE" w14:textId="77777777" w:rsidR="000A5F03" w:rsidRPr="008F2616" w:rsidRDefault="000A5F03" w:rsidP="000A5F03">
      <w:pPr>
        <w:rPr>
          <w:sz w:val="20"/>
        </w:rPr>
      </w:pPr>
    </w:p>
    <w:p w14:paraId="63980213" w14:textId="77777777" w:rsidR="000A5F03" w:rsidRPr="008267DB" w:rsidRDefault="000A5F03" w:rsidP="000A5F03">
      <w:pPr>
        <w:rPr>
          <w:color w:val="FF0000"/>
          <w:sz w:val="20"/>
        </w:rPr>
      </w:pPr>
      <w:r w:rsidRPr="008267DB">
        <w:rPr>
          <w:color w:val="FF0000"/>
          <w:sz w:val="20"/>
        </w:rPr>
        <w:t>[Insert Delegate’s name and position title]</w:t>
      </w:r>
    </w:p>
    <w:p w14:paraId="5994773B" w14:textId="77777777" w:rsidR="000A5F03" w:rsidRPr="008F2616" w:rsidRDefault="000A5F03" w:rsidP="000A5F03">
      <w:pPr>
        <w:rPr>
          <w:sz w:val="20"/>
        </w:rPr>
      </w:pPr>
      <w:r w:rsidRPr="008F2616">
        <w:rPr>
          <w:sz w:val="20"/>
        </w:rPr>
        <w:t>Delegate of the Board of Food Standards Australia New Zealand</w:t>
      </w:r>
    </w:p>
    <w:p w14:paraId="2FAEF497" w14:textId="77777777" w:rsidR="000A5F03" w:rsidRDefault="000A5F03" w:rsidP="000A5F03">
      <w:pPr>
        <w:rPr>
          <w:sz w:val="20"/>
        </w:rPr>
      </w:pPr>
    </w:p>
    <w:p w14:paraId="65EA1CBF" w14:textId="77777777" w:rsidR="000A5F03" w:rsidRDefault="000A5F03" w:rsidP="000A5F03">
      <w:pPr>
        <w:rPr>
          <w:sz w:val="20"/>
        </w:rPr>
      </w:pPr>
    </w:p>
    <w:p w14:paraId="615DA7B2" w14:textId="77777777" w:rsidR="000A5F03" w:rsidRDefault="000A5F03" w:rsidP="000A5F03">
      <w:pPr>
        <w:rPr>
          <w:sz w:val="20"/>
        </w:rPr>
      </w:pPr>
    </w:p>
    <w:p w14:paraId="60F74F79" w14:textId="77777777" w:rsidR="000A5F03" w:rsidRDefault="000A5F03" w:rsidP="000A5F03">
      <w:pPr>
        <w:rPr>
          <w:sz w:val="20"/>
        </w:rPr>
      </w:pPr>
    </w:p>
    <w:p w14:paraId="0AB0BFCF" w14:textId="77777777" w:rsidR="000A5F03" w:rsidRDefault="000A5F03" w:rsidP="000A5F03">
      <w:pPr>
        <w:rPr>
          <w:sz w:val="20"/>
        </w:rPr>
      </w:pPr>
    </w:p>
    <w:p w14:paraId="39BB1C6D" w14:textId="77777777" w:rsidR="000A5F03" w:rsidRPr="00360C8F" w:rsidRDefault="000A5F03" w:rsidP="000A5F03">
      <w:pPr>
        <w:pBdr>
          <w:top w:val="single" w:sz="4" w:space="1" w:color="auto"/>
          <w:left w:val="single" w:sz="4" w:space="4" w:color="auto"/>
          <w:bottom w:val="single" w:sz="4" w:space="1" w:color="auto"/>
          <w:right w:val="single" w:sz="4" w:space="4" w:color="auto"/>
        </w:pBdr>
        <w:rPr>
          <w:b/>
          <w:sz w:val="20"/>
          <w:lang w:val="en-AU"/>
        </w:rPr>
      </w:pPr>
      <w:r w:rsidRPr="00360C8F">
        <w:rPr>
          <w:b/>
          <w:sz w:val="20"/>
          <w:lang w:val="en-AU"/>
        </w:rPr>
        <w:t xml:space="preserve">Note:  </w:t>
      </w:r>
    </w:p>
    <w:p w14:paraId="5A3E4C3A" w14:textId="77777777" w:rsidR="000A5F03" w:rsidRPr="00360C8F" w:rsidRDefault="000A5F03" w:rsidP="000A5F03">
      <w:pPr>
        <w:pBdr>
          <w:top w:val="single" w:sz="4" w:space="1" w:color="auto"/>
          <w:left w:val="single" w:sz="4" w:space="4" w:color="auto"/>
          <w:bottom w:val="single" w:sz="4" w:space="1" w:color="auto"/>
          <w:right w:val="single" w:sz="4" w:space="4" w:color="auto"/>
        </w:pBdr>
        <w:rPr>
          <w:sz w:val="20"/>
          <w:lang w:val="en-AU"/>
        </w:rPr>
      </w:pPr>
    </w:p>
    <w:p w14:paraId="22FF239D" w14:textId="77777777" w:rsidR="000A5F03" w:rsidRPr="00360C8F" w:rsidRDefault="000A5F03" w:rsidP="000A5F03">
      <w:pPr>
        <w:pBdr>
          <w:top w:val="single" w:sz="4" w:space="1" w:color="auto"/>
          <w:left w:val="single" w:sz="4" w:space="4" w:color="auto"/>
          <w:bottom w:val="single" w:sz="4" w:space="1" w:color="auto"/>
          <w:right w:val="single" w:sz="4" w:space="4" w:color="auto"/>
        </w:pBdr>
        <w:rPr>
          <w:sz w:val="20"/>
          <w:lang w:val="en-AU"/>
        </w:rPr>
      </w:pPr>
      <w:r w:rsidRPr="00360C8F">
        <w:rPr>
          <w:sz w:val="20"/>
          <w:lang w:val="en-AU"/>
        </w:rPr>
        <w:t xml:space="preserve">This variation will be published in the Commonwealth of Australia Gazette No. FSC </w:t>
      </w:r>
      <w:r w:rsidRPr="00360C8F">
        <w:rPr>
          <w:color w:val="FF0000"/>
          <w:sz w:val="20"/>
          <w:lang w:val="en-AU"/>
        </w:rPr>
        <w:t>XX on XX Month 20XX</w:t>
      </w:r>
      <w:r w:rsidRPr="00360C8F">
        <w:rPr>
          <w:sz w:val="20"/>
          <w:lang w:val="en-AU"/>
        </w:rPr>
        <w:t xml:space="preserve">. This means that this date is the gazettal date for the purposes of clause 3 of the variation. </w:t>
      </w:r>
    </w:p>
    <w:p w14:paraId="31061002" w14:textId="77777777" w:rsidR="000A5F03" w:rsidRDefault="000A5F03" w:rsidP="000A5F03">
      <w:pPr>
        <w:rPr>
          <w:sz w:val="20"/>
        </w:rPr>
      </w:pPr>
    </w:p>
    <w:p w14:paraId="50A0EBA0" w14:textId="77777777" w:rsidR="000A5F03" w:rsidRDefault="000A5F03" w:rsidP="000A5F03">
      <w:pPr>
        <w:widowControl/>
        <w:rPr>
          <w:sz w:val="20"/>
        </w:rPr>
      </w:pPr>
      <w:r>
        <w:rPr>
          <w:sz w:val="20"/>
        </w:rPr>
        <w:br w:type="page"/>
      </w:r>
    </w:p>
    <w:p w14:paraId="487C3D3B" w14:textId="77777777" w:rsidR="000A5F03" w:rsidRPr="005F585D" w:rsidRDefault="000A5F03" w:rsidP="000A5F03">
      <w:pPr>
        <w:pStyle w:val="FSCDraftingitemheading"/>
      </w:pPr>
      <w:r w:rsidRPr="00D433B1">
        <w:lastRenderedPageBreak/>
        <w:t>1</w:t>
      </w:r>
      <w:r w:rsidRPr="00D433B1">
        <w:tab/>
        <w:t>Name</w:t>
      </w:r>
    </w:p>
    <w:p w14:paraId="6145CDAF" w14:textId="77777777" w:rsidR="000A5F03" w:rsidRPr="00F618DF" w:rsidRDefault="000A5F03" w:rsidP="000A5F03">
      <w:pPr>
        <w:pStyle w:val="FSCDraftingitem"/>
      </w:pPr>
      <w:r w:rsidRPr="00DB170D">
        <w:t xml:space="preserve">This instrument is the </w:t>
      </w:r>
      <w:r w:rsidRPr="00792F7C">
        <w:rPr>
          <w:i/>
        </w:rPr>
        <w:t>Food Standards (</w:t>
      </w:r>
      <w:r w:rsidRPr="003A6CD2">
        <w:rPr>
          <w:i/>
        </w:rPr>
        <w:t xml:space="preserve">Application A1252 – Glucoamylase from GM </w:t>
      </w:r>
      <w:r w:rsidRPr="003A6CD2">
        <w:t>Aspergillus niger</w:t>
      </w:r>
      <w:r w:rsidRPr="003A6CD2">
        <w:rPr>
          <w:i/>
        </w:rPr>
        <w:t xml:space="preserve"> (gene donor: </w:t>
      </w:r>
      <w:r w:rsidRPr="003A6CD2">
        <w:t>Penicillium oxalicum</w:t>
      </w:r>
      <w:r w:rsidRPr="003A6CD2">
        <w:rPr>
          <w:i/>
        </w:rPr>
        <w:t>) as a processing aid) Variation</w:t>
      </w:r>
      <w:r w:rsidRPr="00F618DF">
        <w:t>.</w:t>
      </w:r>
    </w:p>
    <w:p w14:paraId="4DF096D4" w14:textId="77777777" w:rsidR="000A5F03" w:rsidRPr="00EF05C6" w:rsidRDefault="000A5F03" w:rsidP="000A5F03">
      <w:pPr>
        <w:pStyle w:val="FSCDraftingitemheading"/>
      </w:pPr>
      <w:r w:rsidRPr="00D433B1">
        <w:t>2</w:t>
      </w:r>
      <w:r w:rsidRPr="00D433B1">
        <w:tab/>
        <w:t xml:space="preserve">Variation to </w:t>
      </w:r>
      <w:r w:rsidRPr="00EF05C6">
        <w:t xml:space="preserve">a </w:t>
      </w:r>
      <w:r>
        <w:t>S</w:t>
      </w:r>
      <w:r w:rsidRPr="00EF05C6">
        <w:t xml:space="preserve">tandard in the </w:t>
      </w:r>
      <w:r w:rsidRPr="00EF05C6">
        <w:rPr>
          <w:i/>
        </w:rPr>
        <w:t>Australia New Zealand Food Standards Code</w:t>
      </w:r>
    </w:p>
    <w:p w14:paraId="21D71E35" w14:textId="77777777" w:rsidR="000A5F03" w:rsidRDefault="000A5F03" w:rsidP="000A5F03">
      <w:pPr>
        <w:pStyle w:val="FSCDraftingitem"/>
      </w:pPr>
      <w:r w:rsidRPr="00EF05C6">
        <w:t xml:space="preserve">The Schedule varies a Standard in </w:t>
      </w:r>
      <w:r>
        <w:t xml:space="preserve">the </w:t>
      </w:r>
      <w:r w:rsidRPr="00792F7C">
        <w:rPr>
          <w:i/>
        </w:rPr>
        <w:t>Australia New Zealand Food Standards Code</w:t>
      </w:r>
      <w:r>
        <w:t>.</w:t>
      </w:r>
    </w:p>
    <w:p w14:paraId="54AE8CE7" w14:textId="77777777" w:rsidR="000A5F03" w:rsidRPr="00D433B1" w:rsidRDefault="000A5F03" w:rsidP="000A5F03">
      <w:pPr>
        <w:pStyle w:val="FSCDraftingitemheading"/>
      </w:pPr>
      <w:r w:rsidRPr="00D433B1">
        <w:t>3</w:t>
      </w:r>
      <w:r w:rsidRPr="00D433B1">
        <w:tab/>
        <w:t>Commencement</w:t>
      </w:r>
    </w:p>
    <w:p w14:paraId="476055DB" w14:textId="77777777" w:rsidR="000A5F03" w:rsidRDefault="000A5F03" w:rsidP="000A5F03">
      <w:pPr>
        <w:pStyle w:val="FSCDraftingitem"/>
      </w:pPr>
      <w:r>
        <w:t>The variation commenc</w:t>
      </w:r>
      <w:r w:rsidRPr="000055C4">
        <w:t>e</w:t>
      </w:r>
      <w:r>
        <w:t>s</w:t>
      </w:r>
      <w:r w:rsidRPr="000055C4">
        <w:t xml:space="preserve"> on</w:t>
      </w:r>
      <w:r>
        <w:t xml:space="preserve"> the date of gazettal.</w:t>
      </w:r>
    </w:p>
    <w:p w14:paraId="55CA8787" w14:textId="77777777" w:rsidR="000A5F03" w:rsidRPr="00D433B1" w:rsidRDefault="000A5F03" w:rsidP="000A5F03">
      <w:pPr>
        <w:jc w:val="center"/>
        <w:rPr>
          <w:b/>
          <w:sz w:val="20"/>
        </w:rPr>
      </w:pPr>
      <w:r w:rsidRPr="00D433B1">
        <w:rPr>
          <w:b/>
          <w:sz w:val="20"/>
        </w:rPr>
        <w:t>Schedule</w:t>
      </w:r>
    </w:p>
    <w:p w14:paraId="55BE1F22" w14:textId="77777777" w:rsidR="000A5F03" w:rsidRPr="00371BF5" w:rsidRDefault="000A5F03" w:rsidP="000A5F03">
      <w:pPr>
        <w:pStyle w:val="FSCDraftingitemheading"/>
        <w:rPr>
          <w:color w:val="000000" w:themeColor="text1"/>
        </w:rPr>
      </w:pPr>
      <w:r w:rsidRPr="00371BF5">
        <w:rPr>
          <w:color w:val="000000" w:themeColor="text1"/>
          <w:lang w:bidi="en-US"/>
        </w:rPr>
        <w:t>Schedule 18</w:t>
      </w:r>
      <w:r>
        <w:rPr>
          <w:lang w:bidi="en-US"/>
        </w:rPr>
        <w:t>—Processing aids</w:t>
      </w:r>
      <w:r w:rsidRPr="00371BF5">
        <w:rPr>
          <w:color w:val="000000" w:themeColor="text1"/>
          <w:lang w:bidi="en-US"/>
        </w:rPr>
        <w:t xml:space="preserve"> </w:t>
      </w:r>
    </w:p>
    <w:p w14:paraId="79BD3410" w14:textId="77777777" w:rsidR="000A5F03" w:rsidRPr="00DC3DAD" w:rsidRDefault="000A5F03" w:rsidP="000A5F03">
      <w:pPr>
        <w:pStyle w:val="FSCDraftingitemheading"/>
      </w:pPr>
      <w:r w:rsidRPr="00DC3DAD">
        <w:rPr>
          <w:color w:val="000000" w:themeColor="text1"/>
        </w:rPr>
        <w:t>[1]</w:t>
      </w:r>
      <w:r w:rsidRPr="00371BF5">
        <w:rPr>
          <w:color w:val="000000" w:themeColor="text1"/>
        </w:rPr>
        <w:tab/>
      </w:r>
      <w:r w:rsidRPr="00DC3DAD">
        <w:t>Subsection S18—9(3) (table)</w:t>
      </w:r>
    </w:p>
    <w:p w14:paraId="6A834C69" w14:textId="77777777" w:rsidR="000A5F03" w:rsidRDefault="000A5F03" w:rsidP="000A5F03">
      <w:pPr>
        <w:pStyle w:val="FSCDraftingitem"/>
      </w:pPr>
      <w:r w:rsidRPr="00DC3DAD">
        <w:tab/>
        <w:t>Insert:</w:t>
      </w:r>
    </w:p>
    <w:tbl>
      <w:tblPr>
        <w:tblStyle w:val="TableGrid2"/>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603"/>
        <w:gridCol w:w="2349"/>
      </w:tblGrid>
      <w:tr w:rsidR="000A5F03" w:rsidRPr="00DC3DAD" w14:paraId="20E329A2" w14:textId="77777777" w:rsidTr="002D0D41">
        <w:trPr>
          <w:jc w:val="center"/>
        </w:trPr>
        <w:tc>
          <w:tcPr>
            <w:tcW w:w="3120" w:type="dxa"/>
          </w:tcPr>
          <w:p w14:paraId="4A174910" w14:textId="49C0B15A" w:rsidR="000A5F03" w:rsidRPr="00C5785C" w:rsidRDefault="000A5F03" w:rsidP="002D0D41">
            <w:pPr>
              <w:pStyle w:val="FSCtblMain"/>
              <w:rPr>
                <w:i/>
              </w:rPr>
            </w:pPr>
            <w:r>
              <w:t>Gl</w:t>
            </w:r>
            <w:r w:rsidRPr="003A6CD2">
              <w:t>ucoamylase</w:t>
            </w:r>
            <w:r w:rsidR="0036261D">
              <w:t>,</w:t>
            </w:r>
            <w:r>
              <w:rPr>
                <w:color w:val="000000"/>
                <w:szCs w:val="18"/>
                <w:shd w:val="clear" w:color="auto" w:fill="FFFFFF"/>
              </w:rPr>
              <w:t> protein engineered variant,</w:t>
            </w:r>
            <w:r>
              <w:t xml:space="preserve"> (EC 3.2.1.3</w:t>
            </w:r>
            <w:r w:rsidRPr="005B76FA">
              <w:t xml:space="preserve">) sourced from </w:t>
            </w:r>
            <w:r w:rsidRPr="00C5785C">
              <w:rPr>
                <w:i/>
              </w:rPr>
              <w:t>Aspergillus niger</w:t>
            </w:r>
            <w:r>
              <w:t xml:space="preserve"> containing the gl</w:t>
            </w:r>
            <w:r w:rsidRPr="003A6CD2">
              <w:t>ucoamylase</w:t>
            </w:r>
            <w:r>
              <w:t xml:space="preserve"> gene from </w:t>
            </w:r>
            <w:r>
              <w:rPr>
                <w:i/>
              </w:rPr>
              <w:t>Penicillium oxalicum</w:t>
            </w:r>
          </w:p>
        </w:tc>
        <w:tc>
          <w:tcPr>
            <w:tcW w:w="3603" w:type="dxa"/>
          </w:tcPr>
          <w:p w14:paraId="7A5ABA62" w14:textId="77777777" w:rsidR="000A5F03" w:rsidRPr="00DC3DAD" w:rsidRDefault="000A5F03" w:rsidP="002D0D41">
            <w:pPr>
              <w:pStyle w:val="FSCtblMain"/>
            </w:pPr>
            <w:r>
              <w:t>For use</w:t>
            </w:r>
            <w:r w:rsidRPr="00DC3DAD">
              <w:t xml:space="preserve"> </w:t>
            </w:r>
            <w:r>
              <w:t>in</w:t>
            </w:r>
            <w:r w:rsidRPr="00DC3DAD">
              <w:t>:</w:t>
            </w:r>
          </w:p>
          <w:p w14:paraId="05AD3E10" w14:textId="77777777" w:rsidR="000A5F03" w:rsidRDefault="000A5F03" w:rsidP="002D0D41">
            <w:pPr>
              <w:pStyle w:val="FSCtblPara"/>
              <w:ind w:left="314" w:hanging="314"/>
              <w:rPr>
                <w:rFonts w:eastAsia="Calibri"/>
              </w:rPr>
            </w:pPr>
            <w:r>
              <w:rPr>
                <w:rFonts w:eastAsia="Calibri"/>
              </w:rPr>
              <w:t xml:space="preserve">(a)  </w:t>
            </w:r>
            <w:r w:rsidRPr="00325887">
              <w:rPr>
                <w:rFonts w:eastAsia="Calibri"/>
              </w:rPr>
              <w:t xml:space="preserve">the </w:t>
            </w:r>
            <w:r>
              <w:rPr>
                <w:rFonts w:eastAsia="Calibri"/>
              </w:rPr>
              <w:t>manufacture of bakery products;</w:t>
            </w:r>
          </w:p>
          <w:p w14:paraId="6232940C" w14:textId="77777777" w:rsidR="000A5F03" w:rsidRDefault="000A5F03" w:rsidP="002D0D41">
            <w:pPr>
              <w:pStyle w:val="FSCtblPara"/>
              <w:ind w:left="314" w:hanging="314"/>
              <w:rPr>
                <w:rFonts w:eastAsia="Calibri"/>
              </w:rPr>
            </w:pPr>
            <w:r>
              <w:rPr>
                <w:rFonts w:eastAsia="Calibri"/>
              </w:rPr>
              <w:t>(b)  brewing; and</w:t>
            </w:r>
          </w:p>
          <w:p w14:paraId="49667EF4" w14:textId="5F110C80" w:rsidR="000A5F03" w:rsidRPr="00C5785C" w:rsidRDefault="000A5F03" w:rsidP="002D0D41">
            <w:pPr>
              <w:pStyle w:val="FSCtblPara"/>
              <w:ind w:left="314" w:hanging="314"/>
              <w:rPr>
                <w:rFonts w:eastAsia="Calibri"/>
              </w:rPr>
            </w:pPr>
            <w:r>
              <w:rPr>
                <w:rFonts w:eastAsia="Calibri"/>
              </w:rPr>
              <w:t>(c)  starch processing for the production of starch hydrolysates, including glucose syrups.</w:t>
            </w:r>
          </w:p>
        </w:tc>
        <w:tc>
          <w:tcPr>
            <w:tcW w:w="2349" w:type="dxa"/>
          </w:tcPr>
          <w:p w14:paraId="7C21345F" w14:textId="77777777" w:rsidR="000A5F03" w:rsidRPr="00DC3DAD" w:rsidRDefault="000A5F03" w:rsidP="002D0D41">
            <w:pPr>
              <w:pStyle w:val="FSCtblMain"/>
            </w:pPr>
            <w:r w:rsidRPr="00DC3DAD">
              <w:t>GMP</w:t>
            </w:r>
          </w:p>
        </w:tc>
      </w:tr>
    </w:tbl>
    <w:p w14:paraId="45C0EEEA" w14:textId="77777777" w:rsidR="000A5F03" w:rsidRDefault="000A5F03" w:rsidP="000A5F03">
      <w:pPr>
        <w:pStyle w:val="FSCDraftingitem"/>
      </w:pPr>
    </w:p>
    <w:p w14:paraId="159A504A" w14:textId="642A78A8" w:rsidR="000A5F03" w:rsidRPr="009B3DD5" w:rsidRDefault="000A5F03" w:rsidP="00BB34DC">
      <w:pPr>
        <w:pStyle w:val="FSCnMain"/>
      </w:pPr>
    </w:p>
    <w:p w14:paraId="5C06F315" w14:textId="77777777" w:rsidR="000A5F03" w:rsidRDefault="000A5F03" w:rsidP="009B3DD5">
      <w:pPr>
        <w:widowControl/>
        <w:tabs>
          <w:tab w:val="left" w:pos="851"/>
        </w:tabs>
        <w:spacing w:before="120" w:after="120"/>
      </w:pPr>
    </w:p>
    <w:p w14:paraId="11A8626B" w14:textId="77777777" w:rsidR="000A5F03" w:rsidRDefault="000A5F03" w:rsidP="000A5F03">
      <w:pPr>
        <w:pStyle w:val="FSCDraftingitem"/>
      </w:pPr>
    </w:p>
    <w:p w14:paraId="3D4EE695" w14:textId="77777777" w:rsidR="001A5F58" w:rsidRDefault="001A5F58">
      <w:pPr>
        <w:widowControl/>
        <w:rPr>
          <w:rFonts w:cs="Arial"/>
          <w:b/>
          <w:bCs/>
          <w:i/>
          <w:sz w:val="28"/>
          <w:szCs w:val="22"/>
          <w:lang w:bidi="ar-SA"/>
        </w:rPr>
      </w:pPr>
      <w:r>
        <w:rPr>
          <w:i/>
        </w:rPr>
        <w:br w:type="page"/>
      </w:r>
    </w:p>
    <w:p w14:paraId="3CA0D5A0" w14:textId="72D3DDE4" w:rsidR="00AB0275" w:rsidRDefault="002C4A91" w:rsidP="00AB0275">
      <w:pPr>
        <w:pStyle w:val="Heading2"/>
        <w:ind w:left="0" w:firstLine="0"/>
      </w:pPr>
      <w:bookmarkStart w:id="154" w:name="_Toc100584112"/>
      <w:bookmarkStart w:id="155" w:name="_Toc110607929"/>
      <w:bookmarkStart w:id="156" w:name="_Toc114215699"/>
      <w:r w:rsidRPr="00932F14">
        <w:lastRenderedPageBreak/>
        <w:t xml:space="preserve">Attachment </w:t>
      </w:r>
      <w:r>
        <w:t xml:space="preserve">B – </w:t>
      </w:r>
      <w:r w:rsidR="00AB0275">
        <w:t>Draft Explanatory Statement</w:t>
      </w:r>
      <w:bookmarkEnd w:id="154"/>
      <w:bookmarkEnd w:id="155"/>
      <w:bookmarkEnd w:id="156"/>
    </w:p>
    <w:p w14:paraId="22E58BD0" w14:textId="77777777" w:rsidR="0002552D" w:rsidRPr="000576EB" w:rsidRDefault="0002552D" w:rsidP="0002552D">
      <w:pPr>
        <w:rPr>
          <w:b/>
          <w:lang w:val="en-AU" w:eastAsia="en-GB" w:bidi="ar-SA"/>
        </w:rPr>
      </w:pPr>
      <w:r w:rsidRPr="000576EB">
        <w:rPr>
          <w:b/>
          <w:lang w:val="en-AU" w:eastAsia="en-GB" w:bidi="ar-SA"/>
        </w:rPr>
        <w:t>1.</w:t>
      </w:r>
      <w:r w:rsidRPr="000576EB">
        <w:rPr>
          <w:b/>
          <w:lang w:val="en-AU" w:eastAsia="en-GB" w:bidi="ar-SA"/>
        </w:rPr>
        <w:tab/>
        <w:t>Authority</w:t>
      </w:r>
    </w:p>
    <w:p w14:paraId="5B31756A" w14:textId="77777777" w:rsidR="0002552D" w:rsidRDefault="0002552D" w:rsidP="0002552D">
      <w:pPr>
        <w:rPr>
          <w:lang w:val="en-AU" w:eastAsia="en-GB" w:bidi="ar-SA"/>
        </w:rPr>
      </w:pPr>
    </w:p>
    <w:p w14:paraId="13724EF5" w14:textId="77777777" w:rsidR="0002552D" w:rsidRPr="00D13E34" w:rsidRDefault="0002552D" w:rsidP="0002552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34BD29D" w14:textId="77777777" w:rsidR="0002552D" w:rsidRPr="00D13E34" w:rsidRDefault="0002552D" w:rsidP="0002552D">
      <w:pPr>
        <w:widowControl/>
        <w:autoSpaceDE w:val="0"/>
        <w:autoSpaceDN w:val="0"/>
        <w:adjustRightInd w:val="0"/>
        <w:rPr>
          <w:rFonts w:eastAsia="Calibri" w:cs="Arial"/>
          <w:bCs/>
          <w:szCs w:val="22"/>
          <w:lang w:val="en-AU" w:bidi="ar-SA"/>
        </w:rPr>
      </w:pPr>
    </w:p>
    <w:p w14:paraId="2EDBA10F" w14:textId="77777777" w:rsidR="0002552D" w:rsidRPr="0002552D" w:rsidRDefault="0002552D" w:rsidP="0002552D">
      <w:pPr>
        <w:widowControl/>
        <w:autoSpaceDE w:val="0"/>
        <w:autoSpaceDN w:val="0"/>
        <w:adjustRightInd w:val="0"/>
        <w:rPr>
          <w:rFonts w:eastAsia="Calibri" w:cs="Arial"/>
          <w:bCs/>
          <w:szCs w:val="22"/>
          <w:lang w:val="en-AU" w:bidi="ar-SA"/>
        </w:rPr>
      </w:pPr>
      <w:r w:rsidRPr="0002552D">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3ABE95FD" w14:textId="77777777" w:rsidR="0002552D" w:rsidRPr="0002552D" w:rsidRDefault="0002552D" w:rsidP="0002552D">
      <w:pPr>
        <w:widowControl/>
        <w:autoSpaceDE w:val="0"/>
        <w:autoSpaceDN w:val="0"/>
        <w:adjustRightInd w:val="0"/>
        <w:rPr>
          <w:rFonts w:eastAsia="Calibri" w:cs="Arial"/>
          <w:bCs/>
          <w:szCs w:val="22"/>
          <w:lang w:val="en-AU" w:bidi="ar-SA"/>
        </w:rPr>
      </w:pPr>
    </w:p>
    <w:p w14:paraId="62AAD4DA" w14:textId="7653E26A" w:rsidR="0002552D" w:rsidRPr="0002552D" w:rsidRDefault="00BA040E" w:rsidP="788831B0">
      <w:pPr>
        <w:widowControl/>
        <w:autoSpaceDE w:val="0"/>
        <w:autoSpaceDN w:val="0"/>
        <w:adjustRightInd w:val="0"/>
        <w:rPr>
          <w:rFonts w:eastAsia="Calibri" w:cs="Arial"/>
          <w:lang w:val="en-AU" w:bidi="ar-SA"/>
        </w:rPr>
      </w:pPr>
      <w:r w:rsidRPr="788831B0">
        <w:rPr>
          <w:rFonts w:eastAsia="Calibri" w:cs="Arial"/>
          <w:lang w:val="en-AU" w:bidi="ar-SA"/>
        </w:rPr>
        <w:t xml:space="preserve">The Authority </w:t>
      </w:r>
      <w:r w:rsidR="001A5F58" w:rsidRPr="788831B0">
        <w:rPr>
          <w:rFonts w:eastAsia="Calibri" w:cs="Arial"/>
          <w:lang w:val="en-AU" w:bidi="ar-SA"/>
        </w:rPr>
        <w:t>accepted Application A1252</w:t>
      </w:r>
      <w:r w:rsidR="0002552D" w:rsidRPr="788831B0">
        <w:rPr>
          <w:rFonts w:eastAsia="Calibri" w:cs="Arial"/>
          <w:lang w:val="en-AU" w:bidi="ar-SA"/>
        </w:rPr>
        <w:t xml:space="preserve"> which </w:t>
      </w:r>
      <w:r w:rsidRPr="788831B0">
        <w:rPr>
          <w:rFonts w:eastAsia="Calibri" w:cs="Arial"/>
          <w:lang w:val="en-AU" w:bidi="ar-SA"/>
        </w:rPr>
        <w:t xml:space="preserve">seeks to amend the Code to </w:t>
      </w:r>
      <w:r w:rsidR="0002552D" w:rsidRPr="788831B0">
        <w:rPr>
          <w:rFonts w:eastAsia="Calibri" w:cs="Arial"/>
          <w:lang w:val="en-AU" w:bidi="ar-SA"/>
        </w:rPr>
        <w:t>permi</w:t>
      </w:r>
      <w:r w:rsidRPr="788831B0">
        <w:rPr>
          <w:rFonts w:eastAsia="Calibri" w:cs="Arial"/>
          <w:lang w:val="en-AU" w:bidi="ar-SA"/>
        </w:rPr>
        <w:t>t</w:t>
      </w:r>
      <w:r w:rsidR="0002552D" w:rsidRPr="788831B0">
        <w:rPr>
          <w:rFonts w:eastAsia="Calibri" w:cs="Arial"/>
          <w:lang w:val="en-AU" w:bidi="ar-SA"/>
        </w:rPr>
        <w:t xml:space="preserve"> t</w:t>
      </w:r>
      <w:r w:rsidRPr="788831B0">
        <w:rPr>
          <w:rFonts w:eastAsia="Calibri" w:cs="Arial"/>
          <w:lang w:val="en-AU" w:bidi="ar-SA"/>
        </w:rPr>
        <w:t>he</w:t>
      </w:r>
      <w:r w:rsidR="0002552D" w:rsidRPr="788831B0">
        <w:rPr>
          <w:rFonts w:eastAsia="Calibri" w:cs="Arial"/>
          <w:lang w:val="en-AU" w:bidi="ar-SA"/>
        </w:rPr>
        <w:t xml:space="preserve"> use </w:t>
      </w:r>
      <w:r w:rsidR="006F7649">
        <w:rPr>
          <w:rFonts w:eastAsia="Calibri" w:cs="Arial"/>
          <w:lang w:val="en-AU" w:bidi="ar-SA"/>
        </w:rPr>
        <w:t>of a protein engineered</w:t>
      </w:r>
      <w:r w:rsidRPr="788831B0">
        <w:rPr>
          <w:rFonts w:eastAsia="Calibri" w:cs="Arial"/>
          <w:lang w:val="en-AU" w:bidi="ar-SA"/>
        </w:rPr>
        <w:t xml:space="preserve"> </w:t>
      </w:r>
      <w:r w:rsidR="001A5F58" w:rsidRPr="788831B0">
        <w:rPr>
          <w:rFonts w:eastAsia="Calibri" w:cs="Arial"/>
          <w:lang w:val="en-AU" w:bidi="ar-SA"/>
        </w:rPr>
        <w:t>glucoamylase</w:t>
      </w:r>
      <w:r w:rsidR="006F7649">
        <w:rPr>
          <w:rFonts w:eastAsia="Calibri" w:cs="Arial"/>
          <w:lang w:val="en-AU" w:bidi="ar-SA"/>
        </w:rPr>
        <w:t xml:space="preserve"> enzyme</w:t>
      </w:r>
      <w:r w:rsidR="001A5F58" w:rsidRPr="788831B0">
        <w:rPr>
          <w:rFonts w:eastAsia="Calibri" w:cs="Arial"/>
          <w:lang w:val="en-AU" w:bidi="ar-SA"/>
        </w:rPr>
        <w:t xml:space="preserve"> (EC 3.2.1.3</w:t>
      </w:r>
      <w:r w:rsidR="0002552D" w:rsidRPr="788831B0">
        <w:rPr>
          <w:rFonts w:eastAsia="Calibri" w:cs="Arial"/>
          <w:lang w:val="en-AU" w:bidi="ar-SA"/>
        </w:rPr>
        <w:t xml:space="preserve">) from a </w:t>
      </w:r>
      <w:r w:rsidRPr="788831B0">
        <w:rPr>
          <w:rFonts w:eastAsia="Calibri" w:cs="Arial"/>
          <w:lang w:val="en-AU" w:bidi="ar-SA"/>
        </w:rPr>
        <w:t xml:space="preserve">new </w:t>
      </w:r>
      <w:r w:rsidR="0002552D" w:rsidRPr="788831B0">
        <w:rPr>
          <w:rFonts w:eastAsia="Calibri" w:cs="Arial"/>
          <w:lang w:val="en-AU" w:bidi="ar-SA"/>
        </w:rPr>
        <w:t xml:space="preserve">genetically modified (GM) strain of </w:t>
      </w:r>
      <w:r w:rsidR="001A5F58" w:rsidRPr="788831B0">
        <w:rPr>
          <w:rFonts w:eastAsia="Calibri" w:cs="Arial"/>
          <w:i/>
          <w:iCs/>
          <w:lang w:val="en-AU" w:bidi="ar-SA"/>
        </w:rPr>
        <w:t>Aspergillus niger</w:t>
      </w:r>
      <w:r w:rsidR="0002552D" w:rsidRPr="788831B0">
        <w:rPr>
          <w:rFonts w:eastAsia="Calibri" w:cs="Arial"/>
          <w:i/>
          <w:iCs/>
          <w:lang w:val="en-AU" w:bidi="ar-SA"/>
        </w:rPr>
        <w:t xml:space="preserve"> </w:t>
      </w:r>
      <w:r w:rsidR="0002552D" w:rsidRPr="788831B0">
        <w:rPr>
          <w:rFonts w:eastAsia="Calibri" w:cs="Arial"/>
          <w:lang w:val="en-AU" w:bidi="ar-SA"/>
        </w:rPr>
        <w:t>a</w:t>
      </w:r>
      <w:r w:rsidR="006E3623" w:rsidRPr="788831B0">
        <w:rPr>
          <w:rFonts w:eastAsia="Calibri" w:cs="Arial"/>
          <w:lang w:val="en-AU" w:bidi="ar-SA"/>
        </w:rPr>
        <w:t xml:space="preserve">s a processing aid for use in </w:t>
      </w:r>
      <w:r w:rsidR="006E3623">
        <w:t xml:space="preserve">baking processes, brewing processes and </w:t>
      </w:r>
      <w:r w:rsidR="000A5F03">
        <w:t xml:space="preserve">starch processing </w:t>
      </w:r>
      <w:r w:rsidR="000A5F03" w:rsidRPr="000A5F03">
        <w:t>for the production of starch hydrolys</w:t>
      </w:r>
      <w:r w:rsidR="000A5F03">
        <w:t>ates, including glucose syrups</w:t>
      </w:r>
      <w:r w:rsidR="00B105A4" w:rsidRPr="788831B0">
        <w:rPr>
          <w:rFonts w:eastAsia="Calibri" w:cs="Arial"/>
          <w:lang w:val="en-AU" w:bidi="ar-SA"/>
        </w:rPr>
        <w:t xml:space="preserve">. The Authority considered the </w:t>
      </w:r>
      <w:r w:rsidR="00EC70E3" w:rsidRPr="788831B0">
        <w:rPr>
          <w:rFonts w:eastAsia="Calibri" w:cs="Arial"/>
          <w:lang w:val="en-AU" w:bidi="ar-SA"/>
        </w:rPr>
        <w:t>A</w:t>
      </w:r>
      <w:r w:rsidR="0002552D" w:rsidRPr="788831B0">
        <w:rPr>
          <w:rFonts w:eastAsia="Calibri" w:cs="Arial"/>
          <w:lang w:val="en-AU" w:bidi="ar-SA"/>
        </w:rPr>
        <w:t xml:space="preserve">pplication in accordance with Division 1 of Part 3 and has prepared a draft </w:t>
      </w:r>
      <w:r w:rsidR="00EC70E3" w:rsidRPr="788831B0">
        <w:rPr>
          <w:rFonts w:eastAsia="Calibri" w:cs="Arial"/>
          <w:lang w:val="en-AU" w:bidi="ar-SA"/>
        </w:rPr>
        <w:t>variation</w:t>
      </w:r>
      <w:r w:rsidR="0002552D" w:rsidRPr="788831B0">
        <w:rPr>
          <w:rFonts w:eastAsia="Calibri" w:cs="Arial"/>
          <w:lang w:val="en-AU" w:bidi="ar-SA"/>
        </w:rPr>
        <w:t xml:space="preserve">.  </w:t>
      </w:r>
    </w:p>
    <w:p w14:paraId="4EB4A3C8" w14:textId="77777777" w:rsidR="0002552D" w:rsidRPr="00D13E34" w:rsidRDefault="0002552D" w:rsidP="0002552D">
      <w:pPr>
        <w:widowControl/>
        <w:autoSpaceDE w:val="0"/>
        <w:autoSpaceDN w:val="0"/>
        <w:adjustRightInd w:val="0"/>
        <w:rPr>
          <w:rFonts w:eastAsia="Calibri" w:cs="Arial"/>
          <w:bCs/>
          <w:szCs w:val="22"/>
          <w:lang w:val="en-AU" w:bidi="ar-SA"/>
        </w:rPr>
      </w:pPr>
    </w:p>
    <w:p w14:paraId="02FC21C7" w14:textId="77777777" w:rsidR="0002552D" w:rsidRDefault="0002552D" w:rsidP="0002552D">
      <w:pPr>
        <w:rPr>
          <w:b/>
          <w:lang w:val="en-AU" w:eastAsia="en-GB" w:bidi="ar-SA"/>
        </w:rPr>
      </w:pPr>
      <w:r>
        <w:rPr>
          <w:b/>
          <w:lang w:val="en-AU" w:eastAsia="en-GB" w:bidi="ar-SA"/>
        </w:rPr>
        <w:t xml:space="preserve">2. </w:t>
      </w:r>
      <w:r>
        <w:rPr>
          <w:b/>
          <w:lang w:val="en-AU" w:eastAsia="en-GB" w:bidi="ar-SA"/>
        </w:rPr>
        <w:tab/>
        <w:t>Variation will be a legislative instrument</w:t>
      </w:r>
    </w:p>
    <w:p w14:paraId="1DA874E9" w14:textId="77777777" w:rsidR="0002552D" w:rsidRDefault="0002552D" w:rsidP="0002552D">
      <w:pPr>
        <w:rPr>
          <w:b/>
          <w:lang w:val="en-AU" w:eastAsia="en-GB" w:bidi="ar-SA"/>
        </w:rPr>
      </w:pPr>
    </w:p>
    <w:p w14:paraId="6299C92A" w14:textId="77777777" w:rsidR="0002552D" w:rsidRPr="008531CC" w:rsidRDefault="0002552D" w:rsidP="0002552D">
      <w:pPr>
        <w:rPr>
          <w:rFonts w:cs="Arial"/>
          <w:szCs w:val="22"/>
          <w:lang w:bidi="ar-SA"/>
        </w:rPr>
      </w:pPr>
      <w:r w:rsidRPr="008531CC">
        <w:rPr>
          <w:rFonts w:cs="Arial"/>
        </w:rPr>
        <w:t xml:space="preserve">If approved, the draft variation would be a legislative instrument for the purposes of the </w:t>
      </w:r>
      <w:r w:rsidRPr="008531CC">
        <w:rPr>
          <w:rFonts w:cs="Arial"/>
          <w:i/>
          <w:iCs/>
        </w:rPr>
        <w:t>Legislation Act 2003</w:t>
      </w:r>
      <w:r w:rsidRPr="008531CC">
        <w:rPr>
          <w:rFonts w:cs="Arial"/>
        </w:rPr>
        <w:t xml:space="preserve"> (see section 94 of the FSANZ Act) and be publicly available on the Federal Register of Legislation (</w:t>
      </w:r>
      <w:hyperlink r:id="rId36" w:history="1">
        <w:r w:rsidRPr="008531CC">
          <w:rPr>
            <w:rFonts w:cs="Arial"/>
            <w:color w:val="3333FF"/>
            <w:u w:val="single"/>
          </w:rPr>
          <w:t>www.legislation.gov.au</w:t>
        </w:r>
      </w:hyperlink>
      <w:r w:rsidRPr="008531CC">
        <w:rPr>
          <w:rFonts w:cs="Arial"/>
        </w:rPr>
        <w:t>).</w:t>
      </w:r>
    </w:p>
    <w:p w14:paraId="40C73BC8" w14:textId="77777777" w:rsidR="0002552D" w:rsidRPr="008531CC" w:rsidRDefault="0002552D" w:rsidP="0002552D">
      <w:pPr>
        <w:rPr>
          <w:rFonts w:cs="Arial"/>
        </w:rPr>
      </w:pPr>
    </w:p>
    <w:p w14:paraId="364D343C" w14:textId="77777777" w:rsidR="0002552D" w:rsidRPr="00FB45C7" w:rsidRDefault="0002552D" w:rsidP="0002552D">
      <w:pPr>
        <w:rPr>
          <w:rFonts w:cs="Arial"/>
        </w:rPr>
      </w:pPr>
      <w:r w:rsidRPr="008531CC">
        <w:rPr>
          <w:rFonts w:cs="Arial"/>
        </w:rPr>
        <w:t xml:space="preserve">If approved, this instrument would not be subject to the disallowance or sunsetting provisions of the </w:t>
      </w:r>
      <w:r w:rsidRPr="008531CC">
        <w:rPr>
          <w:rFonts w:cs="Arial"/>
          <w:i/>
          <w:iCs/>
        </w:rPr>
        <w:t xml:space="preserve">Legislation Act 2003. </w:t>
      </w:r>
      <w:r w:rsidRPr="008531CC">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4AD9ADB3" w14:textId="77777777" w:rsidR="0002552D" w:rsidRPr="00FB45C7" w:rsidRDefault="0002552D" w:rsidP="0002552D">
      <w:pPr>
        <w:rPr>
          <w:rFonts w:cs="Arial"/>
          <w:color w:val="0000CC"/>
        </w:rPr>
      </w:pPr>
    </w:p>
    <w:p w14:paraId="1BE985F2" w14:textId="77777777" w:rsidR="0002552D" w:rsidRDefault="0002552D" w:rsidP="0002552D">
      <w:pPr>
        <w:rPr>
          <w:rFonts w:cs="Arial"/>
          <w:lang w:val="en-AU"/>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Food Ministers Meeting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68C44730" w14:textId="77777777" w:rsidR="0002552D" w:rsidRDefault="0002552D" w:rsidP="0002552D">
      <w:pPr>
        <w:rPr>
          <w:b/>
          <w:lang w:val="en-AU" w:eastAsia="en-GB" w:bidi="ar-SA"/>
        </w:rPr>
      </w:pPr>
    </w:p>
    <w:p w14:paraId="4CEBF812" w14:textId="77777777" w:rsidR="0002552D" w:rsidRDefault="0002552D" w:rsidP="0002552D">
      <w:pPr>
        <w:rPr>
          <w:b/>
          <w:lang w:val="en-AU" w:eastAsia="en-GB" w:bidi="ar-SA"/>
        </w:rPr>
      </w:pPr>
      <w:r>
        <w:rPr>
          <w:b/>
          <w:lang w:val="en-AU" w:eastAsia="en-GB" w:bidi="ar-SA"/>
        </w:rPr>
        <w:t>3.</w:t>
      </w:r>
      <w:r>
        <w:rPr>
          <w:b/>
          <w:lang w:val="en-AU" w:eastAsia="en-GB" w:bidi="ar-SA"/>
        </w:rPr>
        <w:tab/>
        <w:t xml:space="preserve">Purpose </w:t>
      </w:r>
    </w:p>
    <w:p w14:paraId="13989924" w14:textId="77777777" w:rsidR="0002552D" w:rsidRDefault="0002552D" w:rsidP="0002552D">
      <w:pPr>
        <w:rPr>
          <w:lang w:val="en-AU" w:eastAsia="en-GB" w:bidi="ar-SA"/>
        </w:rPr>
      </w:pPr>
    </w:p>
    <w:p w14:paraId="6C10CC27" w14:textId="697FBA8D" w:rsidR="00B105A4" w:rsidRDefault="0002552D" w:rsidP="0002552D">
      <w:pPr>
        <w:rPr>
          <w:lang w:val="en-AU" w:eastAsia="en-GB" w:bidi="ar-SA"/>
        </w:rPr>
      </w:pPr>
      <w:r w:rsidRPr="62559CD1">
        <w:rPr>
          <w:lang w:val="en-AU" w:eastAsia="en-GB" w:bidi="ar-SA"/>
        </w:rPr>
        <w:t>The Authority has</w:t>
      </w:r>
      <w:r w:rsidR="00561E06" w:rsidRPr="62559CD1">
        <w:rPr>
          <w:lang w:val="en-AU" w:eastAsia="en-GB" w:bidi="ar-SA"/>
        </w:rPr>
        <w:t xml:space="preserve"> prepared</w:t>
      </w:r>
      <w:r w:rsidRPr="62559CD1">
        <w:rPr>
          <w:lang w:val="en-AU" w:eastAsia="en-GB" w:bidi="ar-SA"/>
        </w:rPr>
        <w:t xml:space="preserve"> a draft variation amending the table to subsection S18––9(3) in Schedule 18 of the Code to permit the us</w:t>
      </w:r>
      <w:r w:rsidR="001A5F58" w:rsidRPr="62559CD1">
        <w:rPr>
          <w:lang w:val="en-AU" w:eastAsia="en-GB" w:bidi="ar-SA"/>
        </w:rPr>
        <w:t xml:space="preserve">e of </w:t>
      </w:r>
      <w:r w:rsidR="006E3623" w:rsidRPr="62559CD1">
        <w:rPr>
          <w:lang w:val="en-AU" w:eastAsia="en-GB" w:bidi="ar-SA"/>
        </w:rPr>
        <w:t>the enzyme glucoamylase (EC 3.2.1.3</w:t>
      </w:r>
      <w:r w:rsidRPr="62559CD1">
        <w:rPr>
          <w:lang w:val="en-AU" w:eastAsia="en-GB" w:bidi="ar-SA"/>
        </w:rPr>
        <w:t>)</w:t>
      </w:r>
      <w:r w:rsidR="006F7649" w:rsidRPr="62559CD1">
        <w:rPr>
          <w:lang w:val="en-AU" w:eastAsia="en-GB" w:bidi="ar-SA"/>
        </w:rPr>
        <w:t xml:space="preserve"> sourced</w:t>
      </w:r>
      <w:r w:rsidRPr="62559CD1">
        <w:rPr>
          <w:lang w:val="en-AU" w:eastAsia="en-GB" w:bidi="ar-SA"/>
        </w:rPr>
        <w:t xml:space="preserve"> </w:t>
      </w:r>
      <w:r w:rsidRPr="62559CD1">
        <w:rPr>
          <w:lang w:val="en-AU" w:eastAsia="en-GB" w:bidi="ar-SA"/>
        </w:rPr>
        <w:lastRenderedPageBreak/>
        <w:t xml:space="preserve">from a GM strain of </w:t>
      </w:r>
      <w:r w:rsidR="001A5F58" w:rsidRPr="62559CD1">
        <w:rPr>
          <w:i/>
          <w:iCs/>
          <w:lang w:val="en-AU" w:eastAsia="en-GB" w:bidi="ar-SA"/>
        </w:rPr>
        <w:t>Aspergillus niger</w:t>
      </w:r>
      <w:r w:rsidR="006F7649" w:rsidRPr="62559CD1">
        <w:rPr>
          <w:i/>
          <w:iCs/>
          <w:lang w:val="en-AU" w:eastAsia="en-GB" w:bidi="ar-SA"/>
        </w:rPr>
        <w:t xml:space="preserve">, </w:t>
      </w:r>
      <w:r w:rsidR="006F7649" w:rsidRPr="62559CD1">
        <w:rPr>
          <w:lang w:val="en-AU" w:eastAsia="en-GB" w:bidi="ar-SA"/>
        </w:rPr>
        <w:t xml:space="preserve">containing a protein engineered variant of </w:t>
      </w:r>
      <w:r w:rsidR="00CA1073" w:rsidRPr="62559CD1">
        <w:rPr>
          <w:lang w:val="en-AU" w:eastAsia="en-GB" w:bidi="ar-SA"/>
        </w:rPr>
        <w:t xml:space="preserve">the </w:t>
      </w:r>
      <w:r w:rsidR="006F7649" w:rsidRPr="62559CD1">
        <w:rPr>
          <w:lang w:val="en-AU" w:eastAsia="en-GB" w:bidi="ar-SA"/>
        </w:rPr>
        <w:t xml:space="preserve">glucoamylase </w:t>
      </w:r>
      <w:r w:rsidR="00CA1073" w:rsidRPr="62559CD1">
        <w:rPr>
          <w:lang w:val="en-AU" w:eastAsia="en-GB" w:bidi="ar-SA"/>
        </w:rPr>
        <w:t xml:space="preserve">gene </w:t>
      </w:r>
      <w:r w:rsidR="006F7649" w:rsidRPr="62559CD1">
        <w:rPr>
          <w:lang w:val="en-AU" w:eastAsia="en-GB" w:bidi="ar-SA"/>
        </w:rPr>
        <w:t xml:space="preserve">from </w:t>
      </w:r>
      <w:r w:rsidR="006F7649" w:rsidRPr="62559CD1">
        <w:rPr>
          <w:i/>
          <w:iCs/>
          <w:lang w:val="en-AU" w:eastAsia="en-GB" w:bidi="ar-SA"/>
        </w:rPr>
        <w:t>Penicillium oxalicum</w:t>
      </w:r>
      <w:r w:rsidR="005E3DD0" w:rsidRPr="62559CD1">
        <w:rPr>
          <w:lang w:val="en-AU" w:eastAsia="en-GB" w:bidi="ar-SA"/>
        </w:rPr>
        <w:t>,</w:t>
      </w:r>
      <w:r w:rsidRPr="62559CD1">
        <w:rPr>
          <w:lang w:val="en-AU" w:eastAsia="en-GB" w:bidi="ar-SA"/>
        </w:rPr>
        <w:t xml:space="preserve"> as a processing aid in </w:t>
      </w:r>
      <w:r w:rsidR="006E3623">
        <w:t>baking processes, brewing processes and</w:t>
      </w:r>
      <w:r w:rsidR="000A5F03">
        <w:t xml:space="preserve"> starch processing</w:t>
      </w:r>
      <w:r w:rsidR="006E3623">
        <w:t xml:space="preserve"> </w:t>
      </w:r>
      <w:r w:rsidR="000A5F03" w:rsidRPr="62559CD1">
        <w:rPr>
          <w:rFonts w:eastAsia="Calibri"/>
        </w:rPr>
        <w:t>for the production of starch hydrolysates, including glucose syrups.</w:t>
      </w:r>
      <w:r w:rsidR="00561E06" w:rsidRPr="62559CD1">
        <w:rPr>
          <w:rFonts w:eastAsia="Calibri"/>
        </w:rPr>
        <w:t xml:space="preserve"> </w:t>
      </w:r>
      <w:r w:rsidR="00EC70E3" w:rsidRPr="62559CD1">
        <w:rPr>
          <w:lang w:val="en-AU" w:eastAsia="en-GB" w:bidi="ar-SA"/>
        </w:rPr>
        <w:t>If approved, t</w:t>
      </w:r>
      <w:r w:rsidRPr="62559CD1">
        <w:rPr>
          <w:lang w:val="en-AU" w:eastAsia="en-GB" w:bidi="ar-SA"/>
        </w:rPr>
        <w:t xml:space="preserve">his permission would be subject to the condition that the </w:t>
      </w:r>
      <w:r w:rsidR="00D619CF" w:rsidRPr="62559CD1">
        <w:rPr>
          <w:lang w:val="en-AU" w:eastAsia="en-GB" w:bidi="ar-SA"/>
        </w:rPr>
        <w:t>maximum permitted level or amount of the enzyme that may be present in the food</w:t>
      </w:r>
      <w:r w:rsidR="5C391063" w:rsidRPr="62559CD1">
        <w:rPr>
          <w:lang w:val="en-AU" w:eastAsia="en-GB" w:bidi="ar-SA"/>
        </w:rPr>
        <w:t xml:space="preserve"> </w:t>
      </w:r>
      <w:r w:rsidRPr="62559CD1">
        <w:rPr>
          <w:lang w:val="en-AU" w:eastAsia="en-GB" w:bidi="ar-SA"/>
        </w:rPr>
        <w:t xml:space="preserve">must be consistent with </w:t>
      </w:r>
      <w:r w:rsidR="0035627B" w:rsidRPr="62559CD1">
        <w:rPr>
          <w:lang w:val="en-AU" w:eastAsia="en-GB" w:bidi="ar-SA"/>
        </w:rPr>
        <w:t>G</w:t>
      </w:r>
      <w:r w:rsidRPr="62559CD1">
        <w:rPr>
          <w:lang w:val="en-AU" w:eastAsia="en-GB" w:bidi="ar-SA"/>
        </w:rPr>
        <w:t xml:space="preserve">ood </w:t>
      </w:r>
      <w:r w:rsidR="0035627B" w:rsidRPr="62559CD1">
        <w:rPr>
          <w:lang w:val="en-AU" w:eastAsia="en-GB" w:bidi="ar-SA"/>
        </w:rPr>
        <w:t>M</w:t>
      </w:r>
      <w:r w:rsidRPr="62559CD1">
        <w:rPr>
          <w:lang w:val="en-AU" w:eastAsia="en-GB" w:bidi="ar-SA"/>
        </w:rPr>
        <w:t xml:space="preserve">anufacturing </w:t>
      </w:r>
      <w:r w:rsidR="0035627B" w:rsidRPr="62559CD1">
        <w:rPr>
          <w:lang w:val="en-AU" w:eastAsia="en-GB" w:bidi="ar-SA"/>
        </w:rPr>
        <w:t>P</w:t>
      </w:r>
      <w:r w:rsidRPr="62559CD1">
        <w:rPr>
          <w:lang w:val="en-AU" w:eastAsia="en-GB" w:bidi="ar-SA"/>
        </w:rPr>
        <w:t>ractice (GMP).</w:t>
      </w:r>
    </w:p>
    <w:p w14:paraId="56262E6F" w14:textId="77777777" w:rsidR="0002552D" w:rsidRDefault="0002552D" w:rsidP="0002552D">
      <w:pPr>
        <w:rPr>
          <w:lang w:val="en-AU" w:eastAsia="en-GB" w:bidi="ar-SA"/>
        </w:rPr>
      </w:pPr>
    </w:p>
    <w:p w14:paraId="11D03B15" w14:textId="77777777" w:rsidR="0002552D" w:rsidRPr="000576EB" w:rsidRDefault="0002552D" w:rsidP="0002552D">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7C775789" w14:textId="77777777" w:rsidR="0002552D" w:rsidRDefault="0002552D" w:rsidP="0002552D">
      <w:pPr>
        <w:rPr>
          <w:lang w:val="en-AU" w:eastAsia="en-GB" w:bidi="ar-SA"/>
        </w:rPr>
      </w:pPr>
    </w:p>
    <w:p w14:paraId="36911483" w14:textId="77777777" w:rsidR="0002552D" w:rsidRDefault="0002552D" w:rsidP="0002552D">
      <w:pPr>
        <w:widowControl/>
        <w:autoSpaceDE w:val="0"/>
        <w:autoSpaceDN w:val="0"/>
        <w:adjustRightInd w:val="0"/>
        <w:rPr>
          <w:rFonts w:eastAsia="Calibri" w:cs="Arial"/>
          <w:bCs/>
          <w:szCs w:val="22"/>
          <w:lang w:val="en-AU" w:bidi="ar-SA"/>
        </w:rPr>
      </w:pPr>
      <w:r>
        <w:rPr>
          <w:rFonts w:eastAsia="Calibri" w:cs="Arial"/>
          <w:bCs/>
          <w:szCs w:val="22"/>
          <w:lang w:val="en-AU" w:bidi="ar-SA"/>
        </w:rPr>
        <w:t>The draft variation</w:t>
      </w:r>
      <w:r w:rsidRPr="00D13E34">
        <w:rPr>
          <w:rFonts w:eastAsia="Calibri" w:cs="Arial"/>
          <w:bCs/>
          <w:szCs w:val="22"/>
          <w:lang w:val="en-AU" w:bidi="ar-SA"/>
        </w:rPr>
        <w:t xml:space="preserve"> do</w:t>
      </w:r>
      <w:r>
        <w:rPr>
          <w:rFonts w:eastAsia="Calibri" w:cs="Arial"/>
          <w:bCs/>
          <w:szCs w:val="22"/>
          <w:lang w:val="en-AU" w:bidi="ar-SA"/>
        </w:rPr>
        <w:t>es</w:t>
      </w:r>
      <w:r w:rsidRPr="00D13E34">
        <w:rPr>
          <w:rFonts w:eastAsia="Calibri" w:cs="Arial"/>
          <w:bCs/>
          <w:szCs w:val="22"/>
          <w:lang w:val="en-AU" w:bidi="ar-SA"/>
        </w:rPr>
        <w:t xml:space="preserve"> not incorporate any documents by reference.</w:t>
      </w:r>
    </w:p>
    <w:p w14:paraId="76CCAB32" w14:textId="77777777" w:rsidR="0002552D" w:rsidRDefault="0002552D" w:rsidP="0002552D">
      <w:pPr>
        <w:widowControl/>
        <w:autoSpaceDE w:val="0"/>
        <w:autoSpaceDN w:val="0"/>
        <w:adjustRightInd w:val="0"/>
        <w:rPr>
          <w:rFonts w:eastAsia="Calibri" w:cs="Arial"/>
          <w:bCs/>
          <w:szCs w:val="22"/>
          <w:lang w:val="en-AU" w:bidi="ar-SA"/>
        </w:rPr>
      </w:pPr>
    </w:p>
    <w:p w14:paraId="09662AD8" w14:textId="12ADDF79" w:rsidR="0002552D" w:rsidRPr="0002552D" w:rsidRDefault="0002552D" w:rsidP="0002552D">
      <w:pPr>
        <w:rPr>
          <w:rFonts w:eastAsia="Calibri" w:cs="Arial"/>
          <w:bCs/>
          <w:szCs w:val="22"/>
          <w:lang w:val="en-AU" w:bidi="ar-SA"/>
        </w:rPr>
      </w:pPr>
      <w:r>
        <w:rPr>
          <w:rFonts w:eastAsia="Calibri" w:cs="Arial"/>
          <w:bCs/>
          <w:szCs w:val="22"/>
          <w:lang w:val="en-AU" w:bidi="ar-SA"/>
        </w:rPr>
        <w:t xml:space="preserve">However, existing provisions of the Code incorporate documents by reference that will prescribe identity and purity specifications for the processing aid to be permitted by the draft variation. </w:t>
      </w:r>
      <w:r>
        <w:t xml:space="preserve">Section 1.1.1—15 of the Code requires substances used as processing aids to comply with any relevant identity and purity specifications listed in Schedule 3 of the Code. Section S3—2 of Schedule 3 incorporates by reference the specifications </w:t>
      </w:r>
      <w:r>
        <w:rPr>
          <w:rFonts w:eastAsia="Calibri" w:cs="Arial"/>
          <w:bCs/>
          <w:szCs w:val="22"/>
          <w:lang w:val="en-AU" w:bidi="ar-SA"/>
        </w:rPr>
        <w:t xml:space="preserve">listed in </w:t>
      </w:r>
      <w:r>
        <w:t xml:space="preserve">the </w:t>
      </w:r>
      <w:r w:rsidRPr="006014F1">
        <w:t>Joint FAO/WHO Expert Committee on Food Additives</w:t>
      </w:r>
      <w:r>
        <w:t xml:space="preserve"> (</w:t>
      </w:r>
      <w:r w:rsidRPr="0038585F">
        <w:t xml:space="preserve">JECFA) </w:t>
      </w:r>
      <w:r>
        <w:t xml:space="preserve">Combined </w:t>
      </w:r>
      <w:r w:rsidRPr="0038585F">
        <w:rPr>
          <w:color w:val="000000" w:themeColor="text1"/>
        </w:rPr>
        <w:t>Compendium of Food Additive Specifications (</w:t>
      </w:r>
      <w:r w:rsidR="008919B0">
        <w:rPr>
          <w:color w:val="000000" w:themeColor="text1"/>
        </w:rPr>
        <w:t>FAO JECFA Monographs 23 (2019))</w:t>
      </w:r>
      <w:r w:rsidRPr="0038585F">
        <w:rPr>
          <w:color w:val="000000" w:themeColor="text1"/>
        </w:rPr>
        <w:t xml:space="preserve"> and the </w:t>
      </w:r>
      <w:r w:rsidRPr="0038585F">
        <w:t>United State</w:t>
      </w:r>
      <w:r>
        <w:t>s Pharmacopeial Convention</w:t>
      </w:r>
      <w:r w:rsidRPr="0038585F">
        <w:t xml:space="preserve"> Food Chemicals Codex (1</w:t>
      </w:r>
      <w:r>
        <w:t>2</w:t>
      </w:r>
      <w:r w:rsidRPr="0038585F">
        <w:rPr>
          <w:vertAlign w:val="superscript"/>
        </w:rPr>
        <w:t>th</w:t>
      </w:r>
      <w:r w:rsidRPr="0038585F">
        <w:t xml:space="preserve"> edition</w:t>
      </w:r>
      <w:r w:rsidR="008919B0">
        <w:t>, 2020</w:t>
      </w:r>
      <w:r w:rsidRPr="0038585F">
        <w:t>).</w:t>
      </w:r>
      <w:r>
        <w:t xml:space="preserve"> These include specifications for enzyme preparations used in food processing.</w:t>
      </w:r>
    </w:p>
    <w:p w14:paraId="2F864E8D" w14:textId="77777777" w:rsidR="0002552D" w:rsidRDefault="0002552D" w:rsidP="0002552D">
      <w:pPr>
        <w:rPr>
          <w:lang w:val="en-AU" w:eastAsia="en-GB" w:bidi="ar-SA"/>
        </w:rPr>
      </w:pPr>
    </w:p>
    <w:p w14:paraId="4E8045E6" w14:textId="77777777" w:rsidR="0002552D" w:rsidRPr="000576EB" w:rsidRDefault="0002552D" w:rsidP="0002552D">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2A0657C1" w14:textId="77777777" w:rsidR="0002552D" w:rsidRPr="008362B1" w:rsidRDefault="0002552D" w:rsidP="0002552D">
      <w:pPr>
        <w:rPr>
          <w:lang w:val="en-AU" w:eastAsia="en-GB" w:bidi="ar-SA"/>
        </w:rPr>
      </w:pPr>
    </w:p>
    <w:p w14:paraId="506160BA" w14:textId="3ABABB6B" w:rsidR="0002552D" w:rsidRPr="00D06616" w:rsidRDefault="0002552D" w:rsidP="0002552D">
      <w:pPr>
        <w:rPr>
          <w:color w:val="FF0000"/>
          <w:lang w:val="en-AU"/>
        </w:rPr>
      </w:pPr>
      <w:r w:rsidRPr="008362B1">
        <w:rPr>
          <w:szCs w:val="22"/>
        </w:rPr>
        <w:t xml:space="preserve">In accordance with the procedure in Division 1 of Part 3 of the FSANZ Act, </w:t>
      </w:r>
      <w:r w:rsidRPr="008362B1">
        <w:rPr>
          <w:rFonts w:eastAsia="Calibri" w:cs="Arial"/>
          <w:bCs/>
          <w:szCs w:val="22"/>
          <w:lang w:val="en-AU" w:bidi="ar-SA"/>
        </w:rPr>
        <w:t>the Authority</w:t>
      </w:r>
      <w:r w:rsidRPr="008362B1">
        <w:rPr>
          <w:szCs w:val="22"/>
        </w:rPr>
        <w:t>’s co</w:t>
      </w:r>
      <w:r w:rsidR="001A5F58">
        <w:rPr>
          <w:szCs w:val="22"/>
        </w:rPr>
        <w:t>nsideration of Application A1252</w:t>
      </w:r>
      <w:r w:rsidRPr="008362B1">
        <w:rPr>
          <w:szCs w:val="22"/>
        </w:rPr>
        <w:t xml:space="preserve"> will </w:t>
      </w:r>
      <w:r>
        <w:rPr>
          <w:szCs w:val="22"/>
        </w:rPr>
        <w:t>include</w:t>
      </w:r>
      <w:r w:rsidRPr="00F634A1">
        <w:rPr>
          <w:szCs w:val="22"/>
        </w:rPr>
        <w:t xml:space="preserve"> </w:t>
      </w:r>
      <w:r w:rsidRPr="00F50F1B">
        <w:rPr>
          <w:szCs w:val="22"/>
        </w:rPr>
        <w:t xml:space="preserve">one round of public consultation following an assessment and the preparation of a draft </w:t>
      </w:r>
      <w:r>
        <w:rPr>
          <w:szCs w:val="22"/>
        </w:rPr>
        <w:t>variation</w:t>
      </w:r>
      <w:r w:rsidRPr="00F50F1B">
        <w:rPr>
          <w:szCs w:val="22"/>
        </w:rPr>
        <w:t xml:space="preserve"> and associated assessment summary. </w:t>
      </w:r>
      <w:r w:rsidRPr="00C57EE5">
        <w:rPr>
          <w:szCs w:val="22"/>
        </w:rPr>
        <w:t xml:space="preserve">A call for submissions (including the draft variation) will </w:t>
      </w:r>
      <w:r>
        <w:rPr>
          <w:szCs w:val="22"/>
        </w:rPr>
        <w:t>be open</w:t>
      </w:r>
      <w:r w:rsidRPr="00C57EE5">
        <w:rPr>
          <w:szCs w:val="22"/>
        </w:rPr>
        <w:t xml:space="preserve"> for a </w:t>
      </w:r>
      <w:r>
        <w:rPr>
          <w:szCs w:val="22"/>
        </w:rPr>
        <w:t>six</w:t>
      </w:r>
      <w:r w:rsidRPr="00227FEC">
        <w:rPr>
          <w:szCs w:val="22"/>
        </w:rPr>
        <w:t>-week</w:t>
      </w:r>
      <w:r w:rsidRPr="00F24C7A">
        <w:rPr>
          <w:szCs w:val="22"/>
        </w:rPr>
        <w:t xml:space="preserve"> </w:t>
      </w:r>
      <w:r w:rsidRPr="00C57EE5">
        <w:rPr>
          <w:szCs w:val="22"/>
        </w:rPr>
        <w:t>period.</w:t>
      </w:r>
      <w:r>
        <w:rPr>
          <w:color w:val="FF0000"/>
          <w:szCs w:val="22"/>
        </w:rPr>
        <w:t xml:space="preserve"> </w:t>
      </w:r>
    </w:p>
    <w:p w14:paraId="42C8A2B3" w14:textId="77777777" w:rsidR="0002552D" w:rsidRDefault="0002552D" w:rsidP="0002552D">
      <w:pPr>
        <w:rPr>
          <w:color w:val="FF0000"/>
        </w:rPr>
      </w:pPr>
    </w:p>
    <w:p w14:paraId="46F723B7" w14:textId="5EB9D01D" w:rsidR="0002552D" w:rsidRDefault="0002552D" w:rsidP="0002552D">
      <w:pPr>
        <w:widowControl/>
        <w:rPr>
          <w:rFonts w:eastAsia="Calibri" w:cs="Arial"/>
          <w:bCs/>
          <w:szCs w:val="22"/>
          <w:lang w:val="en-AU" w:bidi="ar-SA"/>
        </w:rPr>
      </w:pPr>
      <w:r w:rsidRPr="00227FEC">
        <w:rPr>
          <w:rFonts w:eastAsia="Calibri" w:cs="Arial"/>
          <w:bCs/>
          <w:szCs w:val="22"/>
          <w:lang w:val="en-AU" w:bidi="ar-SA"/>
        </w:rPr>
        <w:t xml:space="preserve">The Office of Best Practice Regulation (OBPR) granted </w:t>
      </w:r>
      <w:r w:rsidR="00973565">
        <w:rPr>
          <w:rFonts w:eastAsia="Calibri" w:cs="Arial"/>
          <w:bCs/>
          <w:szCs w:val="22"/>
          <w:lang w:val="en-AU" w:bidi="ar-SA"/>
        </w:rPr>
        <w:t>the Authority</w:t>
      </w:r>
      <w:r w:rsidR="00973565" w:rsidRPr="00227FEC">
        <w:rPr>
          <w:rFonts w:eastAsia="Calibri" w:cs="Arial"/>
          <w:bCs/>
          <w:szCs w:val="22"/>
          <w:lang w:val="en-AU" w:bidi="ar-SA"/>
        </w:rPr>
        <w:t xml:space="preserve"> </w:t>
      </w:r>
      <w:r w:rsidRPr="00227FEC">
        <w:rPr>
          <w:rFonts w:eastAsia="Calibri" w:cs="Arial"/>
          <w:bCs/>
          <w:szCs w:val="22"/>
          <w:lang w:val="en-AU" w:bidi="ar-SA"/>
        </w:rPr>
        <w:t xml:space="preserve">a standing exemption from the requirement to develop a Regulatory Impact Statement for applications relating to permitting new processing aids and GM foods (OBPR correspondence dated 24 November 2010, reference 12065). This standing exemption was provided as permitting </w:t>
      </w:r>
      <w:r w:rsidRPr="00247AA8">
        <w:rPr>
          <w:rFonts w:eastAsia="Calibri" w:cs="Arial"/>
          <w:bCs/>
          <w:szCs w:val="22"/>
          <w:lang w:val="en-AU" w:bidi="ar-SA"/>
        </w:rPr>
        <w:t xml:space="preserve">new processing aids </w:t>
      </w:r>
      <w:r>
        <w:rPr>
          <w:rFonts w:eastAsia="Calibri" w:cs="Arial"/>
          <w:bCs/>
          <w:szCs w:val="22"/>
          <w:lang w:val="en-AU" w:bidi="ar-SA"/>
        </w:rPr>
        <w:t xml:space="preserve">and GM foods </w:t>
      </w:r>
      <w:r w:rsidRPr="00247AA8">
        <w:rPr>
          <w:rFonts w:eastAsia="Calibri" w:cs="Arial"/>
          <w:bCs/>
          <w:szCs w:val="22"/>
          <w:lang w:val="en-AU" w:bidi="ar-SA"/>
        </w:rPr>
        <w:t xml:space="preserve">is deregulatory as their use will be voluntary if the application </w:t>
      </w:r>
      <w:r w:rsidR="00BF1A42">
        <w:rPr>
          <w:rFonts w:eastAsia="Calibri" w:cs="Arial"/>
          <w:bCs/>
          <w:szCs w:val="22"/>
          <w:lang w:val="en-AU" w:bidi="ar-SA"/>
        </w:rPr>
        <w:t xml:space="preserve">concerned </w:t>
      </w:r>
      <w:r w:rsidRPr="00247AA8">
        <w:rPr>
          <w:rFonts w:eastAsia="Calibri" w:cs="Arial"/>
          <w:bCs/>
          <w:szCs w:val="22"/>
          <w:lang w:val="en-AU" w:bidi="ar-SA"/>
        </w:rPr>
        <w:t>is approved</w:t>
      </w:r>
      <w:r w:rsidRPr="00227FEC">
        <w:rPr>
          <w:rFonts w:eastAsia="Calibri" w:cs="Arial"/>
          <w:bCs/>
          <w:szCs w:val="22"/>
          <w:lang w:val="en-AU" w:bidi="ar-SA"/>
        </w:rPr>
        <w:t>. This standing exemption relates to the introduction of a food to the food supply that has been determined to be safe.</w:t>
      </w:r>
    </w:p>
    <w:p w14:paraId="4B5B1E2D" w14:textId="77777777" w:rsidR="0002552D" w:rsidRDefault="0002552D" w:rsidP="0002552D">
      <w:pPr>
        <w:widowControl/>
        <w:rPr>
          <w:rFonts w:eastAsiaTheme="minorHAnsi" w:cs="Arial"/>
          <w:b/>
          <w:bCs/>
          <w:szCs w:val="22"/>
          <w:lang w:val="en-AU" w:bidi="ar-SA"/>
        </w:rPr>
      </w:pPr>
    </w:p>
    <w:p w14:paraId="01A17F9D" w14:textId="77777777" w:rsidR="0002552D" w:rsidRDefault="0002552D" w:rsidP="0002552D">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2BA966A7" w14:textId="77777777" w:rsidR="0002552D" w:rsidRDefault="0002552D" w:rsidP="0002552D">
      <w:pPr>
        <w:rPr>
          <w:rFonts w:eastAsiaTheme="minorHAnsi"/>
          <w:lang w:val="en-AU" w:bidi="ar-SA"/>
        </w:rPr>
      </w:pPr>
    </w:p>
    <w:p w14:paraId="1CD3EC7D" w14:textId="38E4443E" w:rsidR="0002552D" w:rsidRDefault="0002552D" w:rsidP="0002552D">
      <w:pPr>
        <w:rPr>
          <w:rFonts w:eastAsiaTheme="minorHAnsi"/>
          <w:lang w:val="en-AU" w:bidi="ar-SA"/>
        </w:rPr>
      </w:pPr>
      <w:r>
        <w:rPr>
          <w:rFonts w:eastAsiaTheme="minorHAnsi"/>
          <w:lang w:val="en-AU" w:bidi="ar-SA"/>
        </w:rPr>
        <w:t xml:space="preserve">If approved, this instrument would be exempt from the requirements for a statement of compatibility with human rights as it </w:t>
      </w:r>
      <w:r w:rsidR="00E21505">
        <w:rPr>
          <w:rFonts w:eastAsiaTheme="minorHAnsi"/>
          <w:lang w:val="en-AU" w:bidi="ar-SA"/>
        </w:rPr>
        <w:t xml:space="preserve">would be </w:t>
      </w:r>
      <w:r>
        <w:rPr>
          <w:rFonts w:eastAsiaTheme="minorHAnsi"/>
          <w:lang w:val="en-AU" w:bidi="ar-SA"/>
        </w:rPr>
        <w:t xml:space="preserve">a non-disallowable instrument under section 44 of the </w:t>
      </w:r>
      <w:r w:rsidRPr="00D11655">
        <w:rPr>
          <w:rFonts w:eastAsiaTheme="minorHAnsi"/>
          <w:i/>
          <w:lang w:val="en-AU" w:bidi="ar-SA"/>
        </w:rPr>
        <w:t>Legislation Act 2003</w:t>
      </w:r>
      <w:r>
        <w:rPr>
          <w:rFonts w:eastAsiaTheme="minorHAnsi"/>
          <w:lang w:val="en-AU" w:bidi="ar-SA"/>
        </w:rPr>
        <w:t>.</w:t>
      </w:r>
    </w:p>
    <w:p w14:paraId="092431E5" w14:textId="77777777" w:rsidR="0002552D" w:rsidRDefault="0002552D" w:rsidP="0002552D">
      <w:pPr>
        <w:rPr>
          <w:rFonts w:eastAsiaTheme="minorHAnsi"/>
          <w:lang w:val="en-AU" w:bidi="ar-SA"/>
        </w:rPr>
      </w:pPr>
    </w:p>
    <w:p w14:paraId="4C9ADC0B" w14:textId="77777777" w:rsidR="0002552D" w:rsidRPr="00700239" w:rsidRDefault="0002552D" w:rsidP="0002552D">
      <w:pPr>
        <w:rPr>
          <w:b/>
          <w:lang w:val="en-AU" w:eastAsia="en-GB" w:bidi="ar-SA"/>
        </w:rPr>
      </w:pPr>
      <w:r>
        <w:rPr>
          <w:b/>
        </w:rPr>
        <w:t>7</w:t>
      </w:r>
      <w:r w:rsidRPr="00700239">
        <w:rPr>
          <w:b/>
        </w:rPr>
        <w:t>.</w:t>
      </w:r>
      <w:r w:rsidRPr="00700239">
        <w:rPr>
          <w:b/>
        </w:rPr>
        <w:tab/>
      </w:r>
      <w:r w:rsidRPr="00700239">
        <w:rPr>
          <w:b/>
          <w:lang w:val="en-AU" w:eastAsia="en-GB" w:bidi="ar-SA"/>
        </w:rPr>
        <w:t>Variation</w:t>
      </w:r>
    </w:p>
    <w:p w14:paraId="6BF87CE1" w14:textId="77777777" w:rsidR="0002552D" w:rsidRPr="00AD344F" w:rsidRDefault="0002552D" w:rsidP="0002552D">
      <w:pPr>
        <w:rPr>
          <w:b/>
        </w:rPr>
      </w:pPr>
    </w:p>
    <w:p w14:paraId="04CD94D8" w14:textId="505CF2FA" w:rsidR="0002552D" w:rsidRDefault="0002552D" w:rsidP="0002552D">
      <w:r w:rsidRPr="00BF4BE2">
        <w:rPr>
          <w:b/>
        </w:rPr>
        <w:t>Item [1]</w:t>
      </w:r>
      <w:r>
        <w:t xml:space="preserve"> of the </w:t>
      </w:r>
      <w:r w:rsidR="008C5559">
        <w:t xml:space="preserve">Schedule to the </w:t>
      </w:r>
      <w:r>
        <w:t>draft variation would insert</w:t>
      </w:r>
      <w:r w:rsidR="00CD0D14">
        <w:t xml:space="preserve">, in alphabetical order, </w:t>
      </w:r>
      <w:r>
        <w:t>a new entry into the table to subsection S18—9(3)</w:t>
      </w:r>
      <w:r w:rsidR="003F3099">
        <w:t xml:space="preserve"> of the Code</w:t>
      </w:r>
      <w:r>
        <w:t>. The new entry would consist of the following enzyme:</w:t>
      </w:r>
    </w:p>
    <w:p w14:paraId="5DD3C2E9" w14:textId="77777777" w:rsidR="0002552D" w:rsidRDefault="0002552D" w:rsidP="0002552D"/>
    <w:p w14:paraId="1FE95770" w14:textId="09642349" w:rsidR="0002552D" w:rsidRDefault="006E3623" w:rsidP="0002552D">
      <w:pPr>
        <w:pStyle w:val="ListParagraph"/>
        <w:numPr>
          <w:ilvl w:val="0"/>
          <w:numId w:val="13"/>
        </w:numPr>
      </w:pPr>
      <w:r>
        <w:t>‘Glucoamylase</w:t>
      </w:r>
      <w:r w:rsidR="00BF4BE2">
        <w:t>, protein engineered variant,</w:t>
      </w:r>
      <w:r>
        <w:t xml:space="preserve"> (EC 3.2.1.3</w:t>
      </w:r>
      <w:r w:rsidR="0002552D" w:rsidRPr="004227AD">
        <w:t>) sourced from</w:t>
      </w:r>
      <w:r w:rsidR="001A5F58">
        <w:rPr>
          <w:i/>
        </w:rPr>
        <w:t xml:space="preserve"> Aspergillus niger</w:t>
      </w:r>
      <w:r w:rsidR="0002552D" w:rsidRPr="006A40A7">
        <w:rPr>
          <w:i/>
        </w:rPr>
        <w:t xml:space="preserve"> </w:t>
      </w:r>
      <w:r w:rsidR="0002552D" w:rsidRPr="00384212">
        <w:t xml:space="preserve">containing the </w:t>
      </w:r>
      <w:r w:rsidR="001A5F58">
        <w:t>glucoamylase</w:t>
      </w:r>
      <w:r w:rsidR="0002552D">
        <w:t xml:space="preserve"> gene </w:t>
      </w:r>
      <w:r w:rsidR="0002552D" w:rsidRPr="00384212">
        <w:t>from</w:t>
      </w:r>
      <w:r w:rsidR="0002552D">
        <w:t xml:space="preserve"> </w:t>
      </w:r>
      <w:r w:rsidR="001A5F58">
        <w:rPr>
          <w:i/>
        </w:rPr>
        <w:t>Penicillium oxalicum</w:t>
      </w:r>
      <w:r w:rsidR="0002552D">
        <w:t>’</w:t>
      </w:r>
      <w:r w:rsidR="00CD0D14">
        <w:t xml:space="preserve"> (column 1)</w:t>
      </w:r>
    </w:p>
    <w:p w14:paraId="55CC21A7" w14:textId="77777777" w:rsidR="0002552D" w:rsidRDefault="0002552D" w:rsidP="0002552D"/>
    <w:p w14:paraId="5A6F8256" w14:textId="77777777" w:rsidR="002D2502" w:rsidRDefault="0002552D" w:rsidP="002D2502">
      <w:r w:rsidRPr="006A702D">
        <w:t xml:space="preserve">The </w:t>
      </w:r>
      <w:r>
        <w:t xml:space="preserve">permitted </w:t>
      </w:r>
      <w:r w:rsidRPr="006A702D">
        <w:t>tech</w:t>
      </w:r>
      <w:r>
        <w:t>nological purpose for this enzyme would be use as a processing aid in</w:t>
      </w:r>
      <w:r w:rsidR="002D2502">
        <w:t>:</w:t>
      </w:r>
    </w:p>
    <w:p w14:paraId="506C6202" w14:textId="0AF0FEE6" w:rsidR="002D2502" w:rsidRDefault="0002552D" w:rsidP="002D2502">
      <w:r w:rsidDel="00081E66">
        <w:rPr>
          <w:lang w:val="en-AU"/>
        </w:rPr>
        <w:t xml:space="preserve"> </w:t>
      </w:r>
      <w:bookmarkStart w:id="157" w:name="_Toc11735637"/>
      <w:bookmarkStart w:id="158" w:name="_Toc29883122"/>
      <w:bookmarkStart w:id="159" w:name="_Toc41906809"/>
      <w:bookmarkStart w:id="160" w:name="_Toc41907556"/>
      <w:bookmarkStart w:id="161" w:name="_Toc120358587"/>
      <w:bookmarkStart w:id="162" w:name="_Toc175381446"/>
      <w:bookmarkStart w:id="163" w:name="_Toc175381454"/>
      <w:bookmarkEnd w:id="157"/>
      <w:bookmarkEnd w:id="158"/>
      <w:bookmarkEnd w:id="159"/>
      <w:bookmarkEnd w:id="160"/>
      <w:bookmarkEnd w:id="161"/>
      <w:bookmarkEnd w:id="162"/>
      <w:bookmarkEnd w:id="163"/>
    </w:p>
    <w:p w14:paraId="01ADB908" w14:textId="2B043F50" w:rsidR="002D2502" w:rsidRDefault="002D2502" w:rsidP="002D2502">
      <w:r>
        <w:t>(a)  the manufacture of bakery products;</w:t>
      </w:r>
    </w:p>
    <w:p w14:paraId="00A01698" w14:textId="77777777" w:rsidR="002D2502" w:rsidRDefault="002D2502" w:rsidP="002D2502">
      <w:r>
        <w:lastRenderedPageBreak/>
        <w:t>(b)  brewing; and</w:t>
      </w:r>
    </w:p>
    <w:p w14:paraId="1333E5D4" w14:textId="05EE6405" w:rsidR="0002552D" w:rsidRDefault="002D2502" w:rsidP="002D2502">
      <w:pPr>
        <w:rPr>
          <w:lang w:val="en-AU" w:eastAsia="en-GB" w:bidi="ar-SA"/>
        </w:rPr>
      </w:pPr>
      <w:r>
        <w:t>(c)  starch processing for the production of starch hydroly</w:t>
      </w:r>
      <w:r w:rsidR="004932B6">
        <w:t>sates, including glucose syrups</w:t>
      </w:r>
      <w:r w:rsidR="00A0199F">
        <w:t xml:space="preserve"> </w:t>
      </w:r>
      <w:r w:rsidR="00FB5F5D">
        <w:t>(column 2)</w:t>
      </w:r>
      <w:r w:rsidR="000A5F03" w:rsidRPr="788831B0">
        <w:rPr>
          <w:rFonts w:eastAsia="Calibri" w:cs="Arial"/>
          <w:lang w:val="en-AU" w:bidi="ar-SA"/>
        </w:rPr>
        <w:t>.</w:t>
      </w:r>
    </w:p>
    <w:p w14:paraId="4904A78B" w14:textId="77777777" w:rsidR="0002552D" w:rsidRDefault="0002552D" w:rsidP="0002552D">
      <w:pPr>
        <w:rPr>
          <w:lang w:val="en-AU" w:eastAsia="en-GB" w:bidi="ar-SA"/>
        </w:rPr>
      </w:pPr>
    </w:p>
    <w:p w14:paraId="529C5BCF" w14:textId="26CB7C11" w:rsidR="0002552D" w:rsidRDefault="0002552D" w:rsidP="0002552D">
      <w:pPr>
        <w:rPr>
          <w:rFonts w:eastAsia="Calibri" w:cs="Arial"/>
          <w:bCs/>
          <w:szCs w:val="22"/>
          <w:lang w:val="en-AU" w:bidi="ar-SA"/>
        </w:rPr>
      </w:pPr>
      <w:r>
        <w:rPr>
          <w:rFonts w:eastAsia="Calibri" w:cs="Arial"/>
          <w:bCs/>
          <w:szCs w:val="22"/>
          <w:lang w:val="en-AU" w:bidi="ar-SA"/>
        </w:rPr>
        <w:t>T</w:t>
      </w:r>
      <w:r w:rsidRPr="006A702D">
        <w:rPr>
          <w:rFonts w:eastAsia="Calibri" w:cs="Arial"/>
          <w:bCs/>
          <w:szCs w:val="22"/>
          <w:lang w:val="en-AU" w:bidi="ar-SA"/>
        </w:rPr>
        <w:t xml:space="preserve">he permission </w:t>
      </w:r>
      <w:r>
        <w:rPr>
          <w:rFonts w:eastAsia="Calibri" w:cs="Arial"/>
          <w:bCs/>
          <w:szCs w:val="22"/>
          <w:lang w:val="en-AU" w:bidi="ar-SA"/>
        </w:rPr>
        <w:t>would be</w:t>
      </w:r>
      <w:r w:rsidRPr="006A702D">
        <w:rPr>
          <w:rFonts w:eastAsia="Calibri" w:cs="Arial"/>
          <w:bCs/>
          <w:szCs w:val="22"/>
          <w:lang w:val="en-AU" w:bidi="ar-SA"/>
        </w:rPr>
        <w:t xml:space="preserve"> subject to the condition</w:t>
      </w:r>
      <w:r w:rsidRPr="008C1242">
        <w:rPr>
          <w:szCs w:val="22"/>
        </w:rPr>
        <w:t xml:space="preserve"> that the maximum permitted level or amount </w:t>
      </w:r>
      <w:r>
        <w:rPr>
          <w:szCs w:val="22"/>
        </w:rPr>
        <w:t xml:space="preserve">of this enzyme </w:t>
      </w:r>
      <w:r w:rsidRPr="008C1242">
        <w:rPr>
          <w:szCs w:val="22"/>
        </w:rPr>
        <w:t xml:space="preserve">that may be </w:t>
      </w:r>
      <w:r w:rsidRPr="006A702D">
        <w:rPr>
          <w:szCs w:val="22"/>
        </w:rPr>
        <w:t>present in the food</w:t>
      </w:r>
      <w:r w:rsidRPr="008C1242">
        <w:rPr>
          <w:szCs w:val="22"/>
        </w:rPr>
        <w:t xml:space="preserve"> must be consistent with </w:t>
      </w:r>
      <w:r>
        <w:rPr>
          <w:szCs w:val="22"/>
        </w:rPr>
        <w:t>GMP</w:t>
      </w:r>
      <w:r w:rsidR="00FB5F5D">
        <w:rPr>
          <w:szCs w:val="22"/>
        </w:rPr>
        <w:t xml:space="preserve"> (column</w:t>
      </w:r>
      <w:r w:rsidR="00D37CFF">
        <w:rPr>
          <w:szCs w:val="22"/>
        </w:rPr>
        <w:t> </w:t>
      </w:r>
      <w:r w:rsidR="00FB5F5D">
        <w:rPr>
          <w:szCs w:val="22"/>
        </w:rPr>
        <w:t>3)</w:t>
      </w:r>
      <w:r w:rsidRPr="008C1242">
        <w:rPr>
          <w:rFonts w:eastAsia="Calibri" w:cs="Arial"/>
          <w:bCs/>
          <w:szCs w:val="22"/>
          <w:lang w:val="en-AU" w:bidi="ar-SA"/>
        </w:rPr>
        <w:t>.</w:t>
      </w:r>
    </w:p>
    <w:p w14:paraId="537AE5A5" w14:textId="77777777" w:rsidR="0002552D" w:rsidRDefault="0002552D" w:rsidP="0002552D">
      <w:pPr>
        <w:rPr>
          <w:rFonts w:eastAsia="Calibri" w:cs="Arial"/>
          <w:bCs/>
          <w:i/>
          <w:szCs w:val="22"/>
          <w:lang w:val="en-AU" w:bidi="ar-SA"/>
        </w:rPr>
      </w:pPr>
    </w:p>
    <w:p w14:paraId="1CB4ADAD" w14:textId="4A35CE9F" w:rsidR="007C174F" w:rsidRDefault="0002552D" w:rsidP="007C174F">
      <w:pPr>
        <w:rPr>
          <w:rFonts w:eastAsia="Calibri" w:cs="Arial"/>
          <w:bCs/>
          <w:szCs w:val="22"/>
          <w:lang w:val="en-AU" w:bidi="ar-SA"/>
        </w:rPr>
      </w:pPr>
      <w:r>
        <w:rPr>
          <w:rFonts w:eastAsia="Calibri" w:cs="Arial"/>
          <w:bCs/>
          <w:szCs w:val="22"/>
          <w:lang w:val="en-AU" w:bidi="ar-SA"/>
        </w:rPr>
        <w:t xml:space="preserve">If approved, the draft variation would permit the proposed use of </w:t>
      </w:r>
      <w:r w:rsidR="003F3099">
        <w:rPr>
          <w:rFonts w:eastAsia="Calibri" w:cs="Arial"/>
          <w:bCs/>
          <w:szCs w:val="22"/>
          <w:lang w:val="en-AU" w:bidi="ar-SA"/>
        </w:rPr>
        <w:t xml:space="preserve">the enzyme, </w:t>
      </w:r>
      <w:r w:rsidR="006E3623">
        <w:rPr>
          <w:rFonts w:eastAsia="Calibri" w:cs="Arial"/>
          <w:bCs/>
          <w:szCs w:val="22"/>
          <w:lang w:val="en-AU" w:bidi="ar-SA"/>
        </w:rPr>
        <w:t>glucoamylase (EC 3.2.1.3</w:t>
      </w:r>
      <w:r w:rsidRPr="006A40A7">
        <w:rPr>
          <w:rFonts w:eastAsia="Calibri" w:cs="Arial"/>
          <w:bCs/>
          <w:szCs w:val="22"/>
          <w:lang w:val="en-AU" w:bidi="ar-SA"/>
        </w:rPr>
        <w:t xml:space="preserve">) sourced from </w:t>
      </w:r>
      <w:r w:rsidR="001A5F58">
        <w:rPr>
          <w:rFonts w:eastAsia="Calibri" w:cs="Arial"/>
          <w:bCs/>
          <w:i/>
          <w:szCs w:val="22"/>
          <w:lang w:val="en-AU" w:bidi="ar-SA"/>
        </w:rPr>
        <w:t>Aspergillus niger</w:t>
      </w:r>
      <w:r w:rsidR="001A5F58">
        <w:rPr>
          <w:rFonts w:eastAsia="Calibri" w:cs="Arial"/>
          <w:bCs/>
          <w:szCs w:val="22"/>
          <w:lang w:val="en-AU" w:bidi="ar-SA"/>
        </w:rPr>
        <w:t xml:space="preserve"> containing</w:t>
      </w:r>
      <w:r w:rsidR="00BF4BE2">
        <w:rPr>
          <w:rFonts w:eastAsia="Calibri" w:cs="Arial"/>
          <w:bCs/>
          <w:szCs w:val="22"/>
          <w:lang w:val="en-AU" w:bidi="ar-SA"/>
        </w:rPr>
        <w:t xml:space="preserve"> a protein engineered variant of</w:t>
      </w:r>
      <w:r w:rsidR="001A5F58">
        <w:rPr>
          <w:rFonts w:eastAsia="Calibri" w:cs="Arial"/>
          <w:bCs/>
          <w:szCs w:val="22"/>
          <w:lang w:val="en-AU" w:bidi="ar-SA"/>
        </w:rPr>
        <w:t xml:space="preserve"> the glucoamylase</w:t>
      </w:r>
      <w:r w:rsidRPr="006A40A7">
        <w:rPr>
          <w:rFonts w:eastAsia="Calibri" w:cs="Arial"/>
          <w:bCs/>
          <w:szCs w:val="22"/>
          <w:lang w:val="en-AU" w:bidi="ar-SA"/>
        </w:rPr>
        <w:t xml:space="preserve"> gene from </w:t>
      </w:r>
      <w:r w:rsidR="001A5F58">
        <w:rPr>
          <w:rFonts w:eastAsia="Calibri" w:cs="Arial"/>
          <w:bCs/>
          <w:i/>
          <w:szCs w:val="22"/>
          <w:lang w:val="en-AU" w:bidi="ar-SA"/>
        </w:rPr>
        <w:t>Penicillium oxalicum</w:t>
      </w:r>
      <w:r>
        <w:rPr>
          <w:rFonts w:eastAsia="Calibri" w:cs="Arial"/>
          <w:bCs/>
          <w:szCs w:val="22"/>
          <w:lang w:val="en-AU" w:bidi="ar-SA"/>
        </w:rPr>
        <w:t xml:space="preserve"> as a processing aid in accordance with the Code.</w:t>
      </w:r>
    </w:p>
    <w:p w14:paraId="5F0DD4CB" w14:textId="2E79E09C" w:rsidR="00BF4BE2" w:rsidRDefault="00BF4BE2" w:rsidP="007C174F">
      <w:pPr>
        <w:rPr>
          <w:rFonts w:eastAsia="Calibri" w:cs="Arial"/>
          <w:bCs/>
          <w:szCs w:val="22"/>
          <w:lang w:val="en-AU" w:bidi="ar-SA"/>
        </w:rPr>
      </w:pPr>
    </w:p>
    <w:p w14:paraId="0324E677" w14:textId="1D0325EE" w:rsidR="00762DFB" w:rsidRDefault="00762DFB" w:rsidP="004D6F4A">
      <w:pPr>
        <w:rPr>
          <w:lang w:val="en-AU" w:eastAsia="en-GB" w:bidi="ar-SA"/>
        </w:rPr>
      </w:pPr>
    </w:p>
    <w:p w14:paraId="4F1915EE" w14:textId="77777777" w:rsidR="00762DFB" w:rsidRDefault="00762DFB" w:rsidP="004D6F4A">
      <w:pPr>
        <w:rPr>
          <w:lang w:val="en-AU" w:eastAsia="en-GB" w:bidi="ar-SA"/>
        </w:rPr>
      </w:pPr>
    </w:p>
    <w:p w14:paraId="15038207" w14:textId="028455D1" w:rsidR="004D6F4A" w:rsidRPr="00D93E84" w:rsidRDefault="004D6F4A" w:rsidP="00BF4BE2">
      <w:pPr>
        <w:rPr>
          <w:lang w:val="en-AU" w:eastAsia="en-GB" w:bidi="ar-SA"/>
        </w:rPr>
      </w:pPr>
    </w:p>
    <w:p w14:paraId="5A93BECA" w14:textId="77777777" w:rsidR="00BF4BE2" w:rsidRDefault="00BF4BE2" w:rsidP="007C174F"/>
    <w:sectPr w:rsidR="00BF4BE2" w:rsidSect="00CC36E7">
      <w:headerReference w:type="even" r:id="rId37"/>
      <w:headerReference w:type="default" r:id="rId38"/>
      <w:footerReference w:type="even" r:id="rId39"/>
      <w:footerReference w:type="default" r:id="rId40"/>
      <w:headerReference w:type="first" r:id="rId41"/>
      <w:footerReference w:type="first" r:id="rId42"/>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4026" w14:textId="77777777" w:rsidR="00FB7D5A" w:rsidRDefault="00FB7D5A">
      <w:r>
        <w:separator/>
      </w:r>
    </w:p>
  </w:endnote>
  <w:endnote w:type="continuationSeparator" w:id="0">
    <w:p w14:paraId="46EDC5CA" w14:textId="77777777" w:rsidR="00FB7D5A" w:rsidRDefault="00FB7D5A">
      <w:r>
        <w:continuationSeparator/>
      </w:r>
    </w:p>
  </w:endnote>
  <w:endnote w:type="continuationNotice" w:id="1">
    <w:p w14:paraId="14DF3EE0" w14:textId="77777777" w:rsidR="00FB7D5A" w:rsidRDefault="00FB7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E3F1" w14:textId="77777777" w:rsidR="001E6CA7" w:rsidRPr="00445A39" w:rsidRDefault="001E6CA7" w:rsidP="00651F8B">
    <w:pPr>
      <w:pStyle w:val="Footer"/>
      <w:framePr w:wrap="around" w:vAnchor="text" w:hAnchor="margin" w:xAlign="center" w:y="1"/>
      <w:jc w:val="center"/>
      <w:rPr>
        <w:rStyle w:val="PageNumber"/>
        <w:rFonts w:ascii="Calibri" w:eastAsiaTheme="minorEastAsia" w:hAnsi="Calibri" w:cs="Calibri"/>
        <w:b/>
        <w:color w:val="F00000"/>
        <w:sz w:val="24"/>
      </w:rPr>
    </w:pPr>
    <w:r>
      <w:rPr>
        <w:rStyle w:val="PageNumber"/>
        <w:rFonts w:eastAsiaTheme="minorEastAsia"/>
        <w:lang w:bidi="ar-SA"/>
      </w:rPr>
      <w:fldChar w:fldCharType="begin" w:fldLock="1"/>
    </w:r>
    <w:r>
      <w:rPr>
        <w:rStyle w:val="PageNumber"/>
        <w:rFonts w:eastAsiaTheme="minorEastAsia"/>
      </w:rPr>
      <w:instrText xml:space="preserve"> DOCPROPERTY bjFooterEvenPageDocProperty \* MERGEFORMAT </w:instrText>
    </w:r>
    <w:r>
      <w:rPr>
        <w:rStyle w:val="PageNumber"/>
        <w:rFonts w:eastAsiaTheme="minorEastAsia"/>
        <w:lang w:bidi="ar-SA"/>
      </w:rPr>
      <w:fldChar w:fldCharType="separate"/>
    </w:r>
  </w:p>
  <w:p w14:paraId="21511453" w14:textId="17176A1F" w:rsidR="009E0237" w:rsidRDefault="001E6CA7" w:rsidP="006C4E8E">
    <w:pPr>
      <w:pStyle w:val="Footer"/>
      <w:framePr w:wrap="around" w:vAnchor="text" w:hAnchor="margin" w:xAlign="center" w:y="1"/>
      <w:jc w:val="center"/>
      <w:rPr>
        <w:rStyle w:val="PageNumber"/>
      </w:rPr>
    </w:pPr>
    <w:r w:rsidRPr="00445A39">
      <w:rPr>
        <w:rStyle w:val="PageNumber"/>
        <w:rFonts w:ascii="Calibri" w:eastAsiaTheme="minorEastAsia" w:hAnsi="Calibri" w:cs="Calibri"/>
        <w:b/>
        <w:color w:val="F00000"/>
        <w:sz w:val="24"/>
      </w:rPr>
      <w:t>OFFICIAL</w:t>
    </w:r>
    <w:r>
      <w:rPr>
        <w:rStyle w:val="PageNumber"/>
        <w:rFonts w:eastAsiaTheme="minorEastAsia"/>
      </w:rPr>
      <w:t xml:space="preserve"> </w:t>
    </w:r>
    <w:r>
      <w:rPr>
        <w:rStyle w:val="PageNumber"/>
        <w:rFonts w:eastAsiaTheme="minorEastAsia"/>
      </w:rPr>
      <w:fldChar w:fldCharType="end"/>
    </w:r>
    <w:r w:rsidR="009E0237">
      <w:rPr>
        <w:rStyle w:val="PageNumber"/>
      </w:rPr>
      <w:fldChar w:fldCharType="begin"/>
    </w:r>
    <w:r w:rsidR="009E0237">
      <w:rPr>
        <w:rStyle w:val="PageNumber"/>
      </w:rPr>
      <w:instrText xml:space="preserve">PAGE  </w:instrText>
    </w:r>
    <w:r w:rsidR="009E0237">
      <w:rPr>
        <w:rStyle w:val="PageNumber"/>
      </w:rPr>
      <w:fldChar w:fldCharType="end"/>
    </w:r>
  </w:p>
  <w:p w14:paraId="3E857C03" w14:textId="77777777" w:rsidR="009E0237" w:rsidRDefault="009E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5B08" w14:textId="635D63E9" w:rsidR="006C4E8E" w:rsidRDefault="006C4E8E" w:rsidP="006C4E8E">
    <w:pPr>
      <w:pStyle w:val="Footer"/>
      <w:framePr w:wrap="around" w:vAnchor="text" w:hAnchor="margin" w:xAlign="center" w:y="1"/>
      <w:jc w:val="center"/>
      <w:rPr>
        <w:rStyle w:val="PageNumber"/>
      </w:rPr>
    </w:pPr>
  </w:p>
  <w:p w14:paraId="0E76C1D8" w14:textId="64A6C978" w:rsidR="009E0237" w:rsidRDefault="009E0237" w:rsidP="001C27A3">
    <w:pPr>
      <w:pStyle w:val="Footer"/>
      <w:framePr w:wrap="around" w:vAnchor="text" w:hAnchor="margin" w:xAlign="center" w:y="1"/>
      <w:rPr>
        <w:rStyle w:val="PageNumber"/>
      </w:rPr>
    </w:pPr>
  </w:p>
  <w:p w14:paraId="7CF73D54" w14:textId="77777777" w:rsidR="009E0237" w:rsidRDefault="009E02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798A" w14:textId="77777777" w:rsidR="001E6CA7" w:rsidRPr="00445A39" w:rsidRDefault="001E6CA7" w:rsidP="00651F8B">
    <w:pPr>
      <w:pStyle w:val="Foot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bjFooterFirstPageDocProperty \* MERGEFORMAT </w:instrText>
    </w:r>
    <w:r>
      <w:rPr>
        <w:rFonts w:eastAsiaTheme="minorEastAsia"/>
        <w:lang w:bidi="ar-SA"/>
      </w:rPr>
      <w:fldChar w:fldCharType="separate"/>
    </w:r>
  </w:p>
  <w:p w14:paraId="1499ACDC" w14:textId="7C7C55A2" w:rsidR="009E0237" w:rsidRPr="006C4E8E" w:rsidRDefault="001E6CA7" w:rsidP="006C4E8E">
    <w:pPr>
      <w:pStyle w:val="Footer"/>
      <w:jc w:val="center"/>
    </w:pPr>
    <w:r w:rsidRPr="00445A39">
      <w:rPr>
        <w:rFonts w:ascii="Calibri" w:eastAsiaTheme="minorEastAsia" w:hAnsi="Calibri" w:cs="Calibri"/>
        <w:b/>
        <w:color w:val="F00000"/>
        <w:sz w:val="24"/>
      </w:rPr>
      <w:t>OFFICIAL</w:t>
    </w:r>
    <w:r>
      <w:rPr>
        <w:rFonts w:eastAsiaTheme="minorEastAsia"/>
      </w:rPr>
      <w:t xml:space="preserve"> </w:t>
    </w:r>
    <w:r>
      <w:rPr>
        <w:rFonts w:eastAsiaTheme="minor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7FA" w14:textId="77777777" w:rsidR="001E6CA7" w:rsidRPr="00445A39" w:rsidRDefault="001E6CA7" w:rsidP="00651F8B">
    <w:pPr>
      <w:pStyle w:val="Footer"/>
      <w:framePr w:wrap="around" w:vAnchor="text" w:hAnchor="margin" w:xAlign="center" w:y="1"/>
      <w:jc w:val="center"/>
      <w:rPr>
        <w:rStyle w:val="PageNumber"/>
        <w:rFonts w:ascii="Calibri" w:eastAsiaTheme="minorEastAsia" w:hAnsi="Calibri" w:cs="Calibri"/>
        <w:b/>
        <w:color w:val="F00000"/>
        <w:sz w:val="24"/>
      </w:rPr>
    </w:pPr>
    <w:r>
      <w:rPr>
        <w:rStyle w:val="PageNumber"/>
        <w:rFonts w:eastAsiaTheme="minorEastAsia"/>
        <w:lang w:bidi="ar-SA"/>
      </w:rPr>
      <w:fldChar w:fldCharType="begin" w:fldLock="1"/>
    </w:r>
    <w:r>
      <w:rPr>
        <w:rStyle w:val="PageNumber"/>
        <w:rFonts w:eastAsiaTheme="minorEastAsia"/>
      </w:rPr>
      <w:instrText xml:space="preserve"> DOCPROPERTY bjFooterEvenPageDocProperty \* MERGEFORMAT </w:instrText>
    </w:r>
    <w:r>
      <w:rPr>
        <w:rStyle w:val="PageNumber"/>
        <w:rFonts w:eastAsiaTheme="minorEastAsia"/>
        <w:lang w:bidi="ar-SA"/>
      </w:rPr>
      <w:fldChar w:fldCharType="separate"/>
    </w:r>
  </w:p>
  <w:p w14:paraId="4516370F" w14:textId="496053B7" w:rsidR="009E0237" w:rsidRDefault="001E6CA7" w:rsidP="006C4E8E">
    <w:pPr>
      <w:pStyle w:val="Footer"/>
      <w:framePr w:wrap="around" w:vAnchor="text" w:hAnchor="margin" w:xAlign="center" w:y="1"/>
      <w:jc w:val="center"/>
      <w:rPr>
        <w:rStyle w:val="PageNumber"/>
      </w:rPr>
    </w:pPr>
    <w:r w:rsidRPr="00445A39">
      <w:rPr>
        <w:rStyle w:val="PageNumber"/>
        <w:rFonts w:ascii="Calibri" w:eastAsiaTheme="minorEastAsia" w:hAnsi="Calibri" w:cs="Calibri"/>
        <w:b/>
        <w:color w:val="F00000"/>
        <w:sz w:val="24"/>
      </w:rPr>
      <w:t>OFFICIAL</w:t>
    </w:r>
    <w:r>
      <w:rPr>
        <w:rStyle w:val="PageNumber"/>
        <w:rFonts w:eastAsiaTheme="minorEastAsia"/>
      </w:rPr>
      <w:t xml:space="preserve"> </w:t>
    </w:r>
    <w:r>
      <w:rPr>
        <w:rStyle w:val="PageNumber"/>
        <w:rFonts w:eastAsiaTheme="minorEastAsia"/>
      </w:rPr>
      <w:fldChar w:fldCharType="end"/>
    </w:r>
    <w:r w:rsidR="009E0237">
      <w:rPr>
        <w:rStyle w:val="PageNumber"/>
      </w:rPr>
      <w:fldChar w:fldCharType="begin"/>
    </w:r>
    <w:r w:rsidR="009E0237">
      <w:rPr>
        <w:rStyle w:val="PageNumber"/>
      </w:rPr>
      <w:instrText xml:space="preserve">PAGE  </w:instrText>
    </w:r>
    <w:r w:rsidR="009E0237">
      <w:rPr>
        <w:rStyle w:val="PageNumber"/>
      </w:rPr>
      <w:fldChar w:fldCharType="end"/>
    </w:r>
  </w:p>
  <w:p w14:paraId="004B0349" w14:textId="77777777" w:rsidR="009E0237" w:rsidRDefault="009E02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213" w14:textId="77777777" w:rsidR="001E6CA7" w:rsidRPr="00445A39" w:rsidRDefault="001E6CA7" w:rsidP="00651F8B">
    <w:pPr>
      <w:pStyle w:val="Foot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bjFooterFirstPageDocProperty \* MERGEFORMAT </w:instrText>
    </w:r>
    <w:r>
      <w:rPr>
        <w:rFonts w:eastAsiaTheme="minorEastAsia"/>
        <w:lang w:bidi="ar-SA"/>
      </w:rPr>
      <w:fldChar w:fldCharType="separate"/>
    </w:r>
  </w:p>
  <w:p w14:paraId="703A1E5B" w14:textId="25311F71" w:rsidR="009E0237" w:rsidRPr="006C4E8E" w:rsidRDefault="001E6CA7" w:rsidP="006C4E8E">
    <w:pPr>
      <w:pStyle w:val="Footer"/>
      <w:jc w:val="center"/>
    </w:pPr>
    <w:r w:rsidRPr="00445A39">
      <w:rPr>
        <w:rFonts w:ascii="Calibri" w:eastAsiaTheme="minorEastAsia" w:hAnsi="Calibri" w:cs="Calibri"/>
        <w:b/>
        <w:color w:val="F00000"/>
        <w:sz w:val="24"/>
      </w:rPr>
      <w:t>OFFICIAL</w:t>
    </w:r>
    <w:r>
      <w:rPr>
        <w:rFonts w:eastAsiaTheme="minorEastAsia"/>
      </w:rPr>
      <w:t xml:space="preserve"> </w:t>
    </w:r>
    <w:r>
      <w:rPr>
        <w:rFonts w:eastAsiaTheme="minor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3499" w14:textId="77777777" w:rsidR="001E6CA7" w:rsidRPr="00445A39" w:rsidRDefault="001E6CA7" w:rsidP="00651F8B">
    <w:pPr>
      <w:pStyle w:val="Footer"/>
      <w:framePr w:wrap="around" w:vAnchor="text" w:hAnchor="margin" w:xAlign="center" w:y="1"/>
      <w:jc w:val="center"/>
      <w:rPr>
        <w:rStyle w:val="PageNumber"/>
        <w:rFonts w:ascii="Calibri" w:eastAsiaTheme="minorEastAsia" w:hAnsi="Calibri" w:cs="Calibri"/>
        <w:b/>
        <w:color w:val="F00000"/>
        <w:sz w:val="24"/>
      </w:rPr>
    </w:pPr>
    <w:r>
      <w:rPr>
        <w:rStyle w:val="PageNumber"/>
        <w:rFonts w:eastAsiaTheme="minorEastAsia"/>
        <w:lang w:bidi="ar-SA"/>
      </w:rPr>
      <w:fldChar w:fldCharType="begin" w:fldLock="1"/>
    </w:r>
    <w:r>
      <w:rPr>
        <w:rStyle w:val="PageNumber"/>
        <w:rFonts w:eastAsiaTheme="minorEastAsia"/>
      </w:rPr>
      <w:instrText xml:space="preserve"> DOCPROPERTY bjFooterEvenPageDocProperty \* MERGEFORMAT </w:instrText>
    </w:r>
    <w:r>
      <w:rPr>
        <w:rStyle w:val="PageNumber"/>
        <w:rFonts w:eastAsiaTheme="minorEastAsia"/>
        <w:lang w:bidi="ar-SA"/>
      </w:rPr>
      <w:fldChar w:fldCharType="separate"/>
    </w:r>
  </w:p>
  <w:p w14:paraId="70B468EC" w14:textId="32787CBE" w:rsidR="009E0237" w:rsidRDefault="001E6CA7" w:rsidP="006C4E8E">
    <w:pPr>
      <w:pStyle w:val="Footer"/>
      <w:framePr w:wrap="around" w:vAnchor="text" w:hAnchor="margin" w:xAlign="center" w:y="1"/>
      <w:jc w:val="center"/>
      <w:rPr>
        <w:rStyle w:val="PageNumber"/>
      </w:rPr>
    </w:pPr>
    <w:r w:rsidRPr="00445A39">
      <w:rPr>
        <w:rStyle w:val="PageNumber"/>
        <w:rFonts w:ascii="Calibri" w:eastAsiaTheme="minorEastAsia" w:hAnsi="Calibri" w:cs="Calibri"/>
        <w:b/>
        <w:color w:val="F00000"/>
        <w:sz w:val="24"/>
      </w:rPr>
      <w:t>OFFICIAL</w:t>
    </w:r>
    <w:r>
      <w:rPr>
        <w:rStyle w:val="PageNumber"/>
        <w:rFonts w:eastAsiaTheme="minorEastAsia"/>
      </w:rPr>
      <w:t xml:space="preserve"> </w:t>
    </w:r>
    <w:r>
      <w:rPr>
        <w:rStyle w:val="PageNumber"/>
        <w:rFonts w:eastAsiaTheme="minorEastAsia"/>
      </w:rPr>
      <w:fldChar w:fldCharType="end"/>
    </w:r>
    <w:r w:rsidR="009E0237">
      <w:rPr>
        <w:rStyle w:val="PageNumber"/>
      </w:rPr>
      <w:fldChar w:fldCharType="begin"/>
    </w:r>
    <w:r w:rsidR="009E0237">
      <w:rPr>
        <w:rStyle w:val="PageNumber"/>
      </w:rPr>
      <w:instrText xml:space="preserve">PAGE  </w:instrText>
    </w:r>
    <w:r w:rsidR="009E0237">
      <w:rPr>
        <w:rStyle w:val="PageNumber"/>
      </w:rPr>
      <w:fldChar w:fldCharType="end"/>
    </w:r>
  </w:p>
  <w:p w14:paraId="542A25F0" w14:textId="77777777" w:rsidR="009E0237" w:rsidRDefault="009E02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B96E" w14:textId="77777777" w:rsidR="001E6CA7" w:rsidRPr="00445A39" w:rsidRDefault="001E6CA7" w:rsidP="00651F8B">
    <w:pPr>
      <w:pStyle w:val="Foot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bjFooterBothDocProperty \* MERGEFORMAT </w:instrText>
    </w:r>
    <w:r>
      <w:rPr>
        <w:rFonts w:eastAsiaTheme="minorEastAsia"/>
        <w:lang w:bidi="ar-SA"/>
      </w:rPr>
      <w:fldChar w:fldCharType="separate"/>
    </w:r>
  </w:p>
  <w:p w14:paraId="6B2BD195" w14:textId="201EAAF2" w:rsidR="006C4E8E" w:rsidRDefault="001E6CA7" w:rsidP="006C4E8E">
    <w:pPr>
      <w:pStyle w:val="Footer"/>
      <w:jc w:val="center"/>
    </w:pPr>
    <w:r w:rsidRPr="00445A39">
      <w:rPr>
        <w:rFonts w:ascii="Calibri" w:eastAsiaTheme="minorEastAsia" w:hAnsi="Calibri" w:cs="Calibri"/>
        <w:b/>
        <w:color w:val="F00000"/>
        <w:sz w:val="24"/>
      </w:rPr>
      <w:t>OFFICIAL</w:t>
    </w:r>
    <w:r>
      <w:rPr>
        <w:rFonts w:eastAsiaTheme="minorEastAsia"/>
      </w:rPr>
      <w:t xml:space="preserve"> </w:t>
    </w:r>
    <w:r>
      <w:rPr>
        <w:rFonts w:eastAsiaTheme="minorEastAsia"/>
      </w:rPr>
      <w:fldChar w:fldCharType="end"/>
    </w:r>
  </w:p>
  <w:sdt>
    <w:sdtPr>
      <w:id w:val="-2085980724"/>
      <w:docPartObj>
        <w:docPartGallery w:val="Page Numbers (Bottom of Page)"/>
        <w:docPartUnique/>
      </w:docPartObj>
    </w:sdtPr>
    <w:sdtEndPr>
      <w:rPr>
        <w:noProof/>
      </w:rPr>
    </w:sdtEndPr>
    <w:sdtContent>
      <w:p w14:paraId="0552E795" w14:textId="5238E165" w:rsidR="009E0237" w:rsidRDefault="009E0237">
        <w:pPr>
          <w:pStyle w:val="Footer"/>
        </w:pPr>
        <w:r>
          <w:fldChar w:fldCharType="begin"/>
        </w:r>
        <w:r>
          <w:instrText xml:space="preserve"> PAGE   \* MERGEFORMAT </w:instrText>
        </w:r>
        <w:r>
          <w:fldChar w:fldCharType="separate"/>
        </w:r>
        <w:r w:rsidR="008E32BA">
          <w:rPr>
            <w:noProof/>
          </w:rPr>
          <w:t>8</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6370" w14:textId="77777777" w:rsidR="001E6CA7" w:rsidRPr="00445A39" w:rsidRDefault="001E6CA7" w:rsidP="00651F8B">
    <w:pPr>
      <w:pStyle w:val="Foot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bjFooterFirstPageDocProperty \* MERGEFORMAT </w:instrText>
    </w:r>
    <w:r>
      <w:rPr>
        <w:rFonts w:eastAsiaTheme="minorEastAsia"/>
        <w:lang w:bidi="ar-SA"/>
      </w:rPr>
      <w:fldChar w:fldCharType="separate"/>
    </w:r>
  </w:p>
  <w:p w14:paraId="00D143A5" w14:textId="22ABAAB1" w:rsidR="009E0237" w:rsidRPr="006C4E8E" w:rsidRDefault="001E6CA7" w:rsidP="006C4E8E">
    <w:pPr>
      <w:pStyle w:val="Footer"/>
      <w:jc w:val="center"/>
    </w:pPr>
    <w:r w:rsidRPr="00445A39">
      <w:rPr>
        <w:rFonts w:ascii="Calibri" w:eastAsiaTheme="minorEastAsia" w:hAnsi="Calibri" w:cs="Calibri"/>
        <w:b/>
        <w:color w:val="F00000"/>
        <w:sz w:val="24"/>
      </w:rPr>
      <w:t>OFFICIAL</w:t>
    </w:r>
    <w:r>
      <w:rPr>
        <w:rFonts w:eastAsiaTheme="minorEastAsia"/>
      </w:rPr>
      <w:t xml:space="preserve"> </w:t>
    </w:r>
    <w:r>
      <w:rPr>
        <w:rFonts w:eastAsia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508D" w14:textId="77777777" w:rsidR="00FB7D5A" w:rsidRDefault="00FB7D5A">
      <w:r>
        <w:separator/>
      </w:r>
    </w:p>
  </w:footnote>
  <w:footnote w:type="continuationSeparator" w:id="0">
    <w:p w14:paraId="6BCC08D9" w14:textId="77777777" w:rsidR="00FB7D5A" w:rsidRDefault="00FB7D5A">
      <w:r>
        <w:continuationSeparator/>
      </w:r>
    </w:p>
  </w:footnote>
  <w:footnote w:type="continuationNotice" w:id="1">
    <w:p w14:paraId="75147631" w14:textId="77777777" w:rsidR="00FB7D5A" w:rsidRDefault="00FB7D5A"/>
  </w:footnote>
  <w:footnote w:id="2">
    <w:p w14:paraId="45BC90C7" w14:textId="5403EED8" w:rsidR="009E0237" w:rsidRPr="00A12550" w:rsidRDefault="009E0237">
      <w:pPr>
        <w:pStyle w:val="FootnoteText"/>
      </w:pPr>
      <w:r>
        <w:rPr>
          <w:rStyle w:val="FootnoteReference"/>
        </w:rPr>
        <w:footnoteRef/>
      </w:r>
      <w:r>
        <w:t xml:space="preserve"> </w:t>
      </w:r>
      <w:hyperlink r:id="rId1" w:history="1">
        <w:r>
          <w:rPr>
            <w:rStyle w:val="Hyperlink"/>
          </w:rPr>
          <w:t>A1252 - Glucoamylase from GM Aspergillus niger (gene donor: Penicillium oxalicum) as a processing aid (foodstandards.gov.au)</w:t>
        </w:r>
      </w:hyperlink>
    </w:p>
  </w:footnote>
  <w:footnote w:id="3">
    <w:p w14:paraId="54C9D268" w14:textId="40D2DF3F" w:rsidR="009E0237" w:rsidRPr="00B50F1A" w:rsidRDefault="009E0237">
      <w:pPr>
        <w:pStyle w:val="FootnoteText"/>
        <w:rPr>
          <w:lang w:val="en-AU"/>
        </w:rPr>
      </w:pPr>
      <w:r>
        <w:rPr>
          <w:rStyle w:val="FootnoteReference"/>
        </w:rPr>
        <w:footnoteRef/>
      </w:r>
      <w:r>
        <w:t xml:space="preserve"> </w:t>
      </w:r>
      <w:r w:rsidRPr="00721738">
        <w:rPr>
          <w:sz w:val="18"/>
          <w:szCs w:val="18"/>
          <w:lang w:val="en-AU"/>
        </w:rPr>
        <w:t>For the purposes of paragraph 1.2.1—8(1)(d) or subparagraph 1.2.4—5(6)(b)(i).</w:t>
      </w:r>
    </w:p>
  </w:footnote>
  <w:footnote w:id="4">
    <w:p w14:paraId="7C71D06B" w14:textId="77777777" w:rsidR="009E0237" w:rsidRPr="009D0A6B" w:rsidRDefault="009E0237" w:rsidP="0099490F">
      <w:pPr>
        <w:pStyle w:val="FootnoteText"/>
        <w:rPr>
          <w:lang w:val="en-AU"/>
        </w:rPr>
      </w:pPr>
      <w:r>
        <w:rPr>
          <w:rStyle w:val="FootnoteReference"/>
        </w:rPr>
        <w:footnoteRef/>
      </w:r>
      <w:r>
        <w:t xml:space="preserve"> </w:t>
      </w:r>
      <w:r w:rsidRPr="00CB316D">
        <w:rPr>
          <w:b/>
          <w:i/>
          <w:sz w:val="18"/>
          <w:szCs w:val="18"/>
          <w:lang w:val="en-AU"/>
        </w:rPr>
        <w:t>Required name</w:t>
      </w:r>
      <w:r w:rsidRPr="00CB316D">
        <w:rPr>
          <w:sz w:val="18"/>
          <w:szCs w:val="18"/>
          <w:lang w:val="en-AU"/>
        </w:rPr>
        <w:t>, of a particular food, means the name declared by section 1.2.3—5 as the required name for that food for the purposes of Division 3 of Standard 1.2.3.</w:t>
      </w:r>
    </w:p>
  </w:footnote>
  <w:footnote w:id="5">
    <w:p w14:paraId="35558704" w14:textId="183B2029" w:rsidR="009E0237" w:rsidRPr="007F291D" w:rsidRDefault="009E0237" w:rsidP="00B66583">
      <w:pPr>
        <w:pStyle w:val="FootnoteText"/>
        <w:rPr>
          <w:sz w:val="18"/>
          <w:szCs w:val="18"/>
        </w:rPr>
      </w:pPr>
      <w:r>
        <w:rPr>
          <w:rStyle w:val="FootnoteReference"/>
        </w:rPr>
        <w:footnoteRef/>
      </w:r>
      <w:r>
        <w:t xml:space="preserve"> </w:t>
      </w:r>
      <w:r w:rsidR="00B66583">
        <w:rPr>
          <w:sz w:val="18"/>
          <w:szCs w:val="18"/>
        </w:rPr>
        <w:t>I</w:t>
      </w:r>
      <w:r w:rsidR="00B66583" w:rsidRPr="00B66583">
        <w:rPr>
          <w:sz w:val="18"/>
          <w:szCs w:val="18"/>
        </w:rPr>
        <w:t>f a food was packaged and labelled before 25 February 2024, that food may continue to be sold until 24 February 2026 if the food complies with either</w:t>
      </w:r>
      <w:r w:rsidR="008633BC">
        <w:rPr>
          <w:sz w:val="18"/>
          <w:szCs w:val="18"/>
        </w:rPr>
        <w:t xml:space="preserve"> </w:t>
      </w:r>
      <w:r w:rsidR="00B66583" w:rsidRPr="00B66583">
        <w:rPr>
          <w:sz w:val="18"/>
          <w:szCs w:val="18"/>
        </w:rPr>
        <w:t>the previous Code requirements as in force before 25 February 2021, or</w:t>
      </w:r>
      <w:r w:rsidR="008633BC">
        <w:rPr>
          <w:sz w:val="18"/>
          <w:szCs w:val="18"/>
        </w:rPr>
        <w:t xml:space="preserve"> </w:t>
      </w:r>
      <w:r w:rsidR="00B66583" w:rsidRPr="00B66583">
        <w:rPr>
          <w:sz w:val="18"/>
          <w:szCs w:val="18"/>
        </w:rPr>
        <w:t>the amended Code requirements that came into force on 25 February 2021</w:t>
      </w:r>
      <w:r w:rsidR="008633BC">
        <w:rPr>
          <w:sz w:val="18"/>
          <w:szCs w:val="18"/>
        </w:rPr>
        <w:t>.</w:t>
      </w:r>
    </w:p>
  </w:footnote>
  <w:footnote w:id="6">
    <w:p w14:paraId="4D1F7922" w14:textId="77777777" w:rsidR="009B00FC" w:rsidRPr="00834C74" w:rsidRDefault="009B00FC" w:rsidP="009B00FC">
      <w:pPr>
        <w:pStyle w:val="FootnoteText"/>
        <w:rPr>
          <w:sz w:val="18"/>
          <w:szCs w:val="18"/>
        </w:rPr>
      </w:pPr>
      <w:r>
        <w:rPr>
          <w:rStyle w:val="FootnoteReference"/>
        </w:rPr>
        <w:footnoteRef/>
      </w:r>
      <w:r>
        <w:t xml:space="preserve"> </w:t>
      </w:r>
      <w:bookmarkStart w:id="36" w:name="_Hlk112226842"/>
      <w:r w:rsidRPr="00834C74">
        <w:rPr>
          <w:sz w:val="18"/>
          <w:szCs w:val="18"/>
        </w:rPr>
        <w:t xml:space="preserve">Section 1.5.2—4(5) defines </w:t>
      </w:r>
      <w:r w:rsidRPr="00834C74">
        <w:rPr>
          <w:b/>
          <w:i/>
          <w:sz w:val="18"/>
          <w:szCs w:val="18"/>
        </w:rPr>
        <w:t>genetically modified food</w:t>
      </w:r>
      <w:r w:rsidRPr="00834C74">
        <w:rPr>
          <w:sz w:val="18"/>
          <w:szCs w:val="18"/>
        </w:rPr>
        <w:t xml:space="preserve"> to mean a </w:t>
      </w:r>
      <w:r>
        <w:rPr>
          <w:sz w:val="18"/>
          <w:szCs w:val="18"/>
        </w:rPr>
        <w:t>‘</w:t>
      </w:r>
      <w:r w:rsidRPr="00834C74">
        <w:rPr>
          <w:sz w:val="18"/>
          <w:szCs w:val="18"/>
        </w:rPr>
        <w:t xml:space="preserve">*food produced using gene technology that </w:t>
      </w:r>
    </w:p>
    <w:p w14:paraId="4B76FCEB" w14:textId="77777777" w:rsidR="009B00FC" w:rsidRPr="00834C74" w:rsidRDefault="009B00FC" w:rsidP="009B00FC">
      <w:pPr>
        <w:pStyle w:val="FootnoteText"/>
        <w:numPr>
          <w:ilvl w:val="0"/>
          <w:numId w:val="11"/>
        </w:numPr>
        <w:rPr>
          <w:sz w:val="18"/>
          <w:szCs w:val="18"/>
        </w:rPr>
      </w:pPr>
      <w:r w:rsidRPr="00834C74">
        <w:rPr>
          <w:sz w:val="18"/>
          <w:szCs w:val="18"/>
        </w:rPr>
        <w:t>contains novel DNA or novel protein; or</w:t>
      </w:r>
    </w:p>
    <w:p w14:paraId="2ED1AEF8" w14:textId="77777777" w:rsidR="009B00FC" w:rsidRPr="00834C74" w:rsidRDefault="009B00FC" w:rsidP="009B00FC">
      <w:pPr>
        <w:pStyle w:val="FootnoteText"/>
        <w:numPr>
          <w:ilvl w:val="0"/>
          <w:numId w:val="11"/>
        </w:numPr>
        <w:rPr>
          <w:iCs/>
          <w:sz w:val="18"/>
          <w:szCs w:val="18"/>
        </w:rPr>
      </w:pPr>
      <w:r w:rsidRPr="00834C74">
        <w:rPr>
          <w:iCs/>
          <w:sz w:val="18"/>
          <w:szCs w:val="18"/>
        </w:rPr>
        <w:t>is listed in Section S26—3 as subject to the condition that its labelling must comply with this section</w:t>
      </w:r>
      <w:r>
        <w:rPr>
          <w:iCs/>
          <w:sz w:val="18"/>
          <w:szCs w:val="18"/>
        </w:rPr>
        <w:t>’</w:t>
      </w:r>
      <w:r w:rsidRPr="00834C74">
        <w:rPr>
          <w:iCs/>
          <w:sz w:val="18"/>
          <w:szCs w:val="18"/>
        </w:rPr>
        <w:t xml:space="preserve"> (</w:t>
      </w:r>
      <w:r w:rsidRPr="00834C74">
        <w:rPr>
          <w:i/>
          <w:iCs/>
          <w:sz w:val="18"/>
          <w:szCs w:val="18"/>
        </w:rPr>
        <w:t>that being section 1.5.2—4</w:t>
      </w:r>
      <w:r w:rsidRPr="00834C74">
        <w:rPr>
          <w:iCs/>
          <w:sz w:val="18"/>
          <w:szCs w:val="18"/>
        </w:rPr>
        <w:t>).</w:t>
      </w:r>
    </w:p>
    <w:bookmarkEnd w:id="36"/>
    <w:p w14:paraId="3D3233A4" w14:textId="77777777" w:rsidR="009B00FC" w:rsidRPr="00810803" w:rsidRDefault="009B00FC" w:rsidP="009B00FC">
      <w:pPr>
        <w:pStyle w:val="FootnoteText"/>
        <w:rPr>
          <w:lang w:val="en-AU"/>
        </w:rPr>
      </w:pPr>
    </w:p>
  </w:footnote>
  <w:footnote w:id="7">
    <w:p w14:paraId="454C8BDA" w14:textId="77777777" w:rsidR="009E0237" w:rsidRPr="00364FE5" w:rsidRDefault="009E0237" w:rsidP="00612617">
      <w:pPr>
        <w:pStyle w:val="FootnoteText"/>
        <w:rPr>
          <w:lang w:val="en-AU"/>
        </w:rPr>
      </w:pPr>
      <w:r>
        <w:rPr>
          <w:rStyle w:val="FootnoteReference"/>
        </w:rPr>
        <w:footnoteRef/>
      </w:r>
      <w:r>
        <w:t xml:space="preserve"> </w:t>
      </w:r>
      <w:r w:rsidRPr="006725DA">
        <w:rPr>
          <w:sz w:val="18"/>
          <w:szCs w:val="18"/>
        </w:rPr>
        <w:t>Food produced using gene technology’ is defined in subsection 1.1.2—2(3) as meaning ‘a food which has been derived or developed from an organism which has been modified by gene technology’</w:t>
      </w:r>
      <w:r>
        <w:t>.</w:t>
      </w:r>
    </w:p>
  </w:footnote>
  <w:footnote w:id="8">
    <w:p w14:paraId="6EA9AD09" w14:textId="77777777" w:rsidR="00214928" w:rsidRPr="006A38EA" w:rsidRDefault="00214928" w:rsidP="00214928">
      <w:pPr>
        <w:pStyle w:val="FootnoteText"/>
        <w:rPr>
          <w:lang w:val="en-AU"/>
        </w:rPr>
      </w:pPr>
      <w:r>
        <w:rPr>
          <w:rStyle w:val="FootnoteReference"/>
        </w:rPr>
        <w:footnoteRef/>
      </w:r>
      <w:r>
        <w:t xml:space="preserve"> </w:t>
      </w:r>
      <w:r>
        <w:rPr>
          <w:lang w:val="en-AU"/>
        </w:rPr>
        <w:t>Formerly known as the Forum on Food Regulation</w:t>
      </w:r>
    </w:p>
  </w:footnote>
  <w:footnote w:id="9">
    <w:p w14:paraId="3036FEE1" w14:textId="77777777" w:rsidR="009E0237" w:rsidRPr="001352F3" w:rsidRDefault="009E0237" w:rsidP="00A721DF">
      <w:pPr>
        <w:pStyle w:val="FootnoteText"/>
        <w:rPr>
          <w:lang w:val="en-AU"/>
        </w:rPr>
      </w:pPr>
      <w:r>
        <w:rPr>
          <w:rStyle w:val="FootnoteReference"/>
          <w:sz w:val="18"/>
          <w:szCs w:val="18"/>
        </w:rPr>
        <w:footnoteRef/>
      </w:r>
      <w:r>
        <w:rPr>
          <w:sz w:val="18"/>
          <w:szCs w:val="18"/>
        </w:rPr>
        <w:t xml:space="preserve"> </w:t>
      </w:r>
      <w:hyperlink r:id="rId2" w:history="1">
        <w:r w:rsidRPr="001352F3">
          <w:rPr>
            <w:color w:val="3333FF"/>
            <w:u w:val="single"/>
          </w:rPr>
          <w:t>https://foodregulation.gov.au/internet/fr/publishing.nsf/Content/publication-Policy-Guideline-on-the-Addition-of-Substances-other-than-Vitamins-and-Minerals</w:t>
        </w:r>
      </w:hyperlink>
      <w:r w:rsidRPr="001352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A244"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bjHeaderEvenPageDocProperty \* MERGEFORMAT </w:instrText>
    </w:r>
    <w:r>
      <w:rPr>
        <w:rFonts w:eastAsiaTheme="minorEastAsia"/>
        <w:lang w:bidi="ar-SA"/>
      </w:rPr>
      <w:fldChar w:fldCharType="separate"/>
    </w:r>
    <w:r w:rsidRPr="00445A39">
      <w:rPr>
        <w:rFonts w:ascii="Calibri" w:eastAsiaTheme="minorEastAsia" w:hAnsi="Calibri" w:cs="Calibri"/>
        <w:b/>
        <w:color w:val="F00000"/>
        <w:sz w:val="24"/>
      </w:rPr>
      <w:t>OFFICIAL</w:t>
    </w:r>
  </w:p>
  <w:p w14:paraId="120871B5" w14:textId="626BC718" w:rsidR="009E0237" w:rsidRPr="006C4E8E" w:rsidRDefault="001E6CA7" w:rsidP="006C4E8E">
    <w:pPr>
      <w:pStyle w:val="Header"/>
      <w:jc w:val="center"/>
    </w:pPr>
    <w:r w:rsidRPr="00445A39">
      <w:rPr>
        <w:rFonts w:ascii="Calibri" w:eastAsiaTheme="minorEastAsia" w:hAnsi="Calibri" w:cs="Calibri"/>
        <w:b/>
        <w:color w:val="F00000"/>
        <w:sz w:val="24"/>
      </w:rPr>
      <w:t xml:space="preserve"> </w:t>
    </w:r>
    <w:r>
      <w:rPr>
        <w:rFonts w:eastAsiaTheme="minorEastAsi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D5F5" w14:textId="7F064DD3" w:rsidR="001E6CA7" w:rsidRPr="00445A39" w:rsidRDefault="001E6CA7" w:rsidP="00651F8B">
    <w:pPr>
      <w:pStyle w:val="Head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bjHeaderBothDocProperty \* MERGEFORMAT </w:instrText>
    </w:r>
    <w:r>
      <w:rPr>
        <w:rFonts w:eastAsiaTheme="minorEastAsia"/>
        <w:lang w:bidi="ar-SA"/>
      </w:rPr>
      <w:fldChar w:fldCharType="separate"/>
    </w:r>
  </w:p>
  <w:p w14:paraId="7A510130" w14:textId="54D51F2C" w:rsidR="009E0237" w:rsidRPr="006C4E8E" w:rsidRDefault="001E6CA7" w:rsidP="006C4E8E">
    <w:pPr>
      <w:pStyle w:val="Header"/>
      <w:jc w:val="center"/>
    </w:pPr>
    <w:r w:rsidRPr="00445A39">
      <w:rPr>
        <w:rFonts w:ascii="Calibri" w:eastAsiaTheme="minorEastAsia" w:hAnsi="Calibri" w:cs="Calibri"/>
        <w:b/>
        <w:color w:val="F00000"/>
        <w:sz w:val="24"/>
      </w:rPr>
      <w:t xml:space="preserve"> </w:t>
    </w:r>
    <w:r>
      <w:rPr>
        <w:rFonts w:eastAsiaTheme="minorEastAs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279F"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b/>
        <w:lang w:bidi="ar-SA"/>
      </w:rPr>
      <w:fldChar w:fldCharType="begin" w:fldLock="1"/>
    </w:r>
    <w:r>
      <w:rPr>
        <w:rFonts w:eastAsiaTheme="minorEastAsia"/>
        <w:b/>
      </w:rPr>
      <w:instrText xml:space="preserve"> DOCPROPERTY bjHeaderFirstPageDocProperty \* MERGEFORMAT </w:instrText>
    </w:r>
    <w:r>
      <w:rPr>
        <w:rFonts w:eastAsiaTheme="minorEastAsia"/>
        <w:b/>
        <w:lang w:bidi="ar-SA"/>
      </w:rPr>
      <w:fldChar w:fldCharType="separate"/>
    </w:r>
    <w:r w:rsidRPr="00445A39">
      <w:rPr>
        <w:rFonts w:ascii="Calibri" w:eastAsiaTheme="minorEastAsia" w:hAnsi="Calibri" w:cs="Calibri"/>
        <w:b/>
        <w:color w:val="F00000"/>
        <w:sz w:val="24"/>
      </w:rPr>
      <w:t>OFFICIAL</w:t>
    </w:r>
  </w:p>
  <w:p w14:paraId="7161A6CD" w14:textId="2B44FA3F" w:rsidR="001E6CA7" w:rsidRDefault="001E6CA7" w:rsidP="00476334">
    <w:pPr>
      <w:pStyle w:val="Header"/>
      <w:jc w:val="center"/>
      <w:rPr>
        <w:rFonts w:eastAsiaTheme="minorEastAsia"/>
        <w:b/>
      </w:rPr>
    </w:pPr>
    <w:r w:rsidRPr="00445A39">
      <w:rPr>
        <w:rFonts w:ascii="Calibri" w:eastAsiaTheme="minorEastAsia" w:hAnsi="Calibri" w:cs="Calibri"/>
        <w:b/>
        <w:color w:val="F00000"/>
        <w:sz w:val="24"/>
      </w:rPr>
      <w:t xml:space="preserve"> </w:t>
    </w:r>
    <w:r>
      <w:rPr>
        <w:rFonts w:eastAsiaTheme="minorEastAsia"/>
        <w:b/>
      </w:rPr>
      <w:fldChar w:fldCharType="end"/>
    </w:r>
  </w:p>
  <w:p w14:paraId="66EE7E09" w14:textId="0CA6ADAE" w:rsidR="009E0237" w:rsidRDefault="009E0237">
    <w:pPr>
      <w:pStyle w:val="Header"/>
      <w:jc w:val="center"/>
      <w:rPr>
        <w:b/>
        <w:bCs/>
      </w:rPr>
    </w:pPr>
    <w:r>
      <w:rPr>
        <w:b/>
        <w:bCs/>
      </w:rPr>
      <w:t>BOARD-IN-CONFIDENCE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FDC3"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bjHeaderEvenPageDocProperty \* MERGEFORMAT </w:instrText>
    </w:r>
    <w:r>
      <w:rPr>
        <w:rFonts w:eastAsiaTheme="minorEastAsia"/>
        <w:lang w:bidi="ar-SA"/>
      </w:rPr>
      <w:fldChar w:fldCharType="separate"/>
    </w:r>
    <w:r w:rsidRPr="00445A39">
      <w:rPr>
        <w:rFonts w:ascii="Calibri" w:eastAsiaTheme="minorEastAsia" w:hAnsi="Calibri" w:cs="Calibri"/>
        <w:b/>
        <w:color w:val="F00000"/>
        <w:sz w:val="24"/>
      </w:rPr>
      <w:t>OFFICIAL</w:t>
    </w:r>
  </w:p>
  <w:p w14:paraId="239DE4A5" w14:textId="2E540220" w:rsidR="009E0237" w:rsidRPr="006C4E8E" w:rsidRDefault="001E6CA7" w:rsidP="006C4E8E">
    <w:pPr>
      <w:pStyle w:val="Header"/>
      <w:jc w:val="center"/>
    </w:pPr>
    <w:r w:rsidRPr="00445A39">
      <w:rPr>
        <w:rFonts w:ascii="Calibri" w:eastAsiaTheme="minorEastAsia" w:hAnsi="Calibri" w:cs="Calibri"/>
        <w:b/>
        <w:color w:val="F00000"/>
        <w:sz w:val="24"/>
      </w:rPr>
      <w:t xml:space="preserve"> </w:t>
    </w:r>
    <w:r>
      <w:rPr>
        <w:rFonts w:eastAsiaTheme="minor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995D" w14:textId="5BC63E03" w:rsidR="009E0237" w:rsidRPr="006C4E8E" w:rsidRDefault="009E0237" w:rsidP="006C4E8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EE92"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b/>
        <w:lang w:bidi="ar-SA"/>
      </w:rPr>
      <w:fldChar w:fldCharType="begin" w:fldLock="1"/>
    </w:r>
    <w:r>
      <w:rPr>
        <w:rFonts w:eastAsiaTheme="minorEastAsia"/>
        <w:b/>
      </w:rPr>
      <w:instrText xml:space="preserve"> DOCPROPERTY bjHeaderFirstPageDocProperty \* MERGEFORMAT </w:instrText>
    </w:r>
    <w:r>
      <w:rPr>
        <w:rFonts w:eastAsiaTheme="minorEastAsia"/>
        <w:b/>
        <w:lang w:bidi="ar-SA"/>
      </w:rPr>
      <w:fldChar w:fldCharType="separate"/>
    </w:r>
    <w:r w:rsidRPr="00445A39">
      <w:rPr>
        <w:rFonts w:ascii="Calibri" w:eastAsiaTheme="minorEastAsia" w:hAnsi="Calibri" w:cs="Calibri"/>
        <w:b/>
        <w:color w:val="F00000"/>
        <w:sz w:val="24"/>
      </w:rPr>
      <w:t>OFFICIAL</w:t>
    </w:r>
  </w:p>
  <w:p w14:paraId="08B17BDD" w14:textId="685529E8" w:rsidR="001E6CA7" w:rsidRDefault="001E6CA7" w:rsidP="00476334">
    <w:pPr>
      <w:pStyle w:val="Header"/>
      <w:jc w:val="center"/>
      <w:rPr>
        <w:rFonts w:eastAsiaTheme="minorEastAsia"/>
        <w:b/>
      </w:rPr>
    </w:pPr>
    <w:r w:rsidRPr="00445A39">
      <w:rPr>
        <w:rFonts w:ascii="Calibri" w:eastAsiaTheme="minorEastAsia" w:hAnsi="Calibri" w:cs="Calibri"/>
        <w:b/>
        <w:color w:val="F00000"/>
        <w:sz w:val="24"/>
      </w:rPr>
      <w:t xml:space="preserve"> </w:t>
    </w:r>
    <w:r>
      <w:rPr>
        <w:rFonts w:eastAsiaTheme="minorEastAsia"/>
        <w:b/>
      </w:rPr>
      <w:fldChar w:fldCharType="end"/>
    </w:r>
  </w:p>
  <w:p w14:paraId="2C6D60E5" w14:textId="24A27D66" w:rsidR="009E0237" w:rsidRDefault="009E0237">
    <w:pPr>
      <w:pStyle w:val="Header"/>
      <w:jc w:val="center"/>
      <w:rPr>
        <w:b/>
        <w:bCs/>
      </w:rPr>
    </w:pPr>
    <w:r>
      <w:rPr>
        <w:b/>
        <w:bCs/>
      </w:rPr>
      <w:t>BOARD-IN-CONFIDENCE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EBD3"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bjHeaderEvenPageDocProperty \* MERGEFORMAT </w:instrText>
    </w:r>
    <w:r>
      <w:rPr>
        <w:rFonts w:eastAsiaTheme="minorEastAsia"/>
        <w:lang w:bidi="ar-SA"/>
      </w:rPr>
      <w:fldChar w:fldCharType="separate"/>
    </w:r>
    <w:r w:rsidRPr="00445A39">
      <w:rPr>
        <w:rFonts w:ascii="Calibri" w:eastAsiaTheme="minorEastAsia" w:hAnsi="Calibri" w:cs="Calibri"/>
        <w:b/>
        <w:color w:val="F00000"/>
        <w:sz w:val="24"/>
      </w:rPr>
      <w:t>OFFICIAL</w:t>
    </w:r>
  </w:p>
  <w:p w14:paraId="186A154E" w14:textId="37E6DE3C" w:rsidR="009E0237" w:rsidRPr="006C4E8E" w:rsidRDefault="001E6CA7" w:rsidP="006C4E8E">
    <w:pPr>
      <w:pStyle w:val="Header"/>
      <w:jc w:val="center"/>
    </w:pPr>
    <w:r w:rsidRPr="00445A39">
      <w:rPr>
        <w:rFonts w:ascii="Calibri" w:eastAsiaTheme="minorEastAsia" w:hAnsi="Calibri" w:cs="Calibri"/>
        <w:b/>
        <w:color w:val="F00000"/>
        <w:sz w:val="24"/>
      </w:rPr>
      <w:t xml:space="preserve"> </w:t>
    </w:r>
    <w:r>
      <w:rPr>
        <w:rFonts w:eastAsiaTheme="minorEastAsi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345F"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lang w:bidi="ar-SA"/>
      </w:rPr>
      <w:fldChar w:fldCharType="begin" w:fldLock="1"/>
    </w:r>
    <w:r>
      <w:rPr>
        <w:rFonts w:eastAsiaTheme="minorEastAsia"/>
      </w:rPr>
      <w:instrText xml:space="preserve"> DOCPROPERTY bjHeaderBothDocProperty \* MERGEFORMAT </w:instrText>
    </w:r>
    <w:r>
      <w:rPr>
        <w:rFonts w:eastAsiaTheme="minorEastAsia"/>
        <w:lang w:bidi="ar-SA"/>
      </w:rPr>
      <w:fldChar w:fldCharType="separate"/>
    </w:r>
    <w:r w:rsidRPr="00445A39">
      <w:rPr>
        <w:rFonts w:ascii="Calibri" w:eastAsiaTheme="minorEastAsia" w:hAnsi="Calibri" w:cs="Calibri"/>
        <w:b/>
        <w:color w:val="F00000"/>
        <w:sz w:val="24"/>
      </w:rPr>
      <w:t>OFFICIAL</w:t>
    </w:r>
  </w:p>
  <w:p w14:paraId="7AC5E1D1" w14:textId="786EF361" w:rsidR="009E0237" w:rsidRPr="006C4E8E" w:rsidRDefault="001E6CA7" w:rsidP="006C4E8E">
    <w:pPr>
      <w:pStyle w:val="Header"/>
      <w:jc w:val="center"/>
    </w:pPr>
    <w:r w:rsidRPr="00445A39">
      <w:rPr>
        <w:rFonts w:ascii="Calibri" w:eastAsiaTheme="minorEastAsia" w:hAnsi="Calibri" w:cs="Calibri"/>
        <w:b/>
        <w:color w:val="F00000"/>
        <w:sz w:val="24"/>
      </w:rPr>
      <w:t xml:space="preserve"> </w:t>
    </w:r>
    <w:r>
      <w:rPr>
        <w:rFonts w:eastAsiaTheme="minor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484B" w14:textId="77777777" w:rsidR="001E6CA7" w:rsidRPr="00445A39" w:rsidRDefault="001E6CA7" w:rsidP="00651F8B">
    <w:pPr>
      <w:pStyle w:val="Header"/>
      <w:jc w:val="center"/>
      <w:rPr>
        <w:rFonts w:ascii="Calibri" w:eastAsiaTheme="minorEastAsia" w:hAnsi="Calibri" w:cs="Calibri"/>
        <w:b/>
        <w:color w:val="F00000"/>
        <w:sz w:val="24"/>
      </w:rPr>
    </w:pPr>
    <w:r>
      <w:rPr>
        <w:rFonts w:eastAsiaTheme="minorEastAsia"/>
        <w:b/>
        <w:lang w:bidi="ar-SA"/>
      </w:rPr>
      <w:fldChar w:fldCharType="begin" w:fldLock="1"/>
    </w:r>
    <w:r>
      <w:rPr>
        <w:rFonts w:eastAsiaTheme="minorEastAsia"/>
        <w:b/>
      </w:rPr>
      <w:instrText xml:space="preserve"> DOCPROPERTY bjHeaderFirstPageDocProperty \* MERGEFORMAT </w:instrText>
    </w:r>
    <w:r>
      <w:rPr>
        <w:rFonts w:eastAsiaTheme="minorEastAsia"/>
        <w:b/>
        <w:lang w:bidi="ar-SA"/>
      </w:rPr>
      <w:fldChar w:fldCharType="separate"/>
    </w:r>
    <w:r w:rsidRPr="00445A39">
      <w:rPr>
        <w:rFonts w:ascii="Calibri" w:eastAsiaTheme="minorEastAsia" w:hAnsi="Calibri" w:cs="Calibri"/>
        <w:b/>
        <w:color w:val="F00000"/>
        <w:sz w:val="24"/>
      </w:rPr>
      <w:t>OFFICIAL</w:t>
    </w:r>
  </w:p>
  <w:p w14:paraId="1500EDD9" w14:textId="605A101A" w:rsidR="001E6CA7" w:rsidRDefault="001E6CA7" w:rsidP="00476334">
    <w:pPr>
      <w:pStyle w:val="Header"/>
      <w:jc w:val="center"/>
      <w:rPr>
        <w:rFonts w:eastAsiaTheme="minorEastAsia"/>
        <w:b/>
      </w:rPr>
    </w:pPr>
    <w:r w:rsidRPr="00445A39">
      <w:rPr>
        <w:rFonts w:ascii="Calibri" w:eastAsiaTheme="minorEastAsia" w:hAnsi="Calibri" w:cs="Calibri"/>
        <w:b/>
        <w:color w:val="F00000"/>
        <w:sz w:val="24"/>
      </w:rPr>
      <w:t xml:space="preserve"> </w:t>
    </w:r>
    <w:r>
      <w:rPr>
        <w:rFonts w:eastAsiaTheme="minorEastAsia"/>
        <w:b/>
      </w:rPr>
      <w:fldChar w:fldCharType="end"/>
    </w:r>
  </w:p>
  <w:p w14:paraId="08DB531A" w14:textId="32EBA40A" w:rsidR="009E0237" w:rsidRDefault="009E0237">
    <w:pPr>
      <w:pStyle w:val="Header"/>
      <w:jc w:val="center"/>
      <w:rPr>
        <w:b/>
        <w:bCs/>
      </w:rPr>
    </w:pPr>
    <w:r>
      <w:rPr>
        <w:b/>
        <w:bCs/>
      </w:rPr>
      <w:t>BOARD-IN-CONFIDENCE</w:t>
    </w:r>
  </w:p>
</w:hdr>
</file>

<file path=word/intelligence2.xml><?xml version="1.0" encoding="utf-8"?>
<int2:intelligence xmlns:int2="http://schemas.microsoft.com/office/intelligence/2020/intelligence" xmlns:oel="http://schemas.microsoft.com/office/2019/extlst">
  <int2:observations>
    <int2:textHash int2:hashCode="ZMMCSM+UZA3BLn" int2:id="1ajW1Fhk">
      <int2:state int2:value="Rejected" int2:type="LegacyProofing"/>
    </int2:textHash>
    <int2:textHash int2:hashCode="BC3EUS+j05HFFw" int2:id="XIsglutu">
      <int2:state int2:value="Rejected" int2:type="LegacyProofing"/>
    </int2:textHash>
    <int2:textHash int2:hashCode="s4Z/kC25bfPxUO" int2:id="hHkQ2DrG">
      <int2:state int2:value="Rejected" int2:type="LegacyProofing"/>
    </int2:textHash>
    <int2:textHash int2:hashCode="ioXAbE66irpzOk" int2:id="mjQXRx4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C62A4"/>
    <w:multiLevelType w:val="hybridMultilevel"/>
    <w:tmpl w:val="66763324"/>
    <w:lvl w:ilvl="0" w:tplc="13808B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636CA"/>
    <w:multiLevelType w:val="hybridMultilevel"/>
    <w:tmpl w:val="338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27009"/>
    <w:multiLevelType w:val="hybridMultilevel"/>
    <w:tmpl w:val="C098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93076"/>
    <w:multiLevelType w:val="hybridMultilevel"/>
    <w:tmpl w:val="BB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19436A"/>
    <w:multiLevelType w:val="hybridMultilevel"/>
    <w:tmpl w:val="17B2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E3BFD"/>
    <w:multiLevelType w:val="hybridMultilevel"/>
    <w:tmpl w:val="4868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A9C79B5"/>
    <w:multiLevelType w:val="hybridMultilevel"/>
    <w:tmpl w:val="DFFA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B24C0"/>
    <w:multiLevelType w:val="hybridMultilevel"/>
    <w:tmpl w:val="20E2C6F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5055437">
    <w:abstractNumId w:val="1"/>
  </w:num>
  <w:num w:numId="2" w16cid:durableId="2083869500">
    <w:abstractNumId w:val="13"/>
  </w:num>
  <w:num w:numId="3" w16cid:durableId="1084762178">
    <w:abstractNumId w:val="0"/>
  </w:num>
  <w:num w:numId="4" w16cid:durableId="869339606">
    <w:abstractNumId w:val="15"/>
  </w:num>
  <w:num w:numId="5" w16cid:durableId="3943542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325772">
    <w:abstractNumId w:val="6"/>
  </w:num>
  <w:num w:numId="7" w16cid:durableId="1179933384">
    <w:abstractNumId w:val="16"/>
  </w:num>
  <w:num w:numId="8" w16cid:durableId="453251395">
    <w:abstractNumId w:val="12"/>
  </w:num>
  <w:num w:numId="9" w16cid:durableId="1557279300">
    <w:abstractNumId w:val="8"/>
  </w:num>
  <w:num w:numId="10" w16cid:durableId="1719470370">
    <w:abstractNumId w:val="11"/>
  </w:num>
  <w:num w:numId="11" w16cid:durableId="2041128852">
    <w:abstractNumId w:val="2"/>
  </w:num>
  <w:num w:numId="12" w16cid:durableId="1100874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53974">
    <w:abstractNumId w:val="9"/>
  </w:num>
  <w:num w:numId="14" w16cid:durableId="213082726">
    <w:abstractNumId w:val="5"/>
  </w:num>
  <w:num w:numId="15" w16cid:durableId="570892389">
    <w:abstractNumId w:val="4"/>
  </w:num>
  <w:num w:numId="16" w16cid:durableId="1365907278">
    <w:abstractNumId w:val="14"/>
  </w:num>
  <w:num w:numId="17" w16cid:durableId="2034335617">
    <w:abstractNumId w:val="17"/>
  </w:num>
  <w:num w:numId="18" w16cid:durableId="1047218117">
    <w:abstractNumId w:val="10"/>
  </w:num>
  <w:num w:numId="19" w16cid:durableId="224070317">
    <w:abstractNumId w:val="3"/>
  </w:num>
  <w:num w:numId="20" w16cid:durableId="33091707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42"/>
    <w:rsid w:val="0000002E"/>
    <w:rsid w:val="00001CF2"/>
    <w:rsid w:val="0000247B"/>
    <w:rsid w:val="00002619"/>
    <w:rsid w:val="00004274"/>
    <w:rsid w:val="0000469B"/>
    <w:rsid w:val="00012D5E"/>
    <w:rsid w:val="00014211"/>
    <w:rsid w:val="00016972"/>
    <w:rsid w:val="00016CB6"/>
    <w:rsid w:val="00022DBC"/>
    <w:rsid w:val="00024C67"/>
    <w:rsid w:val="0002514C"/>
    <w:rsid w:val="0002552D"/>
    <w:rsid w:val="00026922"/>
    <w:rsid w:val="00034F87"/>
    <w:rsid w:val="00035FF3"/>
    <w:rsid w:val="0003638C"/>
    <w:rsid w:val="00036431"/>
    <w:rsid w:val="00036FBA"/>
    <w:rsid w:val="0003772D"/>
    <w:rsid w:val="0004043E"/>
    <w:rsid w:val="000427B2"/>
    <w:rsid w:val="000462FD"/>
    <w:rsid w:val="0005065E"/>
    <w:rsid w:val="00051021"/>
    <w:rsid w:val="00051ED9"/>
    <w:rsid w:val="000521CB"/>
    <w:rsid w:val="000543F5"/>
    <w:rsid w:val="000564DE"/>
    <w:rsid w:val="00056913"/>
    <w:rsid w:val="00057181"/>
    <w:rsid w:val="00057842"/>
    <w:rsid w:val="00064B2D"/>
    <w:rsid w:val="000653B8"/>
    <w:rsid w:val="00065F1F"/>
    <w:rsid w:val="000723D9"/>
    <w:rsid w:val="000735FD"/>
    <w:rsid w:val="00074560"/>
    <w:rsid w:val="0007466A"/>
    <w:rsid w:val="0007502F"/>
    <w:rsid w:val="00076B23"/>
    <w:rsid w:val="00076D33"/>
    <w:rsid w:val="000778D6"/>
    <w:rsid w:val="00080158"/>
    <w:rsid w:val="000877DD"/>
    <w:rsid w:val="00087FAA"/>
    <w:rsid w:val="00091000"/>
    <w:rsid w:val="00091CC2"/>
    <w:rsid w:val="00092AB7"/>
    <w:rsid w:val="000977B8"/>
    <w:rsid w:val="000A27E9"/>
    <w:rsid w:val="000A2BF7"/>
    <w:rsid w:val="000A39BC"/>
    <w:rsid w:val="000A3D8B"/>
    <w:rsid w:val="000A50F4"/>
    <w:rsid w:val="000A5DF8"/>
    <w:rsid w:val="000A5F03"/>
    <w:rsid w:val="000B07C9"/>
    <w:rsid w:val="000B2DA6"/>
    <w:rsid w:val="000B3C13"/>
    <w:rsid w:val="000B5B4D"/>
    <w:rsid w:val="000B6AF2"/>
    <w:rsid w:val="000C4127"/>
    <w:rsid w:val="000C412C"/>
    <w:rsid w:val="000C5AFC"/>
    <w:rsid w:val="000C640E"/>
    <w:rsid w:val="000C6D6D"/>
    <w:rsid w:val="000C79FB"/>
    <w:rsid w:val="000D07DE"/>
    <w:rsid w:val="000D1C1B"/>
    <w:rsid w:val="000D2586"/>
    <w:rsid w:val="000D295F"/>
    <w:rsid w:val="000D6FD4"/>
    <w:rsid w:val="000E00EB"/>
    <w:rsid w:val="000E0AE4"/>
    <w:rsid w:val="000E1D3A"/>
    <w:rsid w:val="000E3DBC"/>
    <w:rsid w:val="000F082C"/>
    <w:rsid w:val="000F503B"/>
    <w:rsid w:val="000F5E95"/>
    <w:rsid w:val="000F717C"/>
    <w:rsid w:val="0010054B"/>
    <w:rsid w:val="0010086B"/>
    <w:rsid w:val="0010725F"/>
    <w:rsid w:val="001102B9"/>
    <w:rsid w:val="00110915"/>
    <w:rsid w:val="00111497"/>
    <w:rsid w:val="00113375"/>
    <w:rsid w:val="00113CE3"/>
    <w:rsid w:val="00117522"/>
    <w:rsid w:val="00117F09"/>
    <w:rsid w:val="00120600"/>
    <w:rsid w:val="00121B4D"/>
    <w:rsid w:val="00126AE2"/>
    <w:rsid w:val="00130934"/>
    <w:rsid w:val="00132A5F"/>
    <w:rsid w:val="00133679"/>
    <w:rsid w:val="0013476F"/>
    <w:rsid w:val="0014095D"/>
    <w:rsid w:val="00142F9A"/>
    <w:rsid w:val="001456DA"/>
    <w:rsid w:val="00151550"/>
    <w:rsid w:val="00152F9C"/>
    <w:rsid w:val="001542D8"/>
    <w:rsid w:val="00156420"/>
    <w:rsid w:val="0015653C"/>
    <w:rsid w:val="001577CD"/>
    <w:rsid w:val="00160081"/>
    <w:rsid w:val="001643F4"/>
    <w:rsid w:val="0016440B"/>
    <w:rsid w:val="00170336"/>
    <w:rsid w:val="00171CAE"/>
    <w:rsid w:val="00173E70"/>
    <w:rsid w:val="00180C41"/>
    <w:rsid w:val="00182393"/>
    <w:rsid w:val="00182C4C"/>
    <w:rsid w:val="00185272"/>
    <w:rsid w:val="00186189"/>
    <w:rsid w:val="00186769"/>
    <w:rsid w:val="00186BD1"/>
    <w:rsid w:val="00190899"/>
    <w:rsid w:val="00191BBC"/>
    <w:rsid w:val="00195254"/>
    <w:rsid w:val="00197D8D"/>
    <w:rsid w:val="00197F12"/>
    <w:rsid w:val="001A1A75"/>
    <w:rsid w:val="001A2E9E"/>
    <w:rsid w:val="001A33B3"/>
    <w:rsid w:val="001A5E7D"/>
    <w:rsid w:val="001A5F58"/>
    <w:rsid w:val="001A646F"/>
    <w:rsid w:val="001A6995"/>
    <w:rsid w:val="001A7E9A"/>
    <w:rsid w:val="001B2E9F"/>
    <w:rsid w:val="001B4E55"/>
    <w:rsid w:val="001B52E2"/>
    <w:rsid w:val="001B5833"/>
    <w:rsid w:val="001C27A3"/>
    <w:rsid w:val="001C282C"/>
    <w:rsid w:val="001C2F76"/>
    <w:rsid w:val="001C3D2F"/>
    <w:rsid w:val="001C5295"/>
    <w:rsid w:val="001C54B7"/>
    <w:rsid w:val="001C6E5A"/>
    <w:rsid w:val="001C7717"/>
    <w:rsid w:val="001D1E20"/>
    <w:rsid w:val="001D3C2B"/>
    <w:rsid w:val="001D3F84"/>
    <w:rsid w:val="001D47CA"/>
    <w:rsid w:val="001D7135"/>
    <w:rsid w:val="001D7363"/>
    <w:rsid w:val="001E042A"/>
    <w:rsid w:val="001E09FA"/>
    <w:rsid w:val="001E0CBE"/>
    <w:rsid w:val="001E5446"/>
    <w:rsid w:val="001E55AE"/>
    <w:rsid w:val="001E6CA7"/>
    <w:rsid w:val="001E7B7F"/>
    <w:rsid w:val="001F0559"/>
    <w:rsid w:val="001F3E03"/>
    <w:rsid w:val="001F443F"/>
    <w:rsid w:val="001F5B9C"/>
    <w:rsid w:val="001F6652"/>
    <w:rsid w:val="001F719F"/>
    <w:rsid w:val="001F74B2"/>
    <w:rsid w:val="00203540"/>
    <w:rsid w:val="002040BF"/>
    <w:rsid w:val="002102A0"/>
    <w:rsid w:val="00212E4A"/>
    <w:rsid w:val="00214928"/>
    <w:rsid w:val="00215779"/>
    <w:rsid w:val="00215A39"/>
    <w:rsid w:val="00215AFE"/>
    <w:rsid w:val="00216CF2"/>
    <w:rsid w:val="00217C65"/>
    <w:rsid w:val="00221A05"/>
    <w:rsid w:val="00221D07"/>
    <w:rsid w:val="00224E85"/>
    <w:rsid w:val="00227076"/>
    <w:rsid w:val="00227E4A"/>
    <w:rsid w:val="00230976"/>
    <w:rsid w:val="002317F5"/>
    <w:rsid w:val="00237F62"/>
    <w:rsid w:val="002409B2"/>
    <w:rsid w:val="002409DF"/>
    <w:rsid w:val="002417C9"/>
    <w:rsid w:val="002432EE"/>
    <w:rsid w:val="0024582E"/>
    <w:rsid w:val="002505D8"/>
    <w:rsid w:val="00251FEA"/>
    <w:rsid w:val="00253A94"/>
    <w:rsid w:val="002547EF"/>
    <w:rsid w:val="00255F8F"/>
    <w:rsid w:val="002564C2"/>
    <w:rsid w:val="00256D65"/>
    <w:rsid w:val="002609B2"/>
    <w:rsid w:val="00264C30"/>
    <w:rsid w:val="00271F00"/>
    <w:rsid w:val="00273A80"/>
    <w:rsid w:val="0027513D"/>
    <w:rsid w:val="00276026"/>
    <w:rsid w:val="002775C5"/>
    <w:rsid w:val="00280D39"/>
    <w:rsid w:val="002810EF"/>
    <w:rsid w:val="0028353F"/>
    <w:rsid w:val="002851C8"/>
    <w:rsid w:val="00286CE8"/>
    <w:rsid w:val="002875AD"/>
    <w:rsid w:val="0029204E"/>
    <w:rsid w:val="0029351E"/>
    <w:rsid w:val="00294BAD"/>
    <w:rsid w:val="0029503E"/>
    <w:rsid w:val="0029631C"/>
    <w:rsid w:val="00296AE7"/>
    <w:rsid w:val="002973B1"/>
    <w:rsid w:val="002A0194"/>
    <w:rsid w:val="002A14D6"/>
    <w:rsid w:val="002A16A0"/>
    <w:rsid w:val="002A2737"/>
    <w:rsid w:val="002A5F8B"/>
    <w:rsid w:val="002A7F6C"/>
    <w:rsid w:val="002B0D8E"/>
    <w:rsid w:val="002B34B8"/>
    <w:rsid w:val="002B39F3"/>
    <w:rsid w:val="002B58DD"/>
    <w:rsid w:val="002B6F25"/>
    <w:rsid w:val="002B7E6D"/>
    <w:rsid w:val="002C4A91"/>
    <w:rsid w:val="002C6A66"/>
    <w:rsid w:val="002D0D41"/>
    <w:rsid w:val="002D1548"/>
    <w:rsid w:val="002D2502"/>
    <w:rsid w:val="002D3928"/>
    <w:rsid w:val="002D5588"/>
    <w:rsid w:val="002D6809"/>
    <w:rsid w:val="002E086A"/>
    <w:rsid w:val="002E3064"/>
    <w:rsid w:val="002E34C2"/>
    <w:rsid w:val="002E3DFB"/>
    <w:rsid w:val="002E3F35"/>
    <w:rsid w:val="002E4801"/>
    <w:rsid w:val="002E5173"/>
    <w:rsid w:val="002E79EC"/>
    <w:rsid w:val="002E7AE9"/>
    <w:rsid w:val="002F0BD8"/>
    <w:rsid w:val="002F0CA9"/>
    <w:rsid w:val="002F1450"/>
    <w:rsid w:val="002F47A8"/>
    <w:rsid w:val="002F56C6"/>
    <w:rsid w:val="002F6488"/>
    <w:rsid w:val="002F6BEC"/>
    <w:rsid w:val="00300998"/>
    <w:rsid w:val="00301EA0"/>
    <w:rsid w:val="0030279C"/>
    <w:rsid w:val="00310E84"/>
    <w:rsid w:val="003121E0"/>
    <w:rsid w:val="003125CE"/>
    <w:rsid w:val="0031305B"/>
    <w:rsid w:val="00315A71"/>
    <w:rsid w:val="003213F9"/>
    <w:rsid w:val="003221F9"/>
    <w:rsid w:val="00323DBF"/>
    <w:rsid w:val="00324BB6"/>
    <w:rsid w:val="003260BB"/>
    <w:rsid w:val="003309A8"/>
    <w:rsid w:val="00332B12"/>
    <w:rsid w:val="00332FFE"/>
    <w:rsid w:val="0033470E"/>
    <w:rsid w:val="00334ABA"/>
    <w:rsid w:val="003353D0"/>
    <w:rsid w:val="00335B69"/>
    <w:rsid w:val="00335ECC"/>
    <w:rsid w:val="00336711"/>
    <w:rsid w:val="00337CB1"/>
    <w:rsid w:val="00341BD6"/>
    <w:rsid w:val="003427BE"/>
    <w:rsid w:val="00343837"/>
    <w:rsid w:val="0034527C"/>
    <w:rsid w:val="00347935"/>
    <w:rsid w:val="00350DBD"/>
    <w:rsid w:val="00351927"/>
    <w:rsid w:val="00351B07"/>
    <w:rsid w:val="00351BA4"/>
    <w:rsid w:val="00354856"/>
    <w:rsid w:val="003548E7"/>
    <w:rsid w:val="00354A9D"/>
    <w:rsid w:val="0035627B"/>
    <w:rsid w:val="003563D0"/>
    <w:rsid w:val="00357110"/>
    <w:rsid w:val="0036209E"/>
    <w:rsid w:val="0036261D"/>
    <w:rsid w:val="0036268A"/>
    <w:rsid w:val="00363DA2"/>
    <w:rsid w:val="0036461F"/>
    <w:rsid w:val="00364841"/>
    <w:rsid w:val="00365361"/>
    <w:rsid w:val="003655A3"/>
    <w:rsid w:val="00370136"/>
    <w:rsid w:val="00370445"/>
    <w:rsid w:val="00371B29"/>
    <w:rsid w:val="00372182"/>
    <w:rsid w:val="00374C95"/>
    <w:rsid w:val="0037520F"/>
    <w:rsid w:val="003770C7"/>
    <w:rsid w:val="00382CD1"/>
    <w:rsid w:val="00383B92"/>
    <w:rsid w:val="00385777"/>
    <w:rsid w:val="00387F7B"/>
    <w:rsid w:val="00391429"/>
    <w:rsid w:val="00391769"/>
    <w:rsid w:val="00393F48"/>
    <w:rsid w:val="00394BA8"/>
    <w:rsid w:val="003953E1"/>
    <w:rsid w:val="003953E5"/>
    <w:rsid w:val="00395442"/>
    <w:rsid w:val="003956B3"/>
    <w:rsid w:val="00395B32"/>
    <w:rsid w:val="0039600A"/>
    <w:rsid w:val="003A01A9"/>
    <w:rsid w:val="003A3559"/>
    <w:rsid w:val="003A3DF6"/>
    <w:rsid w:val="003A68BE"/>
    <w:rsid w:val="003A7725"/>
    <w:rsid w:val="003B0611"/>
    <w:rsid w:val="003B0AE6"/>
    <w:rsid w:val="003B1D0F"/>
    <w:rsid w:val="003B3C9D"/>
    <w:rsid w:val="003B4062"/>
    <w:rsid w:val="003B579E"/>
    <w:rsid w:val="003B78E0"/>
    <w:rsid w:val="003C04E9"/>
    <w:rsid w:val="003C098F"/>
    <w:rsid w:val="003C3E5A"/>
    <w:rsid w:val="003C4363"/>
    <w:rsid w:val="003C4969"/>
    <w:rsid w:val="003C520D"/>
    <w:rsid w:val="003C6C68"/>
    <w:rsid w:val="003D03B0"/>
    <w:rsid w:val="003D196F"/>
    <w:rsid w:val="003D1AAE"/>
    <w:rsid w:val="003D554C"/>
    <w:rsid w:val="003E1878"/>
    <w:rsid w:val="003E41D5"/>
    <w:rsid w:val="003E46BA"/>
    <w:rsid w:val="003E7D22"/>
    <w:rsid w:val="003F3099"/>
    <w:rsid w:val="003F7313"/>
    <w:rsid w:val="003F74C1"/>
    <w:rsid w:val="003F78B0"/>
    <w:rsid w:val="003F7C55"/>
    <w:rsid w:val="00402864"/>
    <w:rsid w:val="004040B3"/>
    <w:rsid w:val="004047AA"/>
    <w:rsid w:val="00405B1A"/>
    <w:rsid w:val="00407241"/>
    <w:rsid w:val="0040761E"/>
    <w:rsid w:val="00407DF4"/>
    <w:rsid w:val="00410C76"/>
    <w:rsid w:val="00411907"/>
    <w:rsid w:val="0041195E"/>
    <w:rsid w:val="00411C78"/>
    <w:rsid w:val="00413CA8"/>
    <w:rsid w:val="00417EE3"/>
    <w:rsid w:val="004207EB"/>
    <w:rsid w:val="00421FD9"/>
    <w:rsid w:val="00422668"/>
    <w:rsid w:val="00427200"/>
    <w:rsid w:val="004316B4"/>
    <w:rsid w:val="00433D61"/>
    <w:rsid w:val="00435FA5"/>
    <w:rsid w:val="00436B8D"/>
    <w:rsid w:val="00437276"/>
    <w:rsid w:val="0044207E"/>
    <w:rsid w:val="00442E03"/>
    <w:rsid w:val="00445A39"/>
    <w:rsid w:val="004469A2"/>
    <w:rsid w:val="00446DA1"/>
    <w:rsid w:val="00447E67"/>
    <w:rsid w:val="00450408"/>
    <w:rsid w:val="0045556F"/>
    <w:rsid w:val="00456467"/>
    <w:rsid w:val="00456B54"/>
    <w:rsid w:val="00464643"/>
    <w:rsid w:val="004646F8"/>
    <w:rsid w:val="00466416"/>
    <w:rsid w:val="00470E4A"/>
    <w:rsid w:val="004753BE"/>
    <w:rsid w:val="00476334"/>
    <w:rsid w:val="00476D62"/>
    <w:rsid w:val="00477867"/>
    <w:rsid w:val="00484C2D"/>
    <w:rsid w:val="00485AB1"/>
    <w:rsid w:val="00486793"/>
    <w:rsid w:val="0048753E"/>
    <w:rsid w:val="00490ED4"/>
    <w:rsid w:val="004932B6"/>
    <w:rsid w:val="00496554"/>
    <w:rsid w:val="0049729B"/>
    <w:rsid w:val="00497EEF"/>
    <w:rsid w:val="004A10F0"/>
    <w:rsid w:val="004A2037"/>
    <w:rsid w:val="004A22A2"/>
    <w:rsid w:val="004A3685"/>
    <w:rsid w:val="004B41F5"/>
    <w:rsid w:val="004B6B87"/>
    <w:rsid w:val="004C0146"/>
    <w:rsid w:val="004C2CE7"/>
    <w:rsid w:val="004C6EBD"/>
    <w:rsid w:val="004C7290"/>
    <w:rsid w:val="004D30A6"/>
    <w:rsid w:val="004D4C9E"/>
    <w:rsid w:val="004D6BBF"/>
    <w:rsid w:val="004D6F4A"/>
    <w:rsid w:val="004E4D16"/>
    <w:rsid w:val="004E572E"/>
    <w:rsid w:val="004F4F98"/>
    <w:rsid w:val="004F69F6"/>
    <w:rsid w:val="004F6CB7"/>
    <w:rsid w:val="004F773A"/>
    <w:rsid w:val="004F79AC"/>
    <w:rsid w:val="005017CF"/>
    <w:rsid w:val="0050186F"/>
    <w:rsid w:val="00501E0A"/>
    <w:rsid w:val="00502B5E"/>
    <w:rsid w:val="00504107"/>
    <w:rsid w:val="00510C88"/>
    <w:rsid w:val="00510EA1"/>
    <w:rsid w:val="00512290"/>
    <w:rsid w:val="00514261"/>
    <w:rsid w:val="00514689"/>
    <w:rsid w:val="005207D8"/>
    <w:rsid w:val="00521F70"/>
    <w:rsid w:val="00522142"/>
    <w:rsid w:val="0052649E"/>
    <w:rsid w:val="005265BE"/>
    <w:rsid w:val="00526AD8"/>
    <w:rsid w:val="00526B53"/>
    <w:rsid w:val="005273B8"/>
    <w:rsid w:val="00534527"/>
    <w:rsid w:val="0053464E"/>
    <w:rsid w:val="00534ED5"/>
    <w:rsid w:val="00535727"/>
    <w:rsid w:val="005358B0"/>
    <w:rsid w:val="005425D7"/>
    <w:rsid w:val="00543722"/>
    <w:rsid w:val="00543DE8"/>
    <w:rsid w:val="00544943"/>
    <w:rsid w:val="00547D09"/>
    <w:rsid w:val="00552FD8"/>
    <w:rsid w:val="0055318C"/>
    <w:rsid w:val="00553969"/>
    <w:rsid w:val="00557177"/>
    <w:rsid w:val="00561E06"/>
    <w:rsid w:val="00561E5A"/>
    <w:rsid w:val="00562917"/>
    <w:rsid w:val="005650F7"/>
    <w:rsid w:val="00570EDC"/>
    <w:rsid w:val="00572EC3"/>
    <w:rsid w:val="005747A6"/>
    <w:rsid w:val="00581A26"/>
    <w:rsid w:val="0058586E"/>
    <w:rsid w:val="00586228"/>
    <w:rsid w:val="00587D59"/>
    <w:rsid w:val="0059227F"/>
    <w:rsid w:val="00592EF7"/>
    <w:rsid w:val="0059497B"/>
    <w:rsid w:val="0059498B"/>
    <w:rsid w:val="005A0FAF"/>
    <w:rsid w:val="005A17B2"/>
    <w:rsid w:val="005A2334"/>
    <w:rsid w:val="005A3A03"/>
    <w:rsid w:val="005A4C97"/>
    <w:rsid w:val="005A7F5E"/>
    <w:rsid w:val="005B01E7"/>
    <w:rsid w:val="005B1CAE"/>
    <w:rsid w:val="005B5053"/>
    <w:rsid w:val="005B615C"/>
    <w:rsid w:val="005B6AF4"/>
    <w:rsid w:val="005C04CB"/>
    <w:rsid w:val="005C233C"/>
    <w:rsid w:val="005C49C3"/>
    <w:rsid w:val="005C4B1D"/>
    <w:rsid w:val="005C71BA"/>
    <w:rsid w:val="005C7503"/>
    <w:rsid w:val="005D16AD"/>
    <w:rsid w:val="005D24C9"/>
    <w:rsid w:val="005D30AC"/>
    <w:rsid w:val="005D72E1"/>
    <w:rsid w:val="005E06AE"/>
    <w:rsid w:val="005E0BDD"/>
    <w:rsid w:val="005E2158"/>
    <w:rsid w:val="005E2F53"/>
    <w:rsid w:val="005E3327"/>
    <w:rsid w:val="005E3DD0"/>
    <w:rsid w:val="005E6A29"/>
    <w:rsid w:val="005E6E16"/>
    <w:rsid w:val="005F3A05"/>
    <w:rsid w:val="005F400E"/>
    <w:rsid w:val="005F5D00"/>
    <w:rsid w:val="005F6AF6"/>
    <w:rsid w:val="005F723C"/>
    <w:rsid w:val="005F7342"/>
    <w:rsid w:val="00600CFA"/>
    <w:rsid w:val="00603A08"/>
    <w:rsid w:val="006066BC"/>
    <w:rsid w:val="00606C88"/>
    <w:rsid w:val="006074F4"/>
    <w:rsid w:val="00607F50"/>
    <w:rsid w:val="00610A3C"/>
    <w:rsid w:val="00611042"/>
    <w:rsid w:val="00612617"/>
    <w:rsid w:val="00614492"/>
    <w:rsid w:val="00614941"/>
    <w:rsid w:val="006156A8"/>
    <w:rsid w:val="006211CD"/>
    <w:rsid w:val="00625B16"/>
    <w:rsid w:val="00627F48"/>
    <w:rsid w:val="00630E48"/>
    <w:rsid w:val="00633ACA"/>
    <w:rsid w:val="006342E0"/>
    <w:rsid w:val="0063730D"/>
    <w:rsid w:val="006413DE"/>
    <w:rsid w:val="006419CE"/>
    <w:rsid w:val="00642A47"/>
    <w:rsid w:val="00646FDD"/>
    <w:rsid w:val="00651F8B"/>
    <w:rsid w:val="00652BC7"/>
    <w:rsid w:val="00654BE8"/>
    <w:rsid w:val="00654EB3"/>
    <w:rsid w:val="0066084D"/>
    <w:rsid w:val="00663FCF"/>
    <w:rsid w:val="006652A2"/>
    <w:rsid w:val="00666008"/>
    <w:rsid w:val="00666148"/>
    <w:rsid w:val="00666DC4"/>
    <w:rsid w:val="0067442A"/>
    <w:rsid w:val="0067507D"/>
    <w:rsid w:val="006767CA"/>
    <w:rsid w:val="00677E1C"/>
    <w:rsid w:val="00681754"/>
    <w:rsid w:val="00681D53"/>
    <w:rsid w:val="006822A9"/>
    <w:rsid w:val="00682923"/>
    <w:rsid w:val="00683E69"/>
    <w:rsid w:val="00685269"/>
    <w:rsid w:val="006937FF"/>
    <w:rsid w:val="00695173"/>
    <w:rsid w:val="006965BF"/>
    <w:rsid w:val="00697756"/>
    <w:rsid w:val="006A1CD1"/>
    <w:rsid w:val="006A33AE"/>
    <w:rsid w:val="006A48A7"/>
    <w:rsid w:val="006A5070"/>
    <w:rsid w:val="006B09FC"/>
    <w:rsid w:val="006B0E9F"/>
    <w:rsid w:val="006B4BA1"/>
    <w:rsid w:val="006B6FFE"/>
    <w:rsid w:val="006C28E2"/>
    <w:rsid w:val="006C4E8E"/>
    <w:rsid w:val="006C5CF5"/>
    <w:rsid w:val="006C6050"/>
    <w:rsid w:val="006C7738"/>
    <w:rsid w:val="006D1375"/>
    <w:rsid w:val="006D2F2C"/>
    <w:rsid w:val="006D3FD8"/>
    <w:rsid w:val="006D5649"/>
    <w:rsid w:val="006D578E"/>
    <w:rsid w:val="006E251B"/>
    <w:rsid w:val="006E3623"/>
    <w:rsid w:val="006E527D"/>
    <w:rsid w:val="006F17A0"/>
    <w:rsid w:val="006F3C35"/>
    <w:rsid w:val="006F4A82"/>
    <w:rsid w:val="006F7649"/>
    <w:rsid w:val="006F7B5C"/>
    <w:rsid w:val="00700239"/>
    <w:rsid w:val="00701564"/>
    <w:rsid w:val="007026A7"/>
    <w:rsid w:val="0070373B"/>
    <w:rsid w:val="00704C61"/>
    <w:rsid w:val="00707E72"/>
    <w:rsid w:val="007104D7"/>
    <w:rsid w:val="007113EB"/>
    <w:rsid w:val="00711C67"/>
    <w:rsid w:val="00715451"/>
    <w:rsid w:val="0071715F"/>
    <w:rsid w:val="0072150F"/>
    <w:rsid w:val="00721738"/>
    <w:rsid w:val="00722C61"/>
    <w:rsid w:val="00723054"/>
    <w:rsid w:val="0072473D"/>
    <w:rsid w:val="00724FA4"/>
    <w:rsid w:val="00726C2F"/>
    <w:rsid w:val="00727077"/>
    <w:rsid w:val="00727155"/>
    <w:rsid w:val="00730214"/>
    <w:rsid w:val="00730800"/>
    <w:rsid w:val="00732900"/>
    <w:rsid w:val="00735217"/>
    <w:rsid w:val="00735B07"/>
    <w:rsid w:val="007363F2"/>
    <w:rsid w:val="007368AB"/>
    <w:rsid w:val="00737902"/>
    <w:rsid w:val="00741EFE"/>
    <w:rsid w:val="00743E68"/>
    <w:rsid w:val="007444C5"/>
    <w:rsid w:val="00750860"/>
    <w:rsid w:val="007602AA"/>
    <w:rsid w:val="00760317"/>
    <w:rsid w:val="007621F7"/>
    <w:rsid w:val="007627B6"/>
    <w:rsid w:val="00762DFB"/>
    <w:rsid w:val="00764A3C"/>
    <w:rsid w:val="00764D33"/>
    <w:rsid w:val="007652EF"/>
    <w:rsid w:val="00765760"/>
    <w:rsid w:val="0077012B"/>
    <w:rsid w:val="00771679"/>
    <w:rsid w:val="007718EC"/>
    <w:rsid w:val="00772BDC"/>
    <w:rsid w:val="00773033"/>
    <w:rsid w:val="007739B0"/>
    <w:rsid w:val="00780792"/>
    <w:rsid w:val="00783828"/>
    <w:rsid w:val="00784043"/>
    <w:rsid w:val="007850C2"/>
    <w:rsid w:val="00786B5F"/>
    <w:rsid w:val="00792B9D"/>
    <w:rsid w:val="00792DF1"/>
    <w:rsid w:val="00794940"/>
    <w:rsid w:val="007949E8"/>
    <w:rsid w:val="007951DC"/>
    <w:rsid w:val="007A21D9"/>
    <w:rsid w:val="007A2F31"/>
    <w:rsid w:val="007A3AA3"/>
    <w:rsid w:val="007A44B4"/>
    <w:rsid w:val="007A5811"/>
    <w:rsid w:val="007A627F"/>
    <w:rsid w:val="007A7D3D"/>
    <w:rsid w:val="007B021B"/>
    <w:rsid w:val="007B101B"/>
    <w:rsid w:val="007B225D"/>
    <w:rsid w:val="007B4E3A"/>
    <w:rsid w:val="007B68C2"/>
    <w:rsid w:val="007C174F"/>
    <w:rsid w:val="007C1C64"/>
    <w:rsid w:val="007C23B8"/>
    <w:rsid w:val="007C2A78"/>
    <w:rsid w:val="007C3D34"/>
    <w:rsid w:val="007C4799"/>
    <w:rsid w:val="007C5E79"/>
    <w:rsid w:val="007C6C08"/>
    <w:rsid w:val="007C7108"/>
    <w:rsid w:val="007C75EE"/>
    <w:rsid w:val="007D01B1"/>
    <w:rsid w:val="007D07B3"/>
    <w:rsid w:val="007D0D95"/>
    <w:rsid w:val="007D19E8"/>
    <w:rsid w:val="007D22D0"/>
    <w:rsid w:val="007D2543"/>
    <w:rsid w:val="007D3EAE"/>
    <w:rsid w:val="007D40A1"/>
    <w:rsid w:val="007D54A6"/>
    <w:rsid w:val="007E0F3C"/>
    <w:rsid w:val="007E1A0B"/>
    <w:rsid w:val="007E48BC"/>
    <w:rsid w:val="007E5268"/>
    <w:rsid w:val="007E5F81"/>
    <w:rsid w:val="007E728E"/>
    <w:rsid w:val="007E79F7"/>
    <w:rsid w:val="007F291D"/>
    <w:rsid w:val="007F3283"/>
    <w:rsid w:val="007F3630"/>
    <w:rsid w:val="0080052D"/>
    <w:rsid w:val="0080089E"/>
    <w:rsid w:val="00801B97"/>
    <w:rsid w:val="00807559"/>
    <w:rsid w:val="00810887"/>
    <w:rsid w:val="0081597D"/>
    <w:rsid w:val="00817D46"/>
    <w:rsid w:val="00820535"/>
    <w:rsid w:val="00827E20"/>
    <w:rsid w:val="00834758"/>
    <w:rsid w:val="0083534A"/>
    <w:rsid w:val="008355FA"/>
    <w:rsid w:val="008361D4"/>
    <w:rsid w:val="008362B1"/>
    <w:rsid w:val="00840BA5"/>
    <w:rsid w:val="00840D7E"/>
    <w:rsid w:val="008450BC"/>
    <w:rsid w:val="0084623D"/>
    <w:rsid w:val="00851A60"/>
    <w:rsid w:val="0085334B"/>
    <w:rsid w:val="008633BC"/>
    <w:rsid w:val="00867B23"/>
    <w:rsid w:val="00870214"/>
    <w:rsid w:val="00873D5B"/>
    <w:rsid w:val="00876260"/>
    <w:rsid w:val="00876515"/>
    <w:rsid w:val="00880F59"/>
    <w:rsid w:val="008828D9"/>
    <w:rsid w:val="00885643"/>
    <w:rsid w:val="00885C51"/>
    <w:rsid w:val="00885EB0"/>
    <w:rsid w:val="00887317"/>
    <w:rsid w:val="008873A7"/>
    <w:rsid w:val="00890CCA"/>
    <w:rsid w:val="008919B0"/>
    <w:rsid w:val="0089264A"/>
    <w:rsid w:val="00896B85"/>
    <w:rsid w:val="00897554"/>
    <w:rsid w:val="008A1F49"/>
    <w:rsid w:val="008A22BE"/>
    <w:rsid w:val="008A3221"/>
    <w:rsid w:val="008A35FB"/>
    <w:rsid w:val="008A52D2"/>
    <w:rsid w:val="008A5E43"/>
    <w:rsid w:val="008B0075"/>
    <w:rsid w:val="008B1422"/>
    <w:rsid w:val="008B20E6"/>
    <w:rsid w:val="008B47AF"/>
    <w:rsid w:val="008B5567"/>
    <w:rsid w:val="008B61ED"/>
    <w:rsid w:val="008B6837"/>
    <w:rsid w:val="008C0E7A"/>
    <w:rsid w:val="008C1B36"/>
    <w:rsid w:val="008C242F"/>
    <w:rsid w:val="008C3439"/>
    <w:rsid w:val="008C3B85"/>
    <w:rsid w:val="008C4B3F"/>
    <w:rsid w:val="008C5559"/>
    <w:rsid w:val="008C6059"/>
    <w:rsid w:val="008C767C"/>
    <w:rsid w:val="008D019D"/>
    <w:rsid w:val="008D06C6"/>
    <w:rsid w:val="008D25DD"/>
    <w:rsid w:val="008D75A4"/>
    <w:rsid w:val="008D79B7"/>
    <w:rsid w:val="008E2082"/>
    <w:rsid w:val="008E28DB"/>
    <w:rsid w:val="008E2EB9"/>
    <w:rsid w:val="008E32BA"/>
    <w:rsid w:val="008E6250"/>
    <w:rsid w:val="008E6838"/>
    <w:rsid w:val="008E68EB"/>
    <w:rsid w:val="008F2608"/>
    <w:rsid w:val="008F2778"/>
    <w:rsid w:val="008F78A1"/>
    <w:rsid w:val="00901EF6"/>
    <w:rsid w:val="0090213C"/>
    <w:rsid w:val="00902AF6"/>
    <w:rsid w:val="00903410"/>
    <w:rsid w:val="00903669"/>
    <w:rsid w:val="00903975"/>
    <w:rsid w:val="0090794F"/>
    <w:rsid w:val="00911FCD"/>
    <w:rsid w:val="0091393D"/>
    <w:rsid w:val="00914030"/>
    <w:rsid w:val="00914362"/>
    <w:rsid w:val="00916C00"/>
    <w:rsid w:val="00916CD4"/>
    <w:rsid w:val="00920249"/>
    <w:rsid w:val="0092099D"/>
    <w:rsid w:val="009212DA"/>
    <w:rsid w:val="00924C80"/>
    <w:rsid w:val="00925ADE"/>
    <w:rsid w:val="009264FB"/>
    <w:rsid w:val="00926C77"/>
    <w:rsid w:val="00932F14"/>
    <w:rsid w:val="00934E32"/>
    <w:rsid w:val="0093501C"/>
    <w:rsid w:val="009352E0"/>
    <w:rsid w:val="0093608F"/>
    <w:rsid w:val="0094004B"/>
    <w:rsid w:val="0094247F"/>
    <w:rsid w:val="00942D60"/>
    <w:rsid w:val="00944BA4"/>
    <w:rsid w:val="00951A21"/>
    <w:rsid w:val="00955CD8"/>
    <w:rsid w:val="00960A7E"/>
    <w:rsid w:val="00961DB4"/>
    <w:rsid w:val="0096523B"/>
    <w:rsid w:val="00966EE3"/>
    <w:rsid w:val="0096743A"/>
    <w:rsid w:val="00970050"/>
    <w:rsid w:val="00972D06"/>
    <w:rsid w:val="00973565"/>
    <w:rsid w:val="00974B82"/>
    <w:rsid w:val="0098101E"/>
    <w:rsid w:val="00981FCB"/>
    <w:rsid w:val="0098477E"/>
    <w:rsid w:val="009850AA"/>
    <w:rsid w:val="00985BF8"/>
    <w:rsid w:val="00991D15"/>
    <w:rsid w:val="0099271B"/>
    <w:rsid w:val="00992E5F"/>
    <w:rsid w:val="0099490F"/>
    <w:rsid w:val="00995EA4"/>
    <w:rsid w:val="00995F07"/>
    <w:rsid w:val="009A10AA"/>
    <w:rsid w:val="009A1A57"/>
    <w:rsid w:val="009A3857"/>
    <w:rsid w:val="009A391C"/>
    <w:rsid w:val="009A50F2"/>
    <w:rsid w:val="009B00FC"/>
    <w:rsid w:val="009B0CE3"/>
    <w:rsid w:val="009B146A"/>
    <w:rsid w:val="009B187A"/>
    <w:rsid w:val="009B3DD5"/>
    <w:rsid w:val="009B44E2"/>
    <w:rsid w:val="009B4811"/>
    <w:rsid w:val="009B60D4"/>
    <w:rsid w:val="009B620B"/>
    <w:rsid w:val="009B655B"/>
    <w:rsid w:val="009B71AB"/>
    <w:rsid w:val="009C2912"/>
    <w:rsid w:val="009C4322"/>
    <w:rsid w:val="009C5AEC"/>
    <w:rsid w:val="009C5D5A"/>
    <w:rsid w:val="009C79B2"/>
    <w:rsid w:val="009D02A5"/>
    <w:rsid w:val="009D1133"/>
    <w:rsid w:val="009D1452"/>
    <w:rsid w:val="009D5E5A"/>
    <w:rsid w:val="009D790B"/>
    <w:rsid w:val="009E0237"/>
    <w:rsid w:val="009E044A"/>
    <w:rsid w:val="009E0A61"/>
    <w:rsid w:val="009E1343"/>
    <w:rsid w:val="009E173A"/>
    <w:rsid w:val="009E267B"/>
    <w:rsid w:val="009E3010"/>
    <w:rsid w:val="009E5DD9"/>
    <w:rsid w:val="009E695C"/>
    <w:rsid w:val="009E6A64"/>
    <w:rsid w:val="009E7C84"/>
    <w:rsid w:val="009F007E"/>
    <w:rsid w:val="009F1B03"/>
    <w:rsid w:val="009F1BCF"/>
    <w:rsid w:val="009F2813"/>
    <w:rsid w:val="009F38C4"/>
    <w:rsid w:val="009F4B2C"/>
    <w:rsid w:val="009F500D"/>
    <w:rsid w:val="009F7065"/>
    <w:rsid w:val="009F789C"/>
    <w:rsid w:val="00A0154A"/>
    <w:rsid w:val="00A0199F"/>
    <w:rsid w:val="00A0512D"/>
    <w:rsid w:val="00A0794A"/>
    <w:rsid w:val="00A079E9"/>
    <w:rsid w:val="00A12550"/>
    <w:rsid w:val="00A12B44"/>
    <w:rsid w:val="00A141D9"/>
    <w:rsid w:val="00A14DA4"/>
    <w:rsid w:val="00A20F65"/>
    <w:rsid w:val="00A22C0B"/>
    <w:rsid w:val="00A23584"/>
    <w:rsid w:val="00A2712C"/>
    <w:rsid w:val="00A278A4"/>
    <w:rsid w:val="00A30F35"/>
    <w:rsid w:val="00A325C4"/>
    <w:rsid w:val="00A35E86"/>
    <w:rsid w:val="00A40193"/>
    <w:rsid w:val="00A4175D"/>
    <w:rsid w:val="00A4199B"/>
    <w:rsid w:val="00A45226"/>
    <w:rsid w:val="00A51DF5"/>
    <w:rsid w:val="00A525DE"/>
    <w:rsid w:val="00A54934"/>
    <w:rsid w:val="00A56DC7"/>
    <w:rsid w:val="00A56E34"/>
    <w:rsid w:val="00A6222A"/>
    <w:rsid w:val="00A721DF"/>
    <w:rsid w:val="00A72CF9"/>
    <w:rsid w:val="00A74FD1"/>
    <w:rsid w:val="00A76ADD"/>
    <w:rsid w:val="00A822A4"/>
    <w:rsid w:val="00A83741"/>
    <w:rsid w:val="00A84A58"/>
    <w:rsid w:val="00A84DAD"/>
    <w:rsid w:val="00A852AE"/>
    <w:rsid w:val="00A857D7"/>
    <w:rsid w:val="00A91DF1"/>
    <w:rsid w:val="00A95E6A"/>
    <w:rsid w:val="00AA5359"/>
    <w:rsid w:val="00AA62CF"/>
    <w:rsid w:val="00AB0275"/>
    <w:rsid w:val="00AB1D3B"/>
    <w:rsid w:val="00AB5955"/>
    <w:rsid w:val="00AB62FC"/>
    <w:rsid w:val="00AC044A"/>
    <w:rsid w:val="00AC08D1"/>
    <w:rsid w:val="00AC09AD"/>
    <w:rsid w:val="00AC164C"/>
    <w:rsid w:val="00AC2617"/>
    <w:rsid w:val="00AC6162"/>
    <w:rsid w:val="00AC74CB"/>
    <w:rsid w:val="00AD22F9"/>
    <w:rsid w:val="00AD2B2C"/>
    <w:rsid w:val="00AD6FBD"/>
    <w:rsid w:val="00AD73C0"/>
    <w:rsid w:val="00AD7A3D"/>
    <w:rsid w:val="00AE4E6E"/>
    <w:rsid w:val="00AE766D"/>
    <w:rsid w:val="00AF031C"/>
    <w:rsid w:val="00AF06FC"/>
    <w:rsid w:val="00AF10CE"/>
    <w:rsid w:val="00AF3391"/>
    <w:rsid w:val="00AF387F"/>
    <w:rsid w:val="00AF482C"/>
    <w:rsid w:val="00AF4853"/>
    <w:rsid w:val="00AF5684"/>
    <w:rsid w:val="00AF602C"/>
    <w:rsid w:val="00AF73E5"/>
    <w:rsid w:val="00B00E7F"/>
    <w:rsid w:val="00B102F7"/>
    <w:rsid w:val="00B105A4"/>
    <w:rsid w:val="00B11098"/>
    <w:rsid w:val="00B11955"/>
    <w:rsid w:val="00B121F8"/>
    <w:rsid w:val="00B14C76"/>
    <w:rsid w:val="00B15855"/>
    <w:rsid w:val="00B158D4"/>
    <w:rsid w:val="00B16236"/>
    <w:rsid w:val="00B16677"/>
    <w:rsid w:val="00B173DA"/>
    <w:rsid w:val="00B20D1E"/>
    <w:rsid w:val="00B2149E"/>
    <w:rsid w:val="00B219C7"/>
    <w:rsid w:val="00B21DCC"/>
    <w:rsid w:val="00B220EC"/>
    <w:rsid w:val="00B25F37"/>
    <w:rsid w:val="00B26FA7"/>
    <w:rsid w:val="00B3090C"/>
    <w:rsid w:val="00B31DE0"/>
    <w:rsid w:val="00B378CD"/>
    <w:rsid w:val="00B402AA"/>
    <w:rsid w:val="00B44422"/>
    <w:rsid w:val="00B46EA0"/>
    <w:rsid w:val="00B477D6"/>
    <w:rsid w:val="00B50F1A"/>
    <w:rsid w:val="00B51E03"/>
    <w:rsid w:val="00B52DBE"/>
    <w:rsid w:val="00B55905"/>
    <w:rsid w:val="00B577C0"/>
    <w:rsid w:val="00B61BB9"/>
    <w:rsid w:val="00B62BF2"/>
    <w:rsid w:val="00B64B3B"/>
    <w:rsid w:val="00B65710"/>
    <w:rsid w:val="00B66583"/>
    <w:rsid w:val="00B71E08"/>
    <w:rsid w:val="00B71F51"/>
    <w:rsid w:val="00B731D3"/>
    <w:rsid w:val="00B770D7"/>
    <w:rsid w:val="00B82D50"/>
    <w:rsid w:val="00B839A3"/>
    <w:rsid w:val="00B853D2"/>
    <w:rsid w:val="00B902BD"/>
    <w:rsid w:val="00B90EC9"/>
    <w:rsid w:val="00B9694C"/>
    <w:rsid w:val="00B969AD"/>
    <w:rsid w:val="00BA040E"/>
    <w:rsid w:val="00BA24E2"/>
    <w:rsid w:val="00BA3655"/>
    <w:rsid w:val="00BA3A48"/>
    <w:rsid w:val="00BA503B"/>
    <w:rsid w:val="00BA6B61"/>
    <w:rsid w:val="00BB1C64"/>
    <w:rsid w:val="00BB282C"/>
    <w:rsid w:val="00BB34DC"/>
    <w:rsid w:val="00BB5930"/>
    <w:rsid w:val="00BB7771"/>
    <w:rsid w:val="00BC0083"/>
    <w:rsid w:val="00BC0CCC"/>
    <w:rsid w:val="00BC3504"/>
    <w:rsid w:val="00BC55D4"/>
    <w:rsid w:val="00BC6D8E"/>
    <w:rsid w:val="00BD2A39"/>
    <w:rsid w:val="00BD2E80"/>
    <w:rsid w:val="00BE11B8"/>
    <w:rsid w:val="00BE3818"/>
    <w:rsid w:val="00BE50DA"/>
    <w:rsid w:val="00BE547D"/>
    <w:rsid w:val="00BE5540"/>
    <w:rsid w:val="00BE5A82"/>
    <w:rsid w:val="00BE5D3D"/>
    <w:rsid w:val="00BE728A"/>
    <w:rsid w:val="00BF1A42"/>
    <w:rsid w:val="00BF24F8"/>
    <w:rsid w:val="00BF36A1"/>
    <w:rsid w:val="00BF4BE2"/>
    <w:rsid w:val="00BF4DF1"/>
    <w:rsid w:val="00BF64DC"/>
    <w:rsid w:val="00BF6A77"/>
    <w:rsid w:val="00BF7FF0"/>
    <w:rsid w:val="00C0290D"/>
    <w:rsid w:val="00C035EC"/>
    <w:rsid w:val="00C06615"/>
    <w:rsid w:val="00C11F74"/>
    <w:rsid w:val="00C12502"/>
    <w:rsid w:val="00C1266C"/>
    <w:rsid w:val="00C126DD"/>
    <w:rsid w:val="00C14706"/>
    <w:rsid w:val="00C14FD2"/>
    <w:rsid w:val="00C21F24"/>
    <w:rsid w:val="00C220C0"/>
    <w:rsid w:val="00C228A8"/>
    <w:rsid w:val="00C3182A"/>
    <w:rsid w:val="00C32047"/>
    <w:rsid w:val="00C34D00"/>
    <w:rsid w:val="00C35EAA"/>
    <w:rsid w:val="00C36422"/>
    <w:rsid w:val="00C36578"/>
    <w:rsid w:val="00C40AA5"/>
    <w:rsid w:val="00C4158E"/>
    <w:rsid w:val="00C42244"/>
    <w:rsid w:val="00C43F48"/>
    <w:rsid w:val="00C46F70"/>
    <w:rsid w:val="00C476D0"/>
    <w:rsid w:val="00C50F03"/>
    <w:rsid w:val="00C52918"/>
    <w:rsid w:val="00C52CBF"/>
    <w:rsid w:val="00C52DA3"/>
    <w:rsid w:val="00C56F71"/>
    <w:rsid w:val="00C604F1"/>
    <w:rsid w:val="00C63580"/>
    <w:rsid w:val="00C6573F"/>
    <w:rsid w:val="00C67484"/>
    <w:rsid w:val="00C70896"/>
    <w:rsid w:val="00C7273A"/>
    <w:rsid w:val="00C75733"/>
    <w:rsid w:val="00C75A29"/>
    <w:rsid w:val="00C7700A"/>
    <w:rsid w:val="00C77DA9"/>
    <w:rsid w:val="00C80BBD"/>
    <w:rsid w:val="00C836E3"/>
    <w:rsid w:val="00C83AEB"/>
    <w:rsid w:val="00C83BD7"/>
    <w:rsid w:val="00C83F74"/>
    <w:rsid w:val="00C86577"/>
    <w:rsid w:val="00C8728A"/>
    <w:rsid w:val="00C872AF"/>
    <w:rsid w:val="00C91E13"/>
    <w:rsid w:val="00C92E07"/>
    <w:rsid w:val="00C94942"/>
    <w:rsid w:val="00C95A55"/>
    <w:rsid w:val="00C96868"/>
    <w:rsid w:val="00C969EB"/>
    <w:rsid w:val="00C96A50"/>
    <w:rsid w:val="00CA0416"/>
    <w:rsid w:val="00CA1073"/>
    <w:rsid w:val="00CA2922"/>
    <w:rsid w:val="00CA3C65"/>
    <w:rsid w:val="00CA4C8E"/>
    <w:rsid w:val="00CA7B09"/>
    <w:rsid w:val="00CA7B7B"/>
    <w:rsid w:val="00CA7F35"/>
    <w:rsid w:val="00CB0C29"/>
    <w:rsid w:val="00CB1375"/>
    <w:rsid w:val="00CB1D3D"/>
    <w:rsid w:val="00CC0A26"/>
    <w:rsid w:val="00CC36E7"/>
    <w:rsid w:val="00CC3C92"/>
    <w:rsid w:val="00CC54B4"/>
    <w:rsid w:val="00CC560B"/>
    <w:rsid w:val="00CC5E7A"/>
    <w:rsid w:val="00CC71B9"/>
    <w:rsid w:val="00CC75E2"/>
    <w:rsid w:val="00CC7882"/>
    <w:rsid w:val="00CD0166"/>
    <w:rsid w:val="00CD0D14"/>
    <w:rsid w:val="00CD3F18"/>
    <w:rsid w:val="00CD46EB"/>
    <w:rsid w:val="00CD4CED"/>
    <w:rsid w:val="00CD7EBF"/>
    <w:rsid w:val="00CE0AEB"/>
    <w:rsid w:val="00CE25C8"/>
    <w:rsid w:val="00CE44DB"/>
    <w:rsid w:val="00CE5793"/>
    <w:rsid w:val="00CF34E4"/>
    <w:rsid w:val="00CF7098"/>
    <w:rsid w:val="00D00DA8"/>
    <w:rsid w:val="00D01DC3"/>
    <w:rsid w:val="00D01DD5"/>
    <w:rsid w:val="00D03772"/>
    <w:rsid w:val="00D04529"/>
    <w:rsid w:val="00D05254"/>
    <w:rsid w:val="00D055AD"/>
    <w:rsid w:val="00D056F1"/>
    <w:rsid w:val="00D05E3D"/>
    <w:rsid w:val="00D062E4"/>
    <w:rsid w:val="00D11171"/>
    <w:rsid w:val="00D11655"/>
    <w:rsid w:val="00D121F1"/>
    <w:rsid w:val="00D1253C"/>
    <w:rsid w:val="00D14405"/>
    <w:rsid w:val="00D14E20"/>
    <w:rsid w:val="00D157F1"/>
    <w:rsid w:val="00D15F14"/>
    <w:rsid w:val="00D1772F"/>
    <w:rsid w:val="00D17A05"/>
    <w:rsid w:val="00D2071E"/>
    <w:rsid w:val="00D209C9"/>
    <w:rsid w:val="00D20C23"/>
    <w:rsid w:val="00D20D66"/>
    <w:rsid w:val="00D22F3C"/>
    <w:rsid w:val="00D23DB6"/>
    <w:rsid w:val="00D256C2"/>
    <w:rsid w:val="00D26814"/>
    <w:rsid w:val="00D3171B"/>
    <w:rsid w:val="00D33D6F"/>
    <w:rsid w:val="00D33F56"/>
    <w:rsid w:val="00D37CFF"/>
    <w:rsid w:val="00D4074C"/>
    <w:rsid w:val="00D43FE6"/>
    <w:rsid w:val="00D457E1"/>
    <w:rsid w:val="00D51A95"/>
    <w:rsid w:val="00D54011"/>
    <w:rsid w:val="00D60568"/>
    <w:rsid w:val="00D619CF"/>
    <w:rsid w:val="00D63973"/>
    <w:rsid w:val="00D676CF"/>
    <w:rsid w:val="00D70C7A"/>
    <w:rsid w:val="00D70CC1"/>
    <w:rsid w:val="00D73931"/>
    <w:rsid w:val="00D74FA2"/>
    <w:rsid w:val="00D7700A"/>
    <w:rsid w:val="00D81D38"/>
    <w:rsid w:val="00D8331B"/>
    <w:rsid w:val="00D8470F"/>
    <w:rsid w:val="00D8471A"/>
    <w:rsid w:val="00D85E55"/>
    <w:rsid w:val="00D86197"/>
    <w:rsid w:val="00D875BA"/>
    <w:rsid w:val="00D959E2"/>
    <w:rsid w:val="00D974EC"/>
    <w:rsid w:val="00DA0A9F"/>
    <w:rsid w:val="00DA10A8"/>
    <w:rsid w:val="00DA51B8"/>
    <w:rsid w:val="00DA51F3"/>
    <w:rsid w:val="00DB0A2B"/>
    <w:rsid w:val="00DB193E"/>
    <w:rsid w:val="00DB1D2C"/>
    <w:rsid w:val="00DB1E08"/>
    <w:rsid w:val="00DB2973"/>
    <w:rsid w:val="00DB300C"/>
    <w:rsid w:val="00DB3228"/>
    <w:rsid w:val="00DB324A"/>
    <w:rsid w:val="00DB65A3"/>
    <w:rsid w:val="00DB7A08"/>
    <w:rsid w:val="00DB7C3D"/>
    <w:rsid w:val="00DC1B56"/>
    <w:rsid w:val="00DC2129"/>
    <w:rsid w:val="00DC2623"/>
    <w:rsid w:val="00DC3C72"/>
    <w:rsid w:val="00DC404E"/>
    <w:rsid w:val="00DC4DEB"/>
    <w:rsid w:val="00DC54A7"/>
    <w:rsid w:val="00DC6570"/>
    <w:rsid w:val="00DC6BD9"/>
    <w:rsid w:val="00DD17DB"/>
    <w:rsid w:val="00DD2FCE"/>
    <w:rsid w:val="00DD3C5E"/>
    <w:rsid w:val="00DD5A12"/>
    <w:rsid w:val="00DD5BB6"/>
    <w:rsid w:val="00DD7FDA"/>
    <w:rsid w:val="00DE24B6"/>
    <w:rsid w:val="00DE2E3F"/>
    <w:rsid w:val="00DE4C33"/>
    <w:rsid w:val="00DE4D0B"/>
    <w:rsid w:val="00DE79D9"/>
    <w:rsid w:val="00DE7A4D"/>
    <w:rsid w:val="00DF23C5"/>
    <w:rsid w:val="00DF25C3"/>
    <w:rsid w:val="00DF3F6E"/>
    <w:rsid w:val="00DF53D0"/>
    <w:rsid w:val="00DF6716"/>
    <w:rsid w:val="00DF736D"/>
    <w:rsid w:val="00DF7D3D"/>
    <w:rsid w:val="00E00B8D"/>
    <w:rsid w:val="00E00DB3"/>
    <w:rsid w:val="00E02B0C"/>
    <w:rsid w:val="00E02F2E"/>
    <w:rsid w:val="00E03125"/>
    <w:rsid w:val="00E04062"/>
    <w:rsid w:val="00E063C6"/>
    <w:rsid w:val="00E1159A"/>
    <w:rsid w:val="00E1172D"/>
    <w:rsid w:val="00E12F65"/>
    <w:rsid w:val="00E1383B"/>
    <w:rsid w:val="00E2003B"/>
    <w:rsid w:val="00E203C2"/>
    <w:rsid w:val="00E21505"/>
    <w:rsid w:val="00E222D3"/>
    <w:rsid w:val="00E2372B"/>
    <w:rsid w:val="00E24DE8"/>
    <w:rsid w:val="00E25589"/>
    <w:rsid w:val="00E2579C"/>
    <w:rsid w:val="00E259B8"/>
    <w:rsid w:val="00E26A6D"/>
    <w:rsid w:val="00E270A0"/>
    <w:rsid w:val="00E279D8"/>
    <w:rsid w:val="00E319B1"/>
    <w:rsid w:val="00E344BA"/>
    <w:rsid w:val="00E3456E"/>
    <w:rsid w:val="00E35D84"/>
    <w:rsid w:val="00E36979"/>
    <w:rsid w:val="00E40ED4"/>
    <w:rsid w:val="00E411B3"/>
    <w:rsid w:val="00E44E0D"/>
    <w:rsid w:val="00E45EF8"/>
    <w:rsid w:val="00E507AC"/>
    <w:rsid w:val="00E50F41"/>
    <w:rsid w:val="00E512D9"/>
    <w:rsid w:val="00E51AB6"/>
    <w:rsid w:val="00E520F3"/>
    <w:rsid w:val="00E520FE"/>
    <w:rsid w:val="00E52A4B"/>
    <w:rsid w:val="00E53C3C"/>
    <w:rsid w:val="00E53E38"/>
    <w:rsid w:val="00E5492F"/>
    <w:rsid w:val="00E561FB"/>
    <w:rsid w:val="00E61CA0"/>
    <w:rsid w:val="00E62199"/>
    <w:rsid w:val="00E628AC"/>
    <w:rsid w:val="00E6293A"/>
    <w:rsid w:val="00E62DEF"/>
    <w:rsid w:val="00E70077"/>
    <w:rsid w:val="00E70A86"/>
    <w:rsid w:val="00E71E43"/>
    <w:rsid w:val="00E72650"/>
    <w:rsid w:val="00E74DA9"/>
    <w:rsid w:val="00E75054"/>
    <w:rsid w:val="00E751D6"/>
    <w:rsid w:val="00E7565E"/>
    <w:rsid w:val="00E777EC"/>
    <w:rsid w:val="00E80FCD"/>
    <w:rsid w:val="00E81F6E"/>
    <w:rsid w:val="00E9157E"/>
    <w:rsid w:val="00E93959"/>
    <w:rsid w:val="00EA24C6"/>
    <w:rsid w:val="00EA7E2F"/>
    <w:rsid w:val="00EA7F2F"/>
    <w:rsid w:val="00EB2544"/>
    <w:rsid w:val="00EB67A4"/>
    <w:rsid w:val="00EC00DE"/>
    <w:rsid w:val="00EC092A"/>
    <w:rsid w:val="00EC18A3"/>
    <w:rsid w:val="00EC30E1"/>
    <w:rsid w:val="00EC3347"/>
    <w:rsid w:val="00EC40ED"/>
    <w:rsid w:val="00EC418F"/>
    <w:rsid w:val="00EC57DF"/>
    <w:rsid w:val="00EC58BC"/>
    <w:rsid w:val="00EC66F7"/>
    <w:rsid w:val="00EC67DA"/>
    <w:rsid w:val="00EC6FA7"/>
    <w:rsid w:val="00EC70E3"/>
    <w:rsid w:val="00ED0CC4"/>
    <w:rsid w:val="00ED172A"/>
    <w:rsid w:val="00ED3ADC"/>
    <w:rsid w:val="00ED3B2E"/>
    <w:rsid w:val="00ED3E77"/>
    <w:rsid w:val="00EE0A23"/>
    <w:rsid w:val="00EE60DB"/>
    <w:rsid w:val="00EE7C4B"/>
    <w:rsid w:val="00EF693C"/>
    <w:rsid w:val="00EF7263"/>
    <w:rsid w:val="00F00C69"/>
    <w:rsid w:val="00F04198"/>
    <w:rsid w:val="00F06873"/>
    <w:rsid w:val="00F0750B"/>
    <w:rsid w:val="00F126D6"/>
    <w:rsid w:val="00F13B06"/>
    <w:rsid w:val="00F14BEC"/>
    <w:rsid w:val="00F14F0D"/>
    <w:rsid w:val="00F152A6"/>
    <w:rsid w:val="00F16AB3"/>
    <w:rsid w:val="00F1790E"/>
    <w:rsid w:val="00F225C5"/>
    <w:rsid w:val="00F24EAA"/>
    <w:rsid w:val="00F2587A"/>
    <w:rsid w:val="00F25919"/>
    <w:rsid w:val="00F26D52"/>
    <w:rsid w:val="00F33BB8"/>
    <w:rsid w:val="00F367E7"/>
    <w:rsid w:val="00F3715D"/>
    <w:rsid w:val="00F375D8"/>
    <w:rsid w:val="00F4068B"/>
    <w:rsid w:val="00F420C8"/>
    <w:rsid w:val="00F425FB"/>
    <w:rsid w:val="00F42937"/>
    <w:rsid w:val="00F42A4C"/>
    <w:rsid w:val="00F42D55"/>
    <w:rsid w:val="00F4502E"/>
    <w:rsid w:val="00F50B5C"/>
    <w:rsid w:val="00F50FF7"/>
    <w:rsid w:val="00F539AE"/>
    <w:rsid w:val="00F53B04"/>
    <w:rsid w:val="00F55EEC"/>
    <w:rsid w:val="00F5751E"/>
    <w:rsid w:val="00F604DE"/>
    <w:rsid w:val="00F60B18"/>
    <w:rsid w:val="00F64653"/>
    <w:rsid w:val="00F66FBB"/>
    <w:rsid w:val="00F70537"/>
    <w:rsid w:val="00F70F8B"/>
    <w:rsid w:val="00F740E0"/>
    <w:rsid w:val="00F804B7"/>
    <w:rsid w:val="00F80ADB"/>
    <w:rsid w:val="00F81444"/>
    <w:rsid w:val="00F84695"/>
    <w:rsid w:val="00F84707"/>
    <w:rsid w:val="00F932EC"/>
    <w:rsid w:val="00F934E1"/>
    <w:rsid w:val="00F93C77"/>
    <w:rsid w:val="00F95EEC"/>
    <w:rsid w:val="00F96F79"/>
    <w:rsid w:val="00FA2D24"/>
    <w:rsid w:val="00FA4D81"/>
    <w:rsid w:val="00FA6477"/>
    <w:rsid w:val="00FA68B0"/>
    <w:rsid w:val="00FA6A4A"/>
    <w:rsid w:val="00FA705B"/>
    <w:rsid w:val="00FA7F05"/>
    <w:rsid w:val="00FB0ADF"/>
    <w:rsid w:val="00FB1533"/>
    <w:rsid w:val="00FB1634"/>
    <w:rsid w:val="00FB5F5D"/>
    <w:rsid w:val="00FB67A3"/>
    <w:rsid w:val="00FB6D3D"/>
    <w:rsid w:val="00FB7512"/>
    <w:rsid w:val="00FB7D5A"/>
    <w:rsid w:val="00FC141A"/>
    <w:rsid w:val="00FC2BD1"/>
    <w:rsid w:val="00FC319E"/>
    <w:rsid w:val="00FC53F6"/>
    <w:rsid w:val="00FD0EF7"/>
    <w:rsid w:val="00FD21F6"/>
    <w:rsid w:val="00FD2426"/>
    <w:rsid w:val="00FD2FBE"/>
    <w:rsid w:val="00FD7547"/>
    <w:rsid w:val="00FE3062"/>
    <w:rsid w:val="00FF04FD"/>
    <w:rsid w:val="00FF101F"/>
    <w:rsid w:val="00FF3133"/>
    <w:rsid w:val="00FF5F5C"/>
    <w:rsid w:val="019FF029"/>
    <w:rsid w:val="022A2919"/>
    <w:rsid w:val="04E835F5"/>
    <w:rsid w:val="06BC7D33"/>
    <w:rsid w:val="0734014A"/>
    <w:rsid w:val="08CFD1AB"/>
    <w:rsid w:val="08EC7190"/>
    <w:rsid w:val="094192AE"/>
    <w:rsid w:val="095235FA"/>
    <w:rsid w:val="0A6BA20C"/>
    <w:rsid w:val="0C03CA75"/>
    <w:rsid w:val="0D4EFAE2"/>
    <w:rsid w:val="0F0B4065"/>
    <w:rsid w:val="0F114A88"/>
    <w:rsid w:val="11A9BBB7"/>
    <w:rsid w:val="11F3D2E7"/>
    <w:rsid w:val="1237B2A5"/>
    <w:rsid w:val="12A9D6E6"/>
    <w:rsid w:val="130290D0"/>
    <w:rsid w:val="1348C8D9"/>
    <w:rsid w:val="15341368"/>
    <w:rsid w:val="1848011B"/>
    <w:rsid w:val="19E0452E"/>
    <w:rsid w:val="1A5BA092"/>
    <w:rsid w:val="1AA06A63"/>
    <w:rsid w:val="1B20260B"/>
    <w:rsid w:val="1D2BB964"/>
    <w:rsid w:val="1E2A7675"/>
    <w:rsid w:val="206C90C8"/>
    <w:rsid w:val="2154E267"/>
    <w:rsid w:val="22375656"/>
    <w:rsid w:val="23592593"/>
    <w:rsid w:val="246D8113"/>
    <w:rsid w:val="2478112D"/>
    <w:rsid w:val="2481D827"/>
    <w:rsid w:val="277F5DF9"/>
    <w:rsid w:val="28A8F41A"/>
    <w:rsid w:val="28AB38B9"/>
    <w:rsid w:val="28FD192F"/>
    <w:rsid w:val="29CCD3F8"/>
    <w:rsid w:val="2ACA1076"/>
    <w:rsid w:val="2B288E62"/>
    <w:rsid w:val="2B29E8E3"/>
    <w:rsid w:val="2B2FF414"/>
    <w:rsid w:val="302C34D4"/>
    <w:rsid w:val="33851D4F"/>
    <w:rsid w:val="371D9844"/>
    <w:rsid w:val="37C35A0A"/>
    <w:rsid w:val="387B0EB8"/>
    <w:rsid w:val="3AC70BE3"/>
    <w:rsid w:val="3ACEC6AA"/>
    <w:rsid w:val="3B7A697A"/>
    <w:rsid w:val="3E8DCA46"/>
    <w:rsid w:val="4067F03F"/>
    <w:rsid w:val="40DCFDE8"/>
    <w:rsid w:val="467D5817"/>
    <w:rsid w:val="4827F690"/>
    <w:rsid w:val="48DB63CB"/>
    <w:rsid w:val="4A298D7C"/>
    <w:rsid w:val="4B241FD5"/>
    <w:rsid w:val="4D3DD88E"/>
    <w:rsid w:val="4FA9EB09"/>
    <w:rsid w:val="4FCC3826"/>
    <w:rsid w:val="50A5588E"/>
    <w:rsid w:val="5106A766"/>
    <w:rsid w:val="51B0D0D1"/>
    <w:rsid w:val="51C76B32"/>
    <w:rsid w:val="52CFE1AF"/>
    <w:rsid w:val="53A46EF2"/>
    <w:rsid w:val="53F8F62B"/>
    <w:rsid w:val="5403A6DD"/>
    <w:rsid w:val="555970A9"/>
    <w:rsid w:val="559F773E"/>
    <w:rsid w:val="5692CC80"/>
    <w:rsid w:val="594ACA01"/>
    <w:rsid w:val="5951B5E3"/>
    <w:rsid w:val="598C9874"/>
    <w:rsid w:val="5A205FDF"/>
    <w:rsid w:val="5AE1EAD8"/>
    <w:rsid w:val="5BCDBC37"/>
    <w:rsid w:val="5BDCE850"/>
    <w:rsid w:val="5C391063"/>
    <w:rsid w:val="5EAB5E02"/>
    <w:rsid w:val="5FC409BA"/>
    <w:rsid w:val="60D36C49"/>
    <w:rsid w:val="62559CD1"/>
    <w:rsid w:val="62BF9736"/>
    <w:rsid w:val="630AA0BF"/>
    <w:rsid w:val="64A3C172"/>
    <w:rsid w:val="65E27A92"/>
    <w:rsid w:val="66ADF08B"/>
    <w:rsid w:val="66F416EE"/>
    <w:rsid w:val="67188E3A"/>
    <w:rsid w:val="6773D5EF"/>
    <w:rsid w:val="68D6C422"/>
    <w:rsid w:val="6A3FF044"/>
    <w:rsid w:val="6FEC6D55"/>
    <w:rsid w:val="70046F9C"/>
    <w:rsid w:val="71D0BD36"/>
    <w:rsid w:val="7293741D"/>
    <w:rsid w:val="7390F7B3"/>
    <w:rsid w:val="73C1F6F5"/>
    <w:rsid w:val="73CDCA37"/>
    <w:rsid w:val="75195A4B"/>
    <w:rsid w:val="755090EE"/>
    <w:rsid w:val="76E164CE"/>
    <w:rsid w:val="78694B84"/>
    <w:rsid w:val="788831B0"/>
    <w:rsid w:val="7AD7C8F5"/>
    <w:rsid w:val="7B311446"/>
    <w:rsid w:val="7D3F3566"/>
    <w:rsid w:val="7EBB9316"/>
    <w:rsid w:val="7EE6F78D"/>
    <w:rsid w:val="7F0C8F9C"/>
    <w:rsid w:val="7FAB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F2BA"/>
  <w15:docId w15:val="{55F3CF42-E6D6-467F-BD31-E7BD8BFF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1C6E5A"/>
    <w:pPr>
      <w:tabs>
        <w:tab w:val="left" w:pos="440"/>
        <w:tab w:val="right" w:leader="dot" w:pos="906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C6E5A"/>
    <w:pPr>
      <w:tabs>
        <w:tab w:val="left" w:pos="880"/>
        <w:tab w:val="right" w:leader="dot" w:pos="9060"/>
      </w:tabs>
      <w:ind w:left="220"/>
    </w:pPr>
    <w:rPr>
      <w:rFonts w:asciiTheme="minorHAnsi" w:hAnsiTheme="minorHAnsi" w:cstheme="minorHAnsi"/>
      <w:smallCaps/>
      <w:sz w:val="20"/>
      <w:szCs w:val="20"/>
    </w:rPr>
  </w:style>
  <w:style w:type="paragraph" w:styleId="Footer">
    <w:name w:val="footer"/>
    <w:basedOn w:val="Normal"/>
    <w:link w:val="FooterChar"/>
    <w:uiPriority w:val="99"/>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qFormat/>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qFormat/>
    <w:locked/>
    <w:rsid w:val="00944BA4"/>
    <w:pPr>
      <w:widowControl/>
      <w:numPr>
        <w:numId w:val="2"/>
      </w:numPr>
    </w:pPr>
    <w:rPr>
      <w:rFonts w:cs="Arial"/>
      <w:lang w:bidi="ar-SA"/>
    </w:rPr>
  </w:style>
  <w:style w:type="character" w:customStyle="1" w:styleId="FSBullet1Char">
    <w:name w:val="FSBullet 1 Char"/>
    <w:link w:val="FSBullet1"/>
    <w:rsid w:val="00944BA4"/>
    <w:rPr>
      <w:rFonts w:ascii="Arial" w:hAnsi="Arial" w:cs="Arial"/>
      <w:sz w:val="22"/>
      <w:szCs w:val="24"/>
      <w:lang w:eastAsia="en-US"/>
    </w:rPr>
  </w:style>
  <w:style w:type="paragraph" w:customStyle="1" w:styleId="FSBullet2">
    <w:name w:val="FSBullet 2"/>
    <w:basedOn w:val="Normal"/>
    <w:qFormat/>
    <w:locked/>
    <w:rsid w:val="00944BA4"/>
    <w:pPr>
      <w:widowControl/>
      <w:numPr>
        <w:numId w:val="3"/>
      </w:numPr>
    </w:pPr>
    <w:rPr>
      <w:rFonts w:eastAsia="Calibri"/>
      <w:szCs w:val="22"/>
      <w:lang w:bidi="ar-SA"/>
    </w:rPr>
  </w:style>
  <w:style w:type="paragraph" w:customStyle="1" w:styleId="FSBullet3">
    <w:name w:val="FSBullet 3"/>
    <w:basedOn w:val="Normal"/>
    <w:qFormat/>
    <w:locked/>
    <w:rsid w:val="00944BA4"/>
    <w:pPr>
      <w:keepNext/>
      <w:widowControl/>
      <w:numPr>
        <w:numId w:val="4"/>
      </w:numPr>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ootnotes Text,FSFootnotes Text,FSFootnote Text"/>
    <w:basedOn w:val="Normal"/>
    <w:link w:val="FootnoteTextChar"/>
    <w:qFormat/>
    <w:rsid w:val="00820535"/>
    <w:rPr>
      <w:sz w:val="20"/>
      <w:szCs w:val="20"/>
    </w:rPr>
  </w:style>
  <w:style w:type="character" w:customStyle="1" w:styleId="FootnoteTextChar">
    <w:name w:val="Footnote Text Char"/>
    <w:aliases w:val="Footnotes Text Char,FSFootnotes Text Char,FSFootnote Text Char"/>
    <w:basedOn w:val="DefaultParagraphFont"/>
    <w:link w:val="FootnoteText"/>
    <w:rsid w:val="00820535"/>
    <w:rPr>
      <w:rFonts w:ascii="Arial" w:hAnsi="Arial"/>
      <w:lang w:eastAsia="en-US" w:bidi="en-US"/>
    </w:rPr>
  </w:style>
  <w:style w:type="paragraph" w:styleId="ListParagraph">
    <w:name w:val="List Paragraph"/>
    <w:basedOn w:val="Normal"/>
    <w:uiPriority w:val="34"/>
    <w:qFormat/>
    <w:rsid w:val="001E042A"/>
    <w:pPr>
      <w:ind w:left="720"/>
      <w:contextualSpacing/>
    </w:pPr>
  </w:style>
  <w:style w:type="character" w:customStyle="1" w:styleId="FooterChar">
    <w:name w:val="Footer Char"/>
    <w:basedOn w:val="DefaultParagraphFont"/>
    <w:link w:val="Footer"/>
    <w:uiPriority w:val="99"/>
    <w:rsid w:val="005F5D00"/>
    <w:rPr>
      <w:rFonts w:ascii="Arial" w:hAnsi="Arial"/>
      <w:szCs w:val="24"/>
      <w:lang w:eastAsia="en-US" w:bidi="en-US"/>
    </w:rPr>
  </w:style>
  <w:style w:type="paragraph" w:customStyle="1" w:styleId="FooterFPHFF-20042022-113633AM">
    <w:name w:val="FooterFPHFF-20042022-113633 AM"/>
    <w:rsid w:val="00074560"/>
    <w:pPr>
      <w:widowControl w:val="0"/>
      <w:tabs>
        <w:tab w:val="left" w:pos="851"/>
      </w:tabs>
    </w:pPr>
    <w:rPr>
      <w:rFonts w:ascii="Arial" w:hAnsi="Arial"/>
      <w:sz w:val="22"/>
      <w:lang w:eastAsia="en-US"/>
    </w:rPr>
  </w:style>
  <w:style w:type="paragraph" w:customStyle="1" w:styleId="HeaderEPHFF-26042022-93039AM">
    <w:name w:val="HeaderEPHFF-26042022-93039 AM"/>
    <w:rsid w:val="00BC0CCC"/>
    <w:pPr>
      <w:widowControl w:val="0"/>
    </w:pPr>
    <w:rPr>
      <w:rFonts w:ascii="Arial" w:hAnsi="Arial"/>
      <w:lang w:eastAsia="en-US" w:bidi="en-US"/>
    </w:rPr>
  </w:style>
  <w:style w:type="paragraph" w:styleId="Title">
    <w:name w:val="Title"/>
    <w:basedOn w:val="Normal"/>
    <w:link w:val="TitleChar"/>
    <w:rsid w:val="002040BF"/>
    <w:pPr>
      <w:widowControl/>
      <w:jc w:val="center"/>
    </w:pPr>
    <w:rPr>
      <w:b/>
      <w:bCs/>
      <w:i/>
      <w:iCs/>
      <w:lang w:val="en-AU" w:bidi="ar-SA"/>
    </w:rPr>
  </w:style>
  <w:style w:type="character" w:customStyle="1" w:styleId="TitleChar">
    <w:name w:val="Title Char"/>
    <w:basedOn w:val="DefaultParagraphFont"/>
    <w:link w:val="Title"/>
    <w:rsid w:val="002040BF"/>
    <w:rPr>
      <w:rFonts w:ascii="Arial" w:hAnsi="Arial"/>
      <w:b/>
      <w:bCs/>
      <w:i/>
      <w:iCs/>
      <w:sz w:val="22"/>
      <w:szCs w:val="24"/>
      <w:lang w:val="en-AU" w:eastAsia="en-US"/>
    </w:rPr>
  </w:style>
  <w:style w:type="paragraph" w:customStyle="1" w:styleId="FooterFPHFF-16062022-105733AM">
    <w:name w:val="FooterFPHFF-16062022-105733 AM"/>
    <w:rsid w:val="00750860"/>
    <w:pPr>
      <w:widowControl w:val="0"/>
    </w:pPr>
    <w:rPr>
      <w:rFonts w:ascii="Arial" w:hAnsi="Arial"/>
      <w:sz w:val="22"/>
      <w:szCs w:val="24"/>
      <w:lang w:eastAsia="en-US" w:bidi="en-US"/>
    </w:rPr>
  </w:style>
  <w:style w:type="table" w:customStyle="1" w:styleId="TableGrid2">
    <w:name w:val="Table Grid2"/>
    <w:basedOn w:val="TableNormal"/>
    <w:next w:val="TableGrid"/>
    <w:rsid w:val="000A5F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PPHFF-28072022-33903PM">
    <w:name w:val="FooterPPHFF-28072022-33903 PM"/>
    <w:rsid w:val="00743E68"/>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Bullet1">
    <w:name w:val="Bullet1"/>
    <w:basedOn w:val="Normal"/>
    <w:qFormat/>
    <w:rsid w:val="00DB1D2C"/>
    <w:pPr>
      <w:widowControl/>
      <w:numPr>
        <w:numId w:val="17"/>
      </w:numPr>
      <w:spacing w:before="240"/>
    </w:pPr>
    <w:rPr>
      <w:rFonts w:cs="Arial"/>
      <w:sz w:val="20"/>
      <w:szCs w:val="20"/>
      <w:lang w:val="en-AU" w:eastAsia="en-AU" w:bidi="ar-SA"/>
    </w:rPr>
  </w:style>
  <w:style w:type="paragraph" w:customStyle="1" w:styleId="FooterFPHFF-15082022-102544AM">
    <w:name w:val="FooterFPHFF-15082022-102544 AM"/>
    <w:rsid w:val="00DB1D2C"/>
    <w:rPr>
      <w:rFonts w:ascii="Arial" w:eastAsiaTheme="minorHAnsi" w:hAnsi="Arial" w:cstheme="minorBidi"/>
      <w:sz w:val="22"/>
      <w:szCs w:val="22"/>
      <w:lang w:eastAsia="en-US"/>
    </w:rPr>
  </w:style>
  <w:style w:type="paragraph" w:customStyle="1" w:styleId="Default">
    <w:name w:val="Default"/>
    <w:rsid w:val="00794940"/>
    <w:pPr>
      <w:autoSpaceDE w:val="0"/>
      <w:autoSpaceDN w:val="0"/>
      <w:adjustRightInd w:val="0"/>
    </w:pPr>
    <w:rPr>
      <w:rFonts w:ascii="Times New Roman" w:hAnsi="Times New Roman"/>
      <w:color w:val="000000"/>
      <w:sz w:val="24"/>
      <w:szCs w:val="24"/>
      <w:lang w:val="en-AU"/>
    </w:rPr>
  </w:style>
  <w:style w:type="paragraph" w:customStyle="1" w:styleId="FooterFPHFF-19082022-94859AM">
    <w:name w:val="FooterFPHFF-19082022-94859 AM"/>
    <w:rsid w:val="00402864"/>
    <w:pPr>
      <w:widowControl w:val="0"/>
    </w:pPr>
    <w:rPr>
      <w:rFonts w:ascii="Arial" w:hAnsi="Arial"/>
      <w:sz w:val="22"/>
      <w:szCs w:val="24"/>
      <w:lang w:eastAsia="en-US" w:bidi="en-US"/>
    </w:rPr>
  </w:style>
  <w:style w:type="paragraph" w:customStyle="1" w:styleId="HeaderFPHFF-18082022-42517PM">
    <w:name w:val="HeaderFPHFF-18082022-42517 PM"/>
    <w:rsid w:val="003121E0"/>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FooterEPHFF-18082022-42517PM">
    <w:name w:val="FooterEPHFF-18082022-42517 PM"/>
    <w:rsid w:val="003121E0"/>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normaltextrun">
    <w:name w:val="normaltextrun"/>
    <w:basedOn w:val="DefaultParagraphFont"/>
    <w:rsid w:val="005A2334"/>
  </w:style>
  <w:style w:type="paragraph" w:customStyle="1" w:styleId="paragraph">
    <w:name w:val="paragraph"/>
    <w:basedOn w:val="Normal"/>
    <w:uiPriority w:val="99"/>
    <w:rsid w:val="005A2334"/>
    <w:pPr>
      <w:widowControl/>
      <w:spacing w:before="100" w:beforeAutospacing="1" w:after="100" w:afterAutospacing="1"/>
    </w:pPr>
    <w:rPr>
      <w:rFonts w:ascii="Times New Roman" w:eastAsiaTheme="minorHAnsi" w:hAnsi="Times New Roman"/>
      <w:sz w:val="24"/>
      <w:lang w:val="en-NZ" w:eastAsia="en-NZ" w:bidi="ar-SA"/>
    </w:rPr>
  </w:style>
  <w:style w:type="character" w:customStyle="1" w:styleId="eop">
    <w:name w:val="eop"/>
    <w:basedOn w:val="DefaultParagraphFont"/>
    <w:rsid w:val="005A2334"/>
  </w:style>
  <w:style w:type="character" w:styleId="UnresolvedMention">
    <w:name w:val="Unresolved Mention"/>
    <w:basedOn w:val="DefaultParagraphFont"/>
    <w:uiPriority w:val="99"/>
    <w:semiHidden/>
    <w:unhideWhenUsed/>
    <w:rsid w:val="005A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980">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545726461">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757098136">
      <w:bodyDiv w:val="1"/>
      <w:marLeft w:val="0"/>
      <w:marRight w:val="0"/>
      <w:marTop w:val="0"/>
      <w:marBottom w:val="0"/>
      <w:divBdr>
        <w:top w:val="none" w:sz="0" w:space="0" w:color="auto"/>
        <w:left w:val="none" w:sz="0" w:space="0" w:color="auto"/>
        <w:bottom w:val="none" w:sz="0" w:space="0" w:color="auto"/>
        <w:right w:val="none" w:sz="0" w:space="0" w:color="auto"/>
      </w:divBdr>
    </w:div>
    <w:div w:id="948395635">
      <w:bodyDiv w:val="1"/>
      <w:marLeft w:val="0"/>
      <w:marRight w:val="0"/>
      <w:marTop w:val="0"/>
      <w:marBottom w:val="0"/>
      <w:divBdr>
        <w:top w:val="none" w:sz="0" w:space="0" w:color="auto"/>
        <w:left w:val="none" w:sz="0" w:space="0" w:color="auto"/>
        <w:bottom w:val="none" w:sz="0" w:space="0" w:color="auto"/>
        <w:right w:val="none" w:sz="0" w:space="0" w:color="auto"/>
      </w:divBdr>
    </w:div>
    <w:div w:id="1721132115">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submissions@foodstandards.gov.au" TargetMode="External"/><Relationship Id="rId26" Type="http://schemas.openxmlformats.org/officeDocument/2006/relationships/hyperlink" Target="https://www.foodstandards.gov.au/code/applications/Pages/A1252---Glucoamylase-from-GM-Aspergillus-niger-gene-donor-Penicillium-oxalicum-as-a-processing-aid.aspx" TargetMode="External"/><Relationship Id="rId39"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publications.usp.org/" TargetMode="External"/><Relationship Id="rId42" Type="http://schemas.openxmlformats.org/officeDocument/2006/relationships/footer" Target="foot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oodstandards.gov.au/pages/privacy-policy.aspx" TargetMode="External"/><Relationship Id="rId29" Type="http://schemas.openxmlformats.org/officeDocument/2006/relationships/footer" Target="footer4.xml"/><Relationship Id="rId20" Type="http://schemas.openxmlformats.org/officeDocument/2006/relationships/header" Target="header1.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www.fao.org/docrep/009/a0691e/A0691E03.htm" TargetMode="External"/><Relationship Id="rId37" Type="http://schemas.openxmlformats.org/officeDocument/2006/relationships/header" Target="header7.xml"/><Relationship Id="rId40" Type="http://schemas.openxmlformats.org/officeDocument/2006/relationships/footer" Target="footer7.xml"/><Relationship Id="rId45"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foodstandards.gov.au/code/changes/Pages/Documents-for-public-comment.aspx"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www.legislation.gov.au" TargetMode="External"/><Relationship Id="rId10" Type="http://schemas.openxmlformats.org/officeDocument/2006/relationships/webSettings" Target="webSettings.xml"/><Relationship Id="rId19" Type="http://schemas.openxmlformats.org/officeDocument/2006/relationships/hyperlink" Target="mailto:standards.management@foodstandards.gov.au" TargetMode="Externa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au/code/changes/Pages/Documents-for-public-comment.aspx"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oodstandards.gov.au/code/changes/Pages/Documents-for-public-comment.aspx" TargetMode="External"/><Relationship Id="rId25" Type="http://schemas.openxmlformats.org/officeDocument/2006/relationships/footer" Target="footer3.xml"/><Relationship Id="rId33" Type="http://schemas.openxmlformats.org/officeDocument/2006/relationships/hyperlink" Target="https://iubmb.qmul.ac.uk/enzyme/EC3/2/1/3.html"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foodregulation.gov.au/internet/fr/publishing.nsf/Content/publication-Policy-Guideline-on-the-Addition-of-Substances-other-than-Vitamins-and-Minerals" TargetMode="External"/><Relationship Id="rId1" Type="http://schemas.openxmlformats.org/officeDocument/2006/relationships/hyperlink" Target="https://www.foodstandards.gov.au/code/applications/Pages/A1252---Glucoamylase-from-GM-Aspergillus-niger-gene-donor-Penicillium-oxalicum-as-a-processing-ai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1865c0a7-d648-4a74-80fe-fa9dc7fe13cc" origin="defaultValue">
  <element uid="dd6c74cc-0de9-4a0a-85ef-439e2ceecf74" value=""/>
</sisl>
</file>

<file path=customXml/item3.xml><?xml version="1.0" encoding="utf-8"?>
<ct:contentTypeSchema xmlns:ct="http://schemas.microsoft.com/office/2006/metadata/contentType" xmlns:ma="http://schemas.microsoft.com/office/2006/metadata/properties/metaAttributes" ct:_="" ma:_="" ma:contentTypeName="FSANZ Record" ma:contentTypeID="0x010100F5F252698E4843DFA3EBBF7EC57E522A00C8DED902AFD4064AA9485AD845E3CE16" ma:contentTypeVersion="4" ma:contentTypeDescription="Files created by FSANZ including letters, draft documents and ideas for FSANZ business." ma:contentTypeScope="" ma:versionID="7d38cfe1be236f169d6ad79616c83406">
  <xsd:schema xmlns:xsd="http://www.w3.org/2001/XMLSchema" xmlns:xs="http://www.w3.org/2001/XMLSchema" xmlns:p="http://schemas.microsoft.com/office/2006/metadata/properties" xmlns:ns2="0e0bee33-077a-46d4-80d5-abd1b3a3b85b" targetNamespace="http://schemas.microsoft.com/office/2006/metadata/properties" ma:root="true" ma:fieldsID="015bce81cbacec653ddc643ba21aca80"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75275e4-8c36-4195-93bf-d44d28b665ba}" ma:internalName="TaxCatchAll" ma:showField="CatchAllData"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75275e4-8c36-4195-93bf-d44d28b665ba}" ma:internalName="TaxCatchAllLabel" ma:readOnly="true" ma:showField="CatchAllDataLabel"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1690AC-11C1-4EDA-B6C4-25F35AE7DFBF}"/>
</file>

<file path=customXml/itemProps2.xml><?xml version="1.0" encoding="utf-8"?>
<ds:datastoreItem xmlns:ds="http://schemas.openxmlformats.org/officeDocument/2006/customXml" ds:itemID="{7015A6E5-F36E-4C72-B583-7FA35F65B477}"/>
</file>

<file path=customXml/itemProps3.xml><?xml version="1.0" encoding="utf-8"?>
<ds:datastoreItem xmlns:ds="http://schemas.openxmlformats.org/officeDocument/2006/customXml" ds:itemID="{848582B9-99D9-4814-85CB-4A84E1BD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01CCA-6424-4C73-A0DC-9E2884E129A8}"/>
</file>

<file path=customXml/itemProps5.xml><?xml version="1.0" encoding="utf-8"?>
<ds:datastoreItem xmlns:ds="http://schemas.openxmlformats.org/officeDocument/2006/customXml" ds:itemID="{09B40692-399D-43B3-B9F4-3A7D457A367C}"/>
</file>

<file path=customXml/itemProps6.xml><?xml version="1.0" encoding="utf-8"?>
<ds:datastoreItem xmlns:ds="http://schemas.openxmlformats.org/officeDocument/2006/customXml" ds:itemID="{3A10FA6E-0B26-43C2-9D68-F35B0093F7E2}"/>
</file>

<file path=docProps/app.xml><?xml version="1.0" encoding="utf-8"?>
<Properties xmlns="http://schemas.openxmlformats.org/officeDocument/2006/extended-properties" xmlns:vt="http://schemas.openxmlformats.org/officeDocument/2006/docPropsVTypes">
  <Template>Normal</Template>
  <TotalTime>1</TotalTime>
  <Pages>19</Pages>
  <Words>6638</Words>
  <Characters>37837</Characters>
  <Application>Microsoft Office Word</Application>
  <DocSecurity>0</DocSecurity>
  <Lines>315</Lines>
  <Paragraphs>88</Paragraphs>
  <ScaleCrop>false</ScaleCrop>
  <Company>ANZFA</Company>
  <LinksUpToDate>false</LinksUpToDate>
  <CharactersWithSpaces>44387</CharactersWithSpaces>
  <SharedDoc>false</SharedDoc>
  <HLinks>
    <vt:vector size="234" baseType="variant">
      <vt:variant>
        <vt:i4>6946865</vt:i4>
      </vt:variant>
      <vt:variant>
        <vt:i4>189</vt:i4>
      </vt:variant>
      <vt:variant>
        <vt:i4>0</vt:i4>
      </vt:variant>
      <vt:variant>
        <vt:i4>5</vt:i4>
      </vt:variant>
      <vt:variant>
        <vt:lpwstr>http://www.legislation.gov.au/</vt:lpwstr>
      </vt:variant>
      <vt:variant>
        <vt:lpwstr/>
      </vt:variant>
      <vt:variant>
        <vt:i4>1572886</vt:i4>
      </vt:variant>
      <vt:variant>
        <vt:i4>186</vt:i4>
      </vt:variant>
      <vt:variant>
        <vt:i4>0</vt:i4>
      </vt:variant>
      <vt:variant>
        <vt:i4>5</vt:i4>
      </vt:variant>
      <vt:variant>
        <vt:lpwstr>http://publications.usp.org/</vt:lpwstr>
      </vt:variant>
      <vt:variant>
        <vt:lpwstr/>
      </vt:variant>
      <vt:variant>
        <vt:i4>2424875</vt:i4>
      </vt:variant>
      <vt:variant>
        <vt:i4>183</vt:i4>
      </vt:variant>
      <vt:variant>
        <vt:i4>0</vt:i4>
      </vt:variant>
      <vt:variant>
        <vt:i4>5</vt:i4>
      </vt:variant>
      <vt:variant>
        <vt:lpwstr>https://iubmb.qmul.ac.uk/enzyme/EC3/2/1/3.html</vt:lpwstr>
      </vt:variant>
      <vt:variant>
        <vt:lpwstr/>
      </vt:variant>
      <vt:variant>
        <vt:i4>1572952</vt:i4>
      </vt:variant>
      <vt:variant>
        <vt:i4>180</vt:i4>
      </vt:variant>
      <vt:variant>
        <vt:i4>0</vt:i4>
      </vt:variant>
      <vt:variant>
        <vt:i4>5</vt:i4>
      </vt:variant>
      <vt:variant>
        <vt:lpwstr>http://www.fao.org/docrep/009/a0691e/A0691E03.htm</vt:lpwstr>
      </vt:variant>
      <vt:variant>
        <vt:lpwstr/>
      </vt:variant>
      <vt:variant>
        <vt:i4>262170</vt:i4>
      </vt:variant>
      <vt:variant>
        <vt:i4>177</vt:i4>
      </vt:variant>
      <vt:variant>
        <vt:i4>0</vt:i4>
      </vt:variant>
      <vt:variant>
        <vt:i4>5</vt:i4>
      </vt:variant>
      <vt:variant>
        <vt:lpwstr>https://www.foodstandards.gov.au/code/applications/Pages/A1252---Glucoamylase-from-GM-Aspergillus-niger-gene-donor-Penicillium-oxalicum-as-a-processing-aid.aspx</vt:lpwstr>
      </vt:variant>
      <vt:variant>
        <vt:lpwstr/>
      </vt:variant>
      <vt:variant>
        <vt:i4>1572914</vt:i4>
      </vt:variant>
      <vt:variant>
        <vt:i4>170</vt:i4>
      </vt:variant>
      <vt:variant>
        <vt:i4>0</vt:i4>
      </vt:variant>
      <vt:variant>
        <vt:i4>5</vt:i4>
      </vt:variant>
      <vt:variant>
        <vt:lpwstr/>
      </vt:variant>
      <vt:variant>
        <vt:lpwstr>_Toc114215699</vt:lpwstr>
      </vt:variant>
      <vt:variant>
        <vt:i4>1572914</vt:i4>
      </vt:variant>
      <vt:variant>
        <vt:i4>164</vt:i4>
      </vt:variant>
      <vt:variant>
        <vt:i4>0</vt:i4>
      </vt:variant>
      <vt:variant>
        <vt:i4>5</vt:i4>
      </vt:variant>
      <vt:variant>
        <vt:lpwstr/>
      </vt:variant>
      <vt:variant>
        <vt:lpwstr>_Toc114215698</vt:lpwstr>
      </vt:variant>
      <vt:variant>
        <vt:i4>1572914</vt:i4>
      </vt:variant>
      <vt:variant>
        <vt:i4>158</vt:i4>
      </vt:variant>
      <vt:variant>
        <vt:i4>0</vt:i4>
      </vt:variant>
      <vt:variant>
        <vt:i4>5</vt:i4>
      </vt:variant>
      <vt:variant>
        <vt:lpwstr/>
      </vt:variant>
      <vt:variant>
        <vt:lpwstr>_Toc114215697</vt:lpwstr>
      </vt:variant>
      <vt:variant>
        <vt:i4>1572914</vt:i4>
      </vt:variant>
      <vt:variant>
        <vt:i4>152</vt:i4>
      </vt:variant>
      <vt:variant>
        <vt:i4>0</vt:i4>
      </vt:variant>
      <vt:variant>
        <vt:i4>5</vt:i4>
      </vt:variant>
      <vt:variant>
        <vt:lpwstr/>
      </vt:variant>
      <vt:variant>
        <vt:lpwstr>_Toc114215696</vt:lpwstr>
      </vt:variant>
      <vt:variant>
        <vt:i4>1572914</vt:i4>
      </vt:variant>
      <vt:variant>
        <vt:i4>146</vt:i4>
      </vt:variant>
      <vt:variant>
        <vt:i4>0</vt:i4>
      </vt:variant>
      <vt:variant>
        <vt:i4>5</vt:i4>
      </vt:variant>
      <vt:variant>
        <vt:lpwstr/>
      </vt:variant>
      <vt:variant>
        <vt:lpwstr>_Toc114215695</vt:lpwstr>
      </vt:variant>
      <vt:variant>
        <vt:i4>1572914</vt:i4>
      </vt:variant>
      <vt:variant>
        <vt:i4>140</vt:i4>
      </vt:variant>
      <vt:variant>
        <vt:i4>0</vt:i4>
      </vt:variant>
      <vt:variant>
        <vt:i4>5</vt:i4>
      </vt:variant>
      <vt:variant>
        <vt:lpwstr/>
      </vt:variant>
      <vt:variant>
        <vt:lpwstr>_Toc114215694</vt:lpwstr>
      </vt:variant>
      <vt:variant>
        <vt:i4>1572914</vt:i4>
      </vt:variant>
      <vt:variant>
        <vt:i4>134</vt:i4>
      </vt:variant>
      <vt:variant>
        <vt:i4>0</vt:i4>
      </vt:variant>
      <vt:variant>
        <vt:i4>5</vt:i4>
      </vt:variant>
      <vt:variant>
        <vt:lpwstr/>
      </vt:variant>
      <vt:variant>
        <vt:lpwstr>_Toc114215693</vt:lpwstr>
      </vt:variant>
      <vt:variant>
        <vt:i4>1572914</vt:i4>
      </vt:variant>
      <vt:variant>
        <vt:i4>128</vt:i4>
      </vt:variant>
      <vt:variant>
        <vt:i4>0</vt:i4>
      </vt:variant>
      <vt:variant>
        <vt:i4>5</vt:i4>
      </vt:variant>
      <vt:variant>
        <vt:lpwstr/>
      </vt:variant>
      <vt:variant>
        <vt:lpwstr>_Toc114215692</vt:lpwstr>
      </vt:variant>
      <vt:variant>
        <vt:i4>1572914</vt:i4>
      </vt:variant>
      <vt:variant>
        <vt:i4>122</vt:i4>
      </vt:variant>
      <vt:variant>
        <vt:i4>0</vt:i4>
      </vt:variant>
      <vt:variant>
        <vt:i4>5</vt:i4>
      </vt:variant>
      <vt:variant>
        <vt:lpwstr/>
      </vt:variant>
      <vt:variant>
        <vt:lpwstr>_Toc114215691</vt:lpwstr>
      </vt:variant>
      <vt:variant>
        <vt:i4>1572914</vt:i4>
      </vt:variant>
      <vt:variant>
        <vt:i4>116</vt:i4>
      </vt:variant>
      <vt:variant>
        <vt:i4>0</vt:i4>
      </vt:variant>
      <vt:variant>
        <vt:i4>5</vt:i4>
      </vt:variant>
      <vt:variant>
        <vt:lpwstr/>
      </vt:variant>
      <vt:variant>
        <vt:lpwstr>_Toc114215690</vt:lpwstr>
      </vt:variant>
      <vt:variant>
        <vt:i4>1638450</vt:i4>
      </vt:variant>
      <vt:variant>
        <vt:i4>110</vt:i4>
      </vt:variant>
      <vt:variant>
        <vt:i4>0</vt:i4>
      </vt:variant>
      <vt:variant>
        <vt:i4>5</vt:i4>
      </vt:variant>
      <vt:variant>
        <vt:lpwstr/>
      </vt:variant>
      <vt:variant>
        <vt:lpwstr>_Toc114215689</vt:lpwstr>
      </vt:variant>
      <vt:variant>
        <vt:i4>1638450</vt:i4>
      </vt:variant>
      <vt:variant>
        <vt:i4>104</vt:i4>
      </vt:variant>
      <vt:variant>
        <vt:i4>0</vt:i4>
      </vt:variant>
      <vt:variant>
        <vt:i4>5</vt:i4>
      </vt:variant>
      <vt:variant>
        <vt:lpwstr/>
      </vt:variant>
      <vt:variant>
        <vt:lpwstr>_Toc114215688</vt:lpwstr>
      </vt:variant>
      <vt:variant>
        <vt:i4>1638450</vt:i4>
      </vt:variant>
      <vt:variant>
        <vt:i4>98</vt:i4>
      </vt:variant>
      <vt:variant>
        <vt:i4>0</vt:i4>
      </vt:variant>
      <vt:variant>
        <vt:i4>5</vt:i4>
      </vt:variant>
      <vt:variant>
        <vt:lpwstr/>
      </vt:variant>
      <vt:variant>
        <vt:lpwstr>_Toc114215687</vt:lpwstr>
      </vt:variant>
      <vt:variant>
        <vt:i4>1638450</vt:i4>
      </vt:variant>
      <vt:variant>
        <vt:i4>92</vt:i4>
      </vt:variant>
      <vt:variant>
        <vt:i4>0</vt:i4>
      </vt:variant>
      <vt:variant>
        <vt:i4>5</vt:i4>
      </vt:variant>
      <vt:variant>
        <vt:lpwstr/>
      </vt:variant>
      <vt:variant>
        <vt:lpwstr>_Toc114215686</vt:lpwstr>
      </vt:variant>
      <vt:variant>
        <vt:i4>1638450</vt:i4>
      </vt:variant>
      <vt:variant>
        <vt:i4>86</vt:i4>
      </vt:variant>
      <vt:variant>
        <vt:i4>0</vt:i4>
      </vt:variant>
      <vt:variant>
        <vt:i4>5</vt:i4>
      </vt:variant>
      <vt:variant>
        <vt:lpwstr/>
      </vt:variant>
      <vt:variant>
        <vt:lpwstr>_Toc114215685</vt:lpwstr>
      </vt:variant>
      <vt:variant>
        <vt:i4>1638450</vt:i4>
      </vt:variant>
      <vt:variant>
        <vt:i4>80</vt:i4>
      </vt:variant>
      <vt:variant>
        <vt:i4>0</vt:i4>
      </vt:variant>
      <vt:variant>
        <vt:i4>5</vt:i4>
      </vt:variant>
      <vt:variant>
        <vt:lpwstr/>
      </vt:variant>
      <vt:variant>
        <vt:lpwstr>_Toc114215684</vt:lpwstr>
      </vt:variant>
      <vt:variant>
        <vt:i4>1638450</vt:i4>
      </vt:variant>
      <vt:variant>
        <vt:i4>74</vt:i4>
      </vt:variant>
      <vt:variant>
        <vt:i4>0</vt:i4>
      </vt:variant>
      <vt:variant>
        <vt:i4>5</vt:i4>
      </vt:variant>
      <vt:variant>
        <vt:lpwstr/>
      </vt:variant>
      <vt:variant>
        <vt:lpwstr>_Toc114215683</vt:lpwstr>
      </vt:variant>
      <vt:variant>
        <vt:i4>1638450</vt:i4>
      </vt:variant>
      <vt:variant>
        <vt:i4>68</vt:i4>
      </vt:variant>
      <vt:variant>
        <vt:i4>0</vt:i4>
      </vt:variant>
      <vt:variant>
        <vt:i4>5</vt:i4>
      </vt:variant>
      <vt:variant>
        <vt:lpwstr/>
      </vt:variant>
      <vt:variant>
        <vt:lpwstr>_Toc114215682</vt:lpwstr>
      </vt:variant>
      <vt:variant>
        <vt:i4>1638450</vt:i4>
      </vt:variant>
      <vt:variant>
        <vt:i4>62</vt:i4>
      </vt:variant>
      <vt:variant>
        <vt:i4>0</vt:i4>
      </vt:variant>
      <vt:variant>
        <vt:i4>5</vt:i4>
      </vt:variant>
      <vt:variant>
        <vt:lpwstr/>
      </vt:variant>
      <vt:variant>
        <vt:lpwstr>_Toc114215681</vt:lpwstr>
      </vt:variant>
      <vt:variant>
        <vt:i4>1638450</vt:i4>
      </vt:variant>
      <vt:variant>
        <vt:i4>56</vt:i4>
      </vt:variant>
      <vt:variant>
        <vt:i4>0</vt:i4>
      </vt:variant>
      <vt:variant>
        <vt:i4>5</vt:i4>
      </vt:variant>
      <vt:variant>
        <vt:lpwstr/>
      </vt:variant>
      <vt:variant>
        <vt:lpwstr>_Toc114215680</vt:lpwstr>
      </vt:variant>
      <vt:variant>
        <vt:i4>1441842</vt:i4>
      </vt:variant>
      <vt:variant>
        <vt:i4>50</vt:i4>
      </vt:variant>
      <vt:variant>
        <vt:i4>0</vt:i4>
      </vt:variant>
      <vt:variant>
        <vt:i4>5</vt:i4>
      </vt:variant>
      <vt:variant>
        <vt:lpwstr/>
      </vt:variant>
      <vt:variant>
        <vt:lpwstr>_Toc114215679</vt:lpwstr>
      </vt:variant>
      <vt:variant>
        <vt:i4>1441842</vt:i4>
      </vt:variant>
      <vt:variant>
        <vt:i4>44</vt:i4>
      </vt:variant>
      <vt:variant>
        <vt:i4>0</vt:i4>
      </vt:variant>
      <vt:variant>
        <vt:i4>5</vt:i4>
      </vt:variant>
      <vt:variant>
        <vt:lpwstr/>
      </vt:variant>
      <vt:variant>
        <vt:lpwstr>_Toc114215678</vt:lpwstr>
      </vt:variant>
      <vt:variant>
        <vt:i4>1441842</vt:i4>
      </vt:variant>
      <vt:variant>
        <vt:i4>38</vt:i4>
      </vt:variant>
      <vt:variant>
        <vt:i4>0</vt:i4>
      </vt:variant>
      <vt:variant>
        <vt:i4>5</vt:i4>
      </vt:variant>
      <vt:variant>
        <vt:lpwstr/>
      </vt:variant>
      <vt:variant>
        <vt:lpwstr>_Toc114215677</vt:lpwstr>
      </vt:variant>
      <vt:variant>
        <vt:i4>1441842</vt:i4>
      </vt:variant>
      <vt:variant>
        <vt:i4>32</vt:i4>
      </vt:variant>
      <vt:variant>
        <vt:i4>0</vt:i4>
      </vt:variant>
      <vt:variant>
        <vt:i4>5</vt:i4>
      </vt:variant>
      <vt:variant>
        <vt:lpwstr/>
      </vt:variant>
      <vt:variant>
        <vt:lpwstr>_Toc114215676</vt:lpwstr>
      </vt:variant>
      <vt:variant>
        <vt:i4>1441842</vt:i4>
      </vt:variant>
      <vt:variant>
        <vt:i4>26</vt:i4>
      </vt:variant>
      <vt:variant>
        <vt:i4>0</vt:i4>
      </vt:variant>
      <vt:variant>
        <vt:i4>5</vt:i4>
      </vt:variant>
      <vt:variant>
        <vt:lpwstr/>
      </vt:variant>
      <vt:variant>
        <vt:lpwstr>_Toc114215675</vt:lpwstr>
      </vt:variant>
      <vt:variant>
        <vt:i4>1441842</vt:i4>
      </vt:variant>
      <vt:variant>
        <vt:i4>20</vt:i4>
      </vt:variant>
      <vt:variant>
        <vt:i4>0</vt:i4>
      </vt:variant>
      <vt:variant>
        <vt:i4>5</vt:i4>
      </vt:variant>
      <vt:variant>
        <vt:lpwstr/>
      </vt:variant>
      <vt:variant>
        <vt:lpwstr>_Toc114215674</vt:lpwstr>
      </vt:variant>
      <vt:variant>
        <vt:i4>3932161</vt:i4>
      </vt:variant>
      <vt:variant>
        <vt:i4>15</vt:i4>
      </vt:variant>
      <vt:variant>
        <vt:i4>0</vt:i4>
      </vt:variant>
      <vt:variant>
        <vt:i4>5</vt:i4>
      </vt:variant>
      <vt:variant>
        <vt:lpwstr>mailto:standards.management@foodstandards.gov.au</vt:lpwstr>
      </vt:variant>
      <vt:variant>
        <vt:lpwstr/>
      </vt:variant>
      <vt:variant>
        <vt:i4>8060957</vt:i4>
      </vt:variant>
      <vt:variant>
        <vt:i4>12</vt:i4>
      </vt:variant>
      <vt:variant>
        <vt:i4>0</vt:i4>
      </vt:variant>
      <vt:variant>
        <vt:i4>5</vt:i4>
      </vt:variant>
      <vt:variant>
        <vt:lpwstr>mailto:submissions@foodstandards.gov.au</vt:lpwstr>
      </vt:variant>
      <vt:variant>
        <vt:lpwstr/>
      </vt:variant>
      <vt:variant>
        <vt:i4>917505</vt:i4>
      </vt:variant>
      <vt:variant>
        <vt:i4>9</vt:i4>
      </vt:variant>
      <vt:variant>
        <vt:i4>0</vt:i4>
      </vt:variant>
      <vt:variant>
        <vt:i4>5</vt:i4>
      </vt:variant>
      <vt:variant>
        <vt:lpwstr>http://www.foodstandards.gov.au/code/changes/Pages/Documents-for-public-comment.aspx</vt:lpwstr>
      </vt:variant>
      <vt:variant>
        <vt:lpwstr/>
      </vt:variant>
      <vt:variant>
        <vt:i4>7929966</vt:i4>
      </vt:variant>
      <vt:variant>
        <vt:i4>6</vt:i4>
      </vt:variant>
      <vt:variant>
        <vt:i4>0</vt:i4>
      </vt:variant>
      <vt:variant>
        <vt:i4>5</vt:i4>
      </vt:variant>
      <vt:variant>
        <vt:lpwstr>https://www.foodstandards.gov.au/pages/privacy-policy.aspx</vt:lpwstr>
      </vt:variant>
      <vt:variant>
        <vt:lpwstr/>
      </vt:variant>
      <vt:variant>
        <vt:i4>1638429</vt:i4>
      </vt:variant>
      <vt:variant>
        <vt:i4>3</vt:i4>
      </vt:variant>
      <vt:variant>
        <vt:i4>0</vt:i4>
      </vt:variant>
      <vt:variant>
        <vt:i4>5</vt:i4>
      </vt:variant>
      <vt:variant>
        <vt:lpwstr>https://www.foodstandards.gov.au/code/changes/Pages/Documents-for-public-comment.aspx</vt:lpwstr>
      </vt:variant>
      <vt:variant>
        <vt:lpwstr/>
      </vt:variant>
      <vt:variant>
        <vt:i4>1638429</vt:i4>
      </vt:variant>
      <vt:variant>
        <vt:i4>0</vt:i4>
      </vt:variant>
      <vt:variant>
        <vt:i4>0</vt:i4>
      </vt:variant>
      <vt:variant>
        <vt:i4>5</vt:i4>
      </vt:variant>
      <vt:variant>
        <vt:lpwstr>https://www.foodstandards.gov.au/code/changes/Pages/Documents-for-public-comment.aspx</vt:lpwstr>
      </vt:variant>
      <vt:variant>
        <vt:lpwstr/>
      </vt:variant>
      <vt:variant>
        <vt:i4>4718616</vt:i4>
      </vt:variant>
      <vt:variant>
        <vt:i4>3</vt:i4>
      </vt:variant>
      <vt:variant>
        <vt:i4>0</vt:i4>
      </vt:variant>
      <vt:variant>
        <vt:i4>5</vt:i4>
      </vt:variant>
      <vt:variant>
        <vt:lpwstr>https://foodregulation.gov.au/internet/fr/publishing.nsf/Content/publication-Policy-Guideline-on-the-Addition-of-Substances-other-than-Vitamins-and-Minerals</vt:lpwstr>
      </vt:variant>
      <vt:variant>
        <vt:lpwstr/>
      </vt:variant>
      <vt:variant>
        <vt:i4>262170</vt:i4>
      </vt:variant>
      <vt:variant>
        <vt:i4>0</vt:i4>
      </vt:variant>
      <vt:variant>
        <vt:i4>0</vt:i4>
      </vt:variant>
      <vt:variant>
        <vt:i4>5</vt:i4>
      </vt:variant>
      <vt:variant>
        <vt:lpwstr>https://www.foodstandards.gov.au/code/applications/Pages/A1252---Glucoamylase-from-GM-Aspergillus-niger-gene-donor-Penicillium-oxalicum-as-a-processing-aid.aspx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A1252 Call for Submissions</dc:title>
  <dc:subject/>
  <dc:creator>seymok</dc:creator>
  <cp:keywords/>
  <cp:lastModifiedBy>Gabrielle Weidner</cp:lastModifiedBy>
  <cp:revision>2</cp:revision>
  <cp:lastPrinted>2022-09-02T03:57:00Z</cp:lastPrinted>
  <dcterms:created xsi:type="dcterms:W3CDTF">2022-09-26T01:34:00Z</dcterms:created>
  <dcterms:modified xsi:type="dcterms:W3CDTF">2022-09-26T01:34:00Z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bjSaver">
    <vt:lpwstr>LlgSMo3yJ+fkgNEgbtQQbG6KKfc49ivc</vt:lpwstr>
  </property>
  <property fmtid="{D5CDD505-2E9C-101B-9397-08002B2CF9AE}" pid="4" name="ContentTypeId">
    <vt:lpwstr>0x010100CB2FFA9FD6109347A9495CD5860AFAE6</vt:lpwstr>
  </property>
  <property fmtid="{D5CDD505-2E9C-101B-9397-08002B2CF9AE}" pid="5" name="_dlc_DocIdItemGuid">
    <vt:lpwstr>da446ba5-066d-468e-9d27-1d0cb9ac195e</vt:lpwstr>
  </property>
  <property fmtid="{D5CDD505-2E9C-101B-9397-08002B2CF9AE}" pid="6" name="DisposalClass">
    <vt:lpwstr/>
  </property>
  <property fmtid="{D5CDD505-2E9C-101B-9397-08002B2CF9AE}" pid="7" name="BCS_">
    <vt:lpwstr>25;#Call for Submissions|8cfb1c27-19a6-4349-9bee-b620975c20b4</vt:lpwstr>
  </property>
  <property fmtid="{D5CDD505-2E9C-101B-9397-08002B2CF9AE}" pid="8"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9" name="bjDocumentLabelXML-0">
    <vt:lpwstr>ames.com/2008/01/sie/internal/label"&gt;&lt;element uid="dd6c74cc-0de9-4a0a-85ef-439e2ceecf74" value="" /&gt;&lt;/sisl&gt;</vt:lpwstr>
  </property>
  <property fmtid="{D5CDD505-2E9C-101B-9397-08002B2CF9AE}" pid="10" name="bjDocumentSecurityLabel">
    <vt:lpwstr>OFFICIAL</vt:lpwstr>
  </property>
  <property fmtid="{D5CDD505-2E9C-101B-9397-08002B2CF9AE}" pid="11" name="bjHeaderBothDocProperty">
    <vt:lpwstr>OFFICIAL_x000d_
 </vt:lpwstr>
  </property>
  <property fmtid="{D5CDD505-2E9C-101B-9397-08002B2CF9AE}" pid="12" name="bjHeaderFirstPageDocProperty">
    <vt:lpwstr>OFFICIAL_x000d_
 </vt:lpwstr>
  </property>
  <property fmtid="{D5CDD505-2E9C-101B-9397-08002B2CF9AE}" pid="13" name="bjHeaderEvenPageDocProperty">
    <vt:lpwstr>OFFICIAL_x000d_
 </vt:lpwstr>
  </property>
  <property fmtid="{D5CDD505-2E9C-101B-9397-08002B2CF9AE}" pid="14" name="bjFooterBothDocProperty">
    <vt:lpwstr>_x000d_
OFFICIAL </vt:lpwstr>
  </property>
  <property fmtid="{D5CDD505-2E9C-101B-9397-08002B2CF9AE}" pid="15" name="bjFooterFirstPageDocProperty">
    <vt:lpwstr>_x000d_
OFFICIAL </vt:lpwstr>
  </property>
  <property fmtid="{D5CDD505-2E9C-101B-9397-08002B2CF9AE}" pid="16" name="bjFooterEvenPageDocProperty">
    <vt:lpwstr>_x000d_
OFFICIAL </vt:lpwstr>
  </property>
  <property fmtid="{D5CDD505-2E9C-101B-9397-08002B2CF9AE}" pid="17" name="bjClsUserRVM">
    <vt:lpwstr>[]</vt:lpwstr>
  </property>
  <property fmtid="{D5CDD505-2E9C-101B-9397-08002B2CF9AE}" pid="18" name="docIndexRef">
    <vt:lpwstr>93eefebb-ca71-48bb-9fae-f9f986cfbdca</vt:lpwstr>
  </property>
  <property fmtid="{D5CDD505-2E9C-101B-9397-08002B2CF9AE}" pid="19" name="RecordPoint_WorkflowType">
    <vt:lpwstr>ActiveSubmitStub</vt:lpwstr>
  </property>
  <property fmtid="{D5CDD505-2E9C-101B-9397-08002B2CF9AE}" pid="20" name="RecordPoint_ActiveItemWebId">
    <vt:lpwstr>{9f32cbb2-cc3f-4615-8249-96682d133422}</vt:lpwstr>
  </property>
  <property fmtid="{D5CDD505-2E9C-101B-9397-08002B2CF9AE}" pid="21" name="RecordPoint_ActiveItemSiteId">
    <vt:lpwstr>{dd95a578-5c6a-4f11-92f7-f95884d628d6}</vt:lpwstr>
  </property>
  <property fmtid="{D5CDD505-2E9C-101B-9397-08002B2CF9AE}" pid="22" name="RecordPoint_ActiveItemListId">
    <vt:lpwstr>{172782ef-0a30-45fb-933d-b589b6c6e6ea}</vt:lpwstr>
  </property>
  <property fmtid="{D5CDD505-2E9C-101B-9397-08002B2CF9AE}" pid="23" name="RecordPoint_ActiveItemUniqueId">
    <vt:lpwstr>{a24363aa-2ec2-4666-8987-17c10c186f07}</vt:lpwstr>
  </property>
  <property fmtid="{D5CDD505-2E9C-101B-9397-08002B2CF9AE}" pid="24" name="RecordPoint_SubmissionCompleted">
    <vt:lpwstr>2022-04-26T16:00:06.3981396+10:00</vt:lpwstr>
  </property>
  <property fmtid="{D5CDD505-2E9C-101B-9397-08002B2CF9AE}" pid="25" name="RecordPoint_RecordNumberSubmitted">
    <vt:lpwstr>R0000205398</vt:lpwstr>
  </property>
  <property fmtid="{D5CDD505-2E9C-101B-9397-08002B2CF9AE}" pid="26" name="Order">
    <vt:r8>7600</vt:r8>
  </property>
  <property fmtid="{D5CDD505-2E9C-101B-9397-08002B2CF9AE}" pid="27" name="BCS">
    <vt:lpwstr>3;#Call for Submissions|8cfb1c27-19a6-4349-9bee-b620975c20b4</vt:lpwstr>
  </property>
  <property fmtid="{D5CDD505-2E9C-101B-9397-08002B2CF9AE}" pid="28" name="Classification">
    <vt:lpwstr>1;#OFFICIAL|3776503d-ed4e-4d70-8dfd-8e17b238523b</vt:lpwstr>
  </property>
  <property fmtid="{D5CDD505-2E9C-101B-9397-08002B2CF9AE}" pid="29" name="Access">
    <vt:lpwstr/>
  </property>
  <property fmtid="{D5CDD505-2E9C-101B-9397-08002B2CF9AE}" pid="30" name="pd3a3559ef84480a8025c4c7bb6e6dee">
    <vt:lpwstr/>
  </property>
  <property fmtid="{D5CDD505-2E9C-101B-9397-08002B2CF9AE}" pid="31" name="h46016694f704d158a57d0b5238c000e">
    <vt:lpwstr/>
  </property>
  <property fmtid="{D5CDD505-2E9C-101B-9397-08002B2CF9AE}" pid="32" name="Data_x0020_Privacy">
    <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Data Privacy">
    <vt:lpwstr/>
  </property>
  <property fmtid="{D5CDD505-2E9C-101B-9397-08002B2CF9AE}" pid="37" name="Data Accessibility">
    <vt:lpwstr/>
  </property>
  <property fmtid="{D5CDD505-2E9C-101B-9397-08002B2CF9AE}" pid="38" name="Data Category">
    <vt:lpwstr/>
  </property>
</Properties>
</file>