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A5C98" w14:textId="7B2D2C67" w:rsidR="00E203C2" w:rsidRDefault="00E203C2" w:rsidP="00E203C2">
      <w:r>
        <w:rPr>
          <w:noProof/>
          <w:lang w:eastAsia="en-GB" w:bidi="ar-SA"/>
        </w:rPr>
        <w:drawing>
          <wp:inline distT="0" distB="0" distL="0" distR="0" wp14:anchorId="4A2E7454" wp14:editId="0F0D75E4">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26FF0890" w14:textId="77777777" w:rsidR="00E203C2" w:rsidRPr="00556513" w:rsidRDefault="00E203C2" w:rsidP="00E203C2"/>
    <w:p w14:paraId="6B1F174B" w14:textId="0AA37304" w:rsidR="00AB3FCF" w:rsidRPr="00556513" w:rsidRDefault="00556513" w:rsidP="00AB3FCF">
      <w:pPr>
        <w:rPr>
          <w:b/>
          <w:sz w:val="28"/>
          <w:szCs w:val="28"/>
        </w:rPr>
      </w:pPr>
      <w:r w:rsidRPr="00556513">
        <w:rPr>
          <w:b/>
          <w:sz w:val="28"/>
          <w:szCs w:val="28"/>
        </w:rPr>
        <w:t>11 February 2020</w:t>
      </w:r>
      <w:bookmarkStart w:id="0" w:name="_GoBack"/>
      <w:bookmarkEnd w:id="0"/>
    </w:p>
    <w:p w14:paraId="22CD8FAF" w14:textId="63E9DEBB" w:rsidR="00AB3FCF" w:rsidRPr="00556513" w:rsidRDefault="00AB3FCF" w:rsidP="00AB3FCF">
      <w:pPr>
        <w:rPr>
          <w:b/>
          <w:sz w:val="28"/>
          <w:szCs w:val="28"/>
        </w:rPr>
      </w:pPr>
      <w:r w:rsidRPr="00556513">
        <w:rPr>
          <w:b/>
          <w:sz w:val="28"/>
          <w:szCs w:val="28"/>
        </w:rPr>
        <w:t>[</w:t>
      </w:r>
      <w:r w:rsidR="00556513" w:rsidRPr="00556513">
        <w:rPr>
          <w:b/>
          <w:sz w:val="28"/>
          <w:szCs w:val="28"/>
        </w:rPr>
        <w:t>112 - 20</w:t>
      </w:r>
      <w:r w:rsidRPr="00556513">
        <w:rPr>
          <w:b/>
          <w:sz w:val="28"/>
          <w:szCs w:val="28"/>
        </w:rPr>
        <w:t>]</w:t>
      </w:r>
    </w:p>
    <w:p w14:paraId="0CD668BB" w14:textId="77777777" w:rsidR="0057615C" w:rsidRPr="0057615C" w:rsidRDefault="0057615C" w:rsidP="00690206">
      <w:pPr>
        <w:pStyle w:val="FSTitle"/>
        <w:rPr>
          <w:b/>
          <w:sz w:val="22"/>
        </w:rPr>
      </w:pPr>
    </w:p>
    <w:p w14:paraId="187C86CF" w14:textId="6C1722D1" w:rsidR="00092CDA" w:rsidRPr="005B7A73" w:rsidRDefault="00092CDA" w:rsidP="00690206">
      <w:pPr>
        <w:pStyle w:val="FSTitle"/>
        <w:rPr>
          <w:b/>
        </w:rPr>
      </w:pPr>
      <w:r w:rsidRPr="005B7A73">
        <w:rPr>
          <w:b/>
        </w:rPr>
        <w:t>S</w:t>
      </w:r>
      <w:r w:rsidR="00B12F1E" w:rsidRPr="005B7A73">
        <w:rPr>
          <w:b/>
        </w:rPr>
        <w:t>upporting document</w:t>
      </w:r>
      <w:r w:rsidRPr="005B7A73">
        <w:rPr>
          <w:b/>
        </w:rPr>
        <w:t xml:space="preserve"> </w:t>
      </w:r>
      <w:r w:rsidR="00AF0509">
        <w:rPr>
          <w:b/>
        </w:rPr>
        <w:t>1</w:t>
      </w:r>
    </w:p>
    <w:p w14:paraId="7C4C6180" w14:textId="77777777" w:rsidR="00BA24E2" w:rsidRDefault="00BA24E2" w:rsidP="00E203C2"/>
    <w:p w14:paraId="02E81F6B" w14:textId="77595DF7" w:rsidR="00AF0509" w:rsidRDefault="00AF0509" w:rsidP="00AF0509">
      <w:pPr>
        <w:pStyle w:val="FSTitle"/>
      </w:pPr>
      <w:r w:rsidRPr="00C709B3">
        <w:t xml:space="preserve">Risk </w:t>
      </w:r>
      <w:r>
        <w:t xml:space="preserve">and technical </w:t>
      </w:r>
      <w:r w:rsidRPr="00C709B3">
        <w:t xml:space="preserve">assessment </w:t>
      </w:r>
      <w:r>
        <w:t xml:space="preserve">report </w:t>
      </w:r>
      <w:r w:rsidRPr="00C709B3">
        <w:t>– Application A11</w:t>
      </w:r>
      <w:r w:rsidR="0080087C">
        <w:t>84</w:t>
      </w:r>
    </w:p>
    <w:p w14:paraId="004DEE3E" w14:textId="12D3345F" w:rsidR="00AF0509" w:rsidRPr="00C709B3" w:rsidRDefault="0080087C" w:rsidP="008E436B">
      <w:pPr>
        <w:pStyle w:val="FSTitle"/>
      </w:pPr>
      <w:r>
        <w:t>Glucoamylase</w:t>
      </w:r>
      <w:r w:rsidR="00AB3FCF">
        <w:t xml:space="preserve"> from </w:t>
      </w:r>
      <w:r w:rsidR="0087175E">
        <w:rPr>
          <w:i/>
        </w:rPr>
        <w:t xml:space="preserve">Aspergillus </w:t>
      </w:r>
      <w:r>
        <w:rPr>
          <w:i/>
        </w:rPr>
        <w:t xml:space="preserve">niger </w:t>
      </w:r>
      <w:r w:rsidR="00AF0509">
        <w:t>as a processing aid (enzyme)</w:t>
      </w:r>
    </w:p>
    <w:p w14:paraId="61101A5D" w14:textId="23A8A6CA" w:rsidR="00E203C2" w:rsidRPr="00B37BF0" w:rsidRDefault="00E203C2" w:rsidP="008E436B">
      <w:pPr>
        <w:pBdr>
          <w:bottom w:val="single" w:sz="12" w:space="0" w:color="auto"/>
        </w:pBdr>
        <w:spacing w:line="280" w:lineRule="exact"/>
        <w:rPr>
          <w:rFonts w:cs="Arial"/>
          <w:bCs/>
        </w:rPr>
      </w:pPr>
    </w:p>
    <w:p w14:paraId="41D056D3" w14:textId="77777777" w:rsidR="00E203C2" w:rsidRPr="00B37BF0" w:rsidRDefault="00E203C2" w:rsidP="00E203C2"/>
    <w:p w14:paraId="709FABD9" w14:textId="14CADEBF" w:rsidR="00092CDA" w:rsidRDefault="00092CDA" w:rsidP="00352CF2">
      <w:pPr>
        <w:pStyle w:val="Heading1"/>
        <w:spacing w:before="0"/>
      </w:pPr>
      <w:bookmarkStart w:id="1" w:name="_Toc286391001"/>
      <w:bookmarkStart w:id="2" w:name="_Toc300933414"/>
      <w:bookmarkStart w:id="3" w:name="_Toc536543983"/>
      <w:bookmarkStart w:id="4" w:name="_Toc536607118"/>
      <w:bookmarkStart w:id="5" w:name="_Toc28003756"/>
      <w:r w:rsidRPr="00092CDA">
        <w:t xml:space="preserve">Executive </w:t>
      </w:r>
      <w:r w:rsidR="00B12F1E">
        <w:t>s</w:t>
      </w:r>
      <w:r w:rsidRPr="00092CDA">
        <w:t>ummary</w:t>
      </w:r>
      <w:bookmarkEnd w:id="1"/>
      <w:bookmarkEnd w:id="2"/>
      <w:bookmarkEnd w:id="3"/>
      <w:bookmarkEnd w:id="4"/>
      <w:bookmarkEnd w:id="5"/>
    </w:p>
    <w:p w14:paraId="498F5393" w14:textId="475E3691" w:rsidR="00653E10" w:rsidRDefault="00653E10" w:rsidP="00653E10">
      <w:pPr>
        <w:rPr>
          <w:lang w:val="en-AU"/>
        </w:rPr>
      </w:pPr>
      <w:r>
        <w:rPr>
          <w:lang w:val="en-AU"/>
        </w:rPr>
        <w:t xml:space="preserve">The purpose of the </w:t>
      </w:r>
      <w:r w:rsidR="00A710D7">
        <w:rPr>
          <w:lang w:val="en-AU"/>
        </w:rPr>
        <w:t>a</w:t>
      </w:r>
      <w:r>
        <w:rPr>
          <w:lang w:val="en-AU"/>
        </w:rPr>
        <w:t xml:space="preserve">pplication is to amend Schedule 18 – Processing Aids of the </w:t>
      </w:r>
      <w:r w:rsidRPr="00A710D7">
        <w:rPr>
          <w:lang w:val="en-AU"/>
        </w:rPr>
        <w:t>Australia New Zealand Food Standards Code</w:t>
      </w:r>
      <w:r>
        <w:rPr>
          <w:lang w:val="en-AU"/>
        </w:rPr>
        <w:t xml:space="preserve"> </w:t>
      </w:r>
      <w:r w:rsidR="00A710D7">
        <w:rPr>
          <w:lang w:val="en-AU"/>
        </w:rPr>
        <w:t xml:space="preserve">(the Code) </w:t>
      </w:r>
      <w:r>
        <w:rPr>
          <w:lang w:val="en-AU"/>
        </w:rPr>
        <w:t>to include</w:t>
      </w:r>
      <w:r w:rsidR="001503AD">
        <w:rPr>
          <w:lang w:val="en-AU"/>
        </w:rPr>
        <w:t xml:space="preserve"> the </w:t>
      </w:r>
      <w:r w:rsidR="00AB3FCF" w:rsidRPr="00AB3FCF">
        <w:rPr>
          <w:lang w:val="en-AU"/>
        </w:rPr>
        <w:t xml:space="preserve">enzyme </w:t>
      </w:r>
      <w:r w:rsidR="0080087C">
        <w:rPr>
          <w:lang w:val="en-AU"/>
        </w:rPr>
        <w:t>glucoamylase</w:t>
      </w:r>
      <w:r w:rsidR="00AB3FCF" w:rsidRPr="00AB3FCF">
        <w:rPr>
          <w:lang w:val="en-AU"/>
        </w:rPr>
        <w:t xml:space="preserve"> (EC 3.2.1.</w:t>
      </w:r>
      <w:r w:rsidR="0080087C">
        <w:rPr>
          <w:lang w:val="en-AU"/>
        </w:rPr>
        <w:t>3</w:t>
      </w:r>
      <w:r w:rsidR="00AB3FCF" w:rsidRPr="00AB3FCF">
        <w:rPr>
          <w:lang w:val="en-AU"/>
        </w:rPr>
        <w:t xml:space="preserve">), from a genetically modified </w:t>
      </w:r>
      <w:r w:rsidR="0080087C">
        <w:rPr>
          <w:lang w:val="en-AU"/>
        </w:rPr>
        <w:t xml:space="preserve">(GM) </w:t>
      </w:r>
      <w:r w:rsidR="00AB3FCF" w:rsidRPr="00AB3FCF">
        <w:rPr>
          <w:lang w:val="en-AU"/>
        </w:rPr>
        <w:t xml:space="preserve">strain of </w:t>
      </w:r>
      <w:r w:rsidR="0087175E">
        <w:rPr>
          <w:i/>
          <w:lang w:val="en-AU"/>
        </w:rPr>
        <w:t xml:space="preserve">Aspergillus </w:t>
      </w:r>
      <w:r w:rsidR="0080087C">
        <w:rPr>
          <w:i/>
          <w:lang w:val="en-AU"/>
        </w:rPr>
        <w:t>niger</w:t>
      </w:r>
      <w:r w:rsidR="00966ACB">
        <w:rPr>
          <w:i/>
          <w:lang w:val="en-AU"/>
        </w:rPr>
        <w:t>.</w:t>
      </w:r>
      <w:r w:rsidR="0028261F">
        <w:rPr>
          <w:i/>
          <w:lang w:val="en-AU"/>
        </w:rPr>
        <w:t xml:space="preserve"> </w:t>
      </w:r>
      <w:r w:rsidR="009B7333">
        <w:rPr>
          <w:lang w:val="en-AU"/>
        </w:rPr>
        <w:t xml:space="preserve">This production organism </w:t>
      </w:r>
      <w:r w:rsidR="009B7333" w:rsidRPr="0028261F">
        <w:rPr>
          <w:lang w:val="en-AU"/>
        </w:rPr>
        <w:t>contain</w:t>
      </w:r>
      <w:r w:rsidR="009B7333">
        <w:rPr>
          <w:lang w:val="en-AU"/>
        </w:rPr>
        <w:t>s</w:t>
      </w:r>
      <w:r w:rsidR="009B7333" w:rsidRPr="0028261F">
        <w:rPr>
          <w:lang w:val="en-AU"/>
        </w:rPr>
        <w:t xml:space="preserve"> </w:t>
      </w:r>
      <w:r w:rsidR="0028261F" w:rsidRPr="0028261F">
        <w:rPr>
          <w:lang w:val="en-AU"/>
        </w:rPr>
        <w:t xml:space="preserve">the </w:t>
      </w:r>
      <w:r w:rsidR="0080087C">
        <w:rPr>
          <w:lang w:val="en-AU"/>
        </w:rPr>
        <w:t xml:space="preserve">glucoamylase </w:t>
      </w:r>
      <w:r w:rsidR="0028261F" w:rsidRPr="0028261F">
        <w:rPr>
          <w:lang w:val="en-AU"/>
        </w:rPr>
        <w:t>gene from</w:t>
      </w:r>
      <w:r w:rsidR="0028261F" w:rsidRPr="0028261F">
        <w:rPr>
          <w:i/>
          <w:lang w:val="en-AU"/>
        </w:rPr>
        <w:t xml:space="preserve"> </w:t>
      </w:r>
      <w:r w:rsidR="0080087C">
        <w:rPr>
          <w:i/>
          <w:lang w:val="en-AU"/>
        </w:rPr>
        <w:t>Trametes cingulata</w:t>
      </w:r>
      <w:r w:rsidR="007863B6">
        <w:rPr>
          <w:i/>
          <w:lang w:val="en-AU"/>
        </w:rPr>
        <w:t xml:space="preserve">. </w:t>
      </w:r>
      <w:r w:rsidR="0080087C">
        <w:rPr>
          <w:lang w:val="en-AU"/>
        </w:rPr>
        <w:t xml:space="preserve">Glucoamylase </w:t>
      </w:r>
      <w:r w:rsidR="009B7333">
        <w:rPr>
          <w:lang w:val="en-AU"/>
        </w:rPr>
        <w:t xml:space="preserve">is proposed </w:t>
      </w:r>
      <w:r w:rsidR="0080087C">
        <w:rPr>
          <w:lang w:val="en-AU"/>
        </w:rPr>
        <w:t>as a processing aid for starch processing and the production of potable alcohol.</w:t>
      </w:r>
    </w:p>
    <w:p w14:paraId="4AADD9FD" w14:textId="77777777" w:rsidR="0087175E" w:rsidRDefault="0087175E" w:rsidP="00653E10">
      <w:pPr>
        <w:rPr>
          <w:color w:val="00B050"/>
          <w:lang w:val="en-AU"/>
        </w:rPr>
      </w:pPr>
    </w:p>
    <w:p w14:paraId="21C37209" w14:textId="3282B5FF" w:rsidR="00653E10" w:rsidRDefault="00653E10" w:rsidP="00653E10">
      <w:pPr>
        <w:rPr>
          <w:lang w:val="en-AU"/>
        </w:rPr>
      </w:pPr>
      <w:r w:rsidRPr="0084305A">
        <w:rPr>
          <w:lang w:val="en-AU"/>
        </w:rPr>
        <w:t xml:space="preserve">The evidence </w:t>
      </w:r>
      <w:r w:rsidR="0084305A" w:rsidRPr="0084305A">
        <w:rPr>
          <w:lang w:val="en-AU"/>
        </w:rPr>
        <w:t>presented</w:t>
      </w:r>
      <w:r w:rsidR="00917D2E" w:rsidRPr="0084305A">
        <w:rPr>
          <w:lang w:val="en-AU"/>
        </w:rPr>
        <w:t xml:space="preserve"> </w:t>
      </w:r>
      <w:r w:rsidRPr="0084305A">
        <w:rPr>
          <w:lang w:val="en-AU"/>
        </w:rPr>
        <w:t xml:space="preserve">to support the proposed use of the enzyme provides adequate assurance that the enzyme, in </w:t>
      </w:r>
      <w:r w:rsidR="00A75BA7">
        <w:rPr>
          <w:lang w:val="en-AU"/>
        </w:rPr>
        <w:t xml:space="preserve">the quantity and form proposed to be used, </w:t>
      </w:r>
      <w:r w:rsidRPr="0084305A">
        <w:rPr>
          <w:lang w:val="en-AU"/>
        </w:rPr>
        <w:t>is technologically justified and has been demonstrated to be effective</w:t>
      </w:r>
      <w:r w:rsidR="00F279DD">
        <w:rPr>
          <w:lang w:val="en-AU"/>
        </w:rPr>
        <w:t xml:space="preserve"> in achieving its stated purpose</w:t>
      </w:r>
      <w:r w:rsidRPr="0084305A">
        <w:rPr>
          <w:lang w:val="en-AU"/>
        </w:rPr>
        <w:t>. The enzyme meets international purity specifications</w:t>
      </w:r>
      <w:r w:rsidRPr="004E38D4">
        <w:rPr>
          <w:lang w:val="en-AU"/>
        </w:rPr>
        <w:t>.</w:t>
      </w:r>
    </w:p>
    <w:p w14:paraId="5B8CD286" w14:textId="500B71BA" w:rsidR="00FF1D70" w:rsidRDefault="00FF1D70" w:rsidP="00653E10">
      <w:pPr>
        <w:rPr>
          <w:lang w:val="en-AU"/>
        </w:rPr>
      </w:pPr>
    </w:p>
    <w:p w14:paraId="566F2950" w14:textId="4E1892FE" w:rsidR="00FF1D70" w:rsidRDefault="00FF1D70" w:rsidP="00FF1D70">
      <w:pPr>
        <w:rPr>
          <w:lang w:bidi="ar-SA"/>
        </w:rPr>
      </w:pPr>
      <w:r w:rsidRPr="00142C84">
        <w:rPr>
          <w:lang w:bidi="ar-SA"/>
        </w:rPr>
        <w:t xml:space="preserve">The safety assessment of the </w:t>
      </w:r>
      <w:r w:rsidR="009D1657" w:rsidRPr="00142C84">
        <w:rPr>
          <w:lang w:bidi="ar-SA"/>
        </w:rPr>
        <w:t>GM</w:t>
      </w:r>
      <w:r w:rsidRPr="00142C84">
        <w:rPr>
          <w:lang w:bidi="ar-SA"/>
        </w:rPr>
        <w:t xml:space="preserve"> production strain concluded there were no public health and safety concerns. The host </w:t>
      </w:r>
      <w:r w:rsidR="00FE6665" w:rsidRPr="00FE6665">
        <w:rPr>
          <w:i/>
          <w:lang w:bidi="ar-SA"/>
        </w:rPr>
        <w:t>A. niger</w:t>
      </w:r>
      <w:r w:rsidR="00FE6665">
        <w:rPr>
          <w:lang w:bidi="ar-SA"/>
        </w:rPr>
        <w:t xml:space="preserve"> strain </w:t>
      </w:r>
      <w:r w:rsidRPr="00142C84">
        <w:rPr>
          <w:lang w:bidi="ar-SA"/>
        </w:rPr>
        <w:t>is neither pathogenic nor toxigenic</w:t>
      </w:r>
      <w:r w:rsidRPr="002D59C3">
        <w:rPr>
          <w:lang w:bidi="ar-SA"/>
        </w:rPr>
        <w:t xml:space="preserve"> and has </w:t>
      </w:r>
      <w:r w:rsidR="00BE7378">
        <w:rPr>
          <w:lang w:bidi="ar-SA"/>
        </w:rPr>
        <w:t xml:space="preserve">a long </w:t>
      </w:r>
      <w:r w:rsidR="00BE7378" w:rsidRPr="0070553E">
        <w:rPr>
          <w:lang w:bidi="ar-SA"/>
        </w:rPr>
        <w:t xml:space="preserve">history of safe use </w:t>
      </w:r>
      <w:r w:rsidR="00BE7378">
        <w:rPr>
          <w:lang w:bidi="ar-SA"/>
        </w:rPr>
        <w:t>as a source of enzyme processing aids, including several already permitted in the Code.</w:t>
      </w:r>
      <w:r w:rsidRPr="002D59C3">
        <w:rPr>
          <w:lang w:bidi="ar-SA"/>
        </w:rPr>
        <w:t xml:space="preserve"> </w:t>
      </w:r>
      <w:r w:rsidR="00BE7378">
        <w:rPr>
          <w:lang w:bidi="ar-SA"/>
        </w:rPr>
        <w:t>A</w:t>
      </w:r>
      <w:r w:rsidR="00BE7378" w:rsidRPr="002D59C3">
        <w:rPr>
          <w:lang w:bidi="ar-SA"/>
        </w:rPr>
        <w:t xml:space="preserve">nalysis of the production strain </w:t>
      </w:r>
      <w:r w:rsidRPr="002D59C3">
        <w:rPr>
          <w:lang w:bidi="ar-SA"/>
        </w:rPr>
        <w:t xml:space="preserve">confirmed </w:t>
      </w:r>
      <w:r w:rsidR="009222A0">
        <w:rPr>
          <w:lang w:bidi="ar-SA"/>
        </w:rPr>
        <w:t xml:space="preserve">the </w:t>
      </w:r>
      <w:r w:rsidRPr="002D59C3">
        <w:rPr>
          <w:lang w:bidi="ar-SA"/>
        </w:rPr>
        <w:t>presence and stability of the inserted DNA.</w:t>
      </w:r>
      <w:r>
        <w:rPr>
          <w:lang w:bidi="ar-SA"/>
        </w:rPr>
        <w:t xml:space="preserve"> </w:t>
      </w:r>
    </w:p>
    <w:p w14:paraId="0190C340" w14:textId="77777777" w:rsidR="00FF1D70" w:rsidRDefault="00FF1D70" w:rsidP="00FF1D70">
      <w:pPr>
        <w:rPr>
          <w:lang w:bidi="ar-SA"/>
        </w:rPr>
      </w:pPr>
    </w:p>
    <w:p w14:paraId="299F11EB" w14:textId="1E67DCDC" w:rsidR="00FF1D70" w:rsidRPr="008D3909" w:rsidRDefault="00FF1D70" w:rsidP="00FF1D70">
      <w:r w:rsidRPr="008D3909">
        <w:rPr>
          <w:lang w:bidi="ar-SA"/>
        </w:rPr>
        <w:t xml:space="preserve">Glucoamylase from </w:t>
      </w:r>
      <w:r w:rsidR="009D1657" w:rsidRPr="008D3909">
        <w:rPr>
          <w:lang w:bidi="ar-SA"/>
        </w:rPr>
        <w:t>GM</w:t>
      </w:r>
      <w:r w:rsidRPr="008D3909">
        <w:rPr>
          <w:lang w:bidi="ar-SA"/>
        </w:rPr>
        <w:t xml:space="preserve"> </w:t>
      </w:r>
      <w:r w:rsidRPr="008D3909">
        <w:rPr>
          <w:i/>
          <w:lang w:bidi="ar-SA"/>
        </w:rPr>
        <w:t>A.</w:t>
      </w:r>
      <w:r w:rsidR="00150BBE" w:rsidRPr="008D3909">
        <w:rPr>
          <w:i/>
          <w:lang w:bidi="ar-SA"/>
        </w:rPr>
        <w:t xml:space="preserve"> </w:t>
      </w:r>
      <w:r w:rsidRPr="008D3909">
        <w:rPr>
          <w:i/>
          <w:lang w:bidi="ar-SA"/>
        </w:rPr>
        <w:t>niger</w:t>
      </w:r>
      <w:r w:rsidRPr="008D3909">
        <w:rPr>
          <w:lang w:bidi="ar-SA"/>
        </w:rPr>
        <w:t xml:space="preserve"> was not genotoxic </w:t>
      </w:r>
      <w:r w:rsidRPr="008D3909">
        <w:rPr>
          <w:i/>
          <w:lang w:bidi="ar-SA"/>
        </w:rPr>
        <w:t>in vitro</w:t>
      </w:r>
      <w:r w:rsidRPr="008D3909">
        <w:rPr>
          <w:lang w:bidi="ar-SA"/>
        </w:rPr>
        <w:t>, and did not cause adverse effects in short-term toxicity studies in rats. The no observed adverse effect level (NOAEL) in a 90-day repeated dose oral toxicity study in rats was the highest do</w:t>
      </w:r>
      <w:r w:rsidR="002D59C3" w:rsidRPr="008D3909">
        <w:rPr>
          <w:lang w:bidi="ar-SA"/>
        </w:rPr>
        <w:t>se tested, 10 mL/kg bw/day or 11</w:t>
      </w:r>
      <w:r w:rsidRPr="008D3909">
        <w:rPr>
          <w:lang w:bidi="ar-SA"/>
        </w:rPr>
        <w:t xml:space="preserve">35 mg/kg bw/day on a total organic solids (TOS) basis. </w:t>
      </w:r>
      <w:r w:rsidRPr="008D3909">
        <w:t>The applicant’s estimated theoretical maximal daily intake (TMDI) based o</w:t>
      </w:r>
      <w:r w:rsidR="002D59C3" w:rsidRPr="008D3909">
        <w:t>n the proposed uses is 0.31</w:t>
      </w:r>
      <w:r w:rsidRPr="008D3909">
        <w:t xml:space="preserve"> mg/kg bw/day TOS. A comparison of these values indicates that the Margin of Exposure between t</w:t>
      </w:r>
      <w:r w:rsidR="002D59C3" w:rsidRPr="008D3909">
        <w:t>he NOAEL and TMDI is more than 3</w:t>
      </w:r>
      <w:r w:rsidRPr="008D3909">
        <w:t>,000.</w:t>
      </w:r>
    </w:p>
    <w:p w14:paraId="567F2988" w14:textId="77777777" w:rsidR="00FF1D70" w:rsidRPr="008D3909" w:rsidRDefault="00FF1D70" w:rsidP="00FF1D70">
      <w:pPr>
        <w:rPr>
          <w:lang w:bidi="ar-SA"/>
        </w:rPr>
      </w:pPr>
    </w:p>
    <w:p w14:paraId="46C3558F" w14:textId="1D33AF16" w:rsidR="00FF1D70" w:rsidRPr="008D3909" w:rsidRDefault="00FF1D70" w:rsidP="00FF1D70">
      <w:pPr>
        <w:rPr>
          <w:lang w:bidi="ar-SA"/>
        </w:rPr>
      </w:pPr>
      <w:r w:rsidRPr="008D3909">
        <w:rPr>
          <w:lang w:bidi="ar-SA"/>
        </w:rPr>
        <w:t xml:space="preserve">Bioinformatic analysis indicated that the enzyme has no significant homology with any known toxins or food allergens, and is unlikely to pose an allergenicity or toxicity concern. Soy and possibly wheat are used in the fermentation medium, however </w:t>
      </w:r>
      <w:r w:rsidR="003710DF" w:rsidRPr="008D3909">
        <w:rPr>
          <w:lang w:bidi="ar-SA"/>
        </w:rPr>
        <w:t xml:space="preserve">they are expected to be removed as a result of downstream processes. </w:t>
      </w:r>
    </w:p>
    <w:p w14:paraId="62D0A918" w14:textId="77777777" w:rsidR="003710DF" w:rsidRPr="008D3909" w:rsidRDefault="003710DF" w:rsidP="00FF1D70">
      <w:pPr>
        <w:rPr>
          <w:lang w:bidi="ar-SA"/>
        </w:rPr>
      </w:pPr>
    </w:p>
    <w:p w14:paraId="4EB638F9" w14:textId="77777777" w:rsidR="00FF1D70" w:rsidRDefault="00FF1D70" w:rsidP="00FF1D70">
      <w:pPr>
        <w:rPr>
          <w:lang w:bidi="ar-SA"/>
        </w:rPr>
      </w:pPr>
      <w:r w:rsidRPr="008D3909">
        <w:rPr>
          <w:lang w:eastAsia="en-AU" w:bidi="ar-SA"/>
        </w:rPr>
        <w:t>Based on the reviewed toxicological data it is concluded that, in the absence of any identifiable hazard, an acceptable daily intake (ADI) ‘not specified’ is appropriate. A dietary exposure assessment was therefore not required.</w:t>
      </w:r>
    </w:p>
    <w:p w14:paraId="3FB4831F" w14:textId="77777777" w:rsidR="00FF1D70" w:rsidRDefault="00FF1D70" w:rsidP="00FF1D70">
      <w:pPr>
        <w:rPr>
          <w:lang w:bidi="ar-SA"/>
        </w:rPr>
      </w:pPr>
    </w:p>
    <w:p w14:paraId="6216D5EB" w14:textId="77777777" w:rsidR="00FF1D70" w:rsidRPr="004E38D4" w:rsidRDefault="00FF1D70" w:rsidP="00653E10">
      <w:pPr>
        <w:rPr>
          <w:lang w:val="en-AU"/>
        </w:rPr>
      </w:pPr>
    </w:p>
    <w:p w14:paraId="5592E66C" w14:textId="77777777" w:rsidR="0084305A" w:rsidRPr="004E38D4" w:rsidRDefault="0084305A" w:rsidP="00653E10">
      <w:pPr>
        <w:rPr>
          <w:lang w:val="en-AU"/>
        </w:rPr>
      </w:pPr>
    </w:p>
    <w:p w14:paraId="06AD872C" w14:textId="77777777" w:rsidR="00562917" w:rsidRPr="00D9620E" w:rsidRDefault="00562917" w:rsidP="002A3314">
      <w:pPr>
        <w:pStyle w:val="TOCHeading"/>
        <w:rPr>
          <w:b w:val="0"/>
          <w:sz w:val="32"/>
        </w:rPr>
      </w:pPr>
      <w:r w:rsidRPr="00D9620E">
        <w:rPr>
          <w:b w:val="0"/>
          <w:sz w:val="32"/>
        </w:rPr>
        <w:t xml:space="preserve">Table of </w:t>
      </w:r>
      <w:r w:rsidR="00A77BFA" w:rsidRPr="00D9620E">
        <w:rPr>
          <w:b w:val="0"/>
          <w:sz w:val="32"/>
        </w:rPr>
        <w:t>c</w:t>
      </w:r>
      <w:r w:rsidRPr="00D9620E">
        <w:rPr>
          <w:b w:val="0"/>
          <w:sz w:val="32"/>
        </w:rPr>
        <w:t>ontents</w:t>
      </w:r>
    </w:p>
    <w:p w14:paraId="53B53F24" w14:textId="673AA23E" w:rsidR="00D8618A" w:rsidRDefault="00326D85">
      <w:pPr>
        <w:pStyle w:val="TOC1"/>
        <w:tabs>
          <w:tab w:val="right" w:leader="dot" w:pos="9060"/>
        </w:tabs>
        <w:rPr>
          <w:rFonts w:eastAsiaTheme="minorEastAsia" w:cstheme="minorBidi"/>
          <w:b w:val="0"/>
          <w:bCs w:val="0"/>
          <w:caps w:val="0"/>
          <w:noProof/>
          <w:sz w:val="22"/>
          <w:szCs w:val="22"/>
          <w:lang w:eastAsia="en-GB" w:bidi="ar-SA"/>
        </w:rPr>
      </w:pPr>
      <w:r>
        <w:fldChar w:fldCharType="begin"/>
      </w:r>
      <w:r>
        <w:instrText xml:space="preserve"> TOC \o "1-3" \h \z \u </w:instrText>
      </w:r>
      <w:r>
        <w:fldChar w:fldCharType="separate"/>
      </w:r>
      <w:hyperlink w:anchor="_Toc28003756" w:history="1">
        <w:r w:rsidR="00D8618A" w:rsidRPr="00B3793F">
          <w:rPr>
            <w:rStyle w:val="Hyperlink"/>
            <w:noProof/>
          </w:rPr>
          <w:t>Executive summary</w:t>
        </w:r>
        <w:r w:rsidR="00D8618A">
          <w:rPr>
            <w:noProof/>
            <w:webHidden/>
          </w:rPr>
          <w:tab/>
        </w:r>
        <w:r w:rsidR="00D8618A">
          <w:rPr>
            <w:noProof/>
            <w:webHidden/>
          </w:rPr>
          <w:fldChar w:fldCharType="begin"/>
        </w:r>
        <w:r w:rsidR="00D8618A">
          <w:rPr>
            <w:noProof/>
            <w:webHidden/>
          </w:rPr>
          <w:instrText xml:space="preserve"> PAGEREF _Toc28003756 \h </w:instrText>
        </w:r>
        <w:r w:rsidR="00D8618A">
          <w:rPr>
            <w:noProof/>
            <w:webHidden/>
          </w:rPr>
        </w:r>
        <w:r w:rsidR="00D8618A">
          <w:rPr>
            <w:noProof/>
            <w:webHidden/>
          </w:rPr>
          <w:fldChar w:fldCharType="separate"/>
        </w:r>
        <w:r w:rsidR="00554FB8">
          <w:rPr>
            <w:noProof/>
            <w:webHidden/>
          </w:rPr>
          <w:t>1</w:t>
        </w:r>
        <w:r w:rsidR="00D8618A">
          <w:rPr>
            <w:noProof/>
            <w:webHidden/>
          </w:rPr>
          <w:fldChar w:fldCharType="end"/>
        </w:r>
      </w:hyperlink>
    </w:p>
    <w:p w14:paraId="6B4433E6" w14:textId="6ECC3873" w:rsidR="00D8618A" w:rsidRDefault="00556513">
      <w:pPr>
        <w:pStyle w:val="TOC1"/>
        <w:tabs>
          <w:tab w:val="right" w:leader="dot" w:pos="9060"/>
        </w:tabs>
        <w:rPr>
          <w:rFonts w:eastAsiaTheme="minorEastAsia" w:cstheme="minorBidi"/>
          <w:b w:val="0"/>
          <w:bCs w:val="0"/>
          <w:caps w:val="0"/>
          <w:noProof/>
          <w:sz w:val="22"/>
          <w:szCs w:val="22"/>
          <w:lang w:eastAsia="en-GB" w:bidi="ar-SA"/>
        </w:rPr>
      </w:pPr>
      <w:hyperlink w:anchor="_Toc28003757" w:history="1">
        <w:r w:rsidR="00D8618A" w:rsidRPr="00B3793F">
          <w:rPr>
            <w:rStyle w:val="Hyperlink"/>
            <w:noProof/>
          </w:rPr>
          <w:t>1 Introduction</w:t>
        </w:r>
        <w:r w:rsidR="00D8618A">
          <w:rPr>
            <w:noProof/>
            <w:webHidden/>
          </w:rPr>
          <w:tab/>
        </w:r>
        <w:r w:rsidR="00D8618A">
          <w:rPr>
            <w:noProof/>
            <w:webHidden/>
          </w:rPr>
          <w:fldChar w:fldCharType="begin"/>
        </w:r>
        <w:r w:rsidR="00D8618A">
          <w:rPr>
            <w:noProof/>
            <w:webHidden/>
          </w:rPr>
          <w:instrText xml:space="preserve"> PAGEREF _Toc28003757 \h </w:instrText>
        </w:r>
        <w:r w:rsidR="00D8618A">
          <w:rPr>
            <w:noProof/>
            <w:webHidden/>
          </w:rPr>
        </w:r>
        <w:r w:rsidR="00D8618A">
          <w:rPr>
            <w:noProof/>
            <w:webHidden/>
          </w:rPr>
          <w:fldChar w:fldCharType="separate"/>
        </w:r>
        <w:r w:rsidR="00554FB8">
          <w:rPr>
            <w:noProof/>
            <w:webHidden/>
          </w:rPr>
          <w:t>3</w:t>
        </w:r>
        <w:r w:rsidR="00D8618A">
          <w:rPr>
            <w:noProof/>
            <w:webHidden/>
          </w:rPr>
          <w:fldChar w:fldCharType="end"/>
        </w:r>
      </w:hyperlink>
    </w:p>
    <w:p w14:paraId="3287E702" w14:textId="7FF6F080" w:rsidR="00D8618A" w:rsidRDefault="00556513">
      <w:pPr>
        <w:pStyle w:val="TOC2"/>
        <w:tabs>
          <w:tab w:val="left" w:pos="880"/>
          <w:tab w:val="right" w:leader="dot" w:pos="9060"/>
        </w:tabs>
        <w:rPr>
          <w:rFonts w:eastAsiaTheme="minorEastAsia" w:cstheme="minorBidi"/>
          <w:smallCaps w:val="0"/>
          <w:noProof/>
          <w:sz w:val="22"/>
          <w:szCs w:val="22"/>
          <w:lang w:eastAsia="en-GB" w:bidi="ar-SA"/>
        </w:rPr>
      </w:pPr>
      <w:hyperlink w:anchor="_Toc28003758" w:history="1">
        <w:r w:rsidR="00D8618A" w:rsidRPr="00B3793F">
          <w:rPr>
            <w:rStyle w:val="Hyperlink"/>
            <w:noProof/>
          </w:rPr>
          <w:t>1.1</w:t>
        </w:r>
        <w:r w:rsidR="00D8618A">
          <w:rPr>
            <w:rFonts w:eastAsiaTheme="minorEastAsia" w:cstheme="minorBidi"/>
            <w:smallCaps w:val="0"/>
            <w:noProof/>
            <w:sz w:val="22"/>
            <w:szCs w:val="22"/>
            <w:lang w:eastAsia="en-GB" w:bidi="ar-SA"/>
          </w:rPr>
          <w:tab/>
        </w:r>
        <w:r w:rsidR="00D8618A" w:rsidRPr="00B3793F">
          <w:rPr>
            <w:rStyle w:val="Hyperlink"/>
            <w:noProof/>
          </w:rPr>
          <w:t>Objectives of the assessment</w:t>
        </w:r>
        <w:r w:rsidR="00D8618A">
          <w:rPr>
            <w:noProof/>
            <w:webHidden/>
          </w:rPr>
          <w:tab/>
        </w:r>
        <w:r w:rsidR="00D8618A">
          <w:rPr>
            <w:noProof/>
            <w:webHidden/>
          </w:rPr>
          <w:fldChar w:fldCharType="begin"/>
        </w:r>
        <w:r w:rsidR="00D8618A">
          <w:rPr>
            <w:noProof/>
            <w:webHidden/>
          </w:rPr>
          <w:instrText xml:space="preserve"> PAGEREF _Toc28003758 \h </w:instrText>
        </w:r>
        <w:r w:rsidR="00D8618A">
          <w:rPr>
            <w:noProof/>
            <w:webHidden/>
          </w:rPr>
        </w:r>
        <w:r w:rsidR="00D8618A">
          <w:rPr>
            <w:noProof/>
            <w:webHidden/>
          </w:rPr>
          <w:fldChar w:fldCharType="separate"/>
        </w:r>
        <w:r w:rsidR="00554FB8">
          <w:rPr>
            <w:noProof/>
            <w:webHidden/>
          </w:rPr>
          <w:t>3</w:t>
        </w:r>
        <w:r w:rsidR="00D8618A">
          <w:rPr>
            <w:noProof/>
            <w:webHidden/>
          </w:rPr>
          <w:fldChar w:fldCharType="end"/>
        </w:r>
      </w:hyperlink>
    </w:p>
    <w:p w14:paraId="22B5F34C" w14:textId="184B8241" w:rsidR="00D8618A" w:rsidRDefault="00556513">
      <w:pPr>
        <w:pStyle w:val="TOC1"/>
        <w:tabs>
          <w:tab w:val="right" w:leader="dot" w:pos="9060"/>
        </w:tabs>
        <w:rPr>
          <w:rFonts w:eastAsiaTheme="minorEastAsia" w:cstheme="minorBidi"/>
          <w:b w:val="0"/>
          <w:bCs w:val="0"/>
          <w:caps w:val="0"/>
          <w:noProof/>
          <w:sz w:val="22"/>
          <w:szCs w:val="22"/>
          <w:lang w:eastAsia="en-GB" w:bidi="ar-SA"/>
        </w:rPr>
      </w:pPr>
      <w:hyperlink w:anchor="_Toc28003759" w:history="1">
        <w:r w:rsidR="00D8618A" w:rsidRPr="00B3793F">
          <w:rPr>
            <w:rStyle w:val="Hyperlink"/>
            <w:noProof/>
          </w:rPr>
          <w:t>2 Food technology assessment</w:t>
        </w:r>
        <w:r w:rsidR="00D8618A">
          <w:rPr>
            <w:noProof/>
            <w:webHidden/>
          </w:rPr>
          <w:tab/>
        </w:r>
        <w:r w:rsidR="00D8618A">
          <w:rPr>
            <w:noProof/>
            <w:webHidden/>
          </w:rPr>
          <w:fldChar w:fldCharType="begin"/>
        </w:r>
        <w:r w:rsidR="00D8618A">
          <w:rPr>
            <w:noProof/>
            <w:webHidden/>
          </w:rPr>
          <w:instrText xml:space="preserve"> PAGEREF _Toc28003759 \h </w:instrText>
        </w:r>
        <w:r w:rsidR="00D8618A">
          <w:rPr>
            <w:noProof/>
            <w:webHidden/>
          </w:rPr>
        </w:r>
        <w:r w:rsidR="00D8618A">
          <w:rPr>
            <w:noProof/>
            <w:webHidden/>
          </w:rPr>
          <w:fldChar w:fldCharType="separate"/>
        </w:r>
        <w:r w:rsidR="00554FB8">
          <w:rPr>
            <w:noProof/>
            <w:webHidden/>
          </w:rPr>
          <w:t>3</w:t>
        </w:r>
        <w:r w:rsidR="00D8618A">
          <w:rPr>
            <w:noProof/>
            <w:webHidden/>
          </w:rPr>
          <w:fldChar w:fldCharType="end"/>
        </w:r>
      </w:hyperlink>
    </w:p>
    <w:p w14:paraId="39436D99" w14:textId="594986D6" w:rsidR="00D8618A" w:rsidRDefault="00556513">
      <w:pPr>
        <w:pStyle w:val="TOC2"/>
        <w:tabs>
          <w:tab w:val="left" w:pos="880"/>
          <w:tab w:val="right" w:leader="dot" w:pos="9060"/>
        </w:tabs>
        <w:rPr>
          <w:rFonts w:eastAsiaTheme="minorEastAsia" w:cstheme="minorBidi"/>
          <w:smallCaps w:val="0"/>
          <w:noProof/>
          <w:sz w:val="22"/>
          <w:szCs w:val="22"/>
          <w:lang w:eastAsia="en-GB" w:bidi="ar-SA"/>
        </w:rPr>
      </w:pPr>
      <w:hyperlink w:anchor="_Toc28003760" w:history="1">
        <w:r w:rsidR="00D8618A" w:rsidRPr="00B3793F">
          <w:rPr>
            <w:rStyle w:val="Hyperlink"/>
            <w:noProof/>
          </w:rPr>
          <w:t>2.1</w:t>
        </w:r>
        <w:r w:rsidR="00D8618A">
          <w:rPr>
            <w:rFonts w:eastAsiaTheme="minorEastAsia" w:cstheme="minorBidi"/>
            <w:smallCaps w:val="0"/>
            <w:noProof/>
            <w:sz w:val="22"/>
            <w:szCs w:val="22"/>
            <w:lang w:eastAsia="en-GB" w:bidi="ar-SA"/>
          </w:rPr>
          <w:tab/>
        </w:r>
        <w:r w:rsidR="00D8618A" w:rsidRPr="00B3793F">
          <w:rPr>
            <w:rStyle w:val="Hyperlink"/>
            <w:noProof/>
          </w:rPr>
          <w:t>Characterisation of the enzyme</w:t>
        </w:r>
        <w:r w:rsidR="00D8618A">
          <w:rPr>
            <w:noProof/>
            <w:webHidden/>
          </w:rPr>
          <w:tab/>
        </w:r>
        <w:r w:rsidR="00D8618A">
          <w:rPr>
            <w:noProof/>
            <w:webHidden/>
          </w:rPr>
          <w:fldChar w:fldCharType="begin"/>
        </w:r>
        <w:r w:rsidR="00D8618A">
          <w:rPr>
            <w:noProof/>
            <w:webHidden/>
          </w:rPr>
          <w:instrText xml:space="preserve"> PAGEREF _Toc28003760 \h </w:instrText>
        </w:r>
        <w:r w:rsidR="00D8618A">
          <w:rPr>
            <w:noProof/>
            <w:webHidden/>
          </w:rPr>
        </w:r>
        <w:r w:rsidR="00D8618A">
          <w:rPr>
            <w:noProof/>
            <w:webHidden/>
          </w:rPr>
          <w:fldChar w:fldCharType="separate"/>
        </w:r>
        <w:r w:rsidR="00554FB8">
          <w:rPr>
            <w:noProof/>
            <w:webHidden/>
          </w:rPr>
          <w:t>3</w:t>
        </w:r>
        <w:r w:rsidR="00D8618A">
          <w:rPr>
            <w:noProof/>
            <w:webHidden/>
          </w:rPr>
          <w:fldChar w:fldCharType="end"/>
        </w:r>
      </w:hyperlink>
    </w:p>
    <w:p w14:paraId="6AD048E4" w14:textId="1E3F206D" w:rsidR="00D8618A" w:rsidRDefault="00556513">
      <w:pPr>
        <w:pStyle w:val="TOC3"/>
        <w:tabs>
          <w:tab w:val="left" w:pos="1100"/>
          <w:tab w:val="right" w:leader="dot" w:pos="9060"/>
        </w:tabs>
        <w:rPr>
          <w:rFonts w:eastAsiaTheme="minorEastAsia" w:cstheme="minorBidi"/>
          <w:i w:val="0"/>
          <w:iCs w:val="0"/>
          <w:noProof/>
          <w:sz w:val="22"/>
          <w:szCs w:val="22"/>
          <w:lang w:eastAsia="en-GB" w:bidi="ar-SA"/>
        </w:rPr>
      </w:pPr>
      <w:hyperlink w:anchor="_Toc28003761" w:history="1">
        <w:r w:rsidR="00D8618A" w:rsidRPr="00B3793F">
          <w:rPr>
            <w:rStyle w:val="Hyperlink"/>
            <w:noProof/>
          </w:rPr>
          <w:t>2.1.1</w:t>
        </w:r>
        <w:r w:rsidR="00D8618A">
          <w:rPr>
            <w:rFonts w:eastAsiaTheme="minorEastAsia" w:cstheme="minorBidi"/>
            <w:i w:val="0"/>
            <w:iCs w:val="0"/>
            <w:noProof/>
            <w:sz w:val="22"/>
            <w:szCs w:val="22"/>
            <w:lang w:eastAsia="en-GB" w:bidi="ar-SA"/>
          </w:rPr>
          <w:tab/>
        </w:r>
        <w:r w:rsidR="00D8618A" w:rsidRPr="00B3793F">
          <w:rPr>
            <w:rStyle w:val="Hyperlink"/>
            <w:noProof/>
          </w:rPr>
          <w:t>Identity of the enzyme</w:t>
        </w:r>
        <w:r w:rsidR="00D8618A">
          <w:rPr>
            <w:noProof/>
            <w:webHidden/>
          </w:rPr>
          <w:tab/>
        </w:r>
        <w:r w:rsidR="00D8618A">
          <w:rPr>
            <w:noProof/>
            <w:webHidden/>
          </w:rPr>
          <w:fldChar w:fldCharType="begin"/>
        </w:r>
        <w:r w:rsidR="00D8618A">
          <w:rPr>
            <w:noProof/>
            <w:webHidden/>
          </w:rPr>
          <w:instrText xml:space="preserve"> PAGEREF _Toc28003761 \h </w:instrText>
        </w:r>
        <w:r w:rsidR="00D8618A">
          <w:rPr>
            <w:noProof/>
            <w:webHidden/>
          </w:rPr>
        </w:r>
        <w:r w:rsidR="00D8618A">
          <w:rPr>
            <w:noProof/>
            <w:webHidden/>
          </w:rPr>
          <w:fldChar w:fldCharType="separate"/>
        </w:r>
        <w:r w:rsidR="00554FB8">
          <w:rPr>
            <w:noProof/>
            <w:webHidden/>
          </w:rPr>
          <w:t>3</w:t>
        </w:r>
        <w:r w:rsidR="00D8618A">
          <w:rPr>
            <w:noProof/>
            <w:webHidden/>
          </w:rPr>
          <w:fldChar w:fldCharType="end"/>
        </w:r>
      </w:hyperlink>
    </w:p>
    <w:p w14:paraId="53894983" w14:textId="2BC71575" w:rsidR="00D8618A" w:rsidRDefault="00556513">
      <w:pPr>
        <w:pStyle w:val="TOC3"/>
        <w:tabs>
          <w:tab w:val="left" w:pos="1100"/>
          <w:tab w:val="right" w:leader="dot" w:pos="9060"/>
        </w:tabs>
        <w:rPr>
          <w:rFonts w:eastAsiaTheme="minorEastAsia" w:cstheme="minorBidi"/>
          <w:i w:val="0"/>
          <w:iCs w:val="0"/>
          <w:noProof/>
          <w:sz w:val="22"/>
          <w:szCs w:val="22"/>
          <w:lang w:eastAsia="en-GB" w:bidi="ar-SA"/>
        </w:rPr>
      </w:pPr>
      <w:hyperlink w:anchor="_Toc28003762" w:history="1">
        <w:r w:rsidR="00D8618A" w:rsidRPr="00B3793F">
          <w:rPr>
            <w:rStyle w:val="Hyperlink"/>
            <w:noProof/>
          </w:rPr>
          <w:t>2.1.2</w:t>
        </w:r>
        <w:r w:rsidR="00D8618A">
          <w:rPr>
            <w:rFonts w:eastAsiaTheme="minorEastAsia" w:cstheme="minorBidi"/>
            <w:i w:val="0"/>
            <w:iCs w:val="0"/>
            <w:noProof/>
            <w:sz w:val="22"/>
            <w:szCs w:val="22"/>
            <w:lang w:eastAsia="en-GB" w:bidi="ar-SA"/>
          </w:rPr>
          <w:tab/>
        </w:r>
        <w:r w:rsidR="00D8618A" w:rsidRPr="00B3793F">
          <w:rPr>
            <w:rStyle w:val="Hyperlink"/>
            <w:noProof/>
          </w:rPr>
          <w:t>Technological purpose of the enzyme</w:t>
        </w:r>
        <w:r w:rsidR="00D8618A">
          <w:rPr>
            <w:noProof/>
            <w:webHidden/>
          </w:rPr>
          <w:tab/>
        </w:r>
        <w:r w:rsidR="00D8618A">
          <w:rPr>
            <w:noProof/>
            <w:webHidden/>
          </w:rPr>
          <w:fldChar w:fldCharType="begin"/>
        </w:r>
        <w:r w:rsidR="00D8618A">
          <w:rPr>
            <w:noProof/>
            <w:webHidden/>
          </w:rPr>
          <w:instrText xml:space="preserve"> PAGEREF _Toc28003762 \h </w:instrText>
        </w:r>
        <w:r w:rsidR="00D8618A">
          <w:rPr>
            <w:noProof/>
            <w:webHidden/>
          </w:rPr>
        </w:r>
        <w:r w:rsidR="00D8618A">
          <w:rPr>
            <w:noProof/>
            <w:webHidden/>
          </w:rPr>
          <w:fldChar w:fldCharType="separate"/>
        </w:r>
        <w:r w:rsidR="00554FB8">
          <w:rPr>
            <w:noProof/>
            <w:webHidden/>
          </w:rPr>
          <w:t>4</w:t>
        </w:r>
        <w:r w:rsidR="00D8618A">
          <w:rPr>
            <w:noProof/>
            <w:webHidden/>
          </w:rPr>
          <w:fldChar w:fldCharType="end"/>
        </w:r>
      </w:hyperlink>
    </w:p>
    <w:p w14:paraId="54D61C00" w14:textId="1FE84AAF" w:rsidR="00D8618A" w:rsidRDefault="00556513">
      <w:pPr>
        <w:pStyle w:val="TOC3"/>
        <w:tabs>
          <w:tab w:val="left" w:pos="1100"/>
          <w:tab w:val="right" w:leader="dot" w:pos="9060"/>
        </w:tabs>
        <w:rPr>
          <w:rFonts w:eastAsiaTheme="minorEastAsia" w:cstheme="minorBidi"/>
          <w:i w:val="0"/>
          <w:iCs w:val="0"/>
          <w:noProof/>
          <w:sz w:val="22"/>
          <w:szCs w:val="22"/>
          <w:lang w:eastAsia="en-GB" w:bidi="ar-SA"/>
        </w:rPr>
      </w:pPr>
      <w:hyperlink w:anchor="_Toc28003763" w:history="1">
        <w:r w:rsidR="00D8618A" w:rsidRPr="00B3793F">
          <w:rPr>
            <w:rStyle w:val="Hyperlink"/>
            <w:noProof/>
          </w:rPr>
          <w:t>2.1.3</w:t>
        </w:r>
        <w:r w:rsidR="00D8618A">
          <w:rPr>
            <w:rFonts w:eastAsiaTheme="minorEastAsia" w:cstheme="minorBidi"/>
            <w:i w:val="0"/>
            <w:iCs w:val="0"/>
            <w:noProof/>
            <w:sz w:val="22"/>
            <w:szCs w:val="22"/>
            <w:lang w:eastAsia="en-GB" w:bidi="ar-SA"/>
          </w:rPr>
          <w:tab/>
        </w:r>
        <w:r w:rsidR="00D8618A" w:rsidRPr="00B3793F">
          <w:rPr>
            <w:rStyle w:val="Hyperlink"/>
            <w:noProof/>
          </w:rPr>
          <w:t>Technological justification for the enzyme</w:t>
        </w:r>
        <w:r w:rsidR="00D8618A">
          <w:rPr>
            <w:noProof/>
            <w:webHidden/>
          </w:rPr>
          <w:tab/>
        </w:r>
        <w:r w:rsidR="00D8618A">
          <w:rPr>
            <w:noProof/>
            <w:webHidden/>
          </w:rPr>
          <w:fldChar w:fldCharType="begin"/>
        </w:r>
        <w:r w:rsidR="00D8618A">
          <w:rPr>
            <w:noProof/>
            <w:webHidden/>
          </w:rPr>
          <w:instrText xml:space="preserve"> PAGEREF _Toc28003763 \h </w:instrText>
        </w:r>
        <w:r w:rsidR="00D8618A">
          <w:rPr>
            <w:noProof/>
            <w:webHidden/>
          </w:rPr>
        </w:r>
        <w:r w:rsidR="00D8618A">
          <w:rPr>
            <w:noProof/>
            <w:webHidden/>
          </w:rPr>
          <w:fldChar w:fldCharType="separate"/>
        </w:r>
        <w:r w:rsidR="00554FB8">
          <w:rPr>
            <w:noProof/>
            <w:webHidden/>
          </w:rPr>
          <w:t>5</w:t>
        </w:r>
        <w:r w:rsidR="00D8618A">
          <w:rPr>
            <w:noProof/>
            <w:webHidden/>
          </w:rPr>
          <w:fldChar w:fldCharType="end"/>
        </w:r>
      </w:hyperlink>
    </w:p>
    <w:p w14:paraId="34FD1E0B" w14:textId="69DC83D6" w:rsidR="00D8618A" w:rsidRDefault="00556513">
      <w:pPr>
        <w:pStyle w:val="TOC2"/>
        <w:tabs>
          <w:tab w:val="left" w:pos="880"/>
          <w:tab w:val="right" w:leader="dot" w:pos="9060"/>
        </w:tabs>
        <w:rPr>
          <w:rFonts w:eastAsiaTheme="minorEastAsia" w:cstheme="minorBidi"/>
          <w:smallCaps w:val="0"/>
          <w:noProof/>
          <w:sz w:val="22"/>
          <w:szCs w:val="22"/>
          <w:lang w:eastAsia="en-GB" w:bidi="ar-SA"/>
        </w:rPr>
      </w:pPr>
      <w:hyperlink w:anchor="_Toc28003764" w:history="1">
        <w:r w:rsidR="00D8618A" w:rsidRPr="00B3793F">
          <w:rPr>
            <w:rStyle w:val="Hyperlink"/>
            <w:noProof/>
          </w:rPr>
          <w:t>2.2</w:t>
        </w:r>
        <w:r w:rsidR="00D8618A">
          <w:rPr>
            <w:rFonts w:eastAsiaTheme="minorEastAsia" w:cstheme="minorBidi"/>
            <w:smallCaps w:val="0"/>
            <w:noProof/>
            <w:sz w:val="22"/>
            <w:szCs w:val="22"/>
            <w:lang w:eastAsia="en-GB" w:bidi="ar-SA"/>
          </w:rPr>
          <w:tab/>
        </w:r>
        <w:r w:rsidR="00D8618A" w:rsidRPr="00B3793F">
          <w:rPr>
            <w:rStyle w:val="Hyperlink"/>
            <w:noProof/>
          </w:rPr>
          <w:t>Manufacturing process</w:t>
        </w:r>
        <w:r w:rsidR="00D8618A">
          <w:rPr>
            <w:noProof/>
            <w:webHidden/>
          </w:rPr>
          <w:tab/>
        </w:r>
        <w:r w:rsidR="00D8618A">
          <w:rPr>
            <w:noProof/>
            <w:webHidden/>
          </w:rPr>
          <w:fldChar w:fldCharType="begin"/>
        </w:r>
        <w:r w:rsidR="00D8618A">
          <w:rPr>
            <w:noProof/>
            <w:webHidden/>
          </w:rPr>
          <w:instrText xml:space="preserve"> PAGEREF _Toc28003764 \h </w:instrText>
        </w:r>
        <w:r w:rsidR="00D8618A">
          <w:rPr>
            <w:noProof/>
            <w:webHidden/>
          </w:rPr>
        </w:r>
        <w:r w:rsidR="00D8618A">
          <w:rPr>
            <w:noProof/>
            <w:webHidden/>
          </w:rPr>
          <w:fldChar w:fldCharType="separate"/>
        </w:r>
        <w:r w:rsidR="00554FB8">
          <w:rPr>
            <w:noProof/>
            <w:webHidden/>
          </w:rPr>
          <w:t>6</w:t>
        </w:r>
        <w:r w:rsidR="00D8618A">
          <w:rPr>
            <w:noProof/>
            <w:webHidden/>
          </w:rPr>
          <w:fldChar w:fldCharType="end"/>
        </w:r>
      </w:hyperlink>
    </w:p>
    <w:p w14:paraId="6D765101" w14:textId="146E2F94" w:rsidR="00D8618A" w:rsidRDefault="00556513">
      <w:pPr>
        <w:pStyle w:val="TOC3"/>
        <w:tabs>
          <w:tab w:val="left" w:pos="1100"/>
          <w:tab w:val="right" w:leader="dot" w:pos="9060"/>
        </w:tabs>
        <w:rPr>
          <w:rFonts w:eastAsiaTheme="minorEastAsia" w:cstheme="minorBidi"/>
          <w:i w:val="0"/>
          <w:iCs w:val="0"/>
          <w:noProof/>
          <w:sz w:val="22"/>
          <w:szCs w:val="22"/>
          <w:lang w:eastAsia="en-GB" w:bidi="ar-SA"/>
        </w:rPr>
      </w:pPr>
      <w:hyperlink w:anchor="_Toc28003765" w:history="1">
        <w:r w:rsidR="00D8618A" w:rsidRPr="00B3793F">
          <w:rPr>
            <w:rStyle w:val="Hyperlink"/>
            <w:noProof/>
          </w:rPr>
          <w:t>2.2.1</w:t>
        </w:r>
        <w:r w:rsidR="00D8618A">
          <w:rPr>
            <w:rFonts w:eastAsiaTheme="minorEastAsia" w:cstheme="minorBidi"/>
            <w:i w:val="0"/>
            <w:iCs w:val="0"/>
            <w:noProof/>
            <w:sz w:val="22"/>
            <w:szCs w:val="22"/>
            <w:lang w:eastAsia="en-GB" w:bidi="ar-SA"/>
          </w:rPr>
          <w:tab/>
        </w:r>
        <w:r w:rsidR="00D8618A" w:rsidRPr="00B3793F">
          <w:rPr>
            <w:rStyle w:val="Hyperlink"/>
            <w:noProof/>
          </w:rPr>
          <w:t>Production of the enzyme</w:t>
        </w:r>
        <w:r w:rsidR="00D8618A">
          <w:rPr>
            <w:noProof/>
            <w:webHidden/>
          </w:rPr>
          <w:tab/>
        </w:r>
        <w:r w:rsidR="00D8618A">
          <w:rPr>
            <w:noProof/>
            <w:webHidden/>
          </w:rPr>
          <w:fldChar w:fldCharType="begin"/>
        </w:r>
        <w:r w:rsidR="00D8618A">
          <w:rPr>
            <w:noProof/>
            <w:webHidden/>
          </w:rPr>
          <w:instrText xml:space="preserve"> PAGEREF _Toc28003765 \h </w:instrText>
        </w:r>
        <w:r w:rsidR="00D8618A">
          <w:rPr>
            <w:noProof/>
            <w:webHidden/>
          </w:rPr>
        </w:r>
        <w:r w:rsidR="00D8618A">
          <w:rPr>
            <w:noProof/>
            <w:webHidden/>
          </w:rPr>
          <w:fldChar w:fldCharType="separate"/>
        </w:r>
        <w:r w:rsidR="00554FB8">
          <w:rPr>
            <w:noProof/>
            <w:webHidden/>
          </w:rPr>
          <w:t>6</w:t>
        </w:r>
        <w:r w:rsidR="00D8618A">
          <w:rPr>
            <w:noProof/>
            <w:webHidden/>
          </w:rPr>
          <w:fldChar w:fldCharType="end"/>
        </w:r>
      </w:hyperlink>
    </w:p>
    <w:p w14:paraId="6F0E785D" w14:textId="4447F005" w:rsidR="00D8618A" w:rsidRDefault="00556513">
      <w:pPr>
        <w:pStyle w:val="TOC3"/>
        <w:tabs>
          <w:tab w:val="left" w:pos="1100"/>
          <w:tab w:val="right" w:leader="dot" w:pos="9060"/>
        </w:tabs>
        <w:rPr>
          <w:rFonts w:eastAsiaTheme="minorEastAsia" w:cstheme="minorBidi"/>
          <w:i w:val="0"/>
          <w:iCs w:val="0"/>
          <w:noProof/>
          <w:sz w:val="22"/>
          <w:szCs w:val="22"/>
          <w:lang w:eastAsia="en-GB" w:bidi="ar-SA"/>
        </w:rPr>
      </w:pPr>
      <w:hyperlink w:anchor="_Toc28003766" w:history="1">
        <w:r w:rsidR="00D8618A" w:rsidRPr="00B3793F">
          <w:rPr>
            <w:rStyle w:val="Hyperlink"/>
            <w:noProof/>
          </w:rPr>
          <w:t>2.2.2</w:t>
        </w:r>
        <w:r w:rsidR="00D8618A">
          <w:rPr>
            <w:rFonts w:eastAsiaTheme="minorEastAsia" w:cstheme="minorBidi"/>
            <w:i w:val="0"/>
            <w:iCs w:val="0"/>
            <w:noProof/>
            <w:sz w:val="22"/>
            <w:szCs w:val="22"/>
            <w:lang w:eastAsia="en-GB" w:bidi="ar-SA"/>
          </w:rPr>
          <w:tab/>
        </w:r>
        <w:r w:rsidR="00D8618A" w:rsidRPr="00B3793F">
          <w:rPr>
            <w:rStyle w:val="Hyperlink"/>
            <w:noProof/>
          </w:rPr>
          <w:t>Allergen considerations</w:t>
        </w:r>
        <w:r w:rsidR="00D8618A">
          <w:rPr>
            <w:noProof/>
            <w:webHidden/>
          </w:rPr>
          <w:tab/>
        </w:r>
        <w:r w:rsidR="00D8618A">
          <w:rPr>
            <w:noProof/>
            <w:webHidden/>
          </w:rPr>
          <w:fldChar w:fldCharType="begin"/>
        </w:r>
        <w:r w:rsidR="00D8618A">
          <w:rPr>
            <w:noProof/>
            <w:webHidden/>
          </w:rPr>
          <w:instrText xml:space="preserve"> PAGEREF _Toc28003766 \h </w:instrText>
        </w:r>
        <w:r w:rsidR="00D8618A">
          <w:rPr>
            <w:noProof/>
            <w:webHidden/>
          </w:rPr>
        </w:r>
        <w:r w:rsidR="00D8618A">
          <w:rPr>
            <w:noProof/>
            <w:webHidden/>
          </w:rPr>
          <w:fldChar w:fldCharType="separate"/>
        </w:r>
        <w:r w:rsidR="00554FB8">
          <w:rPr>
            <w:noProof/>
            <w:webHidden/>
          </w:rPr>
          <w:t>6</w:t>
        </w:r>
        <w:r w:rsidR="00D8618A">
          <w:rPr>
            <w:noProof/>
            <w:webHidden/>
          </w:rPr>
          <w:fldChar w:fldCharType="end"/>
        </w:r>
      </w:hyperlink>
    </w:p>
    <w:p w14:paraId="192C824C" w14:textId="229CCF12" w:rsidR="00D8618A" w:rsidRDefault="00556513">
      <w:pPr>
        <w:pStyle w:val="TOC3"/>
        <w:tabs>
          <w:tab w:val="left" w:pos="1100"/>
          <w:tab w:val="right" w:leader="dot" w:pos="9060"/>
        </w:tabs>
        <w:rPr>
          <w:rFonts w:eastAsiaTheme="minorEastAsia" w:cstheme="minorBidi"/>
          <w:i w:val="0"/>
          <w:iCs w:val="0"/>
          <w:noProof/>
          <w:sz w:val="22"/>
          <w:szCs w:val="22"/>
          <w:lang w:eastAsia="en-GB" w:bidi="ar-SA"/>
        </w:rPr>
      </w:pPr>
      <w:hyperlink w:anchor="_Toc28003767" w:history="1">
        <w:r w:rsidR="00D8618A" w:rsidRPr="00B3793F">
          <w:rPr>
            <w:rStyle w:val="Hyperlink"/>
            <w:noProof/>
          </w:rPr>
          <w:t>2.2.3</w:t>
        </w:r>
        <w:r w:rsidR="00D8618A">
          <w:rPr>
            <w:rFonts w:eastAsiaTheme="minorEastAsia" w:cstheme="minorBidi"/>
            <w:i w:val="0"/>
            <w:iCs w:val="0"/>
            <w:noProof/>
            <w:sz w:val="22"/>
            <w:szCs w:val="22"/>
            <w:lang w:eastAsia="en-GB" w:bidi="ar-SA"/>
          </w:rPr>
          <w:tab/>
        </w:r>
        <w:r w:rsidR="00D8618A" w:rsidRPr="00B3793F">
          <w:rPr>
            <w:rStyle w:val="Hyperlink"/>
            <w:noProof/>
          </w:rPr>
          <w:t>Specifications</w:t>
        </w:r>
        <w:r w:rsidR="00D8618A">
          <w:rPr>
            <w:noProof/>
            <w:webHidden/>
          </w:rPr>
          <w:tab/>
        </w:r>
        <w:r w:rsidR="00D8618A">
          <w:rPr>
            <w:noProof/>
            <w:webHidden/>
          </w:rPr>
          <w:fldChar w:fldCharType="begin"/>
        </w:r>
        <w:r w:rsidR="00D8618A">
          <w:rPr>
            <w:noProof/>
            <w:webHidden/>
          </w:rPr>
          <w:instrText xml:space="preserve"> PAGEREF _Toc28003767 \h </w:instrText>
        </w:r>
        <w:r w:rsidR="00D8618A">
          <w:rPr>
            <w:noProof/>
            <w:webHidden/>
          </w:rPr>
        </w:r>
        <w:r w:rsidR="00D8618A">
          <w:rPr>
            <w:noProof/>
            <w:webHidden/>
          </w:rPr>
          <w:fldChar w:fldCharType="separate"/>
        </w:r>
        <w:r w:rsidR="00554FB8">
          <w:rPr>
            <w:noProof/>
            <w:webHidden/>
          </w:rPr>
          <w:t>7</w:t>
        </w:r>
        <w:r w:rsidR="00D8618A">
          <w:rPr>
            <w:noProof/>
            <w:webHidden/>
          </w:rPr>
          <w:fldChar w:fldCharType="end"/>
        </w:r>
      </w:hyperlink>
    </w:p>
    <w:p w14:paraId="5B8F507C" w14:textId="0EEB5A9E" w:rsidR="00D8618A" w:rsidRDefault="00556513">
      <w:pPr>
        <w:pStyle w:val="TOC2"/>
        <w:tabs>
          <w:tab w:val="left" w:pos="880"/>
          <w:tab w:val="right" w:leader="dot" w:pos="9060"/>
        </w:tabs>
        <w:rPr>
          <w:rFonts w:eastAsiaTheme="minorEastAsia" w:cstheme="minorBidi"/>
          <w:smallCaps w:val="0"/>
          <w:noProof/>
          <w:sz w:val="22"/>
          <w:szCs w:val="22"/>
          <w:lang w:eastAsia="en-GB" w:bidi="ar-SA"/>
        </w:rPr>
      </w:pPr>
      <w:hyperlink w:anchor="_Toc28003768" w:history="1">
        <w:r w:rsidR="00D8618A" w:rsidRPr="00B3793F">
          <w:rPr>
            <w:rStyle w:val="Hyperlink"/>
            <w:noProof/>
          </w:rPr>
          <w:t>2.3</w:t>
        </w:r>
        <w:r w:rsidR="00D8618A">
          <w:rPr>
            <w:rFonts w:eastAsiaTheme="minorEastAsia" w:cstheme="minorBidi"/>
            <w:smallCaps w:val="0"/>
            <w:noProof/>
            <w:sz w:val="22"/>
            <w:szCs w:val="22"/>
            <w:lang w:eastAsia="en-GB" w:bidi="ar-SA"/>
          </w:rPr>
          <w:tab/>
        </w:r>
        <w:r w:rsidR="00D8618A" w:rsidRPr="00B3793F">
          <w:rPr>
            <w:rStyle w:val="Hyperlink"/>
            <w:noProof/>
          </w:rPr>
          <w:t>Food technology conclusion</w:t>
        </w:r>
        <w:r w:rsidR="00D8618A">
          <w:rPr>
            <w:noProof/>
            <w:webHidden/>
          </w:rPr>
          <w:tab/>
        </w:r>
        <w:r w:rsidR="00D8618A">
          <w:rPr>
            <w:noProof/>
            <w:webHidden/>
          </w:rPr>
          <w:fldChar w:fldCharType="begin"/>
        </w:r>
        <w:r w:rsidR="00D8618A">
          <w:rPr>
            <w:noProof/>
            <w:webHidden/>
          </w:rPr>
          <w:instrText xml:space="preserve"> PAGEREF _Toc28003768 \h </w:instrText>
        </w:r>
        <w:r w:rsidR="00D8618A">
          <w:rPr>
            <w:noProof/>
            <w:webHidden/>
          </w:rPr>
        </w:r>
        <w:r w:rsidR="00D8618A">
          <w:rPr>
            <w:noProof/>
            <w:webHidden/>
          </w:rPr>
          <w:fldChar w:fldCharType="separate"/>
        </w:r>
        <w:r w:rsidR="00554FB8">
          <w:rPr>
            <w:noProof/>
            <w:webHidden/>
          </w:rPr>
          <w:t>7</w:t>
        </w:r>
        <w:r w:rsidR="00D8618A">
          <w:rPr>
            <w:noProof/>
            <w:webHidden/>
          </w:rPr>
          <w:fldChar w:fldCharType="end"/>
        </w:r>
      </w:hyperlink>
    </w:p>
    <w:p w14:paraId="240F8BB3" w14:textId="4D93C49F" w:rsidR="00D8618A" w:rsidRDefault="00556513">
      <w:pPr>
        <w:pStyle w:val="TOC1"/>
        <w:tabs>
          <w:tab w:val="right" w:leader="dot" w:pos="9060"/>
        </w:tabs>
        <w:rPr>
          <w:rFonts w:eastAsiaTheme="minorEastAsia" w:cstheme="minorBidi"/>
          <w:b w:val="0"/>
          <w:bCs w:val="0"/>
          <w:caps w:val="0"/>
          <w:noProof/>
          <w:sz w:val="22"/>
          <w:szCs w:val="22"/>
          <w:lang w:eastAsia="en-GB" w:bidi="ar-SA"/>
        </w:rPr>
      </w:pPr>
      <w:hyperlink w:anchor="_Toc28003769" w:history="1">
        <w:r w:rsidR="00D8618A" w:rsidRPr="00B3793F">
          <w:rPr>
            <w:rStyle w:val="Hyperlink"/>
            <w:noProof/>
          </w:rPr>
          <w:t>3 Safety assessment</w:t>
        </w:r>
        <w:r w:rsidR="00D8618A">
          <w:rPr>
            <w:noProof/>
            <w:webHidden/>
          </w:rPr>
          <w:tab/>
        </w:r>
        <w:r w:rsidR="00D8618A">
          <w:rPr>
            <w:noProof/>
            <w:webHidden/>
          </w:rPr>
          <w:fldChar w:fldCharType="begin"/>
        </w:r>
        <w:r w:rsidR="00D8618A">
          <w:rPr>
            <w:noProof/>
            <w:webHidden/>
          </w:rPr>
          <w:instrText xml:space="preserve"> PAGEREF _Toc28003769 \h </w:instrText>
        </w:r>
        <w:r w:rsidR="00D8618A">
          <w:rPr>
            <w:noProof/>
            <w:webHidden/>
          </w:rPr>
        </w:r>
        <w:r w:rsidR="00D8618A">
          <w:rPr>
            <w:noProof/>
            <w:webHidden/>
          </w:rPr>
          <w:fldChar w:fldCharType="separate"/>
        </w:r>
        <w:r w:rsidR="00554FB8">
          <w:rPr>
            <w:noProof/>
            <w:webHidden/>
          </w:rPr>
          <w:t>8</w:t>
        </w:r>
        <w:r w:rsidR="00D8618A">
          <w:rPr>
            <w:noProof/>
            <w:webHidden/>
          </w:rPr>
          <w:fldChar w:fldCharType="end"/>
        </w:r>
      </w:hyperlink>
    </w:p>
    <w:p w14:paraId="036F2607" w14:textId="05124276" w:rsidR="00D8618A" w:rsidRDefault="00556513">
      <w:pPr>
        <w:pStyle w:val="TOC2"/>
        <w:tabs>
          <w:tab w:val="left" w:pos="880"/>
          <w:tab w:val="right" w:leader="dot" w:pos="9060"/>
        </w:tabs>
        <w:rPr>
          <w:rFonts w:eastAsiaTheme="minorEastAsia" w:cstheme="minorBidi"/>
          <w:smallCaps w:val="0"/>
          <w:noProof/>
          <w:sz w:val="22"/>
          <w:szCs w:val="22"/>
          <w:lang w:eastAsia="en-GB" w:bidi="ar-SA"/>
        </w:rPr>
      </w:pPr>
      <w:hyperlink w:anchor="_Toc28003770" w:history="1">
        <w:r w:rsidR="00D8618A" w:rsidRPr="00B3793F">
          <w:rPr>
            <w:rStyle w:val="Hyperlink"/>
            <w:noProof/>
          </w:rPr>
          <w:t>3.1</w:t>
        </w:r>
        <w:r w:rsidR="00D8618A">
          <w:rPr>
            <w:rFonts w:eastAsiaTheme="minorEastAsia" w:cstheme="minorBidi"/>
            <w:smallCaps w:val="0"/>
            <w:noProof/>
            <w:sz w:val="22"/>
            <w:szCs w:val="22"/>
            <w:lang w:eastAsia="en-GB" w:bidi="ar-SA"/>
          </w:rPr>
          <w:tab/>
        </w:r>
        <w:r w:rsidR="00D8618A" w:rsidRPr="00B3793F">
          <w:rPr>
            <w:rStyle w:val="Hyperlink"/>
            <w:noProof/>
          </w:rPr>
          <w:t>History of use</w:t>
        </w:r>
        <w:r w:rsidR="00D8618A">
          <w:rPr>
            <w:noProof/>
            <w:webHidden/>
          </w:rPr>
          <w:tab/>
        </w:r>
        <w:r w:rsidR="00D8618A">
          <w:rPr>
            <w:noProof/>
            <w:webHidden/>
          </w:rPr>
          <w:fldChar w:fldCharType="begin"/>
        </w:r>
        <w:r w:rsidR="00D8618A">
          <w:rPr>
            <w:noProof/>
            <w:webHidden/>
          </w:rPr>
          <w:instrText xml:space="preserve"> PAGEREF _Toc28003770 \h </w:instrText>
        </w:r>
        <w:r w:rsidR="00D8618A">
          <w:rPr>
            <w:noProof/>
            <w:webHidden/>
          </w:rPr>
        </w:r>
        <w:r w:rsidR="00D8618A">
          <w:rPr>
            <w:noProof/>
            <w:webHidden/>
          </w:rPr>
          <w:fldChar w:fldCharType="separate"/>
        </w:r>
        <w:r w:rsidR="00554FB8">
          <w:rPr>
            <w:noProof/>
            <w:webHidden/>
          </w:rPr>
          <w:t>8</w:t>
        </w:r>
        <w:r w:rsidR="00D8618A">
          <w:rPr>
            <w:noProof/>
            <w:webHidden/>
          </w:rPr>
          <w:fldChar w:fldCharType="end"/>
        </w:r>
      </w:hyperlink>
    </w:p>
    <w:p w14:paraId="5A127F68" w14:textId="4A95F932" w:rsidR="00D8618A" w:rsidRDefault="00556513">
      <w:pPr>
        <w:pStyle w:val="TOC3"/>
        <w:tabs>
          <w:tab w:val="left" w:pos="1100"/>
          <w:tab w:val="right" w:leader="dot" w:pos="9060"/>
        </w:tabs>
        <w:rPr>
          <w:rFonts w:eastAsiaTheme="minorEastAsia" w:cstheme="minorBidi"/>
          <w:i w:val="0"/>
          <w:iCs w:val="0"/>
          <w:noProof/>
          <w:sz w:val="22"/>
          <w:szCs w:val="22"/>
          <w:lang w:eastAsia="en-GB" w:bidi="ar-SA"/>
        </w:rPr>
      </w:pPr>
      <w:hyperlink w:anchor="_Toc28003771" w:history="1">
        <w:r w:rsidR="00D8618A" w:rsidRPr="00B3793F">
          <w:rPr>
            <w:rStyle w:val="Hyperlink"/>
            <w:noProof/>
          </w:rPr>
          <w:t>3.1.1</w:t>
        </w:r>
        <w:r w:rsidR="00D8618A">
          <w:rPr>
            <w:rFonts w:eastAsiaTheme="minorEastAsia" w:cstheme="minorBidi"/>
            <w:i w:val="0"/>
            <w:iCs w:val="0"/>
            <w:noProof/>
            <w:sz w:val="22"/>
            <w:szCs w:val="22"/>
            <w:lang w:eastAsia="en-GB" w:bidi="ar-SA"/>
          </w:rPr>
          <w:tab/>
        </w:r>
        <w:r w:rsidR="00D8618A" w:rsidRPr="00B3793F">
          <w:rPr>
            <w:rStyle w:val="Hyperlink"/>
            <w:noProof/>
          </w:rPr>
          <w:t>Host organism</w:t>
        </w:r>
        <w:r w:rsidR="00D8618A">
          <w:rPr>
            <w:noProof/>
            <w:webHidden/>
          </w:rPr>
          <w:tab/>
        </w:r>
        <w:r w:rsidR="00D8618A">
          <w:rPr>
            <w:noProof/>
            <w:webHidden/>
          </w:rPr>
          <w:fldChar w:fldCharType="begin"/>
        </w:r>
        <w:r w:rsidR="00D8618A">
          <w:rPr>
            <w:noProof/>
            <w:webHidden/>
          </w:rPr>
          <w:instrText xml:space="preserve"> PAGEREF _Toc28003771 \h </w:instrText>
        </w:r>
        <w:r w:rsidR="00D8618A">
          <w:rPr>
            <w:noProof/>
            <w:webHidden/>
          </w:rPr>
        </w:r>
        <w:r w:rsidR="00D8618A">
          <w:rPr>
            <w:noProof/>
            <w:webHidden/>
          </w:rPr>
          <w:fldChar w:fldCharType="separate"/>
        </w:r>
        <w:r w:rsidR="00554FB8">
          <w:rPr>
            <w:noProof/>
            <w:webHidden/>
          </w:rPr>
          <w:t>8</w:t>
        </w:r>
        <w:r w:rsidR="00D8618A">
          <w:rPr>
            <w:noProof/>
            <w:webHidden/>
          </w:rPr>
          <w:fldChar w:fldCharType="end"/>
        </w:r>
      </w:hyperlink>
    </w:p>
    <w:p w14:paraId="12AEA0B6" w14:textId="5E9872F1" w:rsidR="00D8618A" w:rsidRDefault="00556513">
      <w:pPr>
        <w:pStyle w:val="TOC3"/>
        <w:tabs>
          <w:tab w:val="left" w:pos="1100"/>
          <w:tab w:val="right" w:leader="dot" w:pos="9060"/>
        </w:tabs>
        <w:rPr>
          <w:rFonts w:eastAsiaTheme="minorEastAsia" w:cstheme="minorBidi"/>
          <w:i w:val="0"/>
          <w:iCs w:val="0"/>
          <w:noProof/>
          <w:sz w:val="22"/>
          <w:szCs w:val="22"/>
          <w:lang w:eastAsia="en-GB" w:bidi="ar-SA"/>
        </w:rPr>
      </w:pPr>
      <w:hyperlink w:anchor="_Toc28003772" w:history="1">
        <w:r w:rsidR="00D8618A" w:rsidRPr="00B3793F">
          <w:rPr>
            <w:rStyle w:val="Hyperlink"/>
            <w:noProof/>
          </w:rPr>
          <w:t>3.1.2</w:t>
        </w:r>
        <w:r w:rsidR="00D8618A">
          <w:rPr>
            <w:rFonts w:eastAsiaTheme="minorEastAsia" w:cstheme="minorBidi"/>
            <w:i w:val="0"/>
            <w:iCs w:val="0"/>
            <w:noProof/>
            <w:sz w:val="22"/>
            <w:szCs w:val="22"/>
            <w:lang w:eastAsia="en-GB" w:bidi="ar-SA"/>
          </w:rPr>
          <w:tab/>
        </w:r>
        <w:r w:rsidR="00D8618A" w:rsidRPr="00B3793F">
          <w:rPr>
            <w:rStyle w:val="Hyperlink"/>
            <w:noProof/>
          </w:rPr>
          <w:t>Gene donor organisms</w:t>
        </w:r>
        <w:r w:rsidR="00D8618A">
          <w:rPr>
            <w:noProof/>
            <w:webHidden/>
          </w:rPr>
          <w:tab/>
        </w:r>
        <w:r w:rsidR="00D8618A">
          <w:rPr>
            <w:noProof/>
            <w:webHidden/>
          </w:rPr>
          <w:fldChar w:fldCharType="begin"/>
        </w:r>
        <w:r w:rsidR="00D8618A">
          <w:rPr>
            <w:noProof/>
            <w:webHidden/>
          </w:rPr>
          <w:instrText xml:space="preserve"> PAGEREF _Toc28003772 \h </w:instrText>
        </w:r>
        <w:r w:rsidR="00D8618A">
          <w:rPr>
            <w:noProof/>
            <w:webHidden/>
          </w:rPr>
        </w:r>
        <w:r w:rsidR="00D8618A">
          <w:rPr>
            <w:noProof/>
            <w:webHidden/>
          </w:rPr>
          <w:fldChar w:fldCharType="separate"/>
        </w:r>
        <w:r w:rsidR="00554FB8">
          <w:rPr>
            <w:noProof/>
            <w:webHidden/>
          </w:rPr>
          <w:t>8</w:t>
        </w:r>
        <w:r w:rsidR="00D8618A">
          <w:rPr>
            <w:noProof/>
            <w:webHidden/>
          </w:rPr>
          <w:fldChar w:fldCharType="end"/>
        </w:r>
      </w:hyperlink>
    </w:p>
    <w:p w14:paraId="5058171F" w14:textId="21831AA3" w:rsidR="00D8618A" w:rsidRDefault="00556513">
      <w:pPr>
        <w:pStyle w:val="TOC2"/>
        <w:tabs>
          <w:tab w:val="left" w:pos="880"/>
          <w:tab w:val="right" w:leader="dot" w:pos="9060"/>
        </w:tabs>
        <w:rPr>
          <w:rFonts w:eastAsiaTheme="minorEastAsia" w:cstheme="minorBidi"/>
          <w:smallCaps w:val="0"/>
          <w:noProof/>
          <w:sz w:val="22"/>
          <w:szCs w:val="22"/>
          <w:lang w:eastAsia="en-GB" w:bidi="ar-SA"/>
        </w:rPr>
      </w:pPr>
      <w:hyperlink w:anchor="_Toc28003773" w:history="1">
        <w:r w:rsidR="00D8618A" w:rsidRPr="00B3793F">
          <w:rPr>
            <w:rStyle w:val="Hyperlink"/>
            <w:noProof/>
          </w:rPr>
          <w:t>3.2</w:t>
        </w:r>
        <w:r w:rsidR="00D8618A">
          <w:rPr>
            <w:rFonts w:eastAsiaTheme="minorEastAsia" w:cstheme="minorBidi"/>
            <w:smallCaps w:val="0"/>
            <w:noProof/>
            <w:sz w:val="22"/>
            <w:szCs w:val="22"/>
            <w:lang w:eastAsia="en-GB" w:bidi="ar-SA"/>
          </w:rPr>
          <w:tab/>
        </w:r>
        <w:r w:rsidR="00D8618A" w:rsidRPr="00B3793F">
          <w:rPr>
            <w:rStyle w:val="Hyperlink"/>
            <w:noProof/>
          </w:rPr>
          <w:t>Characterisation of the genetic modification(s)</w:t>
        </w:r>
        <w:r w:rsidR="00D8618A">
          <w:rPr>
            <w:noProof/>
            <w:webHidden/>
          </w:rPr>
          <w:tab/>
        </w:r>
        <w:r w:rsidR="00D8618A">
          <w:rPr>
            <w:noProof/>
            <w:webHidden/>
          </w:rPr>
          <w:fldChar w:fldCharType="begin"/>
        </w:r>
        <w:r w:rsidR="00D8618A">
          <w:rPr>
            <w:noProof/>
            <w:webHidden/>
          </w:rPr>
          <w:instrText xml:space="preserve"> PAGEREF _Toc28003773 \h </w:instrText>
        </w:r>
        <w:r w:rsidR="00D8618A">
          <w:rPr>
            <w:noProof/>
            <w:webHidden/>
          </w:rPr>
        </w:r>
        <w:r w:rsidR="00D8618A">
          <w:rPr>
            <w:noProof/>
            <w:webHidden/>
          </w:rPr>
          <w:fldChar w:fldCharType="separate"/>
        </w:r>
        <w:r w:rsidR="00554FB8">
          <w:rPr>
            <w:noProof/>
            <w:webHidden/>
          </w:rPr>
          <w:t>9</w:t>
        </w:r>
        <w:r w:rsidR="00D8618A">
          <w:rPr>
            <w:noProof/>
            <w:webHidden/>
          </w:rPr>
          <w:fldChar w:fldCharType="end"/>
        </w:r>
      </w:hyperlink>
    </w:p>
    <w:p w14:paraId="5E7BD228" w14:textId="577904FD" w:rsidR="00D8618A" w:rsidRDefault="00556513">
      <w:pPr>
        <w:pStyle w:val="TOC3"/>
        <w:tabs>
          <w:tab w:val="left" w:pos="1100"/>
          <w:tab w:val="right" w:leader="dot" w:pos="9060"/>
        </w:tabs>
        <w:rPr>
          <w:rFonts w:eastAsiaTheme="minorEastAsia" w:cstheme="minorBidi"/>
          <w:i w:val="0"/>
          <w:iCs w:val="0"/>
          <w:noProof/>
          <w:sz w:val="22"/>
          <w:szCs w:val="22"/>
          <w:lang w:eastAsia="en-GB" w:bidi="ar-SA"/>
        </w:rPr>
      </w:pPr>
      <w:hyperlink w:anchor="_Toc28003774" w:history="1">
        <w:r w:rsidR="00D8618A" w:rsidRPr="00B3793F">
          <w:rPr>
            <w:rStyle w:val="Hyperlink"/>
            <w:noProof/>
          </w:rPr>
          <w:t>3.2.1</w:t>
        </w:r>
        <w:r w:rsidR="00D8618A">
          <w:rPr>
            <w:rFonts w:eastAsiaTheme="minorEastAsia" w:cstheme="minorBidi"/>
            <w:i w:val="0"/>
            <w:iCs w:val="0"/>
            <w:noProof/>
            <w:sz w:val="22"/>
            <w:szCs w:val="22"/>
            <w:lang w:eastAsia="en-GB" w:bidi="ar-SA"/>
          </w:rPr>
          <w:tab/>
        </w:r>
        <w:r w:rsidR="00D8618A" w:rsidRPr="00B3793F">
          <w:rPr>
            <w:rStyle w:val="Hyperlink"/>
            <w:noProof/>
          </w:rPr>
          <w:t>Description of DNA to be introduced and method of transformation</w:t>
        </w:r>
        <w:r w:rsidR="00D8618A">
          <w:rPr>
            <w:noProof/>
            <w:webHidden/>
          </w:rPr>
          <w:tab/>
        </w:r>
        <w:r w:rsidR="00D8618A">
          <w:rPr>
            <w:noProof/>
            <w:webHidden/>
          </w:rPr>
          <w:fldChar w:fldCharType="begin"/>
        </w:r>
        <w:r w:rsidR="00D8618A">
          <w:rPr>
            <w:noProof/>
            <w:webHidden/>
          </w:rPr>
          <w:instrText xml:space="preserve"> PAGEREF _Toc28003774 \h </w:instrText>
        </w:r>
        <w:r w:rsidR="00D8618A">
          <w:rPr>
            <w:noProof/>
            <w:webHidden/>
          </w:rPr>
        </w:r>
        <w:r w:rsidR="00D8618A">
          <w:rPr>
            <w:noProof/>
            <w:webHidden/>
          </w:rPr>
          <w:fldChar w:fldCharType="separate"/>
        </w:r>
        <w:r w:rsidR="00554FB8">
          <w:rPr>
            <w:noProof/>
            <w:webHidden/>
          </w:rPr>
          <w:t>9</w:t>
        </w:r>
        <w:r w:rsidR="00D8618A">
          <w:rPr>
            <w:noProof/>
            <w:webHidden/>
          </w:rPr>
          <w:fldChar w:fldCharType="end"/>
        </w:r>
      </w:hyperlink>
    </w:p>
    <w:p w14:paraId="4F3A36D3" w14:textId="1D665619" w:rsidR="00D8618A" w:rsidRDefault="00556513">
      <w:pPr>
        <w:pStyle w:val="TOC3"/>
        <w:tabs>
          <w:tab w:val="left" w:pos="1100"/>
          <w:tab w:val="right" w:leader="dot" w:pos="9060"/>
        </w:tabs>
        <w:rPr>
          <w:rFonts w:eastAsiaTheme="minorEastAsia" w:cstheme="minorBidi"/>
          <w:i w:val="0"/>
          <w:iCs w:val="0"/>
          <w:noProof/>
          <w:sz w:val="22"/>
          <w:szCs w:val="22"/>
          <w:lang w:eastAsia="en-GB" w:bidi="ar-SA"/>
        </w:rPr>
      </w:pPr>
      <w:hyperlink w:anchor="_Toc28003775" w:history="1">
        <w:r w:rsidR="00D8618A" w:rsidRPr="00B3793F">
          <w:rPr>
            <w:rStyle w:val="Hyperlink"/>
            <w:noProof/>
          </w:rPr>
          <w:t>3.2.2</w:t>
        </w:r>
        <w:r w:rsidR="00D8618A">
          <w:rPr>
            <w:rFonts w:eastAsiaTheme="minorEastAsia" w:cstheme="minorBidi"/>
            <w:i w:val="0"/>
            <w:iCs w:val="0"/>
            <w:noProof/>
            <w:sz w:val="22"/>
            <w:szCs w:val="22"/>
            <w:lang w:eastAsia="en-GB" w:bidi="ar-SA"/>
          </w:rPr>
          <w:tab/>
        </w:r>
        <w:r w:rsidR="00D8618A" w:rsidRPr="00B3793F">
          <w:rPr>
            <w:rStyle w:val="Hyperlink"/>
            <w:noProof/>
          </w:rPr>
          <w:t>Characterisation of the inserted DNA</w:t>
        </w:r>
        <w:r w:rsidR="00D8618A">
          <w:rPr>
            <w:noProof/>
            <w:webHidden/>
          </w:rPr>
          <w:tab/>
        </w:r>
        <w:r w:rsidR="00D8618A">
          <w:rPr>
            <w:noProof/>
            <w:webHidden/>
          </w:rPr>
          <w:fldChar w:fldCharType="begin"/>
        </w:r>
        <w:r w:rsidR="00D8618A">
          <w:rPr>
            <w:noProof/>
            <w:webHidden/>
          </w:rPr>
          <w:instrText xml:space="preserve"> PAGEREF _Toc28003775 \h </w:instrText>
        </w:r>
        <w:r w:rsidR="00D8618A">
          <w:rPr>
            <w:noProof/>
            <w:webHidden/>
          </w:rPr>
        </w:r>
        <w:r w:rsidR="00D8618A">
          <w:rPr>
            <w:noProof/>
            <w:webHidden/>
          </w:rPr>
          <w:fldChar w:fldCharType="separate"/>
        </w:r>
        <w:r w:rsidR="00554FB8">
          <w:rPr>
            <w:noProof/>
            <w:webHidden/>
          </w:rPr>
          <w:t>9</w:t>
        </w:r>
        <w:r w:rsidR="00D8618A">
          <w:rPr>
            <w:noProof/>
            <w:webHidden/>
          </w:rPr>
          <w:fldChar w:fldCharType="end"/>
        </w:r>
      </w:hyperlink>
    </w:p>
    <w:p w14:paraId="075624E2" w14:textId="20D5F489" w:rsidR="00D8618A" w:rsidRDefault="00556513">
      <w:pPr>
        <w:pStyle w:val="TOC3"/>
        <w:tabs>
          <w:tab w:val="left" w:pos="1100"/>
          <w:tab w:val="right" w:leader="dot" w:pos="9060"/>
        </w:tabs>
        <w:rPr>
          <w:rFonts w:eastAsiaTheme="minorEastAsia" w:cstheme="minorBidi"/>
          <w:i w:val="0"/>
          <w:iCs w:val="0"/>
          <w:noProof/>
          <w:sz w:val="22"/>
          <w:szCs w:val="22"/>
          <w:lang w:eastAsia="en-GB" w:bidi="ar-SA"/>
        </w:rPr>
      </w:pPr>
      <w:hyperlink w:anchor="_Toc28003776" w:history="1">
        <w:r w:rsidR="00D8618A" w:rsidRPr="00B3793F">
          <w:rPr>
            <w:rStyle w:val="Hyperlink"/>
            <w:noProof/>
          </w:rPr>
          <w:t>3.2.3</w:t>
        </w:r>
        <w:r w:rsidR="00D8618A">
          <w:rPr>
            <w:rFonts w:eastAsiaTheme="minorEastAsia" w:cstheme="minorBidi"/>
            <w:i w:val="0"/>
            <w:iCs w:val="0"/>
            <w:noProof/>
            <w:sz w:val="22"/>
            <w:szCs w:val="22"/>
            <w:lang w:eastAsia="en-GB" w:bidi="ar-SA"/>
          </w:rPr>
          <w:tab/>
        </w:r>
        <w:r w:rsidR="00D8618A" w:rsidRPr="00B3793F">
          <w:rPr>
            <w:rStyle w:val="Hyperlink"/>
            <w:noProof/>
          </w:rPr>
          <w:t>Stability of the production organisms and inheritance of the introduced DNA</w:t>
        </w:r>
        <w:r w:rsidR="00D8618A">
          <w:rPr>
            <w:noProof/>
            <w:webHidden/>
          </w:rPr>
          <w:tab/>
        </w:r>
        <w:r w:rsidR="00D8618A">
          <w:rPr>
            <w:noProof/>
            <w:webHidden/>
          </w:rPr>
          <w:fldChar w:fldCharType="begin"/>
        </w:r>
        <w:r w:rsidR="00D8618A">
          <w:rPr>
            <w:noProof/>
            <w:webHidden/>
          </w:rPr>
          <w:instrText xml:space="preserve"> PAGEREF _Toc28003776 \h </w:instrText>
        </w:r>
        <w:r w:rsidR="00D8618A">
          <w:rPr>
            <w:noProof/>
            <w:webHidden/>
          </w:rPr>
        </w:r>
        <w:r w:rsidR="00D8618A">
          <w:rPr>
            <w:noProof/>
            <w:webHidden/>
          </w:rPr>
          <w:fldChar w:fldCharType="separate"/>
        </w:r>
        <w:r w:rsidR="00554FB8">
          <w:rPr>
            <w:noProof/>
            <w:webHidden/>
          </w:rPr>
          <w:t>9</w:t>
        </w:r>
        <w:r w:rsidR="00D8618A">
          <w:rPr>
            <w:noProof/>
            <w:webHidden/>
          </w:rPr>
          <w:fldChar w:fldCharType="end"/>
        </w:r>
      </w:hyperlink>
    </w:p>
    <w:p w14:paraId="0ED1989E" w14:textId="57F3289B" w:rsidR="00D8618A" w:rsidRDefault="00556513">
      <w:pPr>
        <w:pStyle w:val="TOC2"/>
        <w:tabs>
          <w:tab w:val="left" w:pos="880"/>
          <w:tab w:val="right" w:leader="dot" w:pos="9060"/>
        </w:tabs>
        <w:rPr>
          <w:rFonts w:eastAsiaTheme="minorEastAsia" w:cstheme="minorBidi"/>
          <w:smallCaps w:val="0"/>
          <w:noProof/>
          <w:sz w:val="22"/>
          <w:szCs w:val="22"/>
          <w:lang w:eastAsia="en-GB" w:bidi="ar-SA"/>
        </w:rPr>
      </w:pPr>
      <w:hyperlink w:anchor="_Toc28003777" w:history="1">
        <w:r w:rsidR="00D8618A" w:rsidRPr="00B3793F">
          <w:rPr>
            <w:rStyle w:val="Hyperlink"/>
            <w:noProof/>
          </w:rPr>
          <w:t>3.3</w:t>
        </w:r>
        <w:r w:rsidR="00D8618A">
          <w:rPr>
            <w:rFonts w:eastAsiaTheme="minorEastAsia" w:cstheme="minorBidi"/>
            <w:smallCaps w:val="0"/>
            <w:noProof/>
            <w:sz w:val="22"/>
            <w:szCs w:val="22"/>
            <w:lang w:eastAsia="en-GB" w:bidi="ar-SA"/>
          </w:rPr>
          <w:tab/>
        </w:r>
        <w:r w:rsidR="00D8618A" w:rsidRPr="00B3793F">
          <w:rPr>
            <w:rStyle w:val="Hyperlink"/>
            <w:noProof/>
          </w:rPr>
          <w:t>Safety of glucoamylase</w:t>
        </w:r>
        <w:r w:rsidR="00D8618A">
          <w:rPr>
            <w:noProof/>
            <w:webHidden/>
          </w:rPr>
          <w:tab/>
        </w:r>
        <w:r w:rsidR="00D8618A">
          <w:rPr>
            <w:noProof/>
            <w:webHidden/>
          </w:rPr>
          <w:fldChar w:fldCharType="begin"/>
        </w:r>
        <w:r w:rsidR="00D8618A">
          <w:rPr>
            <w:noProof/>
            <w:webHidden/>
          </w:rPr>
          <w:instrText xml:space="preserve"> PAGEREF _Toc28003777 \h </w:instrText>
        </w:r>
        <w:r w:rsidR="00D8618A">
          <w:rPr>
            <w:noProof/>
            <w:webHidden/>
          </w:rPr>
        </w:r>
        <w:r w:rsidR="00D8618A">
          <w:rPr>
            <w:noProof/>
            <w:webHidden/>
          </w:rPr>
          <w:fldChar w:fldCharType="separate"/>
        </w:r>
        <w:r w:rsidR="00554FB8">
          <w:rPr>
            <w:noProof/>
            <w:webHidden/>
          </w:rPr>
          <w:t>9</w:t>
        </w:r>
        <w:r w:rsidR="00D8618A">
          <w:rPr>
            <w:noProof/>
            <w:webHidden/>
          </w:rPr>
          <w:fldChar w:fldCharType="end"/>
        </w:r>
      </w:hyperlink>
    </w:p>
    <w:p w14:paraId="19D8A6D0" w14:textId="21262901" w:rsidR="00D8618A" w:rsidRDefault="00556513">
      <w:pPr>
        <w:pStyle w:val="TOC3"/>
        <w:tabs>
          <w:tab w:val="left" w:pos="1100"/>
          <w:tab w:val="right" w:leader="dot" w:pos="9060"/>
        </w:tabs>
        <w:rPr>
          <w:rFonts w:eastAsiaTheme="minorEastAsia" w:cstheme="minorBidi"/>
          <w:i w:val="0"/>
          <w:iCs w:val="0"/>
          <w:noProof/>
          <w:sz w:val="22"/>
          <w:szCs w:val="22"/>
          <w:lang w:eastAsia="en-GB" w:bidi="ar-SA"/>
        </w:rPr>
      </w:pPr>
      <w:hyperlink w:anchor="_Toc28003778" w:history="1">
        <w:r w:rsidR="00D8618A" w:rsidRPr="00B3793F">
          <w:rPr>
            <w:rStyle w:val="Hyperlink"/>
            <w:noProof/>
          </w:rPr>
          <w:t>3.3.1</w:t>
        </w:r>
        <w:r w:rsidR="00D8618A">
          <w:rPr>
            <w:rFonts w:eastAsiaTheme="minorEastAsia" w:cstheme="minorBidi"/>
            <w:i w:val="0"/>
            <w:iCs w:val="0"/>
            <w:noProof/>
            <w:sz w:val="22"/>
            <w:szCs w:val="22"/>
            <w:lang w:eastAsia="en-GB" w:bidi="ar-SA"/>
          </w:rPr>
          <w:tab/>
        </w:r>
        <w:r w:rsidR="00D8618A" w:rsidRPr="00B3793F">
          <w:rPr>
            <w:rStyle w:val="Hyperlink"/>
            <w:noProof/>
          </w:rPr>
          <w:t>History of safe use</w:t>
        </w:r>
        <w:r w:rsidR="00D8618A">
          <w:rPr>
            <w:noProof/>
            <w:webHidden/>
          </w:rPr>
          <w:tab/>
        </w:r>
        <w:r w:rsidR="00D8618A">
          <w:rPr>
            <w:noProof/>
            <w:webHidden/>
          </w:rPr>
          <w:fldChar w:fldCharType="begin"/>
        </w:r>
        <w:r w:rsidR="00D8618A">
          <w:rPr>
            <w:noProof/>
            <w:webHidden/>
          </w:rPr>
          <w:instrText xml:space="preserve"> PAGEREF _Toc28003778 \h </w:instrText>
        </w:r>
        <w:r w:rsidR="00D8618A">
          <w:rPr>
            <w:noProof/>
            <w:webHidden/>
          </w:rPr>
        </w:r>
        <w:r w:rsidR="00D8618A">
          <w:rPr>
            <w:noProof/>
            <w:webHidden/>
          </w:rPr>
          <w:fldChar w:fldCharType="separate"/>
        </w:r>
        <w:r w:rsidR="00554FB8">
          <w:rPr>
            <w:noProof/>
            <w:webHidden/>
          </w:rPr>
          <w:t>9</w:t>
        </w:r>
        <w:r w:rsidR="00D8618A">
          <w:rPr>
            <w:noProof/>
            <w:webHidden/>
          </w:rPr>
          <w:fldChar w:fldCharType="end"/>
        </w:r>
      </w:hyperlink>
    </w:p>
    <w:p w14:paraId="278442FE" w14:textId="4779370D" w:rsidR="00D8618A" w:rsidRDefault="00556513">
      <w:pPr>
        <w:pStyle w:val="TOC3"/>
        <w:tabs>
          <w:tab w:val="left" w:pos="1100"/>
          <w:tab w:val="right" w:leader="dot" w:pos="9060"/>
        </w:tabs>
        <w:rPr>
          <w:rFonts w:eastAsiaTheme="minorEastAsia" w:cstheme="minorBidi"/>
          <w:i w:val="0"/>
          <w:iCs w:val="0"/>
          <w:noProof/>
          <w:sz w:val="22"/>
          <w:szCs w:val="22"/>
          <w:lang w:eastAsia="en-GB" w:bidi="ar-SA"/>
        </w:rPr>
      </w:pPr>
      <w:hyperlink w:anchor="_Toc28003779" w:history="1">
        <w:r w:rsidR="00D8618A" w:rsidRPr="00B3793F">
          <w:rPr>
            <w:rStyle w:val="Hyperlink"/>
            <w:noProof/>
          </w:rPr>
          <w:t>3.3.2</w:t>
        </w:r>
        <w:r w:rsidR="00D8618A">
          <w:rPr>
            <w:rFonts w:eastAsiaTheme="minorEastAsia" w:cstheme="minorBidi"/>
            <w:i w:val="0"/>
            <w:iCs w:val="0"/>
            <w:noProof/>
            <w:sz w:val="22"/>
            <w:szCs w:val="22"/>
            <w:lang w:eastAsia="en-GB" w:bidi="ar-SA"/>
          </w:rPr>
          <w:tab/>
        </w:r>
        <w:r w:rsidR="00D8618A" w:rsidRPr="00B3793F">
          <w:rPr>
            <w:rStyle w:val="Hyperlink"/>
            <w:noProof/>
          </w:rPr>
          <w:t>Bioinformatic assessment of enzyme toxicity</w:t>
        </w:r>
        <w:r w:rsidR="00D8618A">
          <w:rPr>
            <w:noProof/>
            <w:webHidden/>
          </w:rPr>
          <w:tab/>
        </w:r>
        <w:r w:rsidR="00D8618A">
          <w:rPr>
            <w:noProof/>
            <w:webHidden/>
          </w:rPr>
          <w:fldChar w:fldCharType="begin"/>
        </w:r>
        <w:r w:rsidR="00D8618A">
          <w:rPr>
            <w:noProof/>
            <w:webHidden/>
          </w:rPr>
          <w:instrText xml:space="preserve"> PAGEREF _Toc28003779 \h </w:instrText>
        </w:r>
        <w:r w:rsidR="00D8618A">
          <w:rPr>
            <w:noProof/>
            <w:webHidden/>
          </w:rPr>
        </w:r>
        <w:r w:rsidR="00D8618A">
          <w:rPr>
            <w:noProof/>
            <w:webHidden/>
          </w:rPr>
          <w:fldChar w:fldCharType="separate"/>
        </w:r>
        <w:r w:rsidR="00554FB8">
          <w:rPr>
            <w:noProof/>
            <w:webHidden/>
          </w:rPr>
          <w:t>10</w:t>
        </w:r>
        <w:r w:rsidR="00D8618A">
          <w:rPr>
            <w:noProof/>
            <w:webHidden/>
          </w:rPr>
          <w:fldChar w:fldCharType="end"/>
        </w:r>
      </w:hyperlink>
    </w:p>
    <w:p w14:paraId="180AE46A" w14:textId="2EA859B2" w:rsidR="00D8618A" w:rsidRDefault="00556513">
      <w:pPr>
        <w:pStyle w:val="TOC3"/>
        <w:tabs>
          <w:tab w:val="left" w:pos="1100"/>
          <w:tab w:val="right" w:leader="dot" w:pos="9060"/>
        </w:tabs>
        <w:rPr>
          <w:rFonts w:eastAsiaTheme="minorEastAsia" w:cstheme="minorBidi"/>
          <w:i w:val="0"/>
          <w:iCs w:val="0"/>
          <w:noProof/>
          <w:sz w:val="22"/>
          <w:szCs w:val="22"/>
          <w:lang w:eastAsia="en-GB" w:bidi="ar-SA"/>
        </w:rPr>
      </w:pPr>
      <w:hyperlink w:anchor="_Toc28003780" w:history="1">
        <w:r w:rsidR="00D8618A" w:rsidRPr="00B3793F">
          <w:rPr>
            <w:rStyle w:val="Hyperlink"/>
            <w:noProof/>
          </w:rPr>
          <w:t>3.3.3</w:t>
        </w:r>
        <w:r w:rsidR="00D8618A">
          <w:rPr>
            <w:rFonts w:eastAsiaTheme="minorEastAsia" w:cstheme="minorBidi"/>
            <w:i w:val="0"/>
            <w:iCs w:val="0"/>
            <w:noProof/>
            <w:sz w:val="22"/>
            <w:szCs w:val="22"/>
            <w:lang w:eastAsia="en-GB" w:bidi="ar-SA"/>
          </w:rPr>
          <w:tab/>
        </w:r>
        <w:r w:rsidR="00D8618A" w:rsidRPr="00B3793F">
          <w:rPr>
            <w:rStyle w:val="Hyperlink"/>
            <w:noProof/>
          </w:rPr>
          <w:t>Toxicology studies in animals</w:t>
        </w:r>
        <w:r w:rsidR="00D8618A">
          <w:rPr>
            <w:noProof/>
            <w:webHidden/>
          </w:rPr>
          <w:tab/>
        </w:r>
        <w:r w:rsidR="00D8618A">
          <w:rPr>
            <w:noProof/>
            <w:webHidden/>
          </w:rPr>
          <w:fldChar w:fldCharType="begin"/>
        </w:r>
        <w:r w:rsidR="00D8618A">
          <w:rPr>
            <w:noProof/>
            <w:webHidden/>
          </w:rPr>
          <w:instrText xml:space="preserve"> PAGEREF _Toc28003780 \h </w:instrText>
        </w:r>
        <w:r w:rsidR="00D8618A">
          <w:rPr>
            <w:noProof/>
            <w:webHidden/>
          </w:rPr>
        </w:r>
        <w:r w:rsidR="00D8618A">
          <w:rPr>
            <w:noProof/>
            <w:webHidden/>
          </w:rPr>
          <w:fldChar w:fldCharType="separate"/>
        </w:r>
        <w:r w:rsidR="00554FB8">
          <w:rPr>
            <w:noProof/>
            <w:webHidden/>
          </w:rPr>
          <w:t>10</w:t>
        </w:r>
        <w:r w:rsidR="00D8618A">
          <w:rPr>
            <w:noProof/>
            <w:webHidden/>
          </w:rPr>
          <w:fldChar w:fldCharType="end"/>
        </w:r>
      </w:hyperlink>
    </w:p>
    <w:p w14:paraId="74E97DB0" w14:textId="32FD74DA" w:rsidR="00D8618A" w:rsidRDefault="00556513">
      <w:pPr>
        <w:pStyle w:val="TOC3"/>
        <w:tabs>
          <w:tab w:val="left" w:pos="1100"/>
          <w:tab w:val="right" w:leader="dot" w:pos="9060"/>
        </w:tabs>
        <w:rPr>
          <w:rFonts w:eastAsiaTheme="minorEastAsia" w:cstheme="minorBidi"/>
          <w:i w:val="0"/>
          <w:iCs w:val="0"/>
          <w:noProof/>
          <w:sz w:val="22"/>
          <w:szCs w:val="22"/>
          <w:lang w:eastAsia="en-GB" w:bidi="ar-SA"/>
        </w:rPr>
      </w:pPr>
      <w:hyperlink w:anchor="_Toc28003781" w:history="1">
        <w:r w:rsidR="00D8618A" w:rsidRPr="00B3793F">
          <w:rPr>
            <w:rStyle w:val="Hyperlink"/>
            <w:noProof/>
          </w:rPr>
          <w:t>3.3.4</w:t>
        </w:r>
        <w:r w:rsidR="00D8618A">
          <w:rPr>
            <w:rFonts w:eastAsiaTheme="minorEastAsia" w:cstheme="minorBidi"/>
            <w:i w:val="0"/>
            <w:iCs w:val="0"/>
            <w:noProof/>
            <w:sz w:val="22"/>
            <w:szCs w:val="22"/>
            <w:lang w:eastAsia="en-GB" w:bidi="ar-SA"/>
          </w:rPr>
          <w:tab/>
        </w:r>
        <w:r w:rsidR="00D8618A" w:rsidRPr="00B3793F">
          <w:rPr>
            <w:rStyle w:val="Hyperlink"/>
            <w:noProof/>
          </w:rPr>
          <w:t>Genotoxicity assays</w:t>
        </w:r>
        <w:r w:rsidR="00D8618A">
          <w:rPr>
            <w:noProof/>
            <w:webHidden/>
          </w:rPr>
          <w:tab/>
        </w:r>
        <w:r w:rsidR="00D8618A">
          <w:rPr>
            <w:noProof/>
            <w:webHidden/>
          </w:rPr>
          <w:fldChar w:fldCharType="begin"/>
        </w:r>
        <w:r w:rsidR="00D8618A">
          <w:rPr>
            <w:noProof/>
            <w:webHidden/>
          </w:rPr>
          <w:instrText xml:space="preserve"> PAGEREF _Toc28003781 \h </w:instrText>
        </w:r>
        <w:r w:rsidR="00D8618A">
          <w:rPr>
            <w:noProof/>
            <w:webHidden/>
          </w:rPr>
        </w:r>
        <w:r w:rsidR="00D8618A">
          <w:rPr>
            <w:noProof/>
            <w:webHidden/>
          </w:rPr>
          <w:fldChar w:fldCharType="separate"/>
        </w:r>
        <w:r w:rsidR="00554FB8">
          <w:rPr>
            <w:noProof/>
            <w:webHidden/>
          </w:rPr>
          <w:t>13</w:t>
        </w:r>
        <w:r w:rsidR="00D8618A">
          <w:rPr>
            <w:noProof/>
            <w:webHidden/>
          </w:rPr>
          <w:fldChar w:fldCharType="end"/>
        </w:r>
      </w:hyperlink>
    </w:p>
    <w:p w14:paraId="3C87B835" w14:textId="38B8C268" w:rsidR="00D8618A" w:rsidRDefault="00556513">
      <w:pPr>
        <w:pStyle w:val="TOC3"/>
        <w:tabs>
          <w:tab w:val="left" w:pos="1100"/>
          <w:tab w:val="right" w:leader="dot" w:pos="9060"/>
        </w:tabs>
        <w:rPr>
          <w:rFonts w:eastAsiaTheme="minorEastAsia" w:cstheme="minorBidi"/>
          <w:i w:val="0"/>
          <w:iCs w:val="0"/>
          <w:noProof/>
          <w:sz w:val="22"/>
          <w:szCs w:val="22"/>
          <w:lang w:eastAsia="en-GB" w:bidi="ar-SA"/>
        </w:rPr>
      </w:pPr>
      <w:hyperlink w:anchor="_Toc28003782" w:history="1">
        <w:r w:rsidR="00D8618A" w:rsidRPr="00B3793F">
          <w:rPr>
            <w:rStyle w:val="Hyperlink"/>
            <w:noProof/>
          </w:rPr>
          <w:t>3.3.5</w:t>
        </w:r>
        <w:r w:rsidR="00D8618A">
          <w:rPr>
            <w:rFonts w:eastAsiaTheme="minorEastAsia" w:cstheme="minorBidi"/>
            <w:i w:val="0"/>
            <w:iCs w:val="0"/>
            <w:noProof/>
            <w:sz w:val="22"/>
            <w:szCs w:val="22"/>
            <w:lang w:eastAsia="en-GB" w:bidi="ar-SA"/>
          </w:rPr>
          <w:tab/>
        </w:r>
        <w:r w:rsidR="00D8618A" w:rsidRPr="00B3793F">
          <w:rPr>
            <w:rStyle w:val="Hyperlink"/>
            <w:noProof/>
          </w:rPr>
          <w:t>Potential for allergenicity</w:t>
        </w:r>
        <w:r w:rsidR="00D8618A">
          <w:rPr>
            <w:noProof/>
            <w:webHidden/>
          </w:rPr>
          <w:tab/>
        </w:r>
        <w:r w:rsidR="00D8618A">
          <w:rPr>
            <w:noProof/>
            <w:webHidden/>
          </w:rPr>
          <w:fldChar w:fldCharType="begin"/>
        </w:r>
        <w:r w:rsidR="00D8618A">
          <w:rPr>
            <w:noProof/>
            <w:webHidden/>
          </w:rPr>
          <w:instrText xml:space="preserve"> PAGEREF _Toc28003782 \h </w:instrText>
        </w:r>
        <w:r w:rsidR="00D8618A">
          <w:rPr>
            <w:noProof/>
            <w:webHidden/>
          </w:rPr>
        </w:r>
        <w:r w:rsidR="00D8618A">
          <w:rPr>
            <w:noProof/>
            <w:webHidden/>
          </w:rPr>
          <w:fldChar w:fldCharType="separate"/>
        </w:r>
        <w:r w:rsidR="00554FB8">
          <w:rPr>
            <w:noProof/>
            <w:webHidden/>
          </w:rPr>
          <w:t>14</w:t>
        </w:r>
        <w:r w:rsidR="00D8618A">
          <w:rPr>
            <w:noProof/>
            <w:webHidden/>
          </w:rPr>
          <w:fldChar w:fldCharType="end"/>
        </w:r>
      </w:hyperlink>
    </w:p>
    <w:p w14:paraId="3DB2990E" w14:textId="070DACE6" w:rsidR="00D8618A" w:rsidRDefault="00556513">
      <w:pPr>
        <w:pStyle w:val="TOC3"/>
        <w:tabs>
          <w:tab w:val="left" w:pos="1100"/>
          <w:tab w:val="right" w:leader="dot" w:pos="9060"/>
        </w:tabs>
        <w:rPr>
          <w:rFonts w:eastAsiaTheme="minorEastAsia" w:cstheme="minorBidi"/>
          <w:i w:val="0"/>
          <w:iCs w:val="0"/>
          <w:noProof/>
          <w:sz w:val="22"/>
          <w:szCs w:val="22"/>
          <w:lang w:eastAsia="en-GB" w:bidi="ar-SA"/>
        </w:rPr>
      </w:pPr>
      <w:hyperlink w:anchor="_Toc28003783" w:history="1">
        <w:r w:rsidR="00D8618A" w:rsidRPr="00B3793F">
          <w:rPr>
            <w:rStyle w:val="Hyperlink"/>
            <w:noProof/>
          </w:rPr>
          <w:t>3.3.6</w:t>
        </w:r>
        <w:r w:rsidR="00D8618A">
          <w:rPr>
            <w:rFonts w:eastAsiaTheme="minorEastAsia" w:cstheme="minorBidi"/>
            <w:i w:val="0"/>
            <w:iCs w:val="0"/>
            <w:noProof/>
            <w:sz w:val="22"/>
            <w:szCs w:val="22"/>
            <w:lang w:eastAsia="en-GB" w:bidi="ar-SA"/>
          </w:rPr>
          <w:tab/>
        </w:r>
        <w:r w:rsidR="00D8618A" w:rsidRPr="00B3793F">
          <w:rPr>
            <w:rStyle w:val="Hyperlink"/>
            <w:noProof/>
          </w:rPr>
          <w:t>Approvals by other regulatory agencies</w:t>
        </w:r>
        <w:r w:rsidR="00D8618A">
          <w:rPr>
            <w:noProof/>
            <w:webHidden/>
          </w:rPr>
          <w:tab/>
        </w:r>
        <w:r w:rsidR="00D8618A">
          <w:rPr>
            <w:noProof/>
            <w:webHidden/>
          </w:rPr>
          <w:fldChar w:fldCharType="begin"/>
        </w:r>
        <w:r w:rsidR="00D8618A">
          <w:rPr>
            <w:noProof/>
            <w:webHidden/>
          </w:rPr>
          <w:instrText xml:space="preserve"> PAGEREF _Toc28003783 \h </w:instrText>
        </w:r>
        <w:r w:rsidR="00D8618A">
          <w:rPr>
            <w:noProof/>
            <w:webHidden/>
          </w:rPr>
        </w:r>
        <w:r w:rsidR="00D8618A">
          <w:rPr>
            <w:noProof/>
            <w:webHidden/>
          </w:rPr>
          <w:fldChar w:fldCharType="separate"/>
        </w:r>
        <w:r w:rsidR="00554FB8">
          <w:rPr>
            <w:noProof/>
            <w:webHidden/>
          </w:rPr>
          <w:t>15</w:t>
        </w:r>
        <w:r w:rsidR="00D8618A">
          <w:rPr>
            <w:noProof/>
            <w:webHidden/>
          </w:rPr>
          <w:fldChar w:fldCharType="end"/>
        </w:r>
      </w:hyperlink>
    </w:p>
    <w:p w14:paraId="07A672B9" w14:textId="12B5990B" w:rsidR="00D8618A" w:rsidRDefault="00556513">
      <w:pPr>
        <w:pStyle w:val="TOC1"/>
        <w:tabs>
          <w:tab w:val="right" w:leader="dot" w:pos="9060"/>
        </w:tabs>
        <w:rPr>
          <w:rFonts w:eastAsiaTheme="minorEastAsia" w:cstheme="minorBidi"/>
          <w:b w:val="0"/>
          <w:bCs w:val="0"/>
          <w:caps w:val="0"/>
          <w:noProof/>
          <w:sz w:val="22"/>
          <w:szCs w:val="22"/>
          <w:lang w:eastAsia="en-GB" w:bidi="ar-SA"/>
        </w:rPr>
      </w:pPr>
      <w:hyperlink w:anchor="_Toc28003784" w:history="1">
        <w:r w:rsidR="00D8618A" w:rsidRPr="00B3793F">
          <w:rPr>
            <w:rStyle w:val="Hyperlink"/>
            <w:noProof/>
          </w:rPr>
          <w:t>4 Discussion</w:t>
        </w:r>
        <w:r w:rsidR="00D8618A">
          <w:rPr>
            <w:noProof/>
            <w:webHidden/>
          </w:rPr>
          <w:tab/>
        </w:r>
        <w:r w:rsidR="00D8618A">
          <w:rPr>
            <w:noProof/>
            <w:webHidden/>
          </w:rPr>
          <w:fldChar w:fldCharType="begin"/>
        </w:r>
        <w:r w:rsidR="00D8618A">
          <w:rPr>
            <w:noProof/>
            <w:webHidden/>
          </w:rPr>
          <w:instrText xml:space="preserve"> PAGEREF _Toc28003784 \h </w:instrText>
        </w:r>
        <w:r w:rsidR="00D8618A">
          <w:rPr>
            <w:noProof/>
            <w:webHidden/>
          </w:rPr>
        </w:r>
        <w:r w:rsidR="00D8618A">
          <w:rPr>
            <w:noProof/>
            <w:webHidden/>
          </w:rPr>
          <w:fldChar w:fldCharType="separate"/>
        </w:r>
        <w:r w:rsidR="00554FB8">
          <w:rPr>
            <w:noProof/>
            <w:webHidden/>
          </w:rPr>
          <w:t>16</w:t>
        </w:r>
        <w:r w:rsidR="00D8618A">
          <w:rPr>
            <w:noProof/>
            <w:webHidden/>
          </w:rPr>
          <w:fldChar w:fldCharType="end"/>
        </w:r>
      </w:hyperlink>
    </w:p>
    <w:p w14:paraId="178BE55F" w14:textId="7367600F" w:rsidR="00D8618A" w:rsidRDefault="00556513">
      <w:pPr>
        <w:pStyle w:val="TOC1"/>
        <w:tabs>
          <w:tab w:val="right" w:leader="dot" w:pos="9060"/>
        </w:tabs>
        <w:rPr>
          <w:rFonts w:eastAsiaTheme="minorEastAsia" w:cstheme="minorBidi"/>
          <w:b w:val="0"/>
          <w:bCs w:val="0"/>
          <w:caps w:val="0"/>
          <w:noProof/>
          <w:sz w:val="22"/>
          <w:szCs w:val="22"/>
          <w:lang w:eastAsia="en-GB" w:bidi="ar-SA"/>
        </w:rPr>
      </w:pPr>
      <w:hyperlink w:anchor="_Toc28003785" w:history="1">
        <w:r w:rsidR="00D8618A" w:rsidRPr="00B3793F">
          <w:rPr>
            <w:rStyle w:val="Hyperlink"/>
            <w:noProof/>
          </w:rPr>
          <w:t>5 Conclusion</w:t>
        </w:r>
        <w:r w:rsidR="00D8618A">
          <w:rPr>
            <w:noProof/>
            <w:webHidden/>
          </w:rPr>
          <w:tab/>
        </w:r>
        <w:r w:rsidR="00D8618A">
          <w:rPr>
            <w:noProof/>
            <w:webHidden/>
          </w:rPr>
          <w:fldChar w:fldCharType="begin"/>
        </w:r>
        <w:r w:rsidR="00D8618A">
          <w:rPr>
            <w:noProof/>
            <w:webHidden/>
          </w:rPr>
          <w:instrText xml:space="preserve"> PAGEREF _Toc28003785 \h </w:instrText>
        </w:r>
        <w:r w:rsidR="00D8618A">
          <w:rPr>
            <w:noProof/>
            <w:webHidden/>
          </w:rPr>
        </w:r>
        <w:r w:rsidR="00D8618A">
          <w:rPr>
            <w:noProof/>
            <w:webHidden/>
          </w:rPr>
          <w:fldChar w:fldCharType="separate"/>
        </w:r>
        <w:r w:rsidR="00554FB8">
          <w:rPr>
            <w:noProof/>
            <w:webHidden/>
          </w:rPr>
          <w:t>16</w:t>
        </w:r>
        <w:r w:rsidR="00D8618A">
          <w:rPr>
            <w:noProof/>
            <w:webHidden/>
          </w:rPr>
          <w:fldChar w:fldCharType="end"/>
        </w:r>
      </w:hyperlink>
    </w:p>
    <w:p w14:paraId="6CEB2FE5" w14:textId="065EECA6" w:rsidR="00D8618A" w:rsidRDefault="00556513">
      <w:pPr>
        <w:pStyle w:val="TOC1"/>
        <w:tabs>
          <w:tab w:val="right" w:leader="dot" w:pos="9060"/>
        </w:tabs>
        <w:rPr>
          <w:rFonts w:eastAsiaTheme="minorEastAsia" w:cstheme="minorBidi"/>
          <w:b w:val="0"/>
          <w:bCs w:val="0"/>
          <w:caps w:val="0"/>
          <w:noProof/>
          <w:sz w:val="22"/>
          <w:szCs w:val="22"/>
          <w:lang w:eastAsia="en-GB" w:bidi="ar-SA"/>
        </w:rPr>
      </w:pPr>
      <w:hyperlink w:anchor="_Toc28003786" w:history="1">
        <w:r w:rsidR="00D8618A" w:rsidRPr="00B3793F">
          <w:rPr>
            <w:rStyle w:val="Hyperlink"/>
            <w:noProof/>
          </w:rPr>
          <w:t>6 References</w:t>
        </w:r>
        <w:r w:rsidR="00D8618A">
          <w:rPr>
            <w:noProof/>
            <w:webHidden/>
          </w:rPr>
          <w:tab/>
        </w:r>
        <w:r w:rsidR="00D8618A">
          <w:rPr>
            <w:noProof/>
            <w:webHidden/>
          </w:rPr>
          <w:fldChar w:fldCharType="begin"/>
        </w:r>
        <w:r w:rsidR="00D8618A">
          <w:rPr>
            <w:noProof/>
            <w:webHidden/>
          </w:rPr>
          <w:instrText xml:space="preserve"> PAGEREF _Toc28003786 \h </w:instrText>
        </w:r>
        <w:r w:rsidR="00D8618A">
          <w:rPr>
            <w:noProof/>
            <w:webHidden/>
          </w:rPr>
        </w:r>
        <w:r w:rsidR="00D8618A">
          <w:rPr>
            <w:noProof/>
            <w:webHidden/>
          </w:rPr>
          <w:fldChar w:fldCharType="separate"/>
        </w:r>
        <w:r w:rsidR="00554FB8">
          <w:rPr>
            <w:noProof/>
            <w:webHidden/>
          </w:rPr>
          <w:t>16</w:t>
        </w:r>
        <w:r w:rsidR="00D8618A">
          <w:rPr>
            <w:noProof/>
            <w:webHidden/>
          </w:rPr>
          <w:fldChar w:fldCharType="end"/>
        </w:r>
      </w:hyperlink>
    </w:p>
    <w:p w14:paraId="61A5A49E" w14:textId="0876E17D" w:rsidR="00562917" w:rsidRDefault="00326D85" w:rsidP="00051ED9">
      <w:r>
        <w:fldChar w:fldCharType="end"/>
      </w:r>
    </w:p>
    <w:p w14:paraId="2AA91CAA" w14:textId="77777777" w:rsidR="00E066BA" w:rsidRDefault="00E066BA" w:rsidP="00051ED9"/>
    <w:p w14:paraId="34BD6260" w14:textId="77777777" w:rsidR="00051ED9" w:rsidRDefault="00562917" w:rsidP="00772BDC">
      <w:r w:rsidRPr="00E203C2">
        <w:br w:type="page"/>
      </w:r>
    </w:p>
    <w:p w14:paraId="685DF154" w14:textId="14A295D2" w:rsidR="00AF0509" w:rsidRDefault="00AF0509" w:rsidP="00AF0509">
      <w:pPr>
        <w:pStyle w:val="Heading1"/>
      </w:pPr>
      <w:bookmarkStart w:id="6" w:name="_Toc501699816"/>
      <w:bookmarkStart w:id="7" w:name="_Toc536543984"/>
      <w:bookmarkStart w:id="8" w:name="_Toc536607119"/>
      <w:bookmarkStart w:id="9" w:name="_Toc28003757"/>
      <w:r>
        <w:lastRenderedPageBreak/>
        <w:t xml:space="preserve">1 </w:t>
      </w:r>
      <w:r w:rsidR="00E02D51">
        <w:tab/>
      </w:r>
      <w:r>
        <w:t>Introduction</w:t>
      </w:r>
      <w:bookmarkEnd w:id="6"/>
      <w:bookmarkEnd w:id="7"/>
      <w:bookmarkEnd w:id="8"/>
      <w:bookmarkEnd w:id="9"/>
    </w:p>
    <w:p w14:paraId="0C729F4D" w14:textId="44507AEE" w:rsidR="001E6A7B" w:rsidRDefault="0080087C" w:rsidP="001E6A7B">
      <w:bookmarkStart w:id="10" w:name="_Toc501699817"/>
      <w:bookmarkEnd w:id="10"/>
      <w:r>
        <w:t xml:space="preserve">Novozymes Australia Pty Ltd </w:t>
      </w:r>
      <w:r w:rsidR="008B231D">
        <w:t xml:space="preserve">applied </w:t>
      </w:r>
      <w:r w:rsidR="001E6A7B">
        <w:t xml:space="preserve">to FSANZ </w:t>
      </w:r>
      <w:r w:rsidR="008B231D">
        <w:t>for</w:t>
      </w:r>
      <w:r w:rsidR="001E6A7B">
        <w:t xml:space="preserve"> permission to use the enzyme </w:t>
      </w:r>
      <w:r>
        <w:t xml:space="preserve">glucoamylase </w:t>
      </w:r>
      <w:r w:rsidR="001E6A7B">
        <w:t>(EC 3.</w:t>
      </w:r>
      <w:r w:rsidR="00AB3FCF">
        <w:t>2</w:t>
      </w:r>
      <w:r w:rsidR="001E6A7B">
        <w:t>.1.</w:t>
      </w:r>
      <w:r>
        <w:t>3</w:t>
      </w:r>
      <w:r w:rsidR="001E6A7B">
        <w:t xml:space="preserve">) </w:t>
      </w:r>
      <w:r w:rsidR="008B231D" w:rsidRPr="00CA52E1">
        <w:t xml:space="preserve">as a processing aid in </w:t>
      </w:r>
      <w:r>
        <w:t>starch processing and the production of potable alcohol.</w:t>
      </w:r>
      <w:r w:rsidR="008B231D">
        <w:t xml:space="preserve"> This </w:t>
      </w:r>
      <w:r>
        <w:t xml:space="preserve">glucoamylase </w:t>
      </w:r>
      <w:r w:rsidR="008B231D">
        <w:t xml:space="preserve">is </w:t>
      </w:r>
      <w:r w:rsidR="001E6A7B">
        <w:t xml:space="preserve">from a genetically modified </w:t>
      </w:r>
      <w:r w:rsidR="00EE2B87">
        <w:t xml:space="preserve">(GM) </w:t>
      </w:r>
      <w:r w:rsidR="001E6A7B">
        <w:t xml:space="preserve">strain of </w:t>
      </w:r>
      <w:r>
        <w:rPr>
          <w:i/>
        </w:rPr>
        <w:t>Aspergillus niger</w:t>
      </w:r>
      <w:r w:rsidR="0028261F">
        <w:rPr>
          <w:i/>
        </w:rPr>
        <w:t xml:space="preserve">, </w:t>
      </w:r>
      <w:r w:rsidR="0028261F" w:rsidRPr="0028261F">
        <w:t xml:space="preserve">containing the </w:t>
      </w:r>
      <w:r>
        <w:t xml:space="preserve">glucoamylase </w:t>
      </w:r>
      <w:r w:rsidR="0028261F" w:rsidRPr="0028261F">
        <w:t>gene from</w:t>
      </w:r>
      <w:r w:rsidR="0028261F" w:rsidRPr="0028261F">
        <w:rPr>
          <w:i/>
        </w:rPr>
        <w:t xml:space="preserve"> </w:t>
      </w:r>
      <w:r w:rsidR="00312259">
        <w:t xml:space="preserve">the fungus </w:t>
      </w:r>
      <w:r w:rsidR="00A75BA7">
        <w:rPr>
          <w:i/>
        </w:rPr>
        <w:t>Trametes cingulata.</w:t>
      </w:r>
      <w:r w:rsidR="00AB3FCF">
        <w:rPr>
          <w:i/>
        </w:rPr>
        <w:t xml:space="preserve"> </w:t>
      </w:r>
    </w:p>
    <w:p w14:paraId="2455F6EF" w14:textId="21AC4F43" w:rsidR="001E6A7B" w:rsidRDefault="001E6A7B" w:rsidP="001E6A7B"/>
    <w:p w14:paraId="67FDF38D" w14:textId="4BA88E79" w:rsidR="00C72B71" w:rsidRPr="00B80C3D" w:rsidRDefault="00426F2C" w:rsidP="00C72B71">
      <w:r>
        <w:t xml:space="preserve">Currently, Schedule </w:t>
      </w:r>
      <w:r w:rsidRPr="00537681">
        <w:t xml:space="preserve">18 </w:t>
      </w:r>
      <w:r>
        <w:t xml:space="preserve">of the </w:t>
      </w:r>
      <w:r w:rsidRPr="00426F2C">
        <w:t xml:space="preserve">Australia New Zealand Food Standards Code (the Code) </w:t>
      </w:r>
      <w:r w:rsidR="00821E30">
        <w:t xml:space="preserve">permits </w:t>
      </w:r>
      <w:r w:rsidR="00077487">
        <w:t xml:space="preserve">the </w:t>
      </w:r>
      <w:r w:rsidR="00A75BA7">
        <w:t>use of over 30</w:t>
      </w:r>
      <w:r w:rsidR="00821E30">
        <w:t xml:space="preserve"> different enzymes produced by </w:t>
      </w:r>
      <w:r w:rsidR="007C7342">
        <w:rPr>
          <w:i/>
        </w:rPr>
        <w:t xml:space="preserve">A. </w:t>
      </w:r>
      <w:r w:rsidR="00A75BA7">
        <w:rPr>
          <w:i/>
        </w:rPr>
        <w:t xml:space="preserve">niger </w:t>
      </w:r>
      <w:r w:rsidR="00371C54">
        <w:t>and 6 permissions for glucoamylase. However, the Code does not currently include</w:t>
      </w:r>
      <w:r w:rsidR="007C7342">
        <w:t xml:space="preserve"> </w:t>
      </w:r>
      <w:r w:rsidR="0087175E">
        <w:t xml:space="preserve">a </w:t>
      </w:r>
      <w:r w:rsidRPr="00537681">
        <w:t xml:space="preserve">permission </w:t>
      </w:r>
      <w:r w:rsidR="00E03889">
        <w:t xml:space="preserve">to use </w:t>
      </w:r>
      <w:r w:rsidR="00A75BA7">
        <w:t>glucoamylase</w:t>
      </w:r>
      <w:r w:rsidR="008B231D">
        <w:t xml:space="preserve"> </w:t>
      </w:r>
      <w:r w:rsidR="00821E30">
        <w:t>produced by</w:t>
      </w:r>
      <w:r w:rsidR="008B231D">
        <w:t xml:space="preserve"> </w:t>
      </w:r>
      <w:r w:rsidR="00821E30">
        <w:t xml:space="preserve">a GM strain of </w:t>
      </w:r>
      <w:r w:rsidR="00E03889">
        <w:rPr>
          <w:i/>
        </w:rPr>
        <w:t xml:space="preserve">A. </w:t>
      </w:r>
      <w:r w:rsidR="00A75BA7">
        <w:rPr>
          <w:i/>
        </w:rPr>
        <w:t xml:space="preserve">niger </w:t>
      </w:r>
      <w:r w:rsidR="00CE339B">
        <w:t xml:space="preserve">containing </w:t>
      </w:r>
      <w:r w:rsidR="00821E30">
        <w:t xml:space="preserve">the </w:t>
      </w:r>
      <w:r w:rsidR="00A75BA7">
        <w:t xml:space="preserve">glucoamylase </w:t>
      </w:r>
      <w:r w:rsidR="00E03889">
        <w:t xml:space="preserve">gene from </w:t>
      </w:r>
      <w:r w:rsidR="00A75BA7">
        <w:rPr>
          <w:i/>
        </w:rPr>
        <w:t>T</w:t>
      </w:r>
      <w:r w:rsidR="00E03889">
        <w:rPr>
          <w:i/>
        </w:rPr>
        <w:t>.</w:t>
      </w:r>
      <w:r w:rsidR="006D328D">
        <w:rPr>
          <w:i/>
        </w:rPr>
        <w:t> </w:t>
      </w:r>
      <w:r w:rsidR="00A75BA7">
        <w:rPr>
          <w:i/>
        </w:rPr>
        <w:t>cingulata</w:t>
      </w:r>
      <w:r w:rsidR="0056591F">
        <w:rPr>
          <w:i/>
        </w:rPr>
        <w:t xml:space="preserve">. </w:t>
      </w:r>
      <w:r>
        <w:t>T</w:t>
      </w:r>
      <w:r w:rsidR="001E6A7B">
        <w:t xml:space="preserve">herefore, </w:t>
      </w:r>
      <w:r w:rsidR="00503A80">
        <w:t xml:space="preserve">this enzyme needs </w:t>
      </w:r>
      <w:r w:rsidR="00D43C1A" w:rsidRPr="00B659CB">
        <w:t xml:space="preserve">a pre-market assessment </w:t>
      </w:r>
      <w:r w:rsidR="00503A80">
        <w:t xml:space="preserve">before permission can be given for its use as </w:t>
      </w:r>
      <w:r w:rsidR="00821E30">
        <w:t xml:space="preserve">a processing </w:t>
      </w:r>
      <w:r w:rsidR="001E6A7B" w:rsidRPr="00B659CB">
        <w:t>aid</w:t>
      </w:r>
      <w:r w:rsidR="00D43C1A">
        <w:t>.</w:t>
      </w:r>
      <w:r w:rsidR="001E6A7B" w:rsidRPr="00B659CB">
        <w:t xml:space="preserve"> </w:t>
      </w:r>
      <w:r w:rsidR="00C72B71">
        <w:t>I</w:t>
      </w:r>
      <w:r w:rsidR="00C72B71" w:rsidRPr="00B80C3D">
        <w:t xml:space="preserve">f permitted, this </w:t>
      </w:r>
      <w:r w:rsidR="00C72B71">
        <w:t>glucoamylase</w:t>
      </w:r>
      <w:r w:rsidR="00C72B71" w:rsidRPr="00B80C3D">
        <w:t xml:space="preserve"> will provide an additional option for </w:t>
      </w:r>
      <w:r w:rsidR="00C72B71">
        <w:t>starch processors and manufacturers of potable alcohol.</w:t>
      </w:r>
      <w:r w:rsidR="00C72B71" w:rsidRPr="00B80C3D">
        <w:t xml:space="preserve"> </w:t>
      </w:r>
    </w:p>
    <w:p w14:paraId="34CE1CB6" w14:textId="61D5CE23" w:rsidR="00B4058D" w:rsidRDefault="00B4058D" w:rsidP="00E02D51">
      <w:pPr>
        <w:pStyle w:val="Heading2"/>
      </w:pPr>
      <w:bookmarkStart w:id="11" w:name="_Toc536543985"/>
      <w:bookmarkStart w:id="12" w:name="_Toc536607120"/>
      <w:bookmarkStart w:id="13" w:name="_Toc28003758"/>
      <w:r>
        <w:t>Objectives of the assessment</w:t>
      </w:r>
      <w:bookmarkEnd w:id="11"/>
      <w:bookmarkEnd w:id="12"/>
      <w:bookmarkEnd w:id="13"/>
    </w:p>
    <w:p w14:paraId="5C224C18" w14:textId="573B2411" w:rsidR="001E6A7B" w:rsidRPr="00B659CB" w:rsidRDefault="001E6A7B" w:rsidP="001E6A7B">
      <w:r w:rsidRPr="00B659CB">
        <w:t xml:space="preserve">The objectives of this risk </w:t>
      </w:r>
      <w:r w:rsidR="00BA7C09">
        <w:t xml:space="preserve">and technical </w:t>
      </w:r>
      <w:r w:rsidRPr="00B659CB">
        <w:t>assessment were to:</w:t>
      </w:r>
    </w:p>
    <w:p w14:paraId="2ACE19B9" w14:textId="77777777" w:rsidR="001E6A7B" w:rsidRPr="00B659CB" w:rsidRDefault="001E6A7B" w:rsidP="001E6A7B"/>
    <w:p w14:paraId="3FBDA25A" w14:textId="2E272E70" w:rsidR="001E6A7B" w:rsidRDefault="001E6A7B" w:rsidP="00B13FF8">
      <w:pPr>
        <w:pStyle w:val="FSBullet1"/>
      </w:pPr>
      <w:r w:rsidRPr="00B659CB" w:rsidDel="00AF339B">
        <w:t xml:space="preserve">determine whether the proposed purpose is clearly stated and that the enzyme achieves its technological function in the quantity and form proposed to </w:t>
      </w:r>
      <w:r w:rsidDel="00AF339B">
        <w:t>be used as a food processing aid</w:t>
      </w:r>
    </w:p>
    <w:p w14:paraId="302D5588" w14:textId="77777777" w:rsidR="00C33CE9" w:rsidRPr="00B659CB" w:rsidDel="00AF339B" w:rsidRDefault="00C33CE9" w:rsidP="00C33CE9">
      <w:pPr>
        <w:pStyle w:val="ListParagraph"/>
        <w:ind w:left="709"/>
      </w:pPr>
    </w:p>
    <w:p w14:paraId="15C476DE" w14:textId="37EDCF1A" w:rsidR="00AF339B" w:rsidRPr="00F87D40" w:rsidRDefault="001E6A7B" w:rsidP="00B13FF8">
      <w:pPr>
        <w:pStyle w:val="FSBullet1"/>
      </w:pPr>
      <w:r w:rsidRPr="00B659CB">
        <w:t xml:space="preserve">evaluate potential public health and safety </w:t>
      </w:r>
      <w:r w:rsidR="001D7EE4">
        <w:t>concerns</w:t>
      </w:r>
      <w:r w:rsidR="001D7EE4" w:rsidRPr="00B659CB">
        <w:t xml:space="preserve"> </w:t>
      </w:r>
      <w:r w:rsidRPr="00B659CB">
        <w:t xml:space="preserve">that may arise from the use of </w:t>
      </w:r>
      <w:r w:rsidR="006E134F">
        <w:t>this</w:t>
      </w:r>
      <w:r w:rsidRPr="00B659CB">
        <w:t xml:space="preserve"> </w:t>
      </w:r>
      <w:r w:rsidR="00AF339B">
        <w:t xml:space="preserve">enzyme, </w:t>
      </w:r>
      <w:r w:rsidR="00A07714">
        <w:t>produced by</w:t>
      </w:r>
      <w:r w:rsidRPr="00B659CB">
        <w:t xml:space="preserve"> </w:t>
      </w:r>
      <w:r>
        <w:t xml:space="preserve">a </w:t>
      </w:r>
      <w:r w:rsidR="00EE2B87">
        <w:t>GM</w:t>
      </w:r>
      <w:r>
        <w:t xml:space="preserve"> </w:t>
      </w:r>
      <w:r w:rsidR="009A00CD">
        <w:t>micro</w:t>
      </w:r>
      <w:r w:rsidR="00A07714">
        <w:t xml:space="preserve">organism, </w:t>
      </w:r>
      <w:r w:rsidRPr="00B659CB">
        <w:t>as a processing aid</w:t>
      </w:r>
      <w:r w:rsidR="00AF339B">
        <w:t>. Specifically by considering the:</w:t>
      </w:r>
    </w:p>
    <w:p w14:paraId="2D10E051" w14:textId="77777777" w:rsidR="00AF339B" w:rsidRPr="00F853CC" w:rsidRDefault="00AF339B" w:rsidP="00AF339B">
      <w:pPr>
        <w:ind w:left="709" w:hanging="349"/>
      </w:pPr>
    </w:p>
    <w:p w14:paraId="7B7A49B5" w14:textId="2DE1D3DD" w:rsidR="00AF339B" w:rsidRDefault="00AF339B" w:rsidP="00B13FF8">
      <w:pPr>
        <w:pStyle w:val="FSBullet2"/>
      </w:pPr>
      <w:r w:rsidRPr="00F853CC">
        <w:t>history of us</w:t>
      </w:r>
      <w:r>
        <w:t xml:space="preserve">e of the gene donor </w:t>
      </w:r>
      <w:r w:rsidR="00BA7C09">
        <w:t xml:space="preserve">and production </w:t>
      </w:r>
      <w:r w:rsidR="009A00CD">
        <w:t>micro</w:t>
      </w:r>
      <w:r>
        <w:t>organisms</w:t>
      </w:r>
    </w:p>
    <w:p w14:paraId="1D6A8D22" w14:textId="77777777" w:rsidR="00AF339B" w:rsidRPr="00460133" w:rsidRDefault="00AF339B" w:rsidP="00B13FF8">
      <w:pPr>
        <w:pStyle w:val="FSBullet2"/>
      </w:pPr>
      <w:r>
        <w:t>characterisation of the genetic modification(s), and</w:t>
      </w:r>
    </w:p>
    <w:p w14:paraId="1BB505E1" w14:textId="1F12C91D" w:rsidR="00AF339B" w:rsidRDefault="00AF339B" w:rsidP="00B13FF8">
      <w:pPr>
        <w:pStyle w:val="FSBullet2"/>
      </w:pPr>
      <w:r>
        <w:t>safety of the enzyme</w:t>
      </w:r>
      <w:r w:rsidR="00C33CE9">
        <w:t>.</w:t>
      </w:r>
    </w:p>
    <w:p w14:paraId="5767146C" w14:textId="01DB71E4" w:rsidR="001E6A7B" w:rsidRDefault="00E02D51" w:rsidP="00E06EC7">
      <w:pPr>
        <w:pStyle w:val="Heading1"/>
        <w:numPr>
          <w:ilvl w:val="0"/>
          <w:numId w:val="12"/>
        </w:numPr>
      </w:pPr>
      <w:bookmarkStart w:id="14" w:name="_Toc536543986"/>
      <w:bookmarkStart w:id="15" w:name="_Toc536607121"/>
      <w:bookmarkStart w:id="16" w:name="_Toc28003759"/>
      <w:r>
        <w:tab/>
      </w:r>
      <w:r w:rsidR="001E6A7B">
        <w:t>Food technology assessment</w:t>
      </w:r>
      <w:bookmarkEnd w:id="14"/>
      <w:bookmarkEnd w:id="15"/>
      <w:bookmarkEnd w:id="16"/>
    </w:p>
    <w:p w14:paraId="28876474" w14:textId="29AF528A" w:rsidR="001E6A7B" w:rsidRDefault="00E06EC7" w:rsidP="00FE6665">
      <w:pPr>
        <w:pStyle w:val="Heading2"/>
        <w:numPr>
          <w:ilvl w:val="0"/>
          <w:numId w:val="0"/>
        </w:numPr>
      </w:pPr>
      <w:bookmarkStart w:id="17" w:name="_Toc472327044"/>
      <w:bookmarkStart w:id="18" w:name="_Toc501699819"/>
      <w:bookmarkStart w:id="19" w:name="_Toc536543987"/>
      <w:bookmarkStart w:id="20" w:name="_Toc536607122"/>
      <w:bookmarkStart w:id="21" w:name="_Toc28003760"/>
      <w:r>
        <w:t>2.1</w:t>
      </w:r>
      <w:r>
        <w:tab/>
      </w:r>
      <w:r w:rsidR="00FE6665">
        <w:tab/>
      </w:r>
      <w:r w:rsidR="001E6A7B">
        <w:t>Characterisation of the enzyme</w:t>
      </w:r>
      <w:bookmarkEnd w:id="17"/>
      <w:bookmarkEnd w:id="18"/>
      <w:bookmarkEnd w:id="19"/>
      <w:bookmarkEnd w:id="20"/>
      <w:bookmarkEnd w:id="21"/>
    </w:p>
    <w:p w14:paraId="6D257B39" w14:textId="77777777" w:rsidR="001E6A7B" w:rsidRDefault="001E6A7B" w:rsidP="00E02D51">
      <w:pPr>
        <w:pStyle w:val="Heading3"/>
      </w:pPr>
      <w:bookmarkStart w:id="22" w:name="_Toc536543988"/>
      <w:bookmarkStart w:id="23" w:name="_Toc536607123"/>
      <w:bookmarkStart w:id="24" w:name="_Toc28003761"/>
      <w:r>
        <w:t>2.1.1</w:t>
      </w:r>
      <w:r>
        <w:tab/>
        <w:t>Identity of the enzyme</w:t>
      </w:r>
      <w:bookmarkEnd w:id="22"/>
      <w:bookmarkEnd w:id="23"/>
      <w:bookmarkEnd w:id="24"/>
    </w:p>
    <w:p w14:paraId="51F525AE" w14:textId="77777777" w:rsidR="001E6A7B" w:rsidRPr="006014F1" w:rsidRDefault="001E6A7B" w:rsidP="001E6A7B">
      <w:r>
        <w:t>The applicant provided relevant i</w:t>
      </w:r>
      <w:r w:rsidRPr="006014F1">
        <w:t>nformation regarding the identity of the enzyme</w:t>
      </w:r>
      <w:r>
        <w:t xml:space="preserve">, and this has been </w:t>
      </w:r>
      <w:r w:rsidRPr="006014F1">
        <w:t xml:space="preserve">verified using an appropriate enzyme nomenclature reference (IUBMB </w:t>
      </w:r>
      <w:r w:rsidRPr="00830498">
        <w:t>2017</w:t>
      </w:r>
      <w:r w:rsidRPr="006014F1">
        <w:t xml:space="preserve">). </w:t>
      </w:r>
    </w:p>
    <w:p w14:paraId="44B3544F" w14:textId="77777777" w:rsidR="001E6A7B" w:rsidRDefault="001E6A7B" w:rsidP="001E6A7B">
      <w:r>
        <w:tab/>
      </w:r>
    </w:p>
    <w:p w14:paraId="2EB63B35" w14:textId="0D5819A7" w:rsidR="001E6A7B" w:rsidRDefault="001E6A7B" w:rsidP="001E6A7B">
      <w:r>
        <w:t>Accepted</w:t>
      </w:r>
      <w:r w:rsidRPr="006014F1">
        <w:t xml:space="preserve"> IUBMB</w:t>
      </w:r>
      <w:r w:rsidRPr="006014F1">
        <w:rPr>
          <w:rStyle w:val="FootnoteReference"/>
        </w:rPr>
        <w:footnoteReference w:id="2"/>
      </w:r>
      <w:r w:rsidRPr="006014F1">
        <w:t xml:space="preserve"> name:</w:t>
      </w:r>
      <w:r>
        <w:tab/>
      </w:r>
      <w:r w:rsidR="005D5AD8">
        <w:tab/>
      </w:r>
      <w:r w:rsidR="002F3228" w:rsidRPr="002F3228">
        <w:t>glucan 1,4-α-glucosidase</w:t>
      </w:r>
      <w:r w:rsidR="002F3228" w:rsidRPr="002F3228">
        <w:rPr>
          <w:rStyle w:val="FootnoteReference"/>
          <w:vertAlign w:val="baseline"/>
        </w:rPr>
        <w:t xml:space="preserve"> </w:t>
      </w:r>
      <w:r w:rsidR="00D2768A">
        <w:rPr>
          <w:rStyle w:val="FootnoteReference"/>
        </w:rPr>
        <w:footnoteReference w:id="3"/>
      </w:r>
    </w:p>
    <w:p w14:paraId="200A384C" w14:textId="77777777" w:rsidR="001E6A7B" w:rsidRPr="006014F1" w:rsidRDefault="001E6A7B" w:rsidP="001E6A7B"/>
    <w:p w14:paraId="431E7F7F" w14:textId="3394F599" w:rsidR="001E6A7B" w:rsidRPr="006014F1" w:rsidRDefault="001E6A7B" w:rsidP="001E6A7B">
      <w:r w:rsidRPr="006014F1">
        <w:t xml:space="preserve">Systematic name: </w:t>
      </w:r>
      <w:r w:rsidRPr="006014F1">
        <w:tab/>
      </w:r>
      <w:r w:rsidRPr="006014F1">
        <w:tab/>
      </w:r>
      <w:r w:rsidR="00E03889">
        <w:tab/>
      </w:r>
      <w:r w:rsidR="007A64B4" w:rsidRPr="007A64B4">
        <w:t>4-α-D-glucan glucohydrolase</w:t>
      </w:r>
      <w:r w:rsidR="005D5AD8">
        <w:tab/>
      </w:r>
    </w:p>
    <w:p w14:paraId="040DF458" w14:textId="77777777" w:rsidR="001E6A7B" w:rsidRPr="006014F1" w:rsidRDefault="001E6A7B" w:rsidP="001E6A7B"/>
    <w:p w14:paraId="16A5ACEB" w14:textId="5270F992" w:rsidR="002618A5" w:rsidRDefault="002618A5" w:rsidP="003F3535">
      <w:pPr>
        <w:tabs>
          <w:tab w:val="left" w:pos="3402"/>
        </w:tabs>
        <w:ind w:left="3402" w:hanging="3402"/>
      </w:pPr>
      <w:r w:rsidRPr="006014F1">
        <w:t>Other names:</w:t>
      </w:r>
      <w:r w:rsidRPr="006014F1">
        <w:tab/>
      </w:r>
      <w:r w:rsidR="003F3535">
        <w:tab/>
      </w:r>
      <w:r w:rsidRPr="007A64B4">
        <w:rPr>
          <w:b/>
        </w:rPr>
        <w:t>glucoamylase</w:t>
      </w:r>
      <w:r w:rsidRPr="007A64B4">
        <w:t>; amylogl</w:t>
      </w:r>
      <w:r>
        <w:t xml:space="preserve">ucosidase; γ-amylase; lysosomal </w:t>
      </w:r>
      <w:r w:rsidRPr="007A64B4">
        <w:t xml:space="preserve">α-glucosidase; acid maltase; exo-1,4-α-glucosidase; glucose amylase; γ-1,4-glucan glucohydrolase; acid maltase; 1,4-α-D-glucan </w:t>
      </w:r>
      <w:r w:rsidRPr="007A64B4">
        <w:lastRenderedPageBreak/>
        <w:t>glucohydrolase</w:t>
      </w:r>
    </w:p>
    <w:p w14:paraId="53232550" w14:textId="77777777" w:rsidR="003F3535" w:rsidRDefault="003F3535" w:rsidP="003F3535">
      <w:pPr>
        <w:tabs>
          <w:tab w:val="left" w:pos="3402"/>
        </w:tabs>
        <w:ind w:left="3402" w:hanging="3402"/>
      </w:pPr>
    </w:p>
    <w:p w14:paraId="26639934" w14:textId="3E1DC1EE" w:rsidR="001E6A7B" w:rsidRPr="006014F1" w:rsidRDefault="00426F2C" w:rsidP="005D5AD8">
      <w:r>
        <w:t>IUBMB enzyme nomenclature:</w:t>
      </w:r>
      <w:r>
        <w:tab/>
      </w:r>
      <w:r w:rsidR="007C7342">
        <w:t>EC 3.2.1.</w:t>
      </w:r>
      <w:r w:rsidR="007A64B4">
        <w:t>3</w:t>
      </w:r>
    </w:p>
    <w:p w14:paraId="55F9336F" w14:textId="77777777" w:rsidR="001E6A7B" w:rsidRPr="006014F1" w:rsidRDefault="001E6A7B" w:rsidP="001E6A7B">
      <w:pPr>
        <w:tabs>
          <w:tab w:val="left" w:pos="6100"/>
        </w:tabs>
      </w:pPr>
      <w:r w:rsidRPr="006014F1">
        <w:tab/>
      </w:r>
    </w:p>
    <w:p w14:paraId="54371778" w14:textId="220D96DC" w:rsidR="001E6A7B" w:rsidRPr="00887678" w:rsidRDefault="001E6A7B" w:rsidP="001E6A7B">
      <w:pPr>
        <w:rPr>
          <w:highlight w:val="yellow"/>
        </w:rPr>
      </w:pPr>
      <w:r w:rsidRPr="006014F1">
        <w:t>CAS</w:t>
      </w:r>
      <w:r>
        <w:rPr>
          <w:rStyle w:val="FootnoteReference"/>
        </w:rPr>
        <w:footnoteReference w:id="4"/>
      </w:r>
      <w:r w:rsidRPr="006014F1">
        <w:t xml:space="preserve"> number:</w:t>
      </w:r>
      <w:r w:rsidRPr="006014F1">
        <w:tab/>
      </w:r>
      <w:r w:rsidRPr="006014F1">
        <w:tab/>
      </w:r>
      <w:r w:rsidR="007A64B4">
        <w:tab/>
      </w:r>
      <w:r w:rsidR="007A64B4">
        <w:tab/>
      </w:r>
      <w:r w:rsidR="007A64B4" w:rsidRPr="007A64B4">
        <w:t>9032-08-0</w:t>
      </w:r>
      <w:r w:rsidRPr="006014F1">
        <w:tab/>
      </w:r>
      <w:r w:rsidRPr="006014F1">
        <w:tab/>
      </w:r>
      <w:r w:rsidR="005D5AD8">
        <w:tab/>
      </w:r>
    </w:p>
    <w:p w14:paraId="347DC3A3" w14:textId="77777777" w:rsidR="00E03889" w:rsidRDefault="00E03889" w:rsidP="00E0388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50"/>
        </w:tabs>
        <w:ind w:left="3969" w:hanging="3969"/>
      </w:pPr>
    </w:p>
    <w:p w14:paraId="7207C70F" w14:textId="0E62EA74" w:rsidR="001E6A7B" w:rsidRDefault="001E6A7B" w:rsidP="00682131">
      <w:pPr>
        <w:ind w:left="3402" w:hanging="3402"/>
      </w:pPr>
      <w:r w:rsidRPr="00B81575">
        <w:t>Reaction:</w:t>
      </w:r>
      <w:r w:rsidR="007A64B4" w:rsidRPr="007A64B4">
        <w:t xml:space="preserve"> </w:t>
      </w:r>
      <w:r w:rsidR="00682131">
        <w:tab/>
      </w:r>
      <w:r w:rsidR="007A64B4" w:rsidRPr="007A64B4">
        <w:t>Hydrolysis of terminal (1→4)-linked α-D-glucose residues successively from non-reducing ends of the chains with release of β-D-glucose</w:t>
      </w:r>
      <w:r w:rsidR="007A64B4">
        <w:t>. Note that m</w:t>
      </w:r>
      <w:r w:rsidR="007A64B4" w:rsidRPr="007A64B4">
        <w:t>ost forms of the enzyme can rapidly hydrolyse 1,6-α-D-glucosidic bonds when the next bond in the sequence is 1,4</w:t>
      </w:r>
      <w:r w:rsidR="007A64B4">
        <w:t>.</w:t>
      </w:r>
      <w:r w:rsidRPr="00B81575">
        <w:tab/>
      </w:r>
    </w:p>
    <w:p w14:paraId="2F6C6E68" w14:textId="77777777" w:rsidR="001E6A7B" w:rsidRPr="007D343B" w:rsidRDefault="001E6A7B" w:rsidP="00E02D51">
      <w:pPr>
        <w:pStyle w:val="Heading3"/>
      </w:pPr>
      <w:bookmarkStart w:id="25" w:name="_Toc536543989"/>
      <w:bookmarkStart w:id="26" w:name="_Toc536607124"/>
      <w:bookmarkStart w:id="27" w:name="_Toc28003762"/>
      <w:r>
        <w:t>2.1.2</w:t>
      </w:r>
      <w:r>
        <w:tab/>
        <w:t>Technological purpose of the enzyme</w:t>
      </w:r>
      <w:bookmarkEnd w:id="25"/>
      <w:bookmarkEnd w:id="26"/>
      <w:bookmarkEnd w:id="27"/>
    </w:p>
    <w:p w14:paraId="0852E181" w14:textId="60401985" w:rsidR="00824F25" w:rsidRDefault="00B71F2A" w:rsidP="006D328D">
      <w:pPr>
        <w:rPr>
          <w:color w:val="B8CCE4" w:themeColor="accent1" w:themeTint="66"/>
        </w:rPr>
      </w:pPr>
      <w:r w:rsidRPr="00B71F2A">
        <w:t xml:space="preserve">In general terms, glucoamylases degrade starch </w:t>
      </w:r>
      <w:r w:rsidR="00D20666">
        <w:t xml:space="preserve">(and other related polysaccharides) </w:t>
      </w:r>
      <w:r w:rsidRPr="00B71F2A">
        <w:t>into</w:t>
      </w:r>
      <w:r>
        <w:t xml:space="preserve"> </w:t>
      </w:r>
      <w:r w:rsidRPr="007A64B4">
        <w:t>β</w:t>
      </w:r>
      <w:r>
        <w:t>-</w:t>
      </w:r>
      <w:r w:rsidRPr="00B71F2A">
        <w:t>D-glucose</w:t>
      </w:r>
      <w:r w:rsidR="00D17F31">
        <w:t>.</w:t>
      </w:r>
      <w:r w:rsidR="00824F25">
        <w:t xml:space="preserve"> Specifically, the enzyme catalyses the hydrolysis of</w:t>
      </w:r>
      <w:r w:rsidR="00231224">
        <w:t xml:space="preserve"> both</w:t>
      </w:r>
      <w:r w:rsidR="00824F25">
        <w:t xml:space="preserve"> 1,4-</w:t>
      </w:r>
      <w:r w:rsidR="00824F25" w:rsidRPr="007A64B4">
        <w:t>α</w:t>
      </w:r>
      <w:r w:rsidR="00824F25">
        <w:t xml:space="preserve"> and 1,6-</w:t>
      </w:r>
      <w:r w:rsidR="00824F25" w:rsidRPr="007A64B4">
        <w:t>α</w:t>
      </w:r>
      <w:r w:rsidR="00824F25">
        <w:t xml:space="preserve">-D-glucosidic linkages in starch polysaccharides (Figure 1 depicts the hydrolysis of </w:t>
      </w:r>
      <w:r w:rsidR="00231224">
        <w:t>1,4-</w:t>
      </w:r>
      <w:r w:rsidR="00231224" w:rsidRPr="007A64B4">
        <w:t>α</w:t>
      </w:r>
      <w:r w:rsidR="00231224">
        <w:t>-D-glucosidic bonds</w:t>
      </w:r>
      <w:r w:rsidR="00824F25">
        <w:t>).</w:t>
      </w:r>
      <w:r>
        <w:rPr>
          <w:color w:val="B8CCE4" w:themeColor="accent1" w:themeTint="66"/>
        </w:rPr>
        <w:t xml:space="preserve"> </w:t>
      </w:r>
    </w:p>
    <w:p w14:paraId="07AD3D64" w14:textId="77777777" w:rsidR="006D328D" w:rsidRDefault="006D328D" w:rsidP="006D328D">
      <w:pPr>
        <w:rPr>
          <w:color w:val="B8CCE4" w:themeColor="accent1" w:themeTint="66"/>
        </w:rPr>
      </w:pPr>
    </w:p>
    <w:p w14:paraId="0BE8B69C" w14:textId="77777777" w:rsidR="00824F25" w:rsidRDefault="00824F25" w:rsidP="006D328D">
      <w:pPr>
        <w:rPr>
          <w:b/>
          <w:sz w:val="18"/>
          <w:szCs w:val="18"/>
        </w:rPr>
      </w:pPr>
      <w:r w:rsidRPr="00276366">
        <w:rPr>
          <w:noProof/>
          <w:lang w:eastAsia="en-GB" w:bidi="ar-SA"/>
        </w:rPr>
        <w:drawing>
          <wp:inline distT="0" distB="0" distL="0" distR="0" wp14:anchorId="47318B56" wp14:editId="52BB2DFE">
            <wp:extent cx="6162675" cy="1666708"/>
            <wp:effectExtent l="19050" t="19050" r="9525"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91524" cy="1674510"/>
                    </a:xfrm>
                    <a:prstGeom prst="rect">
                      <a:avLst/>
                    </a:prstGeom>
                    <a:ln w="3175">
                      <a:solidFill>
                        <a:schemeClr val="tx1"/>
                      </a:solidFill>
                    </a:ln>
                  </pic:spPr>
                </pic:pic>
              </a:graphicData>
            </a:graphic>
          </wp:inline>
        </w:drawing>
      </w:r>
      <w:r w:rsidRPr="000F2E81">
        <w:rPr>
          <w:sz w:val="18"/>
          <w:szCs w:val="18"/>
        </w:rPr>
        <w:t xml:space="preserve">Source: </w:t>
      </w:r>
      <w:r>
        <w:rPr>
          <w:sz w:val="18"/>
          <w:szCs w:val="18"/>
        </w:rPr>
        <w:t xml:space="preserve">BRENDA:EC3.2.1.3 </w:t>
      </w:r>
      <w:r w:rsidRPr="000F2E81">
        <w:rPr>
          <w:sz w:val="18"/>
          <w:szCs w:val="18"/>
        </w:rPr>
        <w:t>(</w:t>
      </w:r>
      <w:hyperlink r:id="rId16" w:history="1">
        <w:r w:rsidRPr="00B93940">
          <w:rPr>
            <w:rStyle w:val="Hyperlink"/>
            <w:sz w:val="18"/>
            <w:szCs w:val="18"/>
          </w:rPr>
          <w:t>https://www.brenda-enzymes.org/enzyme.php?ecno=3.2.1.3</w:t>
        </w:r>
      </w:hyperlink>
      <w:r w:rsidRPr="000F2E81">
        <w:rPr>
          <w:sz w:val="18"/>
          <w:szCs w:val="18"/>
        </w:rPr>
        <w:t>)</w:t>
      </w:r>
      <w:r>
        <w:rPr>
          <w:sz w:val="18"/>
          <w:szCs w:val="18"/>
        </w:rPr>
        <w:t xml:space="preserve"> </w:t>
      </w:r>
    </w:p>
    <w:p w14:paraId="63888735" w14:textId="77777777" w:rsidR="006D328D" w:rsidRDefault="006D328D" w:rsidP="006D328D">
      <w:pPr>
        <w:rPr>
          <w:b/>
          <w:i/>
        </w:rPr>
      </w:pPr>
    </w:p>
    <w:p w14:paraId="79B245ED" w14:textId="70E38595" w:rsidR="00824F25" w:rsidRPr="00D17F31" w:rsidRDefault="00824F25" w:rsidP="006D328D">
      <w:pPr>
        <w:rPr>
          <w:lang w:eastAsia="en-AU" w:bidi="ar-SA"/>
        </w:rPr>
      </w:pPr>
      <w:r w:rsidRPr="004560E9">
        <w:rPr>
          <w:b/>
          <w:i/>
        </w:rPr>
        <w:t>Figure 1</w:t>
      </w:r>
      <w:r w:rsidRPr="004560E9">
        <w:rPr>
          <w:i/>
        </w:rPr>
        <w:tab/>
        <w:t xml:space="preserve">Representation of hydrolysis reaction of </w:t>
      </w:r>
      <w:r>
        <w:rPr>
          <w:i/>
        </w:rPr>
        <w:t>a polysaccharide catalysed by glucoamylase</w:t>
      </w:r>
    </w:p>
    <w:p w14:paraId="4AF28E30" w14:textId="77777777" w:rsidR="00824F25" w:rsidRDefault="00824F25" w:rsidP="00824F25">
      <w:pPr>
        <w:rPr>
          <w:color w:val="B8CCE4" w:themeColor="accent1" w:themeTint="66"/>
        </w:rPr>
      </w:pPr>
    </w:p>
    <w:p w14:paraId="7B117457" w14:textId="3CE5461F" w:rsidR="004F4442" w:rsidRDefault="00041D4F" w:rsidP="00041D4F">
      <w:r>
        <w:t>The stated technological purpose of glucoamylase in starch processing and alcohol production is supported by scientific literature (</w:t>
      </w:r>
      <w:r w:rsidRPr="002D7055">
        <w:t>Poulson 1983; Reichelt 1983; Schuster et al. 2002</w:t>
      </w:r>
      <w:r>
        <w:t xml:space="preserve">). </w:t>
      </w:r>
      <w:r w:rsidR="00716418">
        <w:t xml:space="preserve">Specifically, </w:t>
      </w:r>
      <w:r w:rsidR="006A4839">
        <w:t>d</w:t>
      </w:r>
      <w:r w:rsidR="004F4442">
        <w:t>uring the production of syrups, glucoamylase degrades starch polysaccharides into glucose. During alcohol production, glucoamylase is added at the mashing step to degrade gelatinised starch and dextrins to glucose and other fermentable sugars.</w:t>
      </w:r>
    </w:p>
    <w:p w14:paraId="02A5F6DE" w14:textId="77777777" w:rsidR="004F4442" w:rsidRDefault="004F4442" w:rsidP="00FE0093"/>
    <w:p w14:paraId="72DA99EE" w14:textId="1B01FAD3" w:rsidR="00231224" w:rsidRDefault="004F4442" w:rsidP="00FE0093">
      <w:r>
        <w:t xml:space="preserve">The </w:t>
      </w:r>
      <w:r w:rsidR="000C50B7">
        <w:t xml:space="preserve">two-fold </w:t>
      </w:r>
      <w:r w:rsidR="00231224">
        <w:t>action of glucoamylase on large</w:t>
      </w:r>
      <w:r w:rsidR="008547C8">
        <w:t>, branched</w:t>
      </w:r>
      <w:r w:rsidR="00FE0093">
        <w:t xml:space="preserve"> starch</w:t>
      </w:r>
      <w:r w:rsidR="008547C8">
        <w:t xml:space="preserve"> </w:t>
      </w:r>
      <w:r w:rsidR="00231224">
        <w:t>polysaccharides</w:t>
      </w:r>
      <w:r w:rsidR="008547C8">
        <w:t xml:space="preserve"> </w:t>
      </w:r>
      <w:r w:rsidR="00231224">
        <w:t>is</w:t>
      </w:r>
      <w:r>
        <w:t xml:space="preserve"> of technological importance in </w:t>
      </w:r>
      <w:r w:rsidR="0026283D">
        <w:t xml:space="preserve">both </w:t>
      </w:r>
      <w:r w:rsidR="00A47EEA">
        <w:t xml:space="preserve">starch processing </w:t>
      </w:r>
      <w:r>
        <w:t>and alcohol production. This is because,</w:t>
      </w:r>
      <w:r w:rsidR="00756B8F">
        <w:t xml:space="preserve"> in addition to its action on </w:t>
      </w:r>
      <w:r w:rsidR="008547C8">
        <w:t>terminal glucose units connected by 1,4-</w:t>
      </w:r>
      <w:r w:rsidR="008547C8" w:rsidRPr="007A64B4">
        <w:t>α</w:t>
      </w:r>
      <w:r w:rsidR="008547C8">
        <w:t xml:space="preserve">-D-glucosidic bonds, </w:t>
      </w:r>
      <w:r w:rsidR="00756B8F">
        <w:t>it hydrolyses</w:t>
      </w:r>
      <w:r w:rsidR="008547C8">
        <w:t xml:space="preserve"> glucose units </w:t>
      </w:r>
      <w:r w:rsidR="00FE0093">
        <w:t>at branch points along the polysaccharide</w:t>
      </w:r>
      <w:r w:rsidR="000C50B7">
        <w:t xml:space="preserve"> chain</w:t>
      </w:r>
      <w:r w:rsidR="00FE0093">
        <w:t xml:space="preserve">, </w:t>
      </w:r>
      <w:r w:rsidR="008547C8">
        <w:t xml:space="preserve">connected </w:t>
      </w:r>
      <w:r w:rsidR="00FE0093">
        <w:t xml:space="preserve">in </w:t>
      </w:r>
      <w:r w:rsidR="0026283D">
        <w:t xml:space="preserve">a </w:t>
      </w:r>
      <w:r w:rsidR="00FE0093">
        <w:t>1,6</w:t>
      </w:r>
      <w:r w:rsidR="00FE0093">
        <w:rPr>
          <w:rFonts w:cs="Arial"/>
        </w:rPr>
        <w:t>-α</w:t>
      </w:r>
      <w:r w:rsidR="00FE0093">
        <w:t xml:space="preserve">-D-glucosidic </w:t>
      </w:r>
      <w:r w:rsidR="000C50B7">
        <w:t>conformation.</w:t>
      </w:r>
      <w:r w:rsidR="0026283D">
        <w:t xml:space="preserve"> T</w:t>
      </w:r>
      <w:r w:rsidR="00756B8F">
        <w:t xml:space="preserve">hese </w:t>
      </w:r>
      <w:r w:rsidR="00A47EEA">
        <w:t xml:space="preserve">branch points </w:t>
      </w:r>
      <w:r w:rsidR="0026283D">
        <w:t>could</w:t>
      </w:r>
      <w:r w:rsidR="00756B8F">
        <w:t xml:space="preserve"> </w:t>
      </w:r>
      <w:r w:rsidR="0026283D">
        <w:t xml:space="preserve">otherwise </w:t>
      </w:r>
      <w:r w:rsidR="00756B8F">
        <w:t>remain as non-fermentable dextrins</w:t>
      </w:r>
      <w:r w:rsidR="00A47EEA">
        <w:t xml:space="preserve">, </w:t>
      </w:r>
      <w:r>
        <w:t>result</w:t>
      </w:r>
      <w:r w:rsidR="0026283D">
        <w:t>ing</w:t>
      </w:r>
      <w:r>
        <w:t xml:space="preserve"> </w:t>
      </w:r>
      <w:r w:rsidR="00756B8F">
        <w:t xml:space="preserve">in </w:t>
      </w:r>
      <w:r w:rsidR="00A47EEA">
        <w:t xml:space="preserve">an </w:t>
      </w:r>
      <w:r>
        <w:t>incomplete, in</w:t>
      </w:r>
      <w:r w:rsidR="00A47EEA">
        <w:t xml:space="preserve">efficient </w:t>
      </w:r>
      <w:r w:rsidR="00756B8F">
        <w:t>degradation of starch.</w:t>
      </w:r>
    </w:p>
    <w:p w14:paraId="0D9AE95A" w14:textId="77777777" w:rsidR="00A47EEA" w:rsidRDefault="00A47EEA" w:rsidP="00FE0093"/>
    <w:p w14:paraId="2E3B28B9" w14:textId="1DFE6990" w:rsidR="001E6A7B" w:rsidRDefault="0008059B" w:rsidP="004465AD">
      <w:r>
        <w:t>T</w:t>
      </w:r>
      <w:r w:rsidR="00E36D1A">
        <w:t xml:space="preserve">he </w:t>
      </w:r>
      <w:r w:rsidR="005F707E">
        <w:t>application states that the enzyme can be used at high operating temperatures and low operating p</w:t>
      </w:r>
      <w:r w:rsidR="00041D4F">
        <w:t xml:space="preserve">H, as detailed in Table 1 below. Table 1 </w:t>
      </w:r>
      <w:r w:rsidR="005F707E">
        <w:t xml:space="preserve">also includes a range of other </w:t>
      </w:r>
      <w:r w:rsidR="00E36D1A">
        <w:t>p</w:t>
      </w:r>
      <w:r w:rsidR="001E6A7B" w:rsidRPr="00F213F2">
        <w:t xml:space="preserve">hysical </w:t>
      </w:r>
      <w:r w:rsidR="00E36D1A">
        <w:t xml:space="preserve">and chemical </w:t>
      </w:r>
      <w:r w:rsidR="001E6A7B" w:rsidRPr="00F213F2">
        <w:t>properties of the enzyme preparation.</w:t>
      </w:r>
    </w:p>
    <w:p w14:paraId="442480B8" w14:textId="3CF1009A" w:rsidR="006D328D" w:rsidRDefault="006D328D" w:rsidP="004465AD"/>
    <w:p w14:paraId="7AE23A13" w14:textId="77777777" w:rsidR="006D328D" w:rsidRPr="00F213F2" w:rsidRDefault="006D328D" w:rsidP="004465AD"/>
    <w:p w14:paraId="3C30BBCD" w14:textId="67214252" w:rsidR="001E6A7B" w:rsidRPr="001C5015" w:rsidRDefault="001E6A7B" w:rsidP="001E6A7B">
      <w:pPr>
        <w:pStyle w:val="FSTableFigureHeading"/>
        <w:rPr>
          <w:b w:val="0"/>
        </w:rPr>
      </w:pPr>
      <w:r w:rsidRPr="001C5015">
        <w:t xml:space="preserve">Table </w:t>
      </w:r>
      <w:r w:rsidR="001C5015" w:rsidRPr="001C5015">
        <w:t>1</w:t>
      </w:r>
      <w:r w:rsidRPr="001C5015">
        <w:tab/>
      </w:r>
      <w:r w:rsidR="002F3228">
        <w:rPr>
          <w:b w:val="0"/>
        </w:rPr>
        <w:t>Glucoamylase</w:t>
      </w:r>
      <w:r w:rsidR="001C5015" w:rsidRPr="001C5015">
        <w:t xml:space="preserve"> </w:t>
      </w:r>
      <w:r w:rsidRPr="001C5015">
        <w:rPr>
          <w:b w:val="0"/>
        </w:rPr>
        <w:t>enzyme preparation physical</w:t>
      </w:r>
      <w:r w:rsidR="003A4234">
        <w:rPr>
          <w:b w:val="0"/>
        </w:rPr>
        <w:t>/chemical</w:t>
      </w:r>
      <w:r w:rsidRPr="001C5015">
        <w:rPr>
          <w:b w:val="0"/>
        </w:rPr>
        <w:t xml:space="preserve"> properties</w:t>
      </w:r>
    </w:p>
    <w:tbl>
      <w:tblPr>
        <w:tblW w:w="0" w:type="auto"/>
        <w:tblInd w:w="-108" w:type="dxa"/>
        <w:tblLayout w:type="fixed"/>
        <w:tblLook w:val="0000" w:firstRow="0" w:lastRow="0" w:firstColumn="0" w:lastColumn="0" w:noHBand="0" w:noVBand="0"/>
        <w:tblDescription w:val="Physical and chemical properties of the enzyme preparation, including activity, appearance, optimal temperature and pH and temperature and storage stability"/>
      </w:tblPr>
      <w:tblGrid>
        <w:gridCol w:w="2943"/>
        <w:gridCol w:w="4395"/>
      </w:tblGrid>
      <w:tr w:rsidR="001E6A7B" w:rsidRPr="00426F2C" w14:paraId="34353CDD" w14:textId="77777777" w:rsidTr="006E3847">
        <w:trPr>
          <w:trHeight w:val="108"/>
        </w:trPr>
        <w:tc>
          <w:tcPr>
            <w:tcW w:w="7338" w:type="dxa"/>
            <w:gridSpan w:val="2"/>
            <w:shd w:val="clear" w:color="auto" w:fill="616571"/>
            <w:vAlign w:val="center"/>
          </w:tcPr>
          <w:p w14:paraId="34A189EE" w14:textId="6993B98F" w:rsidR="001E6A7B" w:rsidRPr="00426F2C" w:rsidRDefault="001E6A7B" w:rsidP="00A7119C">
            <w:pPr>
              <w:spacing w:before="120" w:after="120"/>
              <w:ind w:left="170" w:right="284"/>
              <w:jc w:val="center"/>
              <w:rPr>
                <w:b/>
                <w:color w:val="FFFFFF" w:themeColor="background1"/>
                <w:sz w:val="20"/>
                <w:highlight w:val="yellow"/>
                <w:lang w:eastAsia="en-GB"/>
              </w:rPr>
            </w:pPr>
            <w:r w:rsidRPr="00A7119C">
              <w:rPr>
                <w:b/>
                <w:color w:val="FFFFFF" w:themeColor="background1"/>
                <w:sz w:val="20"/>
                <w:lang w:eastAsia="en-GB"/>
              </w:rPr>
              <w:t>Physical</w:t>
            </w:r>
            <w:r w:rsidR="003A4234">
              <w:rPr>
                <w:b/>
                <w:color w:val="FFFFFF" w:themeColor="background1"/>
                <w:sz w:val="20"/>
                <w:lang w:eastAsia="en-GB"/>
              </w:rPr>
              <w:t>/chemical</w:t>
            </w:r>
            <w:r w:rsidRPr="00A7119C">
              <w:rPr>
                <w:b/>
                <w:color w:val="FFFFFF" w:themeColor="background1"/>
                <w:sz w:val="20"/>
                <w:lang w:eastAsia="en-GB"/>
              </w:rPr>
              <w:t xml:space="preserve"> properties of </w:t>
            </w:r>
            <w:r w:rsidR="00A7119C" w:rsidRPr="00A7119C">
              <w:rPr>
                <w:b/>
                <w:color w:val="FFFFFF" w:themeColor="background1"/>
                <w:sz w:val="20"/>
                <w:lang w:eastAsia="en-GB"/>
              </w:rPr>
              <w:t>commercial enzyme preparation</w:t>
            </w:r>
          </w:p>
        </w:tc>
      </w:tr>
      <w:tr w:rsidR="006E3847" w:rsidRPr="00426F2C" w14:paraId="6C21DBCE" w14:textId="77777777" w:rsidTr="006E3847">
        <w:trPr>
          <w:trHeight w:val="465"/>
        </w:trPr>
        <w:tc>
          <w:tcPr>
            <w:tcW w:w="2943" w:type="dxa"/>
            <w:shd w:val="clear" w:color="auto" w:fill="ECECEC"/>
            <w:vAlign w:val="center"/>
          </w:tcPr>
          <w:p w14:paraId="72323A72" w14:textId="3DD6FDE2" w:rsidR="006E3847" w:rsidRPr="00A7119C" w:rsidRDefault="006E3847" w:rsidP="006E3847">
            <w:pPr>
              <w:autoSpaceDE w:val="0"/>
              <w:autoSpaceDN w:val="0"/>
              <w:adjustRightInd w:val="0"/>
              <w:rPr>
                <w:rFonts w:cs="Arial"/>
                <w:color w:val="000000"/>
                <w:sz w:val="20"/>
                <w:szCs w:val="20"/>
              </w:rPr>
            </w:pPr>
            <w:r>
              <w:rPr>
                <w:rFonts w:cs="Arial"/>
                <w:color w:val="000000"/>
                <w:sz w:val="20"/>
                <w:szCs w:val="20"/>
              </w:rPr>
              <w:lastRenderedPageBreak/>
              <w:t>E</w:t>
            </w:r>
            <w:r w:rsidRPr="00A7119C">
              <w:rPr>
                <w:rFonts w:cs="Arial"/>
                <w:color w:val="000000"/>
                <w:sz w:val="20"/>
                <w:szCs w:val="20"/>
              </w:rPr>
              <w:t>nzyme activity</w:t>
            </w:r>
          </w:p>
        </w:tc>
        <w:tc>
          <w:tcPr>
            <w:tcW w:w="4395" w:type="dxa"/>
            <w:shd w:val="clear" w:color="auto" w:fill="ECECEC"/>
            <w:vAlign w:val="center"/>
          </w:tcPr>
          <w:p w14:paraId="0BF90AD9" w14:textId="2DB80EEA" w:rsidR="006E3847" w:rsidRDefault="008250BE" w:rsidP="000268A9">
            <w:pPr>
              <w:autoSpaceDE w:val="0"/>
              <w:autoSpaceDN w:val="0"/>
              <w:adjustRightInd w:val="0"/>
              <w:rPr>
                <w:rFonts w:cs="Arial"/>
                <w:color w:val="000000"/>
                <w:sz w:val="20"/>
                <w:szCs w:val="20"/>
              </w:rPr>
            </w:pPr>
            <w:r>
              <w:rPr>
                <w:rFonts w:cs="Arial"/>
                <w:color w:val="000000"/>
                <w:sz w:val="20"/>
                <w:szCs w:val="20"/>
              </w:rPr>
              <w:t>381 AGU</w:t>
            </w:r>
            <w:r w:rsidR="00CE339B">
              <w:rPr>
                <w:rFonts w:cs="Arial"/>
                <w:color w:val="000000"/>
                <w:sz w:val="20"/>
                <w:szCs w:val="20"/>
              </w:rPr>
              <w:t>*</w:t>
            </w:r>
            <w:r>
              <w:rPr>
                <w:rFonts w:cs="Arial"/>
                <w:color w:val="000000"/>
                <w:sz w:val="20"/>
                <w:szCs w:val="20"/>
              </w:rPr>
              <w:t>/g</w:t>
            </w:r>
          </w:p>
        </w:tc>
      </w:tr>
      <w:tr w:rsidR="006E3847" w:rsidRPr="00426F2C" w14:paraId="79B10041" w14:textId="77777777" w:rsidTr="006E3847">
        <w:trPr>
          <w:trHeight w:val="465"/>
        </w:trPr>
        <w:tc>
          <w:tcPr>
            <w:tcW w:w="2943" w:type="dxa"/>
            <w:shd w:val="clear" w:color="auto" w:fill="auto"/>
            <w:vAlign w:val="center"/>
          </w:tcPr>
          <w:p w14:paraId="69E789B9" w14:textId="77777777" w:rsidR="006E3847" w:rsidRPr="00A7119C" w:rsidRDefault="006E3847" w:rsidP="006E3847">
            <w:pPr>
              <w:autoSpaceDE w:val="0"/>
              <w:autoSpaceDN w:val="0"/>
              <w:adjustRightInd w:val="0"/>
              <w:rPr>
                <w:rFonts w:cs="Arial"/>
                <w:color w:val="000000"/>
                <w:sz w:val="20"/>
                <w:szCs w:val="20"/>
              </w:rPr>
            </w:pPr>
            <w:r w:rsidRPr="00A7119C">
              <w:rPr>
                <w:rFonts w:cs="Arial"/>
                <w:color w:val="000000"/>
                <w:sz w:val="20"/>
                <w:szCs w:val="20"/>
              </w:rPr>
              <w:t>Appearance</w:t>
            </w:r>
          </w:p>
        </w:tc>
        <w:tc>
          <w:tcPr>
            <w:tcW w:w="4395" w:type="dxa"/>
            <w:shd w:val="clear" w:color="auto" w:fill="auto"/>
            <w:vAlign w:val="center"/>
          </w:tcPr>
          <w:p w14:paraId="522F3FD7" w14:textId="389CF556" w:rsidR="006E3847" w:rsidRPr="00A7119C" w:rsidRDefault="00B71F2A" w:rsidP="006E3847">
            <w:pPr>
              <w:autoSpaceDE w:val="0"/>
              <w:autoSpaceDN w:val="0"/>
              <w:adjustRightInd w:val="0"/>
              <w:rPr>
                <w:rFonts w:cs="Arial"/>
                <w:color w:val="000000"/>
                <w:sz w:val="20"/>
                <w:szCs w:val="20"/>
              </w:rPr>
            </w:pPr>
            <w:r>
              <w:rPr>
                <w:rFonts w:cs="Arial"/>
                <w:color w:val="000000"/>
                <w:sz w:val="20"/>
                <w:szCs w:val="20"/>
              </w:rPr>
              <w:t>Liquid</w:t>
            </w:r>
          </w:p>
        </w:tc>
      </w:tr>
      <w:tr w:rsidR="006E3847" w:rsidRPr="00426F2C" w14:paraId="4ABF18E0" w14:textId="77777777" w:rsidTr="006E3847">
        <w:trPr>
          <w:trHeight w:val="465"/>
        </w:trPr>
        <w:tc>
          <w:tcPr>
            <w:tcW w:w="2943" w:type="dxa"/>
            <w:shd w:val="clear" w:color="auto" w:fill="ECECEC"/>
            <w:vAlign w:val="center"/>
          </w:tcPr>
          <w:p w14:paraId="1663C610" w14:textId="2693DC99" w:rsidR="006E3847" w:rsidRPr="003A4234" w:rsidRDefault="006E3847" w:rsidP="006E3847">
            <w:pPr>
              <w:autoSpaceDE w:val="0"/>
              <w:autoSpaceDN w:val="0"/>
              <w:adjustRightInd w:val="0"/>
              <w:rPr>
                <w:rFonts w:cs="Arial"/>
                <w:color w:val="000000"/>
                <w:sz w:val="20"/>
                <w:szCs w:val="20"/>
              </w:rPr>
            </w:pPr>
            <w:r w:rsidRPr="003A4234">
              <w:rPr>
                <w:rFonts w:cs="Arial"/>
                <w:color w:val="000000"/>
                <w:sz w:val="20"/>
                <w:szCs w:val="20"/>
              </w:rPr>
              <w:t xml:space="preserve">Temperature </w:t>
            </w:r>
            <w:r>
              <w:rPr>
                <w:rFonts w:cs="Arial"/>
                <w:color w:val="000000"/>
                <w:sz w:val="20"/>
                <w:szCs w:val="20"/>
              </w:rPr>
              <w:t>optimum</w:t>
            </w:r>
          </w:p>
        </w:tc>
        <w:tc>
          <w:tcPr>
            <w:tcW w:w="4395" w:type="dxa"/>
            <w:shd w:val="clear" w:color="auto" w:fill="ECECEC"/>
            <w:vAlign w:val="center"/>
          </w:tcPr>
          <w:p w14:paraId="237B42D1" w14:textId="00606A0B" w:rsidR="006E3847" w:rsidRPr="003A4234" w:rsidRDefault="005A65B9" w:rsidP="006A377E">
            <w:pPr>
              <w:autoSpaceDE w:val="0"/>
              <w:autoSpaceDN w:val="0"/>
              <w:adjustRightInd w:val="0"/>
              <w:rPr>
                <w:rFonts w:cs="Arial"/>
                <w:color w:val="000000"/>
                <w:sz w:val="20"/>
                <w:szCs w:val="20"/>
              </w:rPr>
            </w:pPr>
            <w:r>
              <w:rPr>
                <w:rFonts w:cs="Arial"/>
                <w:color w:val="000000"/>
                <w:sz w:val="20"/>
                <w:szCs w:val="20"/>
              </w:rPr>
              <w:t>5</w:t>
            </w:r>
            <w:r w:rsidR="006A377E">
              <w:rPr>
                <w:rFonts w:cs="Arial"/>
                <w:color w:val="000000"/>
                <w:sz w:val="20"/>
                <w:szCs w:val="20"/>
              </w:rPr>
              <w:t>0</w:t>
            </w:r>
            <w:r>
              <w:rPr>
                <w:rFonts w:cs="Arial"/>
                <w:color w:val="000000"/>
                <w:sz w:val="20"/>
                <w:szCs w:val="20"/>
              </w:rPr>
              <w:t>-</w:t>
            </w:r>
            <w:r w:rsidR="006A377E">
              <w:rPr>
                <w:rFonts w:cs="Arial"/>
                <w:color w:val="000000"/>
                <w:sz w:val="20"/>
                <w:szCs w:val="20"/>
              </w:rPr>
              <w:t>70</w:t>
            </w:r>
            <w:r>
              <w:rPr>
                <w:rFonts w:cs="Arial"/>
                <w:color w:val="000000"/>
                <w:sz w:val="20"/>
                <w:szCs w:val="20"/>
              </w:rPr>
              <w:t>°C</w:t>
            </w:r>
          </w:p>
        </w:tc>
      </w:tr>
      <w:tr w:rsidR="006E3847" w:rsidRPr="00426F2C" w14:paraId="6DA3F513" w14:textId="77777777" w:rsidTr="001E6A7B">
        <w:trPr>
          <w:trHeight w:val="465"/>
        </w:trPr>
        <w:tc>
          <w:tcPr>
            <w:tcW w:w="2943" w:type="dxa"/>
            <w:shd w:val="clear" w:color="auto" w:fill="FFFFFF" w:themeFill="background1"/>
            <w:vAlign w:val="center"/>
          </w:tcPr>
          <w:p w14:paraId="1B0AD21F" w14:textId="52630F27" w:rsidR="006E3847" w:rsidRDefault="005A65B9" w:rsidP="006E3847">
            <w:pPr>
              <w:autoSpaceDE w:val="0"/>
              <w:autoSpaceDN w:val="0"/>
              <w:adjustRightInd w:val="0"/>
              <w:rPr>
                <w:rFonts w:cs="Arial"/>
                <w:color w:val="000000"/>
                <w:sz w:val="20"/>
                <w:szCs w:val="20"/>
              </w:rPr>
            </w:pPr>
            <w:r>
              <w:rPr>
                <w:rFonts w:cs="Arial"/>
                <w:color w:val="000000"/>
                <w:sz w:val="20"/>
                <w:szCs w:val="20"/>
              </w:rPr>
              <w:t>Temperature</w:t>
            </w:r>
            <w:r w:rsidR="006E3847">
              <w:rPr>
                <w:rFonts w:cs="Arial"/>
                <w:color w:val="000000"/>
                <w:sz w:val="20"/>
                <w:szCs w:val="20"/>
              </w:rPr>
              <w:t xml:space="preserve"> stability</w:t>
            </w:r>
          </w:p>
        </w:tc>
        <w:tc>
          <w:tcPr>
            <w:tcW w:w="4395" w:type="dxa"/>
            <w:shd w:val="clear" w:color="auto" w:fill="FFFFFF" w:themeFill="background1"/>
            <w:vAlign w:val="center"/>
          </w:tcPr>
          <w:p w14:paraId="092BBAA5" w14:textId="185D170D" w:rsidR="006E3847" w:rsidRDefault="005E37C4" w:rsidP="005E37C4">
            <w:pPr>
              <w:autoSpaceDE w:val="0"/>
              <w:autoSpaceDN w:val="0"/>
              <w:adjustRightInd w:val="0"/>
              <w:rPr>
                <w:rFonts w:cs="Arial"/>
                <w:color w:val="000000"/>
                <w:sz w:val="20"/>
                <w:szCs w:val="20"/>
              </w:rPr>
            </w:pPr>
            <w:r>
              <w:rPr>
                <w:rFonts w:cs="Arial"/>
                <w:color w:val="000000"/>
                <w:sz w:val="20"/>
                <w:szCs w:val="20"/>
              </w:rPr>
              <w:t>50% residual activity</w:t>
            </w:r>
            <w:r w:rsidR="005A65B9">
              <w:rPr>
                <w:rFonts w:cs="Arial"/>
                <w:color w:val="000000"/>
                <w:sz w:val="20"/>
                <w:szCs w:val="20"/>
              </w:rPr>
              <w:t xml:space="preserve"> after approx. 60°C</w:t>
            </w:r>
          </w:p>
        </w:tc>
      </w:tr>
      <w:tr w:rsidR="006E3847" w:rsidRPr="00426F2C" w14:paraId="15034C40" w14:textId="77777777" w:rsidTr="00063D81">
        <w:trPr>
          <w:trHeight w:val="465"/>
        </w:trPr>
        <w:tc>
          <w:tcPr>
            <w:tcW w:w="2943" w:type="dxa"/>
            <w:shd w:val="clear" w:color="auto" w:fill="ECECEC"/>
            <w:vAlign w:val="center"/>
          </w:tcPr>
          <w:p w14:paraId="202A381F" w14:textId="628B7454" w:rsidR="006E3847" w:rsidRPr="00E5619C" w:rsidRDefault="006E3847" w:rsidP="006E3847">
            <w:pPr>
              <w:autoSpaceDE w:val="0"/>
              <w:autoSpaceDN w:val="0"/>
              <w:adjustRightInd w:val="0"/>
              <w:rPr>
                <w:rFonts w:cs="Arial"/>
                <w:color w:val="000000"/>
                <w:sz w:val="20"/>
                <w:szCs w:val="20"/>
              </w:rPr>
            </w:pPr>
            <w:r w:rsidRPr="00E5619C">
              <w:rPr>
                <w:rFonts w:cs="Arial"/>
                <w:color w:val="000000"/>
                <w:sz w:val="20"/>
                <w:szCs w:val="20"/>
              </w:rPr>
              <w:t>pH optimum</w:t>
            </w:r>
          </w:p>
        </w:tc>
        <w:tc>
          <w:tcPr>
            <w:tcW w:w="4395" w:type="dxa"/>
            <w:shd w:val="clear" w:color="auto" w:fill="ECECEC"/>
            <w:vAlign w:val="center"/>
          </w:tcPr>
          <w:p w14:paraId="3AB0358E" w14:textId="3158119B" w:rsidR="006E3847" w:rsidRPr="00E5619C" w:rsidRDefault="005A65B9" w:rsidP="006A377E">
            <w:pPr>
              <w:autoSpaceDE w:val="0"/>
              <w:autoSpaceDN w:val="0"/>
              <w:adjustRightInd w:val="0"/>
              <w:rPr>
                <w:rFonts w:cs="Arial"/>
                <w:color w:val="000000"/>
                <w:sz w:val="20"/>
                <w:szCs w:val="20"/>
              </w:rPr>
            </w:pPr>
            <w:r>
              <w:rPr>
                <w:rFonts w:cs="Arial"/>
                <w:color w:val="000000"/>
                <w:sz w:val="20"/>
                <w:szCs w:val="20"/>
              </w:rPr>
              <w:t>3-</w:t>
            </w:r>
            <w:r w:rsidR="006A377E">
              <w:rPr>
                <w:rFonts w:cs="Arial"/>
                <w:color w:val="000000"/>
                <w:sz w:val="20"/>
                <w:szCs w:val="20"/>
              </w:rPr>
              <w:t>5</w:t>
            </w:r>
          </w:p>
        </w:tc>
      </w:tr>
      <w:tr w:rsidR="006E3847" w:rsidRPr="00426F2C" w14:paraId="2082DFE7" w14:textId="77777777" w:rsidTr="00063D81">
        <w:trPr>
          <w:trHeight w:val="465"/>
        </w:trPr>
        <w:tc>
          <w:tcPr>
            <w:tcW w:w="2943" w:type="dxa"/>
            <w:tcBorders>
              <w:bottom w:val="single" w:sz="4" w:space="0" w:color="ECECEC"/>
            </w:tcBorders>
            <w:shd w:val="clear" w:color="auto" w:fill="auto"/>
            <w:vAlign w:val="center"/>
          </w:tcPr>
          <w:p w14:paraId="76A6CF17" w14:textId="0DFB9A98" w:rsidR="006E3847" w:rsidRDefault="006E3847" w:rsidP="006E3847">
            <w:pPr>
              <w:autoSpaceDE w:val="0"/>
              <w:autoSpaceDN w:val="0"/>
              <w:adjustRightInd w:val="0"/>
              <w:rPr>
                <w:rFonts w:cs="Arial"/>
                <w:color w:val="000000"/>
                <w:sz w:val="20"/>
                <w:szCs w:val="20"/>
              </w:rPr>
            </w:pPr>
            <w:r>
              <w:rPr>
                <w:rFonts w:cs="Arial"/>
                <w:color w:val="000000"/>
                <w:sz w:val="20"/>
                <w:szCs w:val="20"/>
              </w:rPr>
              <w:t>Storage stability</w:t>
            </w:r>
          </w:p>
        </w:tc>
        <w:tc>
          <w:tcPr>
            <w:tcW w:w="4395" w:type="dxa"/>
            <w:tcBorders>
              <w:bottom w:val="single" w:sz="4" w:space="0" w:color="ECECEC"/>
            </w:tcBorders>
            <w:shd w:val="clear" w:color="auto" w:fill="auto"/>
            <w:vAlign w:val="center"/>
          </w:tcPr>
          <w:p w14:paraId="78639CCA" w14:textId="5CA191C9" w:rsidR="006E3847" w:rsidRDefault="005E0DC7" w:rsidP="00263497">
            <w:pPr>
              <w:autoSpaceDE w:val="0"/>
              <w:autoSpaceDN w:val="0"/>
              <w:adjustRightInd w:val="0"/>
              <w:rPr>
                <w:rFonts w:cs="Arial"/>
                <w:color w:val="000000"/>
                <w:sz w:val="20"/>
                <w:szCs w:val="20"/>
              </w:rPr>
            </w:pPr>
            <w:r>
              <w:rPr>
                <w:rFonts w:cs="Arial"/>
                <w:color w:val="000000"/>
                <w:sz w:val="20"/>
                <w:szCs w:val="20"/>
              </w:rPr>
              <w:t>Stable at 0-25°C</w:t>
            </w:r>
          </w:p>
        </w:tc>
      </w:tr>
    </w:tbl>
    <w:p w14:paraId="0049FC49" w14:textId="259EB0D9" w:rsidR="00716418" w:rsidRPr="00CE339B" w:rsidRDefault="00CE339B" w:rsidP="006A4839">
      <w:pPr>
        <w:rPr>
          <w:sz w:val="18"/>
          <w:szCs w:val="18"/>
        </w:rPr>
      </w:pPr>
      <w:r w:rsidRPr="00CE339B">
        <w:rPr>
          <w:sz w:val="18"/>
          <w:szCs w:val="18"/>
        </w:rPr>
        <w:t>*AGU – standardised glucoamylase activity units</w:t>
      </w:r>
    </w:p>
    <w:p w14:paraId="1813E915" w14:textId="1E70B46C" w:rsidR="00CE339B" w:rsidRDefault="00CE339B" w:rsidP="006A4839"/>
    <w:p w14:paraId="2F1B2F32" w14:textId="5EA01976" w:rsidR="00716418" w:rsidRDefault="001E6A7B" w:rsidP="00716418">
      <w:r w:rsidRPr="00C609F6">
        <w:t xml:space="preserve">Use of commercial enzyme preparations </w:t>
      </w:r>
      <w:r w:rsidR="00821E30" w:rsidRPr="00C609F6">
        <w:t xml:space="preserve">should follow </w:t>
      </w:r>
      <w:r w:rsidR="008958EE" w:rsidRPr="00C609F6">
        <w:t>Good Manufacturing Practice (GMP)</w:t>
      </w:r>
      <w:r w:rsidRPr="00C609F6">
        <w:t xml:space="preserve">, where use is at a level that is not higher than </w:t>
      </w:r>
      <w:r w:rsidR="00821E30" w:rsidRPr="00C609F6">
        <w:t xml:space="preserve">that </w:t>
      </w:r>
      <w:r w:rsidRPr="00C609F6">
        <w:t>necessary to achieve</w:t>
      </w:r>
      <w:r w:rsidR="00867E72" w:rsidRPr="00C609F6">
        <w:t xml:space="preserve"> the desired enzymatic reaction</w:t>
      </w:r>
      <w:r w:rsidRPr="00C609F6">
        <w:t xml:space="preserve">. </w:t>
      </w:r>
      <w:r w:rsidR="00515AB1" w:rsidRPr="00C609F6">
        <w:t xml:space="preserve">The applicant states that the </w:t>
      </w:r>
      <w:r w:rsidR="006A4839" w:rsidRPr="00C609F6">
        <w:t xml:space="preserve">highest </w:t>
      </w:r>
      <w:r w:rsidR="00E06EC7">
        <w:t xml:space="preserve">use level </w:t>
      </w:r>
      <w:r w:rsidR="006A4839" w:rsidRPr="00C609F6">
        <w:t>of glucoamylase for solid food</w:t>
      </w:r>
      <w:r w:rsidR="00C609F6">
        <w:t>s</w:t>
      </w:r>
      <w:r w:rsidR="006A4839" w:rsidRPr="00C609F6">
        <w:t xml:space="preserve"> is 400 AGU per kg starch dry matter. This corresponds to 0.07 g per kg starch dry matter, which is equivalent to 0.03 g TOS per kg starch dry matter.</w:t>
      </w:r>
      <w:r w:rsidR="000318BE" w:rsidRPr="00C609F6">
        <w:t xml:space="preserve"> For liquid foods, the highest recommended </w:t>
      </w:r>
      <w:r w:rsidR="00E06EC7">
        <w:t>use level</w:t>
      </w:r>
      <w:r w:rsidR="00E06EC7" w:rsidRPr="00C609F6">
        <w:t xml:space="preserve"> </w:t>
      </w:r>
      <w:r w:rsidR="000318BE" w:rsidRPr="00C609F6">
        <w:t>is</w:t>
      </w:r>
      <w:r w:rsidR="006A4839" w:rsidRPr="00C609F6">
        <w:t xml:space="preserve"> 900 AGU per kg starch dry matter, or 0.16 g of glucoamylase per kg starch dry matter</w:t>
      </w:r>
      <w:r w:rsidR="000318BE" w:rsidRPr="00C609F6">
        <w:t>,</w:t>
      </w:r>
      <w:r w:rsidR="006A4839" w:rsidRPr="00C609F6">
        <w:t xml:space="preserve"> </w:t>
      </w:r>
      <w:r w:rsidR="00716418">
        <w:t xml:space="preserve">which is equivalent to </w:t>
      </w:r>
      <w:r w:rsidR="006A4839" w:rsidRPr="00C609F6">
        <w:t>0.07 g TOS per kg starch dry matter.</w:t>
      </w:r>
      <w:r w:rsidR="00716418">
        <w:t xml:space="preserve"> The applicant claims </w:t>
      </w:r>
      <w:r w:rsidR="00FE6665">
        <w:t xml:space="preserve">and FSANZ agrees </w:t>
      </w:r>
      <w:r w:rsidR="00716418">
        <w:t xml:space="preserve">that the amounts of glucoamylase and TOS in the final food are negligible. </w:t>
      </w:r>
    </w:p>
    <w:p w14:paraId="5D834DED" w14:textId="77777777" w:rsidR="000318BE" w:rsidRPr="00C609F6" w:rsidRDefault="000318BE" w:rsidP="00515AB1">
      <w:pPr>
        <w:tabs>
          <w:tab w:val="left" w:pos="1134"/>
        </w:tabs>
      </w:pPr>
    </w:p>
    <w:p w14:paraId="540B0607" w14:textId="5A923319" w:rsidR="00515AB1" w:rsidRPr="00C609F6" w:rsidRDefault="00C609F6" w:rsidP="00515AB1">
      <w:pPr>
        <w:tabs>
          <w:tab w:val="left" w:pos="1134"/>
        </w:tabs>
      </w:pPr>
      <w:r w:rsidRPr="00C609F6">
        <w:t xml:space="preserve">The conditions of use of the enzyme during food processing will </w:t>
      </w:r>
      <w:r w:rsidR="00515AB1" w:rsidRPr="00C609F6">
        <w:t>depend on a number of factors including the nature of the application and the individual food manufacturers’ production processes. The optimum use level should be assessed and adjusted using trials that reflect their particular processes, and also bearing in mind an acceptable economic cost.</w:t>
      </w:r>
      <w:r w:rsidR="004465AD" w:rsidRPr="004465AD">
        <w:t xml:space="preserve"> </w:t>
      </w:r>
    </w:p>
    <w:p w14:paraId="13671A08" w14:textId="2D7F1CA3" w:rsidR="005F707E" w:rsidRPr="005F707E" w:rsidRDefault="005F707E" w:rsidP="00E02D51">
      <w:pPr>
        <w:pStyle w:val="Heading3"/>
      </w:pPr>
      <w:bookmarkStart w:id="28" w:name="_Toc28003763"/>
      <w:r w:rsidRPr="005F707E">
        <w:t>2.1.3</w:t>
      </w:r>
      <w:r w:rsidRPr="005F707E">
        <w:tab/>
        <w:t>Technological justification for the enzyme</w:t>
      </w:r>
      <w:bookmarkEnd w:id="28"/>
    </w:p>
    <w:p w14:paraId="5557F9F5" w14:textId="1EF1D72E" w:rsidR="00811405" w:rsidRDefault="00811405" w:rsidP="005F707E">
      <w:r>
        <w:t>As outlined above, the application suggests that the enzyme fulfils an important technological purpose</w:t>
      </w:r>
      <w:r w:rsidR="00AC0121">
        <w:t>,</w:t>
      </w:r>
      <w:r>
        <w:t xml:space="preserve"> in that it assists in a more complete conversion of large, branched polysaccharides to glucose and other fermentable sugars</w:t>
      </w:r>
      <w:r w:rsidR="00AC0121">
        <w:t xml:space="preserve"> during starch processing and alcohol production</w:t>
      </w:r>
      <w:r>
        <w:t>.</w:t>
      </w:r>
      <w:r w:rsidR="00AC0121">
        <w:t xml:space="preserve"> Further, </w:t>
      </w:r>
      <w:r w:rsidR="001E5ABB">
        <w:t xml:space="preserve">it is argued that </w:t>
      </w:r>
      <w:r w:rsidR="00AC0121">
        <w:t xml:space="preserve">the enzyme provides the food and beverage industry with an opportunity to gain these processing advantages under </w:t>
      </w:r>
      <w:r w:rsidR="002F351C">
        <w:t>resource-</w:t>
      </w:r>
      <w:r w:rsidR="00AC0121">
        <w:t xml:space="preserve"> and cost-efficient production conditions.  </w:t>
      </w:r>
    </w:p>
    <w:p w14:paraId="3F0318E2" w14:textId="77777777" w:rsidR="00811405" w:rsidRDefault="00811405" w:rsidP="005F707E"/>
    <w:p w14:paraId="0CC7F755" w14:textId="308B4B84" w:rsidR="00811405" w:rsidRDefault="00CE339B" w:rsidP="005F707E">
      <w:r>
        <w:t xml:space="preserve">In </w:t>
      </w:r>
      <w:r w:rsidR="00811405">
        <w:t xml:space="preserve">particular, in </w:t>
      </w:r>
      <w:r>
        <w:t xml:space="preserve">starch processing, </w:t>
      </w:r>
      <w:r w:rsidR="00811405">
        <w:t xml:space="preserve">the benefits of using </w:t>
      </w:r>
      <w:r w:rsidR="004666BE">
        <w:t xml:space="preserve">the glucoamylase </w:t>
      </w:r>
      <w:r w:rsidR="00811405">
        <w:t>include:</w:t>
      </w:r>
    </w:p>
    <w:p w14:paraId="7A8BD1AA" w14:textId="77777777" w:rsidR="00811405" w:rsidRDefault="00811405" w:rsidP="005F707E"/>
    <w:p w14:paraId="6718F432" w14:textId="0C800AC2" w:rsidR="005F707E" w:rsidRDefault="00811405" w:rsidP="00811405">
      <w:pPr>
        <w:pStyle w:val="ListParagraph"/>
        <w:numPr>
          <w:ilvl w:val="0"/>
          <w:numId w:val="10"/>
        </w:numPr>
      </w:pPr>
      <w:r>
        <w:t xml:space="preserve">efficient degradation of dextrins and production of glucose, leading </w:t>
      </w:r>
      <w:r w:rsidR="005F707E" w:rsidRPr="00716418">
        <w:t xml:space="preserve">to a higher </w:t>
      </w:r>
      <w:r>
        <w:t>overall glucose yield</w:t>
      </w:r>
    </w:p>
    <w:p w14:paraId="2729706C" w14:textId="3A12DAB0" w:rsidR="00811405" w:rsidRDefault="00811405" w:rsidP="00811405">
      <w:pPr>
        <w:pStyle w:val="ListParagraph"/>
        <w:numPr>
          <w:ilvl w:val="0"/>
          <w:numId w:val="10"/>
        </w:numPr>
      </w:pPr>
      <w:r>
        <w:t xml:space="preserve">reduced risk of </w:t>
      </w:r>
      <w:r w:rsidR="00D54706">
        <w:t xml:space="preserve">microbial </w:t>
      </w:r>
      <w:r>
        <w:t>contamination, because the enzyme is still functional at high operating temperatures</w:t>
      </w:r>
    </w:p>
    <w:p w14:paraId="50A33DA6" w14:textId="25D8CFE6" w:rsidR="00811405" w:rsidRDefault="00811405" w:rsidP="00811405">
      <w:pPr>
        <w:pStyle w:val="ListParagraph"/>
        <w:numPr>
          <w:ilvl w:val="0"/>
          <w:numId w:val="10"/>
        </w:numPr>
      </w:pPr>
      <w:r>
        <w:t>thermal stability, such that variations in temperature will not affect enzyme activity.</w:t>
      </w:r>
    </w:p>
    <w:p w14:paraId="535F881B" w14:textId="1C3F51F0" w:rsidR="00811405" w:rsidRDefault="00811405" w:rsidP="00811405"/>
    <w:p w14:paraId="34F9218C" w14:textId="1DBE65CC" w:rsidR="00811405" w:rsidRDefault="00811405" w:rsidP="00811405">
      <w:r>
        <w:t>The benefits of the action of the glucoamylase in the production of potable alcohol include:</w:t>
      </w:r>
    </w:p>
    <w:p w14:paraId="28E4C6FF" w14:textId="77777777" w:rsidR="00811405" w:rsidRDefault="00811405" w:rsidP="00811405"/>
    <w:p w14:paraId="5488D811" w14:textId="697B6AD9" w:rsidR="00811405" w:rsidRDefault="00811405" w:rsidP="00811405">
      <w:pPr>
        <w:pStyle w:val="ListParagraph"/>
        <w:numPr>
          <w:ilvl w:val="0"/>
          <w:numId w:val="11"/>
        </w:numPr>
      </w:pPr>
      <w:r>
        <w:t xml:space="preserve">efficient degradation of </w:t>
      </w:r>
      <w:r w:rsidR="001E5ABB">
        <w:t xml:space="preserve">gelatinised starch and </w:t>
      </w:r>
      <w:r>
        <w:t>dextrins and production of fermentable sugars</w:t>
      </w:r>
    </w:p>
    <w:p w14:paraId="44CE66E9" w14:textId="77777777" w:rsidR="0069502F" w:rsidRDefault="0069502F" w:rsidP="00996496">
      <w:pPr>
        <w:pStyle w:val="ListParagraph"/>
        <w:numPr>
          <w:ilvl w:val="0"/>
          <w:numId w:val="11"/>
        </w:numPr>
      </w:pPr>
      <w:r>
        <w:t>h</w:t>
      </w:r>
      <w:r w:rsidR="00811405">
        <w:t>igh alcohol yields</w:t>
      </w:r>
      <w:r>
        <w:t>,</w:t>
      </w:r>
      <w:r w:rsidR="00811405">
        <w:t xml:space="preserve"> due to a more complete conversion of starch and</w:t>
      </w:r>
      <w:r>
        <w:t>, as such, a reduction in the amount of raw materials needed</w:t>
      </w:r>
    </w:p>
    <w:p w14:paraId="4437121E" w14:textId="3726AE27" w:rsidR="00811405" w:rsidRDefault="0069502F" w:rsidP="00811405">
      <w:pPr>
        <w:pStyle w:val="ListParagraph"/>
        <w:numPr>
          <w:ilvl w:val="0"/>
          <w:numId w:val="11"/>
        </w:numPr>
      </w:pPr>
      <w:r>
        <w:t>r</w:t>
      </w:r>
      <w:r w:rsidR="00811405">
        <w:t xml:space="preserve">educed risk of contamination, because the enzyme </w:t>
      </w:r>
      <w:r>
        <w:t xml:space="preserve">is still functional at </w:t>
      </w:r>
      <w:r w:rsidR="00811405">
        <w:t>high operating</w:t>
      </w:r>
      <w:r>
        <w:t xml:space="preserve"> </w:t>
      </w:r>
      <w:r w:rsidR="00811405">
        <w:t>temperature</w:t>
      </w:r>
      <w:r>
        <w:t>s</w:t>
      </w:r>
      <w:r w:rsidR="00811405">
        <w:t xml:space="preserve"> and low operating pH</w:t>
      </w:r>
      <w:r>
        <w:t>.</w:t>
      </w:r>
    </w:p>
    <w:p w14:paraId="1B6435E5" w14:textId="77777777" w:rsidR="001E6A7B" w:rsidRPr="00504BE7" w:rsidRDefault="001E6A7B" w:rsidP="00E02D51">
      <w:pPr>
        <w:pStyle w:val="Heading2"/>
        <w:numPr>
          <w:ilvl w:val="0"/>
          <w:numId w:val="0"/>
        </w:numPr>
        <w:ind w:left="851" w:hanging="851"/>
      </w:pPr>
      <w:bookmarkStart w:id="29" w:name="_Toc536543991"/>
      <w:bookmarkStart w:id="30" w:name="_Toc536607126"/>
      <w:bookmarkStart w:id="31" w:name="_Toc28003764"/>
      <w:r w:rsidRPr="00504BE7">
        <w:lastRenderedPageBreak/>
        <w:t>2.2</w:t>
      </w:r>
      <w:r w:rsidRPr="00504BE7">
        <w:tab/>
        <w:t>Manufacturing process</w:t>
      </w:r>
      <w:bookmarkEnd w:id="29"/>
      <w:bookmarkEnd w:id="30"/>
      <w:bookmarkEnd w:id="31"/>
    </w:p>
    <w:p w14:paraId="6E74515A" w14:textId="0DEA259B" w:rsidR="001E6A7B" w:rsidRDefault="0035149D" w:rsidP="00E02D51">
      <w:pPr>
        <w:pStyle w:val="Heading3"/>
      </w:pPr>
      <w:bookmarkStart w:id="32" w:name="_Toc536543992"/>
      <w:bookmarkStart w:id="33" w:name="_Toc536607127"/>
      <w:bookmarkStart w:id="34" w:name="_Toc28003765"/>
      <w:r w:rsidRPr="00504BE7">
        <w:t>2.2.1</w:t>
      </w:r>
      <w:r w:rsidRPr="00504BE7">
        <w:tab/>
        <w:t>P</w:t>
      </w:r>
      <w:r w:rsidR="001E6A7B" w:rsidRPr="00504BE7">
        <w:t>roduction of the enzyme</w:t>
      </w:r>
      <w:bookmarkEnd w:id="32"/>
      <w:bookmarkEnd w:id="33"/>
      <w:bookmarkEnd w:id="34"/>
    </w:p>
    <w:p w14:paraId="6AB156D7" w14:textId="7EA7F5A4" w:rsidR="001424EE" w:rsidRDefault="001424EE" w:rsidP="001424EE">
      <w:pPr>
        <w:rPr>
          <w:lang w:eastAsia="en-AU" w:bidi="ar-SA"/>
        </w:rPr>
      </w:pPr>
      <w:r>
        <w:rPr>
          <w:lang w:eastAsia="en-AU" w:bidi="ar-SA"/>
        </w:rPr>
        <w:t xml:space="preserve">The </w:t>
      </w:r>
      <w:r w:rsidR="00996496">
        <w:rPr>
          <w:lang w:eastAsia="en-AU" w:bidi="ar-SA"/>
        </w:rPr>
        <w:t xml:space="preserve">enzyme is produced by fermentation </w:t>
      </w:r>
      <w:r w:rsidR="00996496">
        <w:rPr>
          <w:lang w:eastAsia="en-AU"/>
        </w:rPr>
        <w:t xml:space="preserve">of the GM strain of </w:t>
      </w:r>
      <w:r w:rsidR="00996496">
        <w:rPr>
          <w:i/>
          <w:lang w:eastAsia="en-AU"/>
        </w:rPr>
        <w:t>A. niger</w:t>
      </w:r>
      <w:r w:rsidR="00D54706">
        <w:rPr>
          <w:i/>
          <w:lang w:eastAsia="en-AU"/>
        </w:rPr>
        <w:t xml:space="preserve">. </w:t>
      </w:r>
      <w:r w:rsidR="00996496">
        <w:rPr>
          <w:lang w:eastAsia="en-AU" w:bidi="ar-SA"/>
        </w:rPr>
        <w:t xml:space="preserve">Briefly, it comprises the processes of </w:t>
      </w:r>
      <w:r w:rsidR="0092423C">
        <w:rPr>
          <w:lang w:eastAsia="en-AU" w:bidi="ar-SA"/>
        </w:rPr>
        <w:t>fermentation, purification</w:t>
      </w:r>
      <w:r w:rsidR="00996496">
        <w:rPr>
          <w:lang w:eastAsia="en-AU" w:bidi="ar-SA"/>
        </w:rPr>
        <w:t xml:space="preserve"> and formulation, followed by </w:t>
      </w:r>
      <w:r w:rsidR="0092423C">
        <w:rPr>
          <w:lang w:eastAsia="en-AU" w:bidi="ar-SA"/>
        </w:rPr>
        <w:t>quality control</w:t>
      </w:r>
      <w:r w:rsidR="00996496">
        <w:rPr>
          <w:lang w:eastAsia="en-AU" w:bidi="ar-SA"/>
        </w:rPr>
        <w:t xml:space="preserve"> of the finished product</w:t>
      </w:r>
      <w:r w:rsidR="0092423C">
        <w:rPr>
          <w:lang w:eastAsia="en-AU" w:bidi="ar-SA"/>
        </w:rPr>
        <w:t>.</w:t>
      </w:r>
    </w:p>
    <w:p w14:paraId="18339BCE" w14:textId="6220EF8B" w:rsidR="005D530D" w:rsidRDefault="005D530D" w:rsidP="001424EE">
      <w:pPr>
        <w:rPr>
          <w:lang w:eastAsia="en-AU" w:bidi="ar-SA"/>
        </w:rPr>
      </w:pPr>
    </w:p>
    <w:p w14:paraId="13E7C6EE" w14:textId="34DD4974" w:rsidR="009D4407" w:rsidRDefault="00996496" w:rsidP="001424EE">
      <w:pPr>
        <w:rPr>
          <w:lang w:eastAsia="en-AU" w:bidi="ar-SA"/>
        </w:rPr>
      </w:pPr>
      <w:r>
        <w:rPr>
          <w:lang w:eastAsia="en-AU" w:bidi="ar-SA"/>
        </w:rPr>
        <w:t xml:space="preserve">The fermentation process begins with injecting the stock culture suspension into the inoculum flask. When sufficient biomass </w:t>
      </w:r>
      <w:r w:rsidR="00C04E95">
        <w:rPr>
          <w:lang w:eastAsia="en-AU" w:bidi="ar-SA"/>
        </w:rPr>
        <w:t>is</w:t>
      </w:r>
      <w:r>
        <w:rPr>
          <w:lang w:eastAsia="en-AU" w:bidi="ar-SA"/>
        </w:rPr>
        <w:t xml:space="preserve"> obtained, a suspension of cells is transferred from the inoculum fla</w:t>
      </w:r>
      <w:r w:rsidR="00C04E95">
        <w:rPr>
          <w:lang w:eastAsia="en-AU" w:bidi="ar-SA"/>
        </w:rPr>
        <w:t>s</w:t>
      </w:r>
      <w:r>
        <w:rPr>
          <w:lang w:eastAsia="en-AU" w:bidi="ar-SA"/>
        </w:rPr>
        <w:t>k to the seed fermentation tank</w:t>
      </w:r>
      <w:r w:rsidR="00C04E95">
        <w:rPr>
          <w:lang w:eastAsia="en-AU" w:bidi="ar-SA"/>
        </w:rPr>
        <w:t xml:space="preserve">, and </w:t>
      </w:r>
      <w:r w:rsidR="009A1A49">
        <w:rPr>
          <w:lang w:eastAsia="en-AU" w:bidi="ar-SA"/>
        </w:rPr>
        <w:t>eventually to the</w:t>
      </w:r>
      <w:r w:rsidR="009D4407">
        <w:rPr>
          <w:lang w:eastAsia="en-AU" w:bidi="ar-SA"/>
        </w:rPr>
        <w:t xml:space="preserve"> main fermentation tank</w:t>
      </w:r>
      <w:r w:rsidR="009A1A49">
        <w:rPr>
          <w:lang w:eastAsia="en-AU" w:bidi="ar-SA"/>
        </w:rPr>
        <w:t>, where the desired level of</w:t>
      </w:r>
      <w:r w:rsidR="009D4407">
        <w:rPr>
          <w:lang w:eastAsia="en-AU" w:bidi="ar-SA"/>
        </w:rPr>
        <w:t xml:space="preserve"> biomass and enzymatic activity is</w:t>
      </w:r>
      <w:r w:rsidR="009A1A49">
        <w:rPr>
          <w:lang w:eastAsia="en-AU" w:bidi="ar-SA"/>
        </w:rPr>
        <w:t xml:space="preserve"> achieved</w:t>
      </w:r>
      <w:r w:rsidR="009D4407">
        <w:rPr>
          <w:lang w:eastAsia="en-AU" w:bidi="ar-SA"/>
        </w:rPr>
        <w:t xml:space="preserve">. During all stages of the fermentation process, samples are taken to ensure the absence of microbial contamination. </w:t>
      </w:r>
    </w:p>
    <w:p w14:paraId="6CD5562F" w14:textId="77777777" w:rsidR="009D4407" w:rsidRDefault="009D4407" w:rsidP="009D4407">
      <w:pPr>
        <w:rPr>
          <w:lang w:eastAsia="en-AU" w:bidi="ar-SA"/>
        </w:rPr>
      </w:pPr>
    </w:p>
    <w:p w14:paraId="0E6BAC55" w14:textId="1ED7F84A" w:rsidR="00C04E95" w:rsidRDefault="009D4407" w:rsidP="009D4407">
      <w:pPr>
        <w:rPr>
          <w:lang w:eastAsia="en-AU"/>
        </w:rPr>
      </w:pPr>
      <w:r>
        <w:rPr>
          <w:lang w:eastAsia="en-AU" w:bidi="ar-SA"/>
        </w:rPr>
        <w:t xml:space="preserve">The recovery process is a multi-step operation to separate </w:t>
      </w:r>
      <w:r>
        <w:rPr>
          <w:lang w:eastAsia="en-AU"/>
        </w:rPr>
        <w:t>the biomass from the enzyme-containing culture medium. It involves a series of filtration</w:t>
      </w:r>
      <w:r w:rsidR="00C04E95">
        <w:rPr>
          <w:lang w:eastAsia="en-AU"/>
        </w:rPr>
        <w:t>,</w:t>
      </w:r>
      <w:r>
        <w:rPr>
          <w:lang w:eastAsia="en-AU"/>
        </w:rPr>
        <w:t xml:space="preserve"> concentration </w:t>
      </w:r>
      <w:r w:rsidR="00C04E95">
        <w:rPr>
          <w:lang w:eastAsia="en-AU"/>
        </w:rPr>
        <w:t xml:space="preserve">and stabilisation </w:t>
      </w:r>
      <w:r>
        <w:rPr>
          <w:lang w:eastAsia="en-AU"/>
        </w:rPr>
        <w:t>steps, resulting in an enzyme-containing liquid</w:t>
      </w:r>
      <w:r w:rsidR="00882BD2">
        <w:rPr>
          <w:lang w:eastAsia="en-AU"/>
        </w:rPr>
        <w:t xml:space="preserve"> concentrate</w:t>
      </w:r>
      <w:r>
        <w:rPr>
          <w:lang w:eastAsia="en-AU"/>
        </w:rPr>
        <w:t xml:space="preserve"> that is free from any microorganisms or other impurities. </w:t>
      </w:r>
      <w:r w:rsidR="00C04E95">
        <w:rPr>
          <w:lang w:eastAsia="en-AU"/>
        </w:rPr>
        <w:t xml:space="preserve">For enzymatic, physical and microbial stabilisation, glycerol is added to the enzyme concentrate, and the pH is adjusted using acetic acid or sodium hydroxide. </w:t>
      </w:r>
    </w:p>
    <w:p w14:paraId="71369FF5" w14:textId="77777777" w:rsidR="00623D79" w:rsidRDefault="00623D79" w:rsidP="00623D79">
      <w:pPr>
        <w:rPr>
          <w:lang w:eastAsia="en-AU" w:bidi="ar-SA"/>
        </w:rPr>
      </w:pPr>
    </w:p>
    <w:p w14:paraId="582C2134" w14:textId="70B980B2" w:rsidR="009A1A49" w:rsidRDefault="009A1A49" w:rsidP="009D4407">
      <w:pPr>
        <w:rPr>
          <w:lang w:eastAsia="en-AU"/>
        </w:rPr>
      </w:pPr>
      <w:r>
        <w:rPr>
          <w:lang w:eastAsia="en-AU"/>
        </w:rPr>
        <w:t xml:space="preserve">The glucoamylase enzyme may </w:t>
      </w:r>
      <w:r w:rsidRPr="009A1A49">
        <w:rPr>
          <w:lang w:eastAsia="en-AU"/>
        </w:rPr>
        <w:t xml:space="preserve">be </w:t>
      </w:r>
      <w:r>
        <w:rPr>
          <w:lang w:eastAsia="en-AU"/>
        </w:rPr>
        <w:t xml:space="preserve">formulated as </w:t>
      </w:r>
      <w:r w:rsidRPr="009A1A49">
        <w:rPr>
          <w:lang w:eastAsia="en-AU"/>
        </w:rPr>
        <w:t>a single enzyme preparation or a blend with other food enzymes</w:t>
      </w:r>
      <w:r>
        <w:rPr>
          <w:lang w:eastAsia="en-AU"/>
        </w:rPr>
        <w:t xml:space="preserve"> </w:t>
      </w:r>
      <w:r w:rsidRPr="009A1A49">
        <w:rPr>
          <w:lang w:eastAsia="en-AU"/>
        </w:rPr>
        <w:t xml:space="preserve">as a liquid or a granulate depending on the </w:t>
      </w:r>
      <w:r>
        <w:rPr>
          <w:lang w:eastAsia="en-AU"/>
        </w:rPr>
        <w:t xml:space="preserve">food manufacturing process for which it will be used. </w:t>
      </w:r>
    </w:p>
    <w:p w14:paraId="49A4777B" w14:textId="77777777" w:rsidR="009A1A49" w:rsidRDefault="009A1A49" w:rsidP="009D4407">
      <w:pPr>
        <w:rPr>
          <w:lang w:eastAsia="en-AU"/>
        </w:rPr>
      </w:pPr>
    </w:p>
    <w:p w14:paraId="7BCFDF2C" w14:textId="77777777" w:rsidR="00882BD2" w:rsidRDefault="009D4407" w:rsidP="005124FC">
      <w:pPr>
        <w:rPr>
          <w:lang w:eastAsia="en-AU" w:bidi="ar-SA"/>
        </w:rPr>
      </w:pPr>
      <w:r w:rsidRPr="00632445">
        <w:rPr>
          <w:lang w:eastAsia="en-AU"/>
        </w:rPr>
        <w:t xml:space="preserve">The </w:t>
      </w:r>
      <w:r>
        <w:rPr>
          <w:lang w:eastAsia="en-AU"/>
        </w:rPr>
        <w:t xml:space="preserve">applicant has provided </w:t>
      </w:r>
      <w:r w:rsidR="005124FC">
        <w:rPr>
          <w:lang w:eastAsia="en-AU"/>
        </w:rPr>
        <w:t>documentation</w:t>
      </w:r>
      <w:r>
        <w:rPr>
          <w:lang w:eastAsia="en-AU"/>
        </w:rPr>
        <w:t xml:space="preserve"> to demonstrate that the </w:t>
      </w:r>
      <w:r w:rsidRPr="00632445">
        <w:rPr>
          <w:lang w:eastAsia="en-AU"/>
        </w:rPr>
        <w:t>manufacture of the enzyme follows</w:t>
      </w:r>
      <w:r>
        <w:rPr>
          <w:lang w:eastAsia="en-AU"/>
        </w:rPr>
        <w:t xml:space="preserve"> current </w:t>
      </w:r>
      <w:r w:rsidRPr="00632445">
        <w:rPr>
          <w:lang w:eastAsia="en-AU"/>
        </w:rPr>
        <w:t>Good Manufacturing Practice</w:t>
      </w:r>
      <w:r w:rsidR="00AB519B">
        <w:rPr>
          <w:lang w:eastAsia="en-AU"/>
        </w:rPr>
        <w:t>s</w:t>
      </w:r>
      <w:r w:rsidRPr="00632445">
        <w:rPr>
          <w:lang w:eastAsia="en-AU"/>
        </w:rPr>
        <w:t xml:space="preserve"> </w:t>
      </w:r>
      <w:r w:rsidR="00AB519B">
        <w:rPr>
          <w:lang w:eastAsia="en-AU"/>
        </w:rPr>
        <w:t>(</w:t>
      </w:r>
      <w:r w:rsidRPr="00632445">
        <w:rPr>
          <w:lang w:eastAsia="en-AU"/>
        </w:rPr>
        <w:t>GMP</w:t>
      </w:r>
      <w:r>
        <w:rPr>
          <w:lang w:eastAsia="en-AU"/>
        </w:rPr>
        <w:t>)</w:t>
      </w:r>
      <w:r w:rsidR="005124FC">
        <w:rPr>
          <w:lang w:eastAsia="en-AU"/>
        </w:rPr>
        <w:t>. The company’s</w:t>
      </w:r>
      <w:r w:rsidR="00AB519B">
        <w:rPr>
          <w:lang w:eastAsia="en-AU"/>
        </w:rPr>
        <w:t xml:space="preserve"> quality management system is ISO 9001:2015</w:t>
      </w:r>
      <w:r w:rsidR="005124FC">
        <w:rPr>
          <w:rStyle w:val="FootnoteReference"/>
          <w:lang w:eastAsia="en-AU"/>
        </w:rPr>
        <w:footnoteReference w:id="5"/>
      </w:r>
      <w:r w:rsidR="00AB519B">
        <w:rPr>
          <w:lang w:eastAsia="en-AU"/>
        </w:rPr>
        <w:t xml:space="preserve"> certified, </w:t>
      </w:r>
      <w:r w:rsidR="005124FC">
        <w:rPr>
          <w:lang w:eastAsia="en-AU"/>
        </w:rPr>
        <w:t>and requires that the production of food enzymes complies with EC regulation 852/2004/EC</w:t>
      </w:r>
      <w:r w:rsidR="00255277">
        <w:rPr>
          <w:rStyle w:val="FootnoteReference"/>
          <w:lang w:eastAsia="en-AU"/>
        </w:rPr>
        <w:footnoteReference w:id="6"/>
      </w:r>
      <w:r w:rsidR="005124FC">
        <w:rPr>
          <w:lang w:eastAsia="en-AU"/>
        </w:rPr>
        <w:t xml:space="preserve">, including amendments, on </w:t>
      </w:r>
      <w:r w:rsidR="005124FC" w:rsidRPr="005124FC">
        <w:rPr>
          <w:i/>
          <w:lang w:eastAsia="en-AU"/>
        </w:rPr>
        <w:t>the hygiene of foodstuffs</w:t>
      </w:r>
      <w:r w:rsidR="005124FC">
        <w:rPr>
          <w:lang w:eastAsia="en-AU"/>
        </w:rPr>
        <w:t>.</w:t>
      </w:r>
      <w:r w:rsidR="00882BD2" w:rsidRPr="00882BD2">
        <w:rPr>
          <w:lang w:eastAsia="en-AU" w:bidi="ar-SA"/>
        </w:rPr>
        <w:t xml:space="preserve"> </w:t>
      </w:r>
    </w:p>
    <w:p w14:paraId="2A4CDDA7" w14:textId="77777777" w:rsidR="00882BD2" w:rsidRDefault="00882BD2" w:rsidP="005124FC">
      <w:pPr>
        <w:rPr>
          <w:lang w:eastAsia="en-AU" w:bidi="ar-SA"/>
        </w:rPr>
      </w:pPr>
    </w:p>
    <w:p w14:paraId="4719E598" w14:textId="33A70A8F" w:rsidR="009D4407" w:rsidRPr="00632445" w:rsidRDefault="00882BD2" w:rsidP="005124FC">
      <w:pPr>
        <w:rPr>
          <w:lang w:eastAsia="en-AU"/>
        </w:rPr>
      </w:pPr>
      <w:r>
        <w:rPr>
          <w:lang w:eastAsia="en-AU" w:bidi="ar-SA"/>
        </w:rPr>
        <w:t>The applicant states that the raw materials used in fermentation and recovery are food grade quality and have been analysed to ensure that they conform to the relevant specifications.</w:t>
      </w:r>
    </w:p>
    <w:p w14:paraId="46D3DA2B" w14:textId="3AAD924C" w:rsidR="004C0973" w:rsidRDefault="004C0973" w:rsidP="00E02D51">
      <w:pPr>
        <w:pStyle w:val="Heading3"/>
      </w:pPr>
      <w:bookmarkStart w:id="35" w:name="_Toc14167678"/>
      <w:bookmarkStart w:id="36" w:name="_Toc14167749"/>
      <w:bookmarkStart w:id="37" w:name="_Toc28003766"/>
      <w:bookmarkEnd w:id="35"/>
      <w:bookmarkEnd w:id="36"/>
      <w:r w:rsidRPr="00870803">
        <w:t>2.2.2</w:t>
      </w:r>
      <w:r w:rsidRPr="00870803">
        <w:tab/>
        <w:t>Allergen considerations</w:t>
      </w:r>
      <w:bookmarkEnd w:id="37"/>
    </w:p>
    <w:p w14:paraId="5EC683E7" w14:textId="23DF3667" w:rsidR="005124FC" w:rsidRPr="00892EEA" w:rsidRDefault="005124FC" w:rsidP="005124FC">
      <w:pPr>
        <w:rPr>
          <w:lang w:eastAsia="en-AU" w:bidi="ar-SA"/>
        </w:rPr>
      </w:pPr>
      <w:r w:rsidRPr="00892EEA">
        <w:rPr>
          <w:lang w:eastAsia="en-AU" w:bidi="ar-SA"/>
        </w:rPr>
        <w:t xml:space="preserve">Several potential raw materials </w:t>
      </w:r>
      <w:r w:rsidR="00AB221C" w:rsidRPr="00892EEA">
        <w:rPr>
          <w:lang w:eastAsia="en-AU" w:bidi="ar-SA"/>
        </w:rPr>
        <w:t>as source material for the fermentation include</w:t>
      </w:r>
      <w:r w:rsidRPr="00892EEA">
        <w:rPr>
          <w:lang w:eastAsia="en-AU" w:bidi="ar-SA"/>
        </w:rPr>
        <w:t xml:space="preserve"> glucose syrup (</w:t>
      </w:r>
      <w:r w:rsidR="00930B75" w:rsidRPr="00892EEA">
        <w:rPr>
          <w:lang w:eastAsia="en-AU" w:bidi="ar-SA"/>
        </w:rPr>
        <w:t xml:space="preserve">which may be </w:t>
      </w:r>
      <w:r w:rsidR="00AB221C" w:rsidRPr="00892EEA">
        <w:rPr>
          <w:lang w:eastAsia="en-AU" w:bidi="ar-SA"/>
        </w:rPr>
        <w:t>sourced from wheat and maize</w:t>
      </w:r>
      <w:r w:rsidRPr="00892EEA">
        <w:rPr>
          <w:lang w:eastAsia="en-AU" w:bidi="ar-SA"/>
        </w:rPr>
        <w:t>)</w:t>
      </w:r>
      <w:r w:rsidR="00E83AA2" w:rsidRPr="00892EEA">
        <w:rPr>
          <w:lang w:eastAsia="en-AU" w:bidi="ar-SA"/>
        </w:rPr>
        <w:t xml:space="preserve"> and</w:t>
      </w:r>
      <w:r w:rsidRPr="00892EEA">
        <w:rPr>
          <w:lang w:eastAsia="en-AU" w:bidi="ar-SA"/>
        </w:rPr>
        <w:t xml:space="preserve"> soy bean meal may be sourced from allergens</w:t>
      </w:r>
      <w:r w:rsidR="00AB221C" w:rsidRPr="00892EEA">
        <w:rPr>
          <w:lang w:eastAsia="en-AU" w:bidi="ar-SA"/>
        </w:rPr>
        <w:t xml:space="preserve"> (wheat and soy)</w:t>
      </w:r>
      <w:r w:rsidRPr="00892EEA">
        <w:rPr>
          <w:lang w:eastAsia="en-AU" w:bidi="ar-SA"/>
        </w:rPr>
        <w:t xml:space="preserve">. </w:t>
      </w:r>
      <w:r w:rsidR="00930B75" w:rsidRPr="00892EEA">
        <w:rPr>
          <w:lang w:eastAsia="en-AU" w:bidi="ar-SA"/>
        </w:rPr>
        <w:t>The applicant has stated that product blends (which this glucoamylase is a constituent) are tested for food allergenicity risks</w:t>
      </w:r>
      <w:r w:rsidR="002B1F96">
        <w:rPr>
          <w:lang w:eastAsia="en-AU" w:bidi="ar-SA"/>
        </w:rPr>
        <w:t xml:space="preserve"> (i.e. presence of food allergens)</w:t>
      </w:r>
      <w:r w:rsidR="00930B75" w:rsidRPr="00892EEA">
        <w:rPr>
          <w:lang w:eastAsia="en-AU" w:bidi="ar-SA"/>
        </w:rPr>
        <w:t xml:space="preserve">. </w:t>
      </w:r>
      <w:r w:rsidR="004F2832" w:rsidRPr="00892EEA">
        <w:rPr>
          <w:lang w:eastAsia="en-AU" w:bidi="ar-SA"/>
        </w:rPr>
        <w:t>D</w:t>
      </w:r>
      <w:r w:rsidR="00AB221C" w:rsidRPr="00892EEA">
        <w:rPr>
          <w:lang w:eastAsia="en-AU" w:bidi="ar-SA"/>
        </w:rPr>
        <w:t>ata provided by the applicant of the enzyme preparation (a blend of three enzymes)</w:t>
      </w:r>
      <w:r w:rsidRPr="00892EEA">
        <w:rPr>
          <w:lang w:eastAsia="en-AU" w:bidi="ar-SA"/>
        </w:rPr>
        <w:t xml:space="preserve"> </w:t>
      </w:r>
      <w:r w:rsidR="00AB221C" w:rsidRPr="00892EEA">
        <w:rPr>
          <w:lang w:eastAsia="en-AU" w:bidi="ar-SA"/>
        </w:rPr>
        <w:t>has shown that</w:t>
      </w:r>
      <w:r w:rsidRPr="00892EEA">
        <w:rPr>
          <w:lang w:eastAsia="en-AU" w:bidi="ar-SA"/>
        </w:rPr>
        <w:t xml:space="preserve"> downstream processes </w:t>
      </w:r>
      <w:r w:rsidR="00AB221C" w:rsidRPr="00892EEA">
        <w:rPr>
          <w:lang w:eastAsia="en-AU" w:bidi="ar-SA"/>
        </w:rPr>
        <w:t>removes any traces of soy</w:t>
      </w:r>
      <w:r w:rsidR="00930B75" w:rsidRPr="00892EEA">
        <w:rPr>
          <w:lang w:eastAsia="en-AU" w:bidi="ar-SA"/>
        </w:rPr>
        <w:t xml:space="preserve">. </w:t>
      </w:r>
      <w:r w:rsidR="004F2832" w:rsidRPr="00892EEA">
        <w:rPr>
          <w:lang w:eastAsia="en-AU" w:bidi="ar-SA"/>
        </w:rPr>
        <w:t>The applicant did not provide data for wheat, however</w:t>
      </w:r>
      <w:r w:rsidR="004F2A4C" w:rsidRPr="004F2A4C">
        <w:rPr>
          <w:lang w:bidi="ar-SA"/>
        </w:rPr>
        <w:t xml:space="preserve"> </w:t>
      </w:r>
      <w:r w:rsidR="004F2A4C">
        <w:rPr>
          <w:lang w:bidi="ar-SA"/>
        </w:rPr>
        <w:t>testing of product blends which include this glucoamylase are undertaken by the applicant to monitor this</w:t>
      </w:r>
      <w:r w:rsidR="002B1F96">
        <w:rPr>
          <w:lang w:bidi="ar-SA"/>
        </w:rPr>
        <w:t xml:space="preserve"> and such results are available to end users of the enzyme preparation to make their own allergen presence decisions which is appropriate</w:t>
      </w:r>
      <w:r w:rsidR="004F2A4C">
        <w:rPr>
          <w:lang w:bidi="ar-SA"/>
        </w:rPr>
        <w:t>.</w:t>
      </w:r>
      <w:r w:rsidR="00AB221C" w:rsidRPr="00892EEA">
        <w:rPr>
          <w:lang w:eastAsia="en-AU" w:bidi="ar-SA"/>
        </w:rPr>
        <w:t xml:space="preserve"> </w:t>
      </w:r>
    </w:p>
    <w:p w14:paraId="790F2F0D" w14:textId="77777777" w:rsidR="004C0973" w:rsidRPr="00735B44" w:rsidRDefault="004C0973" w:rsidP="00E02D51">
      <w:pPr>
        <w:pStyle w:val="Heading3"/>
      </w:pPr>
      <w:bookmarkStart w:id="38" w:name="_Toc536543993"/>
      <w:bookmarkStart w:id="39" w:name="_Toc536607128"/>
      <w:bookmarkStart w:id="40" w:name="_Toc28003767"/>
      <w:r w:rsidRPr="00735B44">
        <w:t>2.2.</w:t>
      </w:r>
      <w:r>
        <w:t>3</w:t>
      </w:r>
      <w:r w:rsidRPr="00735B44">
        <w:tab/>
        <w:t>Specifications</w:t>
      </w:r>
      <w:bookmarkEnd w:id="38"/>
      <w:bookmarkEnd w:id="39"/>
      <w:bookmarkEnd w:id="40"/>
    </w:p>
    <w:p w14:paraId="568CFFB4" w14:textId="4EE62261" w:rsidR="004C0973" w:rsidRDefault="004C0973" w:rsidP="004C0973">
      <w:r>
        <w:t>T</w:t>
      </w:r>
      <w:r w:rsidRPr="00735B44">
        <w:t xml:space="preserve">he JECFA Compendium of Food Additive Specifications </w:t>
      </w:r>
      <w:r>
        <w:t>(</w:t>
      </w:r>
      <w:r w:rsidRPr="00735B44">
        <w:t>201</w:t>
      </w:r>
      <w:r>
        <w:t>7</w:t>
      </w:r>
      <w:r w:rsidRPr="00735B44">
        <w:t xml:space="preserve">) and the Food Chemicals Codex </w:t>
      </w:r>
      <w:r>
        <w:t>11</w:t>
      </w:r>
      <w:r w:rsidRPr="00BF6631">
        <w:rPr>
          <w:vertAlign w:val="superscript"/>
        </w:rPr>
        <w:t>th</w:t>
      </w:r>
      <w:r>
        <w:t xml:space="preserve"> edition</w:t>
      </w:r>
      <w:r w:rsidRPr="00735B44">
        <w:t xml:space="preserve"> </w:t>
      </w:r>
      <w:r w:rsidR="002F3228">
        <w:t xml:space="preserve">(2018) </w:t>
      </w:r>
      <w:r>
        <w:t>are i</w:t>
      </w:r>
      <w:r w:rsidRPr="00735B44">
        <w:t xml:space="preserve">nternational specifications for enzymes used in the production of food. These </w:t>
      </w:r>
      <w:r>
        <w:t xml:space="preserve">are </w:t>
      </w:r>
      <w:r w:rsidRPr="00735B44">
        <w:t xml:space="preserve">primary sources of specifications listed in </w:t>
      </w:r>
      <w:r w:rsidR="009C40FA">
        <w:lastRenderedPageBreak/>
        <w:t>section</w:t>
      </w:r>
      <w:r w:rsidR="009C40FA" w:rsidRPr="00735B44">
        <w:t xml:space="preserve"> </w:t>
      </w:r>
      <w:r w:rsidRPr="00735B44">
        <w:t xml:space="preserve">S3—2 </w:t>
      </w:r>
      <w:r w:rsidR="009C40FA">
        <w:t xml:space="preserve">of Schedule 3 </w:t>
      </w:r>
      <w:r w:rsidRPr="00735B44">
        <w:t xml:space="preserve">of the Code. Enzymes need to meet these specifications. Schedule 3 </w:t>
      </w:r>
      <w:r w:rsidR="00F27E21">
        <w:t xml:space="preserve">of the Code </w:t>
      </w:r>
      <w:r w:rsidRPr="00735B44">
        <w:t xml:space="preserve">also includes specifications for heavy metals (section S3—4) if they are not </w:t>
      </w:r>
      <w:r>
        <w:t>already detailed</w:t>
      </w:r>
      <w:r w:rsidRPr="00735B44">
        <w:t xml:space="preserve"> within specifications in sections S3—2 or S3—3.</w:t>
      </w:r>
      <w:r w:rsidRPr="0051544E">
        <w:t xml:space="preserve"> </w:t>
      </w:r>
    </w:p>
    <w:p w14:paraId="6C35FB71" w14:textId="77777777" w:rsidR="004C0973" w:rsidRDefault="004C0973" w:rsidP="004C0973"/>
    <w:p w14:paraId="232D7BE6" w14:textId="43F4EEC3" w:rsidR="00647302" w:rsidRDefault="0051544E" w:rsidP="00647302">
      <w:r w:rsidRPr="00735B44">
        <w:t xml:space="preserve">Table </w:t>
      </w:r>
      <w:r>
        <w:t>2</w:t>
      </w:r>
      <w:r w:rsidRPr="00735B44">
        <w:t xml:space="preserve"> provides a </w:t>
      </w:r>
      <w:r w:rsidRPr="00F6112A">
        <w:t xml:space="preserve">comparison of </w:t>
      </w:r>
      <w:r w:rsidR="00A02D49">
        <w:t xml:space="preserve">the </w:t>
      </w:r>
      <w:r w:rsidRPr="00F6112A">
        <w:t xml:space="preserve">analysis of </w:t>
      </w:r>
      <w:r w:rsidR="00526B67">
        <w:t xml:space="preserve">different batches of the </w:t>
      </w:r>
      <w:r w:rsidR="002F3228">
        <w:t>glucoamylase</w:t>
      </w:r>
      <w:r w:rsidR="00A02D49" w:rsidRPr="00A02D49">
        <w:t xml:space="preserve"> </w:t>
      </w:r>
      <w:r>
        <w:t>product</w:t>
      </w:r>
      <w:r w:rsidR="00526B67">
        <w:t xml:space="preserve"> </w:t>
      </w:r>
      <w:r w:rsidRPr="00735B44">
        <w:t xml:space="preserve">with international specifications established by JECFA and Food Chemicals Codex, as well as those in the Code (as applicable). </w:t>
      </w:r>
      <w:r w:rsidR="00647302">
        <w:t>Based on the</w:t>
      </w:r>
      <w:r w:rsidR="00526B67">
        <w:t>se</w:t>
      </w:r>
      <w:r w:rsidR="00647302">
        <w:t xml:space="preserve"> results, the enzyme preparation meets </w:t>
      </w:r>
      <w:r w:rsidR="007B7270">
        <w:t xml:space="preserve">all relevant </w:t>
      </w:r>
      <w:r w:rsidR="00647302">
        <w:t>specifications.</w:t>
      </w:r>
    </w:p>
    <w:p w14:paraId="3EE4AF9D" w14:textId="77777777" w:rsidR="0051544E" w:rsidRPr="00426F2C" w:rsidRDefault="0051544E" w:rsidP="0051544E">
      <w:pPr>
        <w:rPr>
          <w:highlight w:val="yellow"/>
          <w:lang w:eastAsia="en-AU"/>
        </w:rPr>
      </w:pPr>
    </w:p>
    <w:p w14:paraId="2AC10617" w14:textId="3B54C6F5" w:rsidR="001E6A7B" w:rsidRPr="00F952B6" w:rsidRDefault="00735B44" w:rsidP="001E6A7B">
      <w:pPr>
        <w:pStyle w:val="FSTableTitle"/>
        <w:keepNext/>
        <w:keepLines/>
        <w:spacing w:after="240"/>
        <w:ind w:left="1134" w:hanging="1134"/>
        <w:rPr>
          <w:b w:val="0"/>
          <w:i/>
          <w:sz w:val="24"/>
        </w:rPr>
      </w:pPr>
      <w:r w:rsidRPr="00F952B6">
        <w:rPr>
          <w:i/>
        </w:rPr>
        <w:t>Table 2</w:t>
      </w:r>
      <w:r w:rsidR="001E6A7B" w:rsidRPr="00F952B6">
        <w:rPr>
          <w:i/>
          <w:szCs w:val="20"/>
        </w:rPr>
        <w:tab/>
      </w:r>
      <w:r w:rsidR="001E6A7B" w:rsidRPr="00F952B6">
        <w:rPr>
          <w:b w:val="0"/>
          <w:i/>
        </w:rPr>
        <w:t>Analysis of</w:t>
      </w:r>
      <w:r w:rsidR="00290C1C" w:rsidRPr="00F952B6">
        <w:rPr>
          <w:b w:val="0"/>
          <w:i/>
        </w:rPr>
        <w:t xml:space="preserve"> </w:t>
      </w:r>
      <w:r w:rsidR="00F952B6" w:rsidRPr="00F952B6">
        <w:rPr>
          <w:b w:val="0"/>
          <w:i/>
        </w:rPr>
        <w:t xml:space="preserve">enzyme </w:t>
      </w:r>
      <w:r w:rsidR="002F3228">
        <w:rPr>
          <w:b w:val="0"/>
          <w:i/>
        </w:rPr>
        <w:t xml:space="preserve">glucoamylase </w:t>
      </w:r>
      <w:r w:rsidR="001E6A7B" w:rsidRPr="00F952B6">
        <w:rPr>
          <w:b w:val="0"/>
          <w:i/>
        </w:rPr>
        <w:t>compared to JECFA, Food Chemicals Codex, and Code specifications for enzymes</w:t>
      </w:r>
      <w:r w:rsidR="00F44DEC">
        <w:rPr>
          <w:b w:val="0"/>
          <w:i/>
        </w:rPr>
        <w:t xml:space="preserve"> (</w:t>
      </w:r>
      <w:r w:rsidR="00F44DEC" w:rsidRPr="00D8618A">
        <w:rPr>
          <w:b w:val="0"/>
          <w:i/>
        </w:rPr>
        <w:t>3 batches</w:t>
      </w:r>
      <w:r w:rsidR="00F44DEC">
        <w:rPr>
          <w:b w:val="0"/>
          <w:i/>
        </w:rPr>
        <w:t>)</w:t>
      </w:r>
      <w:r w:rsidR="003A5819">
        <w:rPr>
          <w:b w:val="0"/>
          <w:i/>
        </w:rPr>
        <w:t xml:space="preserve"> </w:t>
      </w:r>
    </w:p>
    <w:tbl>
      <w:tblPr>
        <w:tblStyle w:val="TableClassic4"/>
        <w:tblW w:w="0" w:type="auto"/>
        <w:tblBorders>
          <w:top w:val="none" w:sz="0" w:space="0" w:color="auto"/>
          <w:left w:val="none" w:sz="0" w:space="0" w:color="auto"/>
          <w:bottom w:val="single" w:sz="6" w:space="0" w:color="ECECEC"/>
          <w:right w:val="none" w:sz="0" w:space="0" w:color="auto"/>
        </w:tblBorders>
        <w:tblLayout w:type="fixed"/>
        <w:tblLook w:val="04A0" w:firstRow="1" w:lastRow="0" w:firstColumn="1" w:lastColumn="0" w:noHBand="0" w:noVBand="1"/>
        <w:tblDescription w:val="Analytical results compared to specifications, heave metals and microbial contaminants"/>
      </w:tblPr>
      <w:tblGrid>
        <w:gridCol w:w="2367"/>
        <w:gridCol w:w="1632"/>
        <w:gridCol w:w="1671"/>
        <w:gridCol w:w="1594"/>
        <w:gridCol w:w="1667"/>
      </w:tblGrid>
      <w:tr w:rsidR="001E6A7B" w:rsidRPr="00426F2C" w14:paraId="7FF205E6" w14:textId="77777777" w:rsidTr="0066310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67" w:type="dxa"/>
            <w:vMerge w:val="restart"/>
            <w:shd w:val="clear" w:color="99CCFF" w:fill="616571"/>
            <w:vAlign w:val="center"/>
          </w:tcPr>
          <w:p w14:paraId="4A136763" w14:textId="77777777" w:rsidR="001E6A7B" w:rsidRPr="00464F1C" w:rsidRDefault="001E6A7B" w:rsidP="00290C1C">
            <w:pPr>
              <w:keepNext/>
              <w:keepLines/>
              <w:spacing w:before="60" w:after="60"/>
              <w:jc w:val="center"/>
              <w:rPr>
                <w:rFonts w:cs="Arial"/>
                <w:b w:val="0"/>
                <w:bCs w:val="0"/>
                <w:i w:val="0"/>
                <w:iCs w:val="0"/>
                <w:color w:val="FFFFFF" w:themeColor="background1"/>
                <w:sz w:val="20"/>
                <w:szCs w:val="20"/>
              </w:rPr>
            </w:pPr>
          </w:p>
          <w:p w14:paraId="6572224B" w14:textId="6B5A4D1F" w:rsidR="001E6A7B" w:rsidRPr="00464F1C" w:rsidRDefault="001E6A7B" w:rsidP="00F44DEC">
            <w:pPr>
              <w:keepNext/>
              <w:keepLines/>
              <w:spacing w:before="60" w:after="60"/>
              <w:jc w:val="center"/>
              <w:rPr>
                <w:rFonts w:cs="Arial"/>
                <w:i w:val="0"/>
                <w:color w:val="FFFFFF" w:themeColor="background1"/>
                <w:sz w:val="20"/>
                <w:szCs w:val="20"/>
              </w:rPr>
            </w:pPr>
            <w:r w:rsidRPr="00464F1C">
              <w:rPr>
                <w:rFonts w:cs="Arial"/>
                <w:i w:val="0"/>
                <w:color w:val="FFFFFF" w:themeColor="background1"/>
                <w:sz w:val="20"/>
                <w:szCs w:val="20"/>
              </w:rPr>
              <w:t>Analysis</w:t>
            </w:r>
            <w:r w:rsidR="00F14036">
              <w:rPr>
                <w:rFonts w:cs="Arial"/>
                <w:i w:val="0"/>
                <w:color w:val="FFFFFF" w:themeColor="background1"/>
                <w:sz w:val="20"/>
                <w:szCs w:val="20"/>
              </w:rPr>
              <w:t xml:space="preserve"> </w:t>
            </w:r>
          </w:p>
        </w:tc>
        <w:tc>
          <w:tcPr>
            <w:tcW w:w="1632" w:type="dxa"/>
            <w:vMerge w:val="restart"/>
            <w:shd w:val="clear" w:color="99CCFF" w:fill="616571"/>
            <w:vAlign w:val="center"/>
          </w:tcPr>
          <w:p w14:paraId="669A9593" w14:textId="08ED3E1B" w:rsidR="001E6A7B" w:rsidRPr="00464F1C" w:rsidRDefault="002F3228" w:rsidP="000475B5">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cs="Arial"/>
                <w:bCs w:val="0"/>
                <w:i w:val="0"/>
                <w:iCs w:val="0"/>
                <w:color w:val="FFFFFF" w:themeColor="background1"/>
                <w:sz w:val="20"/>
                <w:szCs w:val="20"/>
              </w:rPr>
            </w:pPr>
            <w:r>
              <w:rPr>
                <w:rFonts w:cs="Arial"/>
                <w:i w:val="0"/>
                <w:color w:val="FFFFFF" w:themeColor="background1"/>
                <w:sz w:val="20"/>
                <w:szCs w:val="20"/>
              </w:rPr>
              <w:t>Novozymes</w:t>
            </w:r>
            <w:r w:rsidR="00263497">
              <w:rPr>
                <w:rFonts w:cs="Arial"/>
                <w:i w:val="0"/>
                <w:color w:val="FFFFFF" w:themeColor="background1"/>
                <w:sz w:val="20"/>
                <w:szCs w:val="20"/>
              </w:rPr>
              <w:t xml:space="preserve"> </w:t>
            </w:r>
            <w:r w:rsidR="001E6A7B" w:rsidRPr="00464F1C">
              <w:rPr>
                <w:rFonts w:cs="Arial"/>
                <w:i w:val="0"/>
                <w:color w:val="FFFFFF" w:themeColor="background1"/>
                <w:sz w:val="20"/>
                <w:szCs w:val="20"/>
              </w:rPr>
              <w:t>analysis</w:t>
            </w:r>
          </w:p>
        </w:tc>
        <w:tc>
          <w:tcPr>
            <w:tcW w:w="4932" w:type="dxa"/>
            <w:gridSpan w:val="3"/>
            <w:shd w:val="clear" w:color="99CCFF" w:fill="616571"/>
          </w:tcPr>
          <w:p w14:paraId="53690BAE" w14:textId="77777777" w:rsidR="001E6A7B" w:rsidRPr="00464F1C" w:rsidRDefault="001E6A7B" w:rsidP="001E6A7B">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cs="Arial"/>
                <w:i w:val="0"/>
                <w:color w:val="FFFFFF" w:themeColor="background1"/>
                <w:sz w:val="20"/>
                <w:szCs w:val="20"/>
              </w:rPr>
            </w:pPr>
            <w:r w:rsidRPr="00464F1C">
              <w:rPr>
                <w:rFonts w:cs="Arial"/>
                <w:i w:val="0"/>
                <w:color w:val="FFFFFF" w:themeColor="background1"/>
                <w:sz w:val="20"/>
                <w:szCs w:val="20"/>
              </w:rPr>
              <w:t>Specifications</w:t>
            </w:r>
          </w:p>
        </w:tc>
      </w:tr>
      <w:tr w:rsidR="001E6A7B" w:rsidRPr="00426F2C" w14:paraId="012B091A" w14:textId="77777777" w:rsidTr="0066310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67" w:type="dxa"/>
            <w:vMerge/>
            <w:tcBorders>
              <w:bottom w:val="none" w:sz="0" w:space="0" w:color="auto"/>
            </w:tcBorders>
            <w:shd w:val="clear" w:color="99CCFF" w:fill="616571"/>
          </w:tcPr>
          <w:p w14:paraId="02D933C8" w14:textId="77777777" w:rsidR="001E6A7B" w:rsidRPr="00464F1C" w:rsidRDefault="001E6A7B" w:rsidP="001E6A7B">
            <w:pPr>
              <w:keepNext/>
              <w:keepLines/>
              <w:spacing w:before="60" w:after="60"/>
              <w:rPr>
                <w:rFonts w:cs="Arial"/>
                <w:color w:val="FFFFFF" w:themeColor="background1"/>
                <w:sz w:val="20"/>
                <w:szCs w:val="20"/>
              </w:rPr>
            </w:pPr>
          </w:p>
        </w:tc>
        <w:tc>
          <w:tcPr>
            <w:tcW w:w="1632" w:type="dxa"/>
            <w:vMerge/>
            <w:tcBorders>
              <w:bottom w:val="none" w:sz="0" w:space="0" w:color="auto"/>
            </w:tcBorders>
            <w:shd w:val="clear" w:color="99CCFF" w:fill="616571"/>
          </w:tcPr>
          <w:p w14:paraId="61A4306F" w14:textId="77777777" w:rsidR="001E6A7B" w:rsidRPr="00464F1C" w:rsidRDefault="001E6A7B" w:rsidP="001E6A7B">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sz w:val="20"/>
                <w:szCs w:val="20"/>
              </w:rPr>
            </w:pPr>
          </w:p>
        </w:tc>
        <w:tc>
          <w:tcPr>
            <w:tcW w:w="1671" w:type="dxa"/>
            <w:tcBorders>
              <w:bottom w:val="none" w:sz="0" w:space="0" w:color="auto"/>
            </w:tcBorders>
            <w:shd w:val="clear" w:color="99CCFF" w:fill="616571"/>
            <w:vAlign w:val="center"/>
          </w:tcPr>
          <w:p w14:paraId="72E2F5AE" w14:textId="6D14F482" w:rsidR="001E6A7B" w:rsidRPr="00464F1C" w:rsidRDefault="001E6A7B" w:rsidP="00290C1C">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sz w:val="20"/>
                <w:szCs w:val="20"/>
              </w:rPr>
            </w:pPr>
            <w:r w:rsidRPr="00464F1C">
              <w:rPr>
                <w:rFonts w:cs="Arial"/>
                <w:b w:val="0"/>
                <w:color w:val="FFFFFF" w:themeColor="background1"/>
                <w:sz w:val="20"/>
                <w:szCs w:val="20"/>
              </w:rPr>
              <w:t>JECFA</w:t>
            </w:r>
          </w:p>
        </w:tc>
        <w:tc>
          <w:tcPr>
            <w:tcW w:w="1594" w:type="dxa"/>
            <w:tcBorders>
              <w:bottom w:val="none" w:sz="0" w:space="0" w:color="auto"/>
            </w:tcBorders>
            <w:shd w:val="clear" w:color="99CCFF" w:fill="616571"/>
            <w:vAlign w:val="center"/>
          </w:tcPr>
          <w:p w14:paraId="07F7FF83" w14:textId="77777777" w:rsidR="001E6A7B" w:rsidRPr="00464F1C" w:rsidRDefault="001E6A7B" w:rsidP="00290C1C">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sz w:val="20"/>
                <w:szCs w:val="20"/>
              </w:rPr>
            </w:pPr>
            <w:r w:rsidRPr="00464F1C">
              <w:rPr>
                <w:rFonts w:cs="Arial"/>
                <w:b w:val="0"/>
                <w:color w:val="FFFFFF" w:themeColor="background1"/>
                <w:sz w:val="20"/>
                <w:szCs w:val="20"/>
              </w:rPr>
              <w:t>Food Chemicals Codex</w:t>
            </w:r>
          </w:p>
        </w:tc>
        <w:tc>
          <w:tcPr>
            <w:tcW w:w="1667" w:type="dxa"/>
            <w:tcBorders>
              <w:bottom w:val="none" w:sz="0" w:space="0" w:color="auto"/>
            </w:tcBorders>
            <w:shd w:val="clear" w:color="99CCFF" w:fill="616571"/>
            <w:vAlign w:val="center"/>
          </w:tcPr>
          <w:p w14:paraId="5011FC43" w14:textId="0EF43BD7" w:rsidR="001E6A7B" w:rsidRPr="00464F1C" w:rsidRDefault="001E6A7B" w:rsidP="00290C1C">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sz w:val="20"/>
                <w:szCs w:val="20"/>
              </w:rPr>
            </w:pPr>
            <w:r w:rsidRPr="00464F1C">
              <w:rPr>
                <w:rFonts w:cs="Arial"/>
                <w:b w:val="0"/>
                <w:color w:val="FFFFFF" w:themeColor="background1"/>
                <w:sz w:val="20"/>
                <w:szCs w:val="20"/>
              </w:rPr>
              <w:t>Australia New Zealand Food Standards Code</w:t>
            </w:r>
          </w:p>
          <w:p w14:paraId="5D076E9B" w14:textId="77777777" w:rsidR="001E6A7B" w:rsidRPr="00464F1C" w:rsidRDefault="001E6A7B" w:rsidP="00290C1C">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i w:val="0"/>
                <w:color w:val="FFFFFF" w:themeColor="background1"/>
                <w:sz w:val="20"/>
                <w:szCs w:val="20"/>
              </w:rPr>
            </w:pPr>
            <w:r w:rsidRPr="00464F1C">
              <w:rPr>
                <w:rFonts w:cs="Arial"/>
                <w:b w:val="0"/>
                <w:color w:val="FFFFFF" w:themeColor="background1"/>
                <w:sz w:val="20"/>
                <w:szCs w:val="20"/>
              </w:rPr>
              <w:t>(section S3—4)</w:t>
            </w:r>
          </w:p>
        </w:tc>
      </w:tr>
      <w:tr w:rsidR="001E6A7B" w:rsidRPr="00426F2C" w14:paraId="0AFE918C" w14:textId="77777777" w:rsidTr="00042B1D">
        <w:tc>
          <w:tcPr>
            <w:cnfStyle w:val="001000000000" w:firstRow="0" w:lastRow="0" w:firstColumn="1" w:lastColumn="0" w:oddVBand="0" w:evenVBand="0" w:oddHBand="0" w:evenHBand="0" w:firstRowFirstColumn="0" w:firstRowLastColumn="0" w:lastRowFirstColumn="0" w:lastRowLastColumn="0"/>
            <w:tcW w:w="2367" w:type="dxa"/>
            <w:shd w:val="clear" w:color="auto" w:fill="ECECEC"/>
          </w:tcPr>
          <w:p w14:paraId="6B08E749" w14:textId="362D9D8D" w:rsidR="00FB1E3F" w:rsidRPr="00FB1E3F" w:rsidRDefault="001E6A7B" w:rsidP="00F44DEC">
            <w:pPr>
              <w:spacing w:before="60" w:after="60"/>
              <w:rPr>
                <w:b w:val="0"/>
                <w:sz w:val="20"/>
                <w:szCs w:val="20"/>
              </w:rPr>
            </w:pPr>
            <w:r w:rsidRPr="00FB1E3F">
              <w:rPr>
                <w:b w:val="0"/>
                <w:sz w:val="20"/>
                <w:szCs w:val="20"/>
              </w:rPr>
              <w:t>Lead (mg/kg)</w:t>
            </w:r>
          </w:p>
        </w:tc>
        <w:tc>
          <w:tcPr>
            <w:tcW w:w="1632" w:type="dxa"/>
            <w:shd w:val="clear" w:color="auto" w:fill="ECECEC"/>
          </w:tcPr>
          <w:p w14:paraId="723EA682" w14:textId="61366333" w:rsidR="000475B5" w:rsidRPr="00FB1E3F" w:rsidRDefault="008250BE" w:rsidP="00F44DEC">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ND</w:t>
            </w:r>
          </w:p>
        </w:tc>
        <w:tc>
          <w:tcPr>
            <w:tcW w:w="1671" w:type="dxa"/>
            <w:shd w:val="clear" w:color="auto" w:fill="ECECEC"/>
          </w:tcPr>
          <w:p w14:paraId="6886B68B" w14:textId="77777777" w:rsidR="001E6A7B" w:rsidRPr="00FB1E3F" w:rsidRDefault="001E6A7B"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FB1E3F">
              <w:rPr>
                <w:sz w:val="20"/>
                <w:szCs w:val="20"/>
              </w:rPr>
              <w:t>≤ 5</w:t>
            </w:r>
          </w:p>
        </w:tc>
        <w:tc>
          <w:tcPr>
            <w:tcW w:w="1594" w:type="dxa"/>
            <w:shd w:val="clear" w:color="auto" w:fill="ECECEC"/>
          </w:tcPr>
          <w:p w14:paraId="1315F34D" w14:textId="77777777" w:rsidR="001E6A7B" w:rsidRPr="00FB1E3F" w:rsidRDefault="001E6A7B"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FB1E3F">
              <w:rPr>
                <w:sz w:val="20"/>
                <w:szCs w:val="20"/>
              </w:rPr>
              <w:t>≤ 5</w:t>
            </w:r>
          </w:p>
        </w:tc>
        <w:tc>
          <w:tcPr>
            <w:tcW w:w="1667" w:type="dxa"/>
            <w:shd w:val="clear" w:color="auto" w:fill="ECECEC"/>
          </w:tcPr>
          <w:p w14:paraId="4C238DAA" w14:textId="77777777" w:rsidR="001E6A7B" w:rsidRPr="00FB1E3F" w:rsidRDefault="001E6A7B"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FB1E3F">
              <w:rPr>
                <w:sz w:val="20"/>
                <w:szCs w:val="20"/>
              </w:rPr>
              <w:t>≤2</w:t>
            </w:r>
          </w:p>
        </w:tc>
      </w:tr>
      <w:tr w:rsidR="001E6A7B" w:rsidRPr="00426F2C" w14:paraId="4EE6874E" w14:textId="77777777" w:rsidTr="00042B1D">
        <w:tc>
          <w:tcPr>
            <w:cnfStyle w:val="001000000000" w:firstRow="0" w:lastRow="0" w:firstColumn="1" w:lastColumn="0" w:oddVBand="0" w:evenVBand="0" w:oddHBand="0" w:evenHBand="0" w:firstRowFirstColumn="0" w:firstRowLastColumn="0" w:lastRowFirstColumn="0" w:lastRowLastColumn="0"/>
            <w:tcW w:w="2367" w:type="dxa"/>
          </w:tcPr>
          <w:p w14:paraId="632252B7" w14:textId="14045D36" w:rsidR="00FB1E3F" w:rsidRPr="00B07B80" w:rsidRDefault="001E6A7B" w:rsidP="00F44DEC">
            <w:pPr>
              <w:spacing w:before="60" w:after="60"/>
              <w:rPr>
                <w:b w:val="0"/>
                <w:bCs w:val="0"/>
                <w:i/>
                <w:sz w:val="20"/>
                <w:szCs w:val="20"/>
              </w:rPr>
            </w:pPr>
            <w:r w:rsidRPr="00FB1E3F">
              <w:rPr>
                <w:b w:val="0"/>
                <w:sz w:val="20"/>
                <w:szCs w:val="20"/>
              </w:rPr>
              <w:t>Arsenic (mg/kg)</w:t>
            </w:r>
          </w:p>
        </w:tc>
        <w:tc>
          <w:tcPr>
            <w:tcW w:w="1632" w:type="dxa"/>
          </w:tcPr>
          <w:p w14:paraId="71CE2CF5" w14:textId="15014E3F" w:rsidR="00B07B80" w:rsidRPr="00FB1E3F" w:rsidRDefault="009A547D" w:rsidP="009A547D">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0.193, 0.208, 0.184</w:t>
            </w:r>
          </w:p>
        </w:tc>
        <w:tc>
          <w:tcPr>
            <w:tcW w:w="1671" w:type="dxa"/>
          </w:tcPr>
          <w:p w14:paraId="0D9FBA7A" w14:textId="77777777" w:rsidR="001E6A7B" w:rsidRPr="00FB1E3F" w:rsidRDefault="001E6A7B"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FB1E3F">
              <w:rPr>
                <w:sz w:val="20"/>
                <w:szCs w:val="20"/>
              </w:rPr>
              <w:t>-</w:t>
            </w:r>
          </w:p>
        </w:tc>
        <w:tc>
          <w:tcPr>
            <w:tcW w:w="1594" w:type="dxa"/>
          </w:tcPr>
          <w:p w14:paraId="43C19D62" w14:textId="77777777" w:rsidR="001E6A7B" w:rsidRPr="00FB1E3F" w:rsidRDefault="001E6A7B"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FB1E3F">
              <w:rPr>
                <w:sz w:val="20"/>
                <w:szCs w:val="20"/>
              </w:rPr>
              <w:t>-</w:t>
            </w:r>
          </w:p>
        </w:tc>
        <w:tc>
          <w:tcPr>
            <w:tcW w:w="1667" w:type="dxa"/>
          </w:tcPr>
          <w:p w14:paraId="75BF81E1" w14:textId="77777777" w:rsidR="001E6A7B" w:rsidRPr="00FB1E3F" w:rsidRDefault="001E6A7B"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FB1E3F">
              <w:rPr>
                <w:sz w:val="20"/>
                <w:szCs w:val="20"/>
              </w:rPr>
              <w:t>≤1</w:t>
            </w:r>
          </w:p>
        </w:tc>
      </w:tr>
      <w:tr w:rsidR="001E6A7B" w:rsidRPr="00426F2C" w14:paraId="0F1E6A33" w14:textId="77777777" w:rsidTr="00663108">
        <w:tc>
          <w:tcPr>
            <w:cnfStyle w:val="001000000000" w:firstRow="0" w:lastRow="0" w:firstColumn="1" w:lastColumn="0" w:oddVBand="0" w:evenVBand="0" w:oddHBand="0" w:evenHBand="0" w:firstRowFirstColumn="0" w:firstRowLastColumn="0" w:lastRowFirstColumn="0" w:lastRowLastColumn="0"/>
            <w:tcW w:w="2367" w:type="dxa"/>
            <w:tcBorders>
              <w:bottom w:val="nil"/>
            </w:tcBorders>
            <w:shd w:val="clear" w:color="auto" w:fill="ECECEC"/>
          </w:tcPr>
          <w:p w14:paraId="7CE18AD5" w14:textId="13423794" w:rsidR="001E6A7B" w:rsidRPr="00FB1E3F" w:rsidRDefault="00FB1E3F" w:rsidP="00E70FF1">
            <w:pPr>
              <w:spacing w:before="60" w:after="60"/>
              <w:rPr>
                <w:b w:val="0"/>
                <w:sz w:val="20"/>
                <w:szCs w:val="20"/>
              </w:rPr>
            </w:pPr>
            <w:r w:rsidRPr="00FB1E3F">
              <w:rPr>
                <w:b w:val="0"/>
                <w:sz w:val="20"/>
                <w:szCs w:val="20"/>
              </w:rPr>
              <w:t>Cadmium</w:t>
            </w:r>
            <w:r w:rsidR="000475B5">
              <w:rPr>
                <w:b w:val="0"/>
                <w:sz w:val="20"/>
                <w:szCs w:val="20"/>
              </w:rPr>
              <w:t xml:space="preserve"> (mg/kg)</w:t>
            </w:r>
          </w:p>
        </w:tc>
        <w:tc>
          <w:tcPr>
            <w:tcW w:w="1632" w:type="dxa"/>
            <w:tcBorders>
              <w:bottom w:val="nil"/>
            </w:tcBorders>
            <w:shd w:val="clear" w:color="auto" w:fill="ECECEC"/>
          </w:tcPr>
          <w:p w14:paraId="4C141192" w14:textId="1BF27243" w:rsidR="00B07B80" w:rsidRPr="00FB1E3F" w:rsidRDefault="00F86BD7" w:rsidP="00E70FF1">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ND</w:t>
            </w:r>
          </w:p>
        </w:tc>
        <w:tc>
          <w:tcPr>
            <w:tcW w:w="1671" w:type="dxa"/>
            <w:tcBorders>
              <w:bottom w:val="nil"/>
            </w:tcBorders>
            <w:shd w:val="clear" w:color="auto" w:fill="ECECEC"/>
          </w:tcPr>
          <w:p w14:paraId="38F2FA63" w14:textId="77777777" w:rsidR="001E6A7B" w:rsidRPr="00FB1E3F" w:rsidRDefault="001E6A7B"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FB1E3F">
              <w:rPr>
                <w:sz w:val="20"/>
                <w:szCs w:val="20"/>
              </w:rPr>
              <w:t>-</w:t>
            </w:r>
          </w:p>
        </w:tc>
        <w:tc>
          <w:tcPr>
            <w:tcW w:w="1594" w:type="dxa"/>
            <w:tcBorders>
              <w:bottom w:val="nil"/>
            </w:tcBorders>
            <w:shd w:val="clear" w:color="auto" w:fill="ECECEC"/>
          </w:tcPr>
          <w:p w14:paraId="5C7C7477" w14:textId="77777777" w:rsidR="001E6A7B" w:rsidRPr="00FB1E3F" w:rsidRDefault="001E6A7B"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FB1E3F">
              <w:rPr>
                <w:sz w:val="20"/>
                <w:szCs w:val="20"/>
              </w:rPr>
              <w:t>-</w:t>
            </w:r>
          </w:p>
        </w:tc>
        <w:tc>
          <w:tcPr>
            <w:tcW w:w="1667" w:type="dxa"/>
            <w:tcBorders>
              <w:bottom w:val="nil"/>
            </w:tcBorders>
            <w:shd w:val="clear" w:color="auto" w:fill="ECECEC"/>
          </w:tcPr>
          <w:p w14:paraId="43BEF088" w14:textId="033530CB" w:rsidR="001E6A7B" w:rsidRPr="00FB1E3F" w:rsidRDefault="00FB1E3F" w:rsidP="00E70FF1">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r w:rsidR="00FB1E3F" w:rsidRPr="00426F2C" w14:paraId="78D1A396" w14:textId="77777777" w:rsidTr="00D15C0C">
        <w:tc>
          <w:tcPr>
            <w:cnfStyle w:val="001000000000" w:firstRow="0" w:lastRow="0" w:firstColumn="1" w:lastColumn="0" w:oddVBand="0" w:evenVBand="0" w:oddHBand="0" w:evenHBand="0" w:firstRowFirstColumn="0" w:firstRowLastColumn="0" w:lastRowFirstColumn="0" w:lastRowLastColumn="0"/>
            <w:tcW w:w="2367" w:type="dxa"/>
            <w:tcBorders>
              <w:bottom w:val="single" w:sz="4" w:space="0" w:color="ECECEC"/>
            </w:tcBorders>
          </w:tcPr>
          <w:p w14:paraId="2FAA3CD4" w14:textId="2A7E6036" w:rsidR="004C0973" w:rsidRPr="00FB1E3F" w:rsidRDefault="00FB1E3F" w:rsidP="00E70FF1">
            <w:pPr>
              <w:spacing w:before="60" w:after="60"/>
              <w:rPr>
                <w:b w:val="0"/>
                <w:sz w:val="20"/>
                <w:szCs w:val="20"/>
              </w:rPr>
            </w:pPr>
            <w:r w:rsidRPr="00FB1E3F">
              <w:rPr>
                <w:b w:val="0"/>
                <w:sz w:val="20"/>
                <w:szCs w:val="20"/>
              </w:rPr>
              <w:t>Mercury</w:t>
            </w:r>
            <w:r w:rsidR="000475B5">
              <w:rPr>
                <w:b w:val="0"/>
                <w:sz w:val="20"/>
                <w:szCs w:val="20"/>
              </w:rPr>
              <w:t xml:space="preserve"> (mg/kg)</w:t>
            </w:r>
          </w:p>
        </w:tc>
        <w:tc>
          <w:tcPr>
            <w:tcW w:w="1632" w:type="dxa"/>
            <w:tcBorders>
              <w:bottom w:val="single" w:sz="4" w:space="0" w:color="ECECEC"/>
            </w:tcBorders>
          </w:tcPr>
          <w:p w14:paraId="30EC5966" w14:textId="08D0125B" w:rsidR="00B07B80" w:rsidRPr="00FB1E3F" w:rsidRDefault="00F86BD7" w:rsidP="00E70FF1">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ND</w:t>
            </w:r>
          </w:p>
        </w:tc>
        <w:tc>
          <w:tcPr>
            <w:tcW w:w="1671" w:type="dxa"/>
            <w:tcBorders>
              <w:bottom w:val="single" w:sz="4" w:space="0" w:color="ECECEC"/>
            </w:tcBorders>
          </w:tcPr>
          <w:p w14:paraId="762E635C" w14:textId="4237660B" w:rsidR="00FB1E3F" w:rsidRPr="00FB1E3F" w:rsidRDefault="00E70FF1" w:rsidP="00E70FF1">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594" w:type="dxa"/>
            <w:tcBorders>
              <w:bottom w:val="single" w:sz="4" w:space="0" w:color="ECECEC"/>
            </w:tcBorders>
          </w:tcPr>
          <w:p w14:paraId="6CA6C14C" w14:textId="4C69DD16" w:rsidR="00FB1E3F" w:rsidRPr="00FB1E3F" w:rsidRDefault="00E70FF1"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667" w:type="dxa"/>
            <w:tcBorders>
              <w:bottom w:val="single" w:sz="4" w:space="0" w:color="ECECEC"/>
            </w:tcBorders>
          </w:tcPr>
          <w:p w14:paraId="54526AA2" w14:textId="5D0148C0" w:rsidR="00FB1E3F" w:rsidRPr="00FB1E3F" w:rsidRDefault="00FB1E3F" w:rsidP="00E70FF1">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r w:rsidR="001E6A7B" w:rsidRPr="00426F2C" w14:paraId="2F7BCDE1" w14:textId="77777777" w:rsidTr="00D15C0C">
        <w:tc>
          <w:tcPr>
            <w:cnfStyle w:val="001000000000" w:firstRow="0" w:lastRow="0" w:firstColumn="1" w:lastColumn="0" w:oddVBand="0" w:evenVBand="0" w:oddHBand="0" w:evenHBand="0" w:firstRowFirstColumn="0" w:firstRowLastColumn="0" w:lastRowFirstColumn="0" w:lastRowLastColumn="0"/>
            <w:tcW w:w="2367" w:type="dxa"/>
            <w:tcBorders>
              <w:top w:val="nil"/>
              <w:bottom w:val="nil"/>
            </w:tcBorders>
            <w:shd w:val="clear" w:color="auto" w:fill="ECECEC"/>
          </w:tcPr>
          <w:p w14:paraId="1CDCE35F" w14:textId="19854319" w:rsidR="000C787E" w:rsidRPr="00FB1E3F" w:rsidRDefault="000C787E" w:rsidP="00E70FF1">
            <w:pPr>
              <w:spacing w:before="60" w:after="60"/>
              <w:rPr>
                <w:b w:val="0"/>
                <w:sz w:val="20"/>
                <w:szCs w:val="20"/>
              </w:rPr>
            </w:pPr>
            <w:r>
              <w:rPr>
                <w:b w:val="0"/>
                <w:sz w:val="20"/>
                <w:szCs w:val="20"/>
              </w:rPr>
              <w:t>Coliforms (</w:t>
            </w:r>
            <w:r w:rsidR="00B24985">
              <w:rPr>
                <w:b w:val="0"/>
                <w:sz w:val="20"/>
                <w:szCs w:val="20"/>
              </w:rPr>
              <w:t>cfu</w:t>
            </w:r>
            <w:r w:rsidR="001E6A7B" w:rsidRPr="00FB1E3F">
              <w:rPr>
                <w:b w:val="0"/>
                <w:sz w:val="20"/>
                <w:szCs w:val="20"/>
              </w:rPr>
              <w:t>/g)</w:t>
            </w:r>
          </w:p>
        </w:tc>
        <w:tc>
          <w:tcPr>
            <w:tcW w:w="1632" w:type="dxa"/>
            <w:tcBorders>
              <w:top w:val="nil"/>
              <w:bottom w:val="nil"/>
            </w:tcBorders>
            <w:shd w:val="clear" w:color="auto" w:fill="ECECEC"/>
          </w:tcPr>
          <w:p w14:paraId="47E46EF7" w14:textId="52EDB81D" w:rsidR="00303A1A" w:rsidRPr="00FB1E3F" w:rsidRDefault="00F86BD7" w:rsidP="00E70FF1">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ND</w:t>
            </w:r>
          </w:p>
        </w:tc>
        <w:tc>
          <w:tcPr>
            <w:tcW w:w="1671" w:type="dxa"/>
            <w:tcBorders>
              <w:top w:val="nil"/>
              <w:bottom w:val="nil"/>
            </w:tcBorders>
            <w:shd w:val="clear" w:color="auto" w:fill="ECECEC"/>
          </w:tcPr>
          <w:p w14:paraId="2181D9A4" w14:textId="77777777" w:rsidR="001E6A7B" w:rsidRPr="00FB1E3F" w:rsidRDefault="001E6A7B"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FB1E3F">
              <w:rPr>
                <w:sz w:val="20"/>
                <w:szCs w:val="20"/>
              </w:rPr>
              <w:t xml:space="preserve">≤30 </w:t>
            </w:r>
          </w:p>
        </w:tc>
        <w:tc>
          <w:tcPr>
            <w:tcW w:w="1594" w:type="dxa"/>
            <w:tcBorders>
              <w:top w:val="nil"/>
              <w:bottom w:val="nil"/>
            </w:tcBorders>
            <w:shd w:val="clear" w:color="auto" w:fill="ECECEC"/>
          </w:tcPr>
          <w:p w14:paraId="0D872F3D" w14:textId="77777777" w:rsidR="001E6A7B" w:rsidRPr="00FB1E3F" w:rsidRDefault="001E6A7B"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FB1E3F">
              <w:rPr>
                <w:sz w:val="20"/>
                <w:szCs w:val="20"/>
              </w:rPr>
              <w:t>≤30</w:t>
            </w:r>
          </w:p>
        </w:tc>
        <w:tc>
          <w:tcPr>
            <w:tcW w:w="1667" w:type="dxa"/>
            <w:tcBorders>
              <w:top w:val="nil"/>
              <w:bottom w:val="nil"/>
            </w:tcBorders>
            <w:shd w:val="clear" w:color="auto" w:fill="ECECEC"/>
          </w:tcPr>
          <w:p w14:paraId="162BF5A7" w14:textId="77777777" w:rsidR="001E6A7B" w:rsidRPr="00FB1E3F" w:rsidRDefault="001E6A7B"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FB1E3F">
              <w:rPr>
                <w:sz w:val="20"/>
                <w:szCs w:val="20"/>
              </w:rPr>
              <w:t>-</w:t>
            </w:r>
          </w:p>
        </w:tc>
      </w:tr>
      <w:tr w:rsidR="001E6A7B" w:rsidRPr="00426F2C" w14:paraId="409E7F15" w14:textId="77777777" w:rsidTr="000475B5">
        <w:tc>
          <w:tcPr>
            <w:cnfStyle w:val="001000000000" w:firstRow="0" w:lastRow="0" w:firstColumn="1" w:lastColumn="0" w:oddVBand="0" w:evenVBand="0" w:oddHBand="0" w:evenHBand="0" w:firstRowFirstColumn="0" w:firstRowLastColumn="0" w:lastRowFirstColumn="0" w:lastRowLastColumn="0"/>
            <w:tcW w:w="2367" w:type="dxa"/>
            <w:tcBorders>
              <w:top w:val="nil"/>
              <w:bottom w:val="nil"/>
            </w:tcBorders>
          </w:tcPr>
          <w:p w14:paraId="3B95EBC8" w14:textId="3B86FA8A" w:rsidR="000C787E" w:rsidRPr="00B24985" w:rsidRDefault="001E6A7B" w:rsidP="00E70FF1">
            <w:pPr>
              <w:spacing w:before="60" w:after="60"/>
              <w:rPr>
                <w:b w:val="0"/>
                <w:sz w:val="20"/>
                <w:szCs w:val="20"/>
              </w:rPr>
            </w:pPr>
            <w:r w:rsidRPr="00B24985">
              <w:rPr>
                <w:b w:val="0"/>
                <w:i/>
                <w:sz w:val="20"/>
                <w:szCs w:val="20"/>
              </w:rPr>
              <w:t>Salmonella</w:t>
            </w:r>
            <w:r w:rsidRPr="00B24985">
              <w:rPr>
                <w:b w:val="0"/>
                <w:sz w:val="20"/>
                <w:szCs w:val="20"/>
              </w:rPr>
              <w:t xml:space="preserve"> (in 25 g)</w:t>
            </w:r>
          </w:p>
        </w:tc>
        <w:tc>
          <w:tcPr>
            <w:tcW w:w="1632" w:type="dxa"/>
            <w:tcBorders>
              <w:top w:val="nil"/>
              <w:bottom w:val="nil"/>
            </w:tcBorders>
          </w:tcPr>
          <w:p w14:paraId="14D64D28" w14:textId="08BEBC78" w:rsidR="000475B5" w:rsidRPr="00B24985" w:rsidRDefault="003C2A25" w:rsidP="00E70FF1">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ND</w:t>
            </w:r>
          </w:p>
        </w:tc>
        <w:tc>
          <w:tcPr>
            <w:tcW w:w="1671" w:type="dxa"/>
            <w:tcBorders>
              <w:top w:val="nil"/>
              <w:bottom w:val="nil"/>
            </w:tcBorders>
          </w:tcPr>
          <w:p w14:paraId="7C5AC45E" w14:textId="77777777" w:rsidR="001E6A7B" w:rsidRPr="00B24985" w:rsidRDefault="001E6A7B"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B24985">
              <w:rPr>
                <w:sz w:val="20"/>
                <w:szCs w:val="20"/>
              </w:rPr>
              <w:t>Absent</w:t>
            </w:r>
          </w:p>
        </w:tc>
        <w:tc>
          <w:tcPr>
            <w:tcW w:w="1594" w:type="dxa"/>
            <w:tcBorders>
              <w:top w:val="nil"/>
              <w:bottom w:val="nil"/>
            </w:tcBorders>
          </w:tcPr>
          <w:p w14:paraId="412C419F" w14:textId="77777777" w:rsidR="001E6A7B" w:rsidRPr="00B24985" w:rsidRDefault="001E6A7B"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B24985">
              <w:rPr>
                <w:sz w:val="20"/>
                <w:szCs w:val="20"/>
              </w:rPr>
              <w:t>Negative</w:t>
            </w:r>
          </w:p>
        </w:tc>
        <w:tc>
          <w:tcPr>
            <w:tcW w:w="1667" w:type="dxa"/>
            <w:tcBorders>
              <w:top w:val="nil"/>
              <w:bottom w:val="nil"/>
            </w:tcBorders>
          </w:tcPr>
          <w:p w14:paraId="59DE4F8B" w14:textId="77777777" w:rsidR="001E6A7B" w:rsidRPr="00B24985" w:rsidRDefault="001E6A7B"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B24985">
              <w:rPr>
                <w:sz w:val="20"/>
                <w:szCs w:val="20"/>
              </w:rPr>
              <w:t>-</w:t>
            </w:r>
          </w:p>
        </w:tc>
      </w:tr>
      <w:tr w:rsidR="001E6A7B" w:rsidRPr="00426F2C" w14:paraId="3CBCE940" w14:textId="77777777" w:rsidTr="00D15C0C">
        <w:tc>
          <w:tcPr>
            <w:cnfStyle w:val="001000000000" w:firstRow="0" w:lastRow="0" w:firstColumn="1" w:lastColumn="0" w:oddVBand="0" w:evenVBand="0" w:oddHBand="0" w:evenHBand="0" w:firstRowFirstColumn="0" w:firstRowLastColumn="0" w:lastRowFirstColumn="0" w:lastRowLastColumn="0"/>
            <w:tcW w:w="2367" w:type="dxa"/>
            <w:tcBorders>
              <w:bottom w:val="nil"/>
            </w:tcBorders>
            <w:shd w:val="clear" w:color="auto" w:fill="ECECEC"/>
          </w:tcPr>
          <w:p w14:paraId="1B7E1E93" w14:textId="7A0D3B5B" w:rsidR="000C787E" w:rsidRPr="00B24985" w:rsidRDefault="001E6A7B" w:rsidP="00E70FF1">
            <w:pPr>
              <w:spacing w:before="60" w:after="60"/>
              <w:rPr>
                <w:b w:val="0"/>
                <w:i/>
                <w:sz w:val="20"/>
                <w:szCs w:val="20"/>
              </w:rPr>
            </w:pPr>
            <w:r w:rsidRPr="00B24985">
              <w:rPr>
                <w:b w:val="0"/>
                <w:i/>
                <w:sz w:val="20"/>
                <w:szCs w:val="20"/>
              </w:rPr>
              <w:t xml:space="preserve">E. coli </w:t>
            </w:r>
            <w:r w:rsidRPr="00B24985">
              <w:rPr>
                <w:b w:val="0"/>
                <w:sz w:val="20"/>
                <w:szCs w:val="20"/>
              </w:rPr>
              <w:t>(in 25 g)</w:t>
            </w:r>
          </w:p>
        </w:tc>
        <w:tc>
          <w:tcPr>
            <w:tcW w:w="1632" w:type="dxa"/>
            <w:tcBorders>
              <w:bottom w:val="nil"/>
            </w:tcBorders>
            <w:shd w:val="clear" w:color="auto" w:fill="ECECEC"/>
          </w:tcPr>
          <w:p w14:paraId="47F95D66" w14:textId="124F6D32" w:rsidR="00303A1A" w:rsidRPr="00B24985" w:rsidRDefault="00221EBD" w:rsidP="00E70FF1">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ND</w:t>
            </w:r>
          </w:p>
        </w:tc>
        <w:tc>
          <w:tcPr>
            <w:tcW w:w="1671" w:type="dxa"/>
            <w:tcBorders>
              <w:bottom w:val="nil"/>
            </w:tcBorders>
            <w:shd w:val="clear" w:color="auto" w:fill="ECECEC"/>
          </w:tcPr>
          <w:p w14:paraId="4480FB7B" w14:textId="77777777" w:rsidR="001E6A7B" w:rsidRPr="00B24985" w:rsidRDefault="001E6A7B"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B24985">
              <w:rPr>
                <w:sz w:val="20"/>
                <w:szCs w:val="20"/>
              </w:rPr>
              <w:t xml:space="preserve">Absent </w:t>
            </w:r>
          </w:p>
        </w:tc>
        <w:tc>
          <w:tcPr>
            <w:tcW w:w="1594" w:type="dxa"/>
            <w:tcBorders>
              <w:bottom w:val="nil"/>
            </w:tcBorders>
            <w:shd w:val="clear" w:color="auto" w:fill="ECECEC"/>
          </w:tcPr>
          <w:p w14:paraId="233C66F7" w14:textId="77777777" w:rsidR="001E6A7B" w:rsidRPr="00B24985" w:rsidRDefault="001E6A7B"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B24985">
              <w:rPr>
                <w:sz w:val="20"/>
                <w:szCs w:val="20"/>
              </w:rPr>
              <w:t>-</w:t>
            </w:r>
          </w:p>
        </w:tc>
        <w:tc>
          <w:tcPr>
            <w:tcW w:w="1667" w:type="dxa"/>
            <w:tcBorders>
              <w:bottom w:val="nil"/>
            </w:tcBorders>
            <w:shd w:val="clear" w:color="auto" w:fill="ECECEC"/>
          </w:tcPr>
          <w:p w14:paraId="5F46DDEE" w14:textId="1D2A5A76" w:rsidR="001E6A7B" w:rsidRPr="00B24985" w:rsidRDefault="001E6A7B"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B24985">
              <w:rPr>
                <w:sz w:val="20"/>
                <w:szCs w:val="20"/>
              </w:rPr>
              <w:t>-</w:t>
            </w:r>
          </w:p>
        </w:tc>
      </w:tr>
      <w:tr w:rsidR="001E6A7B" w:rsidRPr="00426F2C" w14:paraId="2020AC71" w14:textId="77777777" w:rsidTr="000475B5">
        <w:tc>
          <w:tcPr>
            <w:cnfStyle w:val="001000000000" w:firstRow="0" w:lastRow="0" w:firstColumn="1" w:lastColumn="0" w:oddVBand="0" w:evenVBand="0" w:oddHBand="0" w:evenHBand="0" w:firstRowFirstColumn="0" w:firstRowLastColumn="0" w:lastRowFirstColumn="0" w:lastRowLastColumn="0"/>
            <w:tcW w:w="2367" w:type="dxa"/>
            <w:tcBorders>
              <w:top w:val="nil"/>
              <w:bottom w:val="nil"/>
            </w:tcBorders>
          </w:tcPr>
          <w:p w14:paraId="364D0468" w14:textId="0E0EAC74" w:rsidR="00303A1A" w:rsidRPr="000475B5" w:rsidRDefault="001E6A7B" w:rsidP="00E70FF1">
            <w:pPr>
              <w:spacing w:before="60" w:after="60"/>
              <w:rPr>
                <w:b w:val="0"/>
                <w:i/>
                <w:sz w:val="20"/>
                <w:szCs w:val="20"/>
              </w:rPr>
            </w:pPr>
            <w:r w:rsidRPr="00B24985">
              <w:rPr>
                <w:b w:val="0"/>
                <w:sz w:val="20"/>
                <w:szCs w:val="20"/>
              </w:rPr>
              <w:t>Antimicrobial activity</w:t>
            </w:r>
          </w:p>
        </w:tc>
        <w:tc>
          <w:tcPr>
            <w:tcW w:w="1632" w:type="dxa"/>
            <w:tcBorders>
              <w:top w:val="nil"/>
              <w:bottom w:val="nil"/>
            </w:tcBorders>
          </w:tcPr>
          <w:p w14:paraId="5D8BB232" w14:textId="1B76D73B" w:rsidR="00303A1A" w:rsidRPr="00B24985" w:rsidRDefault="00F86BD7" w:rsidP="00E70FF1">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ND</w:t>
            </w:r>
          </w:p>
        </w:tc>
        <w:tc>
          <w:tcPr>
            <w:tcW w:w="1671" w:type="dxa"/>
            <w:tcBorders>
              <w:top w:val="nil"/>
              <w:bottom w:val="nil"/>
            </w:tcBorders>
          </w:tcPr>
          <w:p w14:paraId="53400D64" w14:textId="77777777" w:rsidR="001E6A7B" w:rsidRPr="00B24985" w:rsidRDefault="001E6A7B"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B24985">
              <w:rPr>
                <w:sz w:val="20"/>
                <w:szCs w:val="20"/>
              </w:rPr>
              <w:t>Absent</w:t>
            </w:r>
          </w:p>
        </w:tc>
        <w:tc>
          <w:tcPr>
            <w:tcW w:w="1594" w:type="dxa"/>
            <w:tcBorders>
              <w:top w:val="nil"/>
              <w:bottom w:val="nil"/>
            </w:tcBorders>
          </w:tcPr>
          <w:p w14:paraId="5B4E9E60" w14:textId="77777777" w:rsidR="001E6A7B" w:rsidRPr="00B24985" w:rsidRDefault="001E6A7B"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B24985">
              <w:rPr>
                <w:sz w:val="20"/>
                <w:szCs w:val="20"/>
              </w:rPr>
              <w:t>-</w:t>
            </w:r>
          </w:p>
        </w:tc>
        <w:tc>
          <w:tcPr>
            <w:tcW w:w="1667" w:type="dxa"/>
            <w:tcBorders>
              <w:top w:val="nil"/>
              <w:bottom w:val="nil"/>
            </w:tcBorders>
          </w:tcPr>
          <w:p w14:paraId="721EBC09" w14:textId="77777777" w:rsidR="001E6A7B" w:rsidRPr="00B24985" w:rsidRDefault="001E6A7B"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B24985">
              <w:rPr>
                <w:sz w:val="20"/>
                <w:szCs w:val="20"/>
              </w:rPr>
              <w:t>-</w:t>
            </w:r>
          </w:p>
        </w:tc>
      </w:tr>
      <w:tr w:rsidR="000475B5" w:rsidRPr="00426F2C" w14:paraId="0C895A42" w14:textId="77777777" w:rsidTr="000475B5">
        <w:tc>
          <w:tcPr>
            <w:cnfStyle w:val="001000000000" w:firstRow="0" w:lastRow="0" w:firstColumn="1" w:lastColumn="0" w:oddVBand="0" w:evenVBand="0" w:oddHBand="0" w:evenHBand="0" w:firstRowFirstColumn="0" w:firstRowLastColumn="0" w:lastRowFirstColumn="0" w:lastRowLastColumn="0"/>
            <w:tcW w:w="2367" w:type="dxa"/>
            <w:tcBorders>
              <w:top w:val="nil"/>
              <w:bottom w:val="single" w:sz="4" w:space="0" w:color="ECECEC"/>
            </w:tcBorders>
            <w:shd w:val="clear" w:color="auto" w:fill="ECECEC"/>
          </w:tcPr>
          <w:p w14:paraId="6F659444" w14:textId="77777777" w:rsidR="000475B5" w:rsidRPr="00B440BE" w:rsidRDefault="000475B5" w:rsidP="000475B5">
            <w:pPr>
              <w:spacing w:before="60" w:after="60"/>
              <w:rPr>
                <w:b w:val="0"/>
                <w:sz w:val="20"/>
                <w:szCs w:val="20"/>
              </w:rPr>
            </w:pPr>
            <w:r w:rsidRPr="00B440BE">
              <w:rPr>
                <w:b w:val="0"/>
                <w:sz w:val="20"/>
                <w:szCs w:val="20"/>
              </w:rPr>
              <w:t>Mycotoxins</w:t>
            </w:r>
          </w:p>
          <w:p w14:paraId="26F5E16D" w14:textId="13F8922A" w:rsidR="00E70FF1" w:rsidRPr="00B24985" w:rsidRDefault="000475B5" w:rsidP="00E70FF1">
            <w:pPr>
              <w:spacing w:before="60" w:after="60"/>
              <w:rPr>
                <w:b w:val="0"/>
                <w:bCs w:val="0"/>
                <w:sz w:val="20"/>
                <w:szCs w:val="20"/>
              </w:rPr>
            </w:pPr>
            <w:r w:rsidRPr="00B07B80">
              <w:rPr>
                <w:b w:val="0"/>
                <w:sz w:val="20"/>
                <w:szCs w:val="20"/>
                <w:highlight w:val="yellow"/>
              </w:rPr>
              <w:t xml:space="preserve"> </w:t>
            </w:r>
          </w:p>
          <w:p w14:paraId="1ECF8E4B" w14:textId="6CC27BB1" w:rsidR="000475B5" w:rsidRPr="00B24985" w:rsidRDefault="000475B5" w:rsidP="00303A1A">
            <w:pPr>
              <w:spacing w:before="60" w:after="60"/>
              <w:rPr>
                <w:sz w:val="20"/>
                <w:szCs w:val="20"/>
              </w:rPr>
            </w:pPr>
          </w:p>
        </w:tc>
        <w:tc>
          <w:tcPr>
            <w:tcW w:w="1632" w:type="dxa"/>
            <w:tcBorders>
              <w:top w:val="nil"/>
              <w:bottom w:val="single" w:sz="4" w:space="0" w:color="ECECEC"/>
            </w:tcBorders>
            <w:shd w:val="clear" w:color="auto" w:fill="ECECEC"/>
          </w:tcPr>
          <w:p w14:paraId="1B929ABB" w14:textId="6A73C315" w:rsidR="000475B5" w:rsidRDefault="00F86BD7"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ND</w:t>
            </w:r>
          </w:p>
        </w:tc>
        <w:tc>
          <w:tcPr>
            <w:tcW w:w="1671" w:type="dxa"/>
            <w:tcBorders>
              <w:top w:val="nil"/>
              <w:bottom w:val="single" w:sz="4" w:space="0" w:color="ECECEC"/>
            </w:tcBorders>
            <w:shd w:val="clear" w:color="auto" w:fill="ECECEC"/>
          </w:tcPr>
          <w:p w14:paraId="6246B659" w14:textId="1957B202" w:rsidR="000475B5" w:rsidRPr="00B24985" w:rsidRDefault="00B07B80"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E70FF1">
              <w:rPr>
                <w:sz w:val="20"/>
                <w:szCs w:val="20"/>
              </w:rPr>
              <w:t>No toxicologically significant levels</w:t>
            </w:r>
          </w:p>
        </w:tc>
        <w:tc>
          <w:tcPr>
            <w:tcW w:w="1594" w:type="dxa"/>
            <w:tcBorders>
              <w:top w:val="nil"/>
              <w:bottom w:val="single" w:sz="4" w:space="0" w:color="ECECEC"/>
            </w:tcBorders>
            <w:shd w:val="clear" w:color="auto" w:fill="ECECEC"/>
          </w:tcPr>
          <w:p w14:paraId="4DCE59EF" w14:textId="77777777" w:rsidR="000475B5" w:rsidRPr="00B24985" w:rsidRDefault="000475B5"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667" w:type="dxa"/>
            <w:tcBorders>
              <w:top w:val="nil"/>
              <w:bottom w:val="single" w:sz="4" w:space="0" w:color="ECECEC"/>
            </w:tcBorders>
            <w:shd w:val="clear" w:color="auto" w:fill="ECECEC"/>
          </w:tcPr>
          <w:p w14:paraId="005D0B5B" w14:textId="77777777" w:rsidR="000475B5" w:rsidRPr="00B24985" w:rsidRDefault="000475B5" w:rsidP="001E6A7B">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0C17288B" w14:textId="69FD0626" w:rsidR="00221EBD" w:rsidRDefault="00221EBD" w:rsidP="00221EBD">
      <w:bookmarkStart w:id="41" w:name="_Toc472327053"/>
      <w:bookmarkStart w:id="42" w:name="_Toc501699827"/>
      <w:bookmarkStart w:id="43" w:name="_Toc536543994"/>
      <w:bookmarkStart w:id="44" w:name="_Toc536607129"/>
      <w:bookmarkStart w:id="45" w:name="_Toc28003768"/>
      <w:r>
        <w:t>ND: Not Detected</w:t>
      </w:r>
    </w:p>
    <w:p w14:paraId="7855AD6F" w14:textId="38220499" w:rsidR="001E6A7B" w:rsidRPr="00D15C0C" w:rsidRDefault="001E6A7B" w:rsidP="00E02D51">
      <w:pPr>
        <w:pStyle w:val="Heading2"/>
        <w:numPr>
          <w:ilvl w:val="0"/>
          <w:numId w:val="0"/>
        </w:numPr>
        <w:ind w:left="851" w:hanging="851"/>
      </w:pPr>
      <w:r w:rsidRPr="00D15C0C">
        <w:t>2.3</w:t>
      </w:r>
      <w:r w:rsidRPr="00D15C0C">
        <w:tab/>
        <w:t>Food technology conclusion</w:t>
      </w:r>
      <w:bookmarkEnd w:id="41"/>
      <w:bookmarkEnd w:id="42"/>
      <w:bookmarkEnd w:id="43"/>
      <w:bookmarkEnd w:id="44"/>
      <w:bookmarkEnd w:id="45"/>
    </w:p>
    <w:p w14:paraId="3E520272" w14:textId="5E9081A9" w:rsidR="001E6A7B" w:rsidRDefault="009A4CD4" w:rsidP="001E6A7B">
      <w:r>
        <w:t>FSANZ concludes that t</w:t>
      </w:r>
      <w:r w:rsidRPr="00D15C0C">
        <w:t xml:space="preserve">he </w:t>
      </w:r>
      <w:r w:rsidR="00FE665B" w:rsidRPr="00D15C0C">
        <w:t>use</w:t>
      </w:r>
      <w:r w:rsidR="001E6A7B" w:rsidRPr="00D15C0C">
        <w:t xml:space="preserve"> of this </w:t>
      </w:r>
      <w:r w:rsidR="002F3228">
        <w:t>glucoamylase</w:t>
      </w:r>
      <w:r w:rsidR="001E6A7B" w:rsidRPr="00D15C0C">
        <w:rPr>
          <w:szCs w:val="20"/>
        </w:rPr>
        <w:t xml:space="preserve"> </w:t>
      </w:r>
      <w:r w:rsidR="00DC022A">
        <w:t xml:space="preserve">in </w:t>
      </w:r>
      <w:r w:rsidR="002F3228">
        <w:t>starch processing and the production of potable alcohol</w:t>
      </w:r>
      <w:r w:rsidR="00263497">
        <w:t xml:space="preserve"> </w:t>
      </w:r>
      <w:r w:rsidR="001E6A7B" w:rsidRPr="00D15C0C">
        <w:t xml:space="preserve">is clearly </w:t>
      </w:r>
      <w:r w:rsidR="007B7270">
        <w:t>described</w:t>
      </w:r>
      <w:r w:rsidR="001E6A7B" w:rsidRPr="00D15C0C">
        <w:t xml:space="preserve"> in the </w:t>
      </w:r>
      <w:r w:rsidR="00303A1A">
        <w:t>application</w:t>
      </w:r>
      <w:r w:rsidR="00C71D1F">
        <w:t xml:space="preserve"> </w:t>
      </w:r>
      <w:r>
        <w:t xml:space="preserve">and that the </w:t>
      </w:r>
      <w:r w:rsidR="001E6A7B" w:rsidRPr="00D15C0C">
        <w:t xml:space="preserve">evidence presented to support </w:t>
      </w:r>
      <w:r w:rsidR="00303A1A">
        <w:t xml:space="preserve">its </w:t>
      </w:r>
      <w:r w:rsidR="001E6A7B" w:rsidRPr="00D15C0C">
        <w:t xml:space="preserve">proposed use provides adequate assurance that the enzyme, in </w:t>
      </w:r>
      <w:r w:rsidR="00012CBF">
        <w:t xml:space="preserve">the quantity and </w:t>
      </w:r>
      <w:r w:rsidR="001E6A7B" w:rsidRPr="00D15C0C">
        <w:t xml:space="preserve">form </w:t>
      </w:r>
      <w:r w:rsidR="00012CBF">
        <w:t xml:space="preserve">proposed to be used </w:t>
      </w:r>
      <w:r w:rsidR="00303A1A">
        <w:t xml:space="preserve">(which must be consistent with GMP), </w:t>
      </w:r>
      <w:r w:rsidR="001E6A7B" w:rsidRPr="00D15C0C">
        <w:t>is technologically justified and effective in achieving its stated purpose. The enzyme meets international purity specifications.</w:t>
      </w:r>
      <w:r w:rsidR="00303A1A">
        <w:t xml:space="preserve"> </w:t>
      </w:r>
    </w:p>
    <w:p w14:paraId="5B2C9CE0" w14:textId="5B6BB47E" w:rsidR="00CA3849" w:rsidRDefault="00CA3849" w:rsidP="001E6A7B">
      <w:pPr>
        <w:pStyle w:val="Heading1"/>
      </w:pPr>
      <w:bookmarkStart w:id="46" w:name="_Toc505255637"/>
      <w:bookmarkStart w:id="47" w:name="_Toc536543995"/>
      <w:bookmarkStart w:id="48" w:name="_Toc536607130"/>
      <w:bookmarkStart w:id="49" w:name="_Toc28003769"/>
      <w:r w:rsidRPr="001E6A7B">
        <w:t xml:space="preserve">3 </w:t>
      </w:r>
      <w:r w:rsidR="00E02D51">
        <w:tab/>
      </w:r>
      <w:r w:rsidRPr="001E6A7B">
        <w:t>Safety assessment</w:t>
      </w:r>
      <w:bookmarkStart w:id="50" w:name="_Toc471740081"/>
      <w:bookmarkStart w:id="51" w:name="_Toc499282437"/>
      <w:bookmarkEnd w:id="46"/>
      <w:bookmarkEnd w:id="47"/>
      <w:bookmarkEnd w:id="48"/>
      <w:bookmarkEnd w:id="49"/>
    </w:p>
    <w:p w14:paraId="3D6D4F4C" w14:textId="65C51EBC" w:rsidR="00CA3849" w:rsidRPr="006C2969" w:rsidRDefault="00CA3849" w:rsidP="00E02D51">
      <w:pPr>
        <w:pStyle w:val="Heading2"/>
        <w:numPr>
          <w:ilvl w:val="0"/>
          <w:numId w:val="0"/>
        </w:numPr>
        <w:ind w:left="851" w:hanging="851"/>
      </w:pPr>
      <w:bookmarkStart w:id="52" w:name="_Toc471740085"/>
      <w:bookmarkStart w:id="53" w:name="_Toc499282440"/>
      <w:bookmarkStart w:id="54" w:name="_Toc505255639"/>
      <w:bookmarkStart w:id="55" w:name="_Toc536543996"/>
      <w:bookmarkStart w:id="56" w:name="_Toc536607131"/>
      <w:bookmarkStart w:id="57" w:name="_Toc28003770"/>
      <w:bookmarkEnd w:id="50"/>
      <w:bookmarkEnd w:id="51"/>
      <w:r w:rsidRPr="006C2969">
        <w:t>3.</w:t>
      </w:r>
      <w:bookmarkEnd w:id="52"/>
      <w:r w:rsidR="00A07714">
        <w:t>1</w:t>
      </w:r>
      <w:r w:rsidR="001E6A7B">
        <w:tab/>
      </w:r>
      <w:r w:rsidRPr="006C2969">
        <w:t>History of use</w:t>
      </w:r>
      <w:bookmarkEnd w:id="53"/>
      <w:bookmarkEnd w:id="54"/>
      <w:bookmarkEnd w:id="55"/>
      <w:bookmarkEnd w:id="56"/>
      <w:bookmarkEnd w:id="57"/>
      <w:r w:rsidRPr="006C2969">
        <w:t xml:space="preserve"> </w:t>
      </w:r>
    </w:p>
    <w:p w14:paraId="77901D93" w14:textId="49A1A6C2" w:rsidR="009157CA" w:rsidRDefault="00CA3849" w:rsidP="00E02D51">
      <w:pPr>
        <w:pStyle w:val="Heading3"/>
        <w:rPr>
          <w:rFonts w:cs="Arial"/>
        </w:rPr>
      </w:pPr>
      <w:bookmarkStart w:id="58" w:name="_Toc498940968"/>
      <w:bookmarkStart w:id="59" w:name="_Toc499282441"/>
      <w:bookmarkStart w:id="60" w:name="_Toc536543997"/>
      <w:bookmarkStart w:id="61" w:name="_Toc536607132"/>
      <w:bookmarkStart w:id="62" w:name="_Toc28003771"/>
      <w:r>
        <w:t>3.</w:t>
      </w:r>
      <w:r w:rsidR="00A07714">
        <w:t>1</w:t>
      </w:r>
      <w:r>
        <w:t>.1</w:t>
      </w:r>
      <w:r w:rsidR="0035149D">
        <w:tab/>
      </w:r>
      <w:r>
        <w:t>Host organism</w:t>
      </w:r>
      <w:bookmarkEnd w:id="58"/>
      <w:bookmarkEnd w:id="59"/>
      <w:bookmarkEnd w:id="60"/>
      <w:bookmarkEnd w:id="61"/>
      <w:bookmarkEnd w:id="62"/>
      <w:r>
        <w:t xml:space="preserve"> </w:t>
      </w:r>
      <w:r w:rsidR="009157CA">
        <w:rPr>
          <w:rFonts w:cs="Arial"/>
        </w:rPr>
        <w:t xml:space="preserve"> </w:t>
      </w:r>
    </w:p>
    <w:p w14:paraId="74FD37DB" w14:textId="64F33382" w:rsidR="00071BF6" w:rsidRDefault="00071BF6" w:rsidP="00071BF6">
      <w:bookmarkStart w:id="63" w:name="_Toc498940969"/>
      <w:bookmarkStart w:id="64" w:name="_Toc499282442"/>
      <w:bookmarkStart w:id="65" w:name="_Toc536543998"/>
      <w:bookmarkStart w:id="66" w:name="_Toc536607133"/>
      <w:r>
        <w:rPr>
          <w:i/>
        </w:rPr>
        <w:t>A</w:t>
      </w:r>
      <w:r w:rsidR="00C035A4">
        <w:rPr>
          <w:i/>
        </w:rPr>
        <w:t xml:space="preserve">. </w:t>
      </w:r>
      <w:r>
        <w:rPr>
          <w:i/>
        </w:rPr>
        <w:t xml:space="preserve">niger </w:t>
      </w:r>
      <w:r>
        <w:t xml:space="preserve">is a filamentous fungus ubiquitous in the environment (Schuster et al. 2002; Gautam et al. 2015). The ability of </w:t>
      </w:r>
      <w:r w:rsidRPr="00610580">
        <w:rPr>
          <w:i/>
        </w:rPr>
        <w:t>A</w:t>
      </w:r>
      <w:r>
        <w:rPr>
          <w:i/>
        </w:rPr>
        <w:t xml:space="preserve">. </w:t>
      </w:r>
      <w:r w:rsidRPr="00610580">
        <w:rPr>
          <w:i/>
        </w:rPr>
        <w:t xml:space="preserve">niger </w:t>
      </w:r>
      <w:r>
        <w:t xml:space="preserve">to produce organic acids such as citric acid, the primary acidulant used in the food and beverage industry, has been industrially exploited since 1919 (Schuster et al. 2002; </w:t>
      </w:r>
      <w:r w:rsidRPr="0022432D">
        <w:t>Show et al</w:t>
      </w:r>
      <w:r>
        <w:t>.</w:t>
      </w:r>
      <w:r w:rsidRPr="0022432D">
        <w:t xml:space="preserve"> 2015</w:t>
      </w:r>
      <w:r>
        <w:t xml:space="preserve">). </w:t>
      </w:r>
      <w:r w:rsidRPr="00B640CA">
        <w:rPr>
          <w:i/>
        </w:rPr>
        <w:t>A. niger</w:t>
      </w:r>
      <w:r>
        <w:t xml:space="preserve"> </w:t>
      </w:r>
      <w:r>
        <w:rPr>
          <w:rFonts w:cs="Arial"/>
          <w:color w:val="000000" w:themeColor="text1"/>
        </w:rPr>
        <w:t xml:space="preserve">has been classed as a Biosafety Level 1 organism, based on the </w:t>
      </w:r>
      <w:hyperlink r:id="rId17" w:history="1">
        <w:r w:rsidRPr="001065CC">
          <w:rPr>
            <w:rStyle w:val="Hyperlink"/>
            <w:rFonts w:cs="Arial"/>
          </w:rPr>
          <w:t>United States Public Health Service Guidelines</w:t>
        </w:r>
      </w:hyperlink>
      <w:r>
        <w:rPr>
          <w:rStyle w:val="FootnoteReference"/>
          <w:rFonts w:cs="Arial"/>
          <w:color w:val="3333FF"/>
          <w:u w:val="single"/>
        </w:rPr>
        <w:footnoteReference w:id="7"/>
      </w:r>
      <w:r>
        <w:t>,</w:t>
      </w:r>
      <w:r w:rsidRPr="00155D4B">
        <w:t xml:space="preserve"> has a </w:t>
      </w:r>
      <w:r>
        <w:t xml:space="preserve">long </w:t>
      </w:r>
      <w:r w:rsidRPr="00155D4B">
        <w:t xml:space="preserve">history of safe use as a production organism for food enzymes </w:t>
      </w:r>
      <w:r>
        <w:t xml:space="preserve">(Gautam et al. 2011; Pariza and Johnson 2001) </w:t>
      </w:r>
      <w:r w:rsidRPr="00155D4B">
        <w:t>and is a permitted source of a number of enzymes in the Code</w:t>
      </w:r>
      <w:r>
        <w:t xml:space="preserve"> (Schedule 18).</w:t>
      </w:r>
    </w:p>
    <w:p w14:paraId="3154B649" w14:textId="77777777" w:rsidR="00071BF6" w:rsidRDefault="00071BF6" w:rsidP="00071BF6"/>
    <w:p w14:paraId="19E1CD63" w14:textId="7FABD803" w:rsidR="00071BF6" w:rsidRDefault="00071BF6" w:rsidP="00071BF6">
      <w:r w:rsidRPr="00FC18DA">
        <w:rPr>
          <w:i/>
        </w:rPr>
        <w:t>A</w:t>
      </w:r>
      <w:r>
        <w:rPr>
          <w:i/>
        </w:rPr>
        <w:t>.</w:t>
      </w:r>
      <w:r w:rsidR="00150BBE">
        <w:rPr>
          <w:i/>
        </w:rPr>
        <w:t xml:space="preserve"> </w:t>
      </w:r>
      <w:r w:rsidRPr="00FC18DA">
        <w:rPr>
          <w:i/>
        </w:rPr>
        <w:t>niger</w:t>
      </w:r>
      <w:r>
        <w:t xml:space="preserve"> has been isolated in rare cases of aspergillosis in immunocompromised individuals (Atchade et al. 2017; </w:t>
      </w:r>
      <w:r w:rsidRPr="00001D22">
        <w:t>Person et al</w:t>
      </w:r>
      <w:r>
        <w:t>.</w:t>
      </w:r>
      <w:r w:rsidRPr="00001D22">
        <w:t xml:space="preserve"> 2010</w:t>
      </w:r>
      <w:r>
        <w:t xml:space="preserve">) however, </w:t>
      </w:r>
      <w:r w:rsidRPr="000664B8">
        <w:t>it</w:t>
      </w:r>
      <w:r>
        <w:t xml:space="preserve"> is generally regarded as non-pathogenic, considering humans are frequently exposed without disease becoming apparent (Schuster et al. 2002). S</w:t>
      </w:r>
      <w:r w:rsidRPr="00F64AD8">
        <w:t xml:space="preserve">ome strains of </w:t>
      </w:r>
      <w:r w:rsidRPr="00FD106F">
        <w:rPr>
          <w:i/>
        </w:rPr>
        <w:t>A</w:t>
      </w:r>
      <w:r>
        <w:rPr>
          <w:i/>
        </w:rPr>
        <w:t>.</w:t>
      </w:r>
      <w:r w:rsidRPr="00FD106F">
        <w:rPr>
          <w:i/>
        </w:rPr>
        <w:t xml:space="preserve"> niger</w:t>
      </w:r>
      <w:r>
        <w:t xml:space="preserve"> </w:t>
      </w:r>
      <w:r w:rsidRPr="00F64AD8">
        <w:t xml:space="preserve">are capable of producing toxins </w:t>
      </w:r>
      <w:r>
        <w:t>like ochratoxins and fuminisins, which</w:t>
      </w:r>
      <w:r w:rsidRPr="00F64AD8">
        <w:t xml:space="preserve"> are harmful to human heal</w:t>
      </w:r>
      <w:r>
        <w:t xml:space="preserve">th (Frisvad et al. 2011). The applicant confirmed that the </w:t>
      </w:r>
      <w:r w:rsidRPr="007A3FCA">
        <w:rPr>
          <w:i/>
        </w:rPr>
        <w:t>A. niger</w:t>
      </w:r>
      <w:r>
        <w:t xml:space="preserve"> production strain belongs to a strain lineage which is non-pathogenic and does not produce any known mycotoxins.</w:t>
      </w:r>
    </w:p>
    <w:p w14:paraId="069111A8" w14:textId="77777777" w:rsidR="00071BF6" w:rsidRDefault="00071BF6" w:rsidP="00071BF6">
      <w:pPr>
        <w:rPr>
          <w:lang w:eastAsia="en-AU" w:bidi="ar-SA"/>
        </w:rPr>
      </w:pPr>
    </w:p>
    <w:p w14:paraId="5A518D4F" w14:textId="0C20A8C1" w:rsidR="00012CBF" w:rsidRDefault="00071BF6" w:rsidP="00BF446A">
      <w:pPr>
        <w:rPr>
          <w:i/>
        </w:rPr>
      </w:pPr>
      <w:r>
        <w:rPr>
          <w:rFonts w:cs="Arial"/>
          <w:color w:val="000000" w:themeColor="text1"/>
        </w:rPr>
        <w:t>T</w:t>
      </w:r>
      <w:r w:rsidRPr="00B75BBE">
        <w:rPr>
          <w:rFonts w:cs="Arial"/>
          <w:color w:val="000000" w:themeColor="text1"/>
        </w:rPr>
        <w:t xml:space="preserve">he </w:t>
      </w:r>
      <w:r>
        <w:rPr>
          <w:rFonts w:cs="Arial"/>
          <w:color w:val="000000" w:themeColor="text1"/>
        </w:rPr>
        <w:t>host strain had previously been</w:t>
      </w:r>
      <w:r w:rsidRPr="00B75BBE">
        <w:rPr>
          <w:rFonts w:cs="Arial"/>
          <w:color w:val="000000" w:themeColor="text1"/>
        </w:rPr>
        <w:t xml:space="preserve"> modified using a range of conventional mutagenesis </w:t>
      </w:r>
      <w:r>
        <w:rPr>
          <w:rFonts w:cs="Arial"/>
          <w:color w:val="000000" w:themeColor="text1"/>
        </w:rPr>
        <w:t>and genetic</w:t>
      </w:r>
      <w:r w:rsidRPr="00B75BBE">
        <w:rPr>
          <w:rFonts w:cs="Arial"/>
          <w:color w:val="000000" w:themeColor="text1"/>
        </w:rPr>
        <w:t xml:space="preserve"> </w:t>
      </w:r>
      <w:r>
        <w:rPr>
          <w:rFonts w:cs="Arial"/>
          <w:color w:val="000000" w:themeColor="text1"/>
        </w:rPr>
        <w:t>modification steps</w:t>
      </w:r>
      <w:r w:rsidRPr="00B75BBE">
        <w:rPr>
          <w:rFonts w:cs="Arial"/>
          <w:color w:val="000000" w:themeColor="text1"/>
        </w:rPr>
        <w:t xml:space="preserve"> that are routinely used to optimise organisms for industrial use. These changes have </w:t>
      </w:r>
      <w:r>
        <w:rPr>
          <w:rFonts w:cs="Arial"/>
          <w:color w:val="000000" w:themeColor="text1"/>
        </w:rPr>
        <w:t xml:space="preserve">been characterised and </w:t>
      </w:r>
      <w:r w:rsidRPr="00B75BBE">
        <w:rPr>
          <w:rFonts w:cs="Arial"/>
          <w:color w:val="000000" w:themeColor="text1"/>
        </w:rPr>
        <w:t xml:space="preserve">include silencing of proteins that would impact the yield and purity of </w:t>
      </w:r>
      <w:r>
        <w:rPr>
          <w:rFonts w:cs="Arial"/>
        </w:rPr>
        <w:t xml:space="preserve">the </w:t>
      </w:r>
      <w:r w:rsidR="009F4D5B">
        <w:rPr>
          <w:rFonts w:cs="Arial"/>
        </w:rPr>
        <w:t>glucoamylase</w:t>
      </w:r>
      <w:r>
        <w:rPr>
          <w:rFonts w:cs="Arial"/>
        </w:rPr>
        <w:t xml:space="preserve"> </w:t>
      </w:r>
      <w:r w:rsidRPr="00B75BBE">
        <w:rPr>
          <w:rFonts w:cs="Arial"/>
          <w:color w:val="000000" w:themeColor="text1"/>
        </w:rPr>
        <w:t>and to increase the ability and efficiency to transform the host</w:t>
      </w:r>
      <w:r>
        <w:rPr>
          <w:lang w:eastAsia="en-AU" w:bidi="ar-SA"/>
        </w:rPr>
        <w:t xml:space="preserve">. </w:t>
      </w:r>
      <w:r w:rsidR="009A7259">
        <w:rPr>
          <w:lang w:eastAsia="en-AU" w:bidi="ar-SA"/>
        </w:rPr>
        <w:t>A</w:t>
      </w:r>
      <w:r>
        <w:t xml:space="preserve"> predecessor </w:t>
      </w:r>
      <w:r w:rsidR="009A7259">
        <w:t xml:space="preserve">of the host </w:t>
      </w:r>
      <w:r>
        <w:t>strain was characterised based on DNA sequencing of four gene regions (ribosomal internal transcribed spacer (ITS), translation elongation factor-1 (TEF-1</w:t>
      </w:r>
      <w:r>
        <w:rPr>
          <w:rFonts w:cs="Arial"/>
        </w:rPr>
        <w:t>α</w:t>
      </w:r>
      <w:r>
        <w:t xml:space="preserve">), calmodulin (cdl) and </w:t>
      </w:r>
      <w:r>
        <w:rPr>
          <w:rFonts w:cs="Arial"/>
        </w:rPr>
        <w:t>β</w:t>
      </w:r>
      <w:r>
        <w:t xml:space="preserve">-tubulin (tub2)). The </w:t>
      </w:r>
      <w:r w:rsidR="009A7259">
        <w:t xml:space="preserve">sequencing </w:t>
      </w:r>
      <w:r>
        <w:t xml:space="preserve">data </w:t>
      </w:r>
      <w:r w:rsidR="009A7259">
        <w:t xml:space="preserve">was provided by the Applicant and </w:t>
      </w:r>
      <w:r w:rsidRPr="00B82FA2">
        <w:t>confirm</w:t>
      </w:r>
      <w:r>
        <w:t>ed</w:t>
      </w:r>
      <w:r w:rsidRPr="00B82FA2">
        <w:t xml:space="preserve"> the </w:t>
      </w:r>
      <w:r w:rsidR="009A7259">
        <w:t>host strain to be</w:t>
      </w:r>
      <w:r w:rsidRPr="00B82FA2">
        <w:t xml:space="preserve"> </w:t>
      </w:r>
      <w:r w:rsidRPr="00B82FA2">
        <w:rPr>
          <w:i/>
        </w:rPr>
        <w:t>A</w:t>
      </w:r>
      <w:r>
        <w:rPr>
          <w:i/>
        </w:rPr>
        <w:t xml:space="preserve">. </w:t>
      </w:r>
      <w:r w:rsidRPr="00B82FA2">
        <w:rPr>
          <w:i/>
        </w:rPr>
        <w:t>niger</w:t>
      </w:r>
      <w:r w:rsidRPr="00B82FA2">
        <w:t>.</w:t>
      </w:r>
    </w:p>
    <w:p w14:paraId="702F4322" w14:textId="2C2B1E7B" w:rsidR="00CA3849" w:rsidRDefault="00CA3849" w:rsidP="00E02D51">
      <w:pPr>
        <w:pStyle w:val="Heading3"/>
      </w:pPr>
      <w:bookmarkStart w:id="67" w:name="_Toc28003772"/>
      <w:r>
        <w:t>3.</w:t>
      </w:r>
      <w:r w:rsidR="00A07714">
        <w:t>1</w:t>
      </w:r>
      <w:r>
        <w:t>.2</w:t>
      </w:r>
      <w:r w:rsidR="0035149D">
        <w:tab/>
      </w:r>
      <w:r>
        <w:t>Gene donor organisms</w:t>
      </w:r>
      <w:bookmarkEnd w:id="63"/>
      <w:bookmarkEnd w:id="64"/>
      <w:bookmarkEnd w:id="65"/>
      <w:bookmarkEnd w:id="66"/>
      <w:bookmarkEnd w:id="67"/>
      <w:r>
        <w:t xml:space="preserve"> </w:t>
      </w:r>
    </w:p>
    <w:p w14:paraId="15C134A6" w14:textId="32341714" w:rsidR="00B8451C" w:rsidRPr="00B8451C" w:rsidRDefault="00B8451C" w:rsidP="00012CBF">
      <w:pPr>
        <w:rPr>
          <w:b/>
          <w:lang w:eastAsia="en-AU" w:bidi="ar-SA"/>
        </w:rPr>
      </w:pPr>
      <w:r w:rsidRPr="00B8451C">
        <w:rPr>
          <w:b/>
          <w:lang w:eastAsia="en-AU" w:bidi="ar-SA"/>
        </w:rPr>
        <w:t>Glucoamylase gene</w:t>
      </w:r>
    </w:p>
    <w:p w14:paraId="77EF0A36" w14:textId="77777777" w:rsidR="00B8451C" w:rsidRDefault="00B8451C" w:rsidP="00012CBF">
      <w:pPr>
        <w:rPr>
          <w:i/>
          <w:lang w:eastAsia="en-AU" w:bidi="ar-SA"/>
        </w:rPr>
      </w:pPr>
    </w:p>
    <w:p w14:paraId="4A5E1ABF" w14:textId="530A20B5" w:rsidR="00B216C3" w:rsidRDefault="00B8451C" w:rsidP="00012CBF">
      <w:pPr>
        <w:rPr>
          <w:lang w:eastAsia="en-AU" w:bidi="ar-SA"/>
        </w:rPr>
      </w:pPr>
      <w:r w:rsidRPr="00B8451C">
        <w:rPr>
          <w:lang w:eastAsia="en-AU" w:bidi="ar-SA"/>
        </w:rPr>
        <w:t xml:space="preserve">The glucoamylase gene </w:t>
      </w:r>
      <w:r w:rsidR="007D1390" w:rsidRPr="007D1390">
        <w:rPr>
          <w:i/>
          <w:lang w:eastAsia="en-AU" w:bidi="ar-SA"/>
        </w:rPr>
        <w:t>amgTC</w:t>
      </w:r>
      <w:r w:rsidR="007D1390">
        <w:rPr>
          <w:lang w:eastAsia="en-AU" w:bidi="ar-SA"/>
        </w:rPr>
        <w:t xml:space="preserve"> </w:t>
      </w:r>
      <w:r w:rsidRPr="00B8451C">
        <w:rPr>
          <w:lang w:eastAsia="en-AU" w:bidi="ar-SA"/>
        </w:rPr>
        <w:t>was</w:t>
      </w:r>
      <w:r w:rsidRPr="00605F3E">
        <w:rPr>
          <w:lang w:eastAsia="en-AU" w:bidi="ar-SA"/>
        </w:rPr>
        <w:t xml:space="preserve"> </w:t>
      </w:r>
      <w:r w:rsidR="00BF2979">
        <w:rPr>
          <w:lang w:eastAsia="en-AU" w:bidi="ar-SA"/>
        </w:rPr>
        <w:t xml:space="preserve">amplified </w:t>
      </w:r>
      <w:r w:rsidR="00605F3E" w:rsidRPr="00605F3E">
        <w:rPr>
          <w:lang w:eastAsia="en-AU" w:bidi="ar-SA"/>
        </w:rPr>
        <w:t>from</w:t>
      </w:r>
      <w:r w:rsidR="00BF2979">
        <w:rPr>
          <w:lang w:eastAsia="en-AU" w:bidi="ar-SA"/>
        </w:rPr>
        <w:t xml:space="preserve"> a cDNA library prepared from the source organism</w:t>
      </w:r>
      <w:r w:rsidR="00605F3E" w:rsidRPr="00605F3E">
        <w:rPr>
          <w:lang w:eastAsia="en-AU" w:bidi="ar-SA"/>
        </w:rPr>
        <w:t xml:space="preserve"> </w:t>
      </w:r>
      <w:r w:rsidR="00012CBF" w:rsidRPr="000D7061">
        <w:rPr>
          <w:i/>
          <w:lang w:eastAsia="en-AU" w:bidi="ar-SA"/>
        </w:rPr>
        <w:t>T</w:t>
      </w:r>
      <w:r w:rsidR="00605F3E" w:rsidRPr="000D7061">
        <w:rPr>
          <w:i/>
          <w:lang w:eastAsia="en-AU" w:bidi="ar-SA"/>
        </w:rPr>
        <w:t>rametes cingulat</w:t>
      </w:r>
      <w:r w:rsidR="00BF2979">
        <w:rPr>
          <w:i/>
          <w:lang w:eastAsia="en-AU" w:bidi="ar-SA"/>
        </w:rPr>
        <w:t>a</w:t>
      </w:r>
      <w:r w:rsidR="00BF2979">
        <w:rPr>
          <w:lang w:eastAsia="en-AU" w:bidi="ar-SA"/>
        </w:rPr>
        <w:t xml:space="preserve">. </w:t>
      </w:r>
      <w:r w:rsidR="00BF2979" w:rsidRPr="00BF2979">
        <w:rPr>
          <w:i/>
          <w:lang w:eastAsia="en-AU" w:bidi="ar-SA"/>
        </w:rPr>
        <w:t>T. cingulat</w:t>
      </w:r>
      <w:r w:rsidR="00BF2979">
        <w:rPr>
          <w:i/>
          <w:lang w:eastAsia="en-AU" w:bidi="ar-SA"/>
        </w:rPr>
        <w:t>a</w:t>
      </w:r>
      <w:r w:rsidR="00BF2979">
        <w:rPr>
          <w:lang w:eastAsia="en-AU" w:bidi="ar-SA"/>
        </w:rPr>
        <w:t xml:space="preserve"> is</w:t>
      </w:r>
      <w:r w:rsidR="007F2EB7">
        <w:rPr>
          <w:lang w:eastAsia="en-AU" w:bidi="ar-SA"/>
        </w:rPr>
        <w:t xml:space="preserve"> a cosmopolitan </w:t>
      </w:r>
      <w:r w:rsidR="000D7061">
        <w:rPr>
          <w:lang w:eastAsia="en-AU" w:bidi="ar-SA"/>
        </w:rPr>
        <w:t>mushroom</w:t>
      </w:r>
      <w:r w:rsidR="007F2EB7" w:rsidRPr="007F2EB7">
        <w:rPr>
          <w:lang w:eastAsia="en-AU" w:bidi="ar-SA"/>
        </w:rPr>
        <w:t xml:space="preserve"> </w:t>
      </w:r>
      <w:r w:rsidR="000D7061">
        <w:rPr>
          <w:lang w:eastAsia="en-AU" w:bidi="ar-SA"/>
        </w:rPr>
        <w:t>from</w:t>
      </w:r>
      <w:r w:rsidR="007F2EB7">
        <w:rPr>
          <w:lang w:eastAsia="en-AU" w:bidi="ar-SA"/>
        </w:rPr>
        <w:t xml:space="preserve"> </w:t>
      </w:r>
      <w:r w:rsidR="000D7061">
        <w:rPr>
          <w:lang w:eastAsia="en-AU" w:bidi="ar-SA"/>
        </w:rPr>
        <w:t>the family of</w:t>
      </w:r>
      <w:r w:rsidR="007F2EB7">
        <w:rPr>
          <w:lang w:eastAsia="en-AU" w:bidi="ar-SA"/>
        </w:rPr>
        <w:t xml:space="preserve"> white-rot fungi</w:t>
      </w:r>
      <w:r w:rsidR="00833254">
        <w:rPr>
          <w:lang w:eastAsia="en-AU" w:bidi="ar-SA"/>
        </w:rPr>
        <w:t>. These mushrooms</w:t>
      </w:r>
      <w:r w:rsidR="000D7061">
        <w:rPr>
          <w:lang w:eastAsia="en-AU" w:bidi="ar-SA"/>
        </w:rPr>
        <w:t xml:space="preserve"> play a major role in wood decomposition in temperate and tropical forests</w:t>
      </w:r>
      <w:r w:rsidR="00605F3E" w:rsidRPr="00605F3E">
        <w:rPr>
          <w:lang w:eastAsia="en-AU" w:bidi="ar-SA"/>
        </w:rPr>
        <w:t>.</w:t>
      </w:r>
      <w:r w:rsidR="00605F3E">
        <w:rPr>
          <w:lang w:eastAsia="en-AU" w:bidi="ar-SA"/>
        </w:rPr>
        <w:t xml:space="preserve"> </w:t>
      </w:r>
      <w:r w:rsidR="00833254">
        <w:rPr>
          <w:lang w:eastAsia="en-AU" w:bidi="ar-SA"/>
        </w:rPr>
        <w:t>Due to this role, t</w:t>
      </w:r>
      <w:r w:rsidR="000D7061">
        <w:rPr>
          <w:lang w:eastAsia="en-AU" w:bidi="ar-SA"/>
        </w:rPr>
        <w:t xml:space="preserve">he genome of </w:t>
      </w:r>
      <w:r w:rsidR="000D7061" w:rsidRPr="000D7061">
        <w:rPr>
          <w:i/>
          <w:lang w:eastAsia="en-AU" w:bidi="ar-SA"/>
        </w:rPr>
        <w:t>T. cingulat</w:t>
      </w:r>
      <w:r w:rsidR="00150BBE">
        <w:rPr>
          <w:i/>
          <w:lang w:eastAsia="en-AU" w:bidi="ar-SA"/>
        </w:rPr>
        <w:t>a</w:t>
      </w:r>
      <w:r w:rsidR="000D7061">
        <w:rPr>
          <w:lang w:eastAsia="en-AU" w:bidi="ar-SA"/>
        </w:rPr>
        <w:t xml:space="preserve"> was sequenced as part of a </w:t>
      </w:r>
      <w:hyperlink r:id="rId18" w:history="1">
        <w:r w:rsidR="000D7061" w:rsidRPr="00DD7CCF">
          <w:rPr>
            <w:rStyle w:val="Hyperlink"/>
            <w:lang w:eastAsia="en-AU" w:bidi="ar-SA"/>
          </w:rPr>
          <w:t>Joint Genome Institute USA Community Project</w:t>
        </w:r>
      </w:hyperlink>
      <w:r w:rsidR="007443E5">
        <w:rPr>
          <w:rStyle w:val="FootnoteReference"/>
          <w:lang w:eastAsia="en-AU" w:bidi="ar-SA"/>
        </w:rPr>
        <w:footnoteReference w:id="8"/>
      </w:r>
      <w:r w:rsidR="000D7061">
        <w:rPr>
          <w:lang w:eastAsia="en-AU" w:bidi="ar-SA"/>
        </w:rPr>
        <w:t xml:space="preserve">, to identify </w:t>
      </w:r>
      <w:r w:rsidR="00833254">
        <w:rPr>
          <w:lang w:eastAsia="en-AU" w:bidi="ar-SA"/>
        </w:rPr>
        <w:t>lignolytic</w:t>
      </w:r>
      <w:r w:rsidR="000D7061">
        <w:rPr>
          <w:lang w:eastAsia="en-AU" w:bidi="ar-SA"/>
        </w:rPr>
        <w:t xml:space="preserve"> enzymes </w:t>
      </w:r>
      <w:r w:rsidR="00833254">
        <w:rPr>
          <w:lang w:eastAsia="en-AU" w:bidi="ar-SA"/>
        </w:rPr>
        <w:t xml:space="preserve">that could be used for biofuel and </w:t>
      </w:r>
      <w:r w:rsidR="00DD7CCF">
        <w:rPr>
          <w:lang w:eastAsia="en-AU" w:bidi="ar-SA"/>
        </w:rPr>
        <w:t>biomass energy production</w:t>
      </w:r>
      <w:r w:rsidR="007443E5">
        <w:rPr>
          <w:lang w:eastAsia="en-AU" w:bidi="ar-SA"/>
        </w:rPr>
        <w:t xml:space="preserve"> (</w:t>
      </w:r>
      <w:r w:rsidR="007443E5" w:rsidRPr="00841D12">
        <w:rPr>
          <w:lang w:eastAsia="en-AU" w:bidi="ar-SA"/>
        </w:rPr>
        <w:t>Nyanhongo et al. 2007</w:t>
      </w:r>
      <w:r w:rsidR="007443E5">
        <w:rPr>
          <w:lang w:eastAsia="en-AU" w:bidi="ar-SA"/>
        </w:rPr>
        <w:t>)</w:t>
      </w:r>
      <w:r w:rsidR="00833254">
        <w:rPr>
          <w:lang w:eastAsia="en-AU" w:bidi="ar-SA"/>
        </w:rPr>
        <w:t>.</w:t>
      </w:r>
      <w:r w:rsidR="00DD7CCF">
        <w:rPr>
          <w:lang w:eastAsia="en-AU" w:bidi="ar-SA"/>
        </w:rPr>
        <w:t xml:space="preserve"> </w:t>
      </w:r>
      <w:r w:rsidR="00BF2979">
        <w:rPr>
          <w:lang w:eastAsia="en-AU" w:bidi="ar-SA"/>
        </w:rPr>
        <w:t>There is no evidence to show</w:t>
      </w:r>
      <w:r w:rsidR="00BF2979" w:rsidDel="009D1657">
        <w:rPr>
          <w:lang w:eastAsia="en-AU" w:bidi="ar-SA"/>
        </w:rPr>
        <w:t xml:space="preserve"> </w:t>
      </w:r>
      <w:r w:rsidR="00BF2979">
        <w:rPr>
          <w:lang w:eastAsia="en-AU" w:bidi="ar-SA"/>
        </w:rPr>
        <w:t>this</w:t>
      </w:r>
      <w:r w:rsidR="00737447">
        <w:rPr>
          <w:lang w:eastAsia="en-AU" w:bidi="ar-SA"/>
        </w:rPr>
        <w:t xml:space="preserve"> organism</w:t>
      </w:r>
      <w:r w:rsidR="00BF2979">
        <w:rPr>
          <w:lang w:eastAsia="en-AU" w:bidi="ar-SA"/>
        </w:rPr>
        <w:t xml:space="preserve"> poses any public health and safety concerns.</w:t>
      </w:r>
    </w:p>
    <w:p w14:paraId="1EFF7E1A" w14:textId="77777777" w:rsidR="00B216C3" w:rsidRDefault="00B216C3" w:rsidP="00012CBF">
      <w:pPr>
        <w:rPr>
          <w:lang w:eastAsia="en-AU" w:bidi="ar-SA"/>
        </w:rPr>
      </w:pPr>
    </w:p>
    <w:p w14:paraId="6AF55761" w14:textId="3519A790" w:rsidR="00B216C3" w:rsidRPr="00B216C3" w:rsidRDefault="00D606D2" w:rsidP="00012CBF">
      <w:pPr>
        <w:rPr>
          <w:b/>
          <w:lang w:eastAsia="en-AU" w:bidi="ar-SA"/>
        </w:rPr>
      </w:pPr>
      <w:r>
        <w:rPr>
          <w:b/>
          <w:lang w:eastAsia="en-AU" w:bidi="ar-SA"/>
        </w:rPr>
        <w:t>Other sequences</w:t>
      </w:r>
    </w:p>
    <w:p w14:paraId="43A5C701" w14:textId="77777777" w:rsidR="00B216C3" w:rsidRDefault="00B216C3" w:rsidP="00012CBF">
      <w:pPr>
        <w:rPr>
          <w:lang w:eastAsia="en-AU" w:bidi="ar-SA"/>
        </w:rPr>
      </w:pPr>
    </w:p>
    <w:p w14:paraId="56840D8D" w14:textId="7C1EDA96" w:rsidR="00820DBC" w:rsidRPr="00605F3E" w:rsidRDefault="00D606D2" w:rsidP="00012CBF">
      <w:r>
        <w:rPr>
          <w:lang w:eastAsia="en-AU" w:bidi="ar-SA"/>
        </w:rPr>
        <w:t xml:space="preserve">Regulatory sequences for expression of the glucoamylase gene and the selection marker gene </w:t>
      </w:r>
      <w:r w:rsidR="00B216C3">
        <w:rPr>
          <w:lang w:eastAsia="en-AU" w:bidi="ar-SA"/>
        </w:rPr>
        <w:t xml:space="preserve">aminolevulinic acid </w:t>
      </w:r>
      <w:r w:rsidR="00CE58F8">
        <w:rPr>
          <w:lang w:eastAsia="en-AU" w:bidi="ar-SA"/>
        </w:rPr>
        <w:t xml:space="preserve">synthase </w:t>
      </w:r>
      <w:r w:rsidR="00B216C3">
        <w:rPr>
          <w:lang w:eastAsia="en-AU" w:bidi="ar-SA"/>
        </w:rPr>
        <w:t>(</w:t>
      </w:r>
      <w:r w:rsidR="00B216C3" w:rsidRPr="007D1390">
        <w:rPr>
          <w:i/>
          <w:lang w:eastAsia="en-AU" w:bidi="ar-SA"/>
        </w:rPr>
        <w:t>hemA</w:t>
      </w:r>
      <w:r w:rsidR="00B216C3">
        <w:rPr>
          <w:lang w:eastAsia="en-AU" w:bidi="ar-SA"/>
        </w:rPr>
        <w:t xml:space="preserve">) </w:t>
      </w:r>
      <w:r>
        <w:rPr>
          <w:lang w:eastAsia="en-AU" w:bidi="ar-SA"/>
        </w:rPr>
        <w:t xml:space="preserve">were sourced </w:t>
      </w:r>
      <w:r w:rsidR="007D1390">
        <w:rPr>
          <w:lang w:eastAsia="en-AU" w:bidi="ar-SA"/>
        </w:rPr>
        <w:t>from the host</w:t>
      </w:r>
      <w:r w:rsidR="00CE58F8">
        <w:rPr>
          <w:lang w:eastAsia="en-AU" w:bidi="ar-SA"/>
        </w:rPr>
        <w:t xml:space="preserve">. </w:t>
      </w:r>
      <w:r>
        <w:rPr>
          <w:lang w:eastAsia="en-AU" w:bidi="ar-SA"/>
        </w:rPr>
        <w:t>A</w:t>
      </w:r>
      <w:r w:rsidR="00CE58F8">
        <w:rPr>
          <w:lang w:eastAsia="en-AU" w:bidi="ar-SA"/>
        </w:rPr>
        <w:t xml:space="preserve"> second </w:t>
      </w:r>
      <w:r>
        <w:rPr>
          <w:lang w:eastAsia="en-AU" w:bidi="ar-SA"/>
        </w:rPr>
        <w:t>selectable marker gene</w:t>
      </w:r>
      <w:r w:rsidR="007D1390">
        <w:rPr>
          <w:lang w:eastAsia="en-AU" w:bidi="ar-SA"/>
        </w:rPr>
        <w:t xml:space="preserve"> </w:t>
      </w:r>
      <w:r w:rsidR="007D1390" w:rsidRPr="007D1390">
        <w:rPr>
          <w:lang w:eastAsia="en-AU" w:bidi="ar-SA"/>
        </w:rPr>
        <w:t>acetamidase (</w:t>
      </w:r>
      <w:r w:rsidR="007D1390" w:rsidRPr="007D1390">
        <w:rPr>
          <w:i/>
          <w:lang w:eastAsia="en-AU" w:bidi="ar-SA"/>
        </w:rPr>
        <w:t>amdS</w:t>
      </w:r>
      <w:r w:rsidR="007D1390" w:rsidRPr="007D1390">
        <w:rPr>
          <w:lang w:eastAsia="en-AU" w:bidi="ar-SA"/>
        </w:rPr>
        <w:t>)</w:t>
      </w:r>
      <w:r w:rsidR="007D1390">
        <w:rPr>
          <w:lang w:eastAsia="en-AU" w:bidi="ar-SA"/>
        </w:rPr>
        <w:t xml:space="preserve"> </w:t>
      </w:r>
      <w:r>
        <w:rPr>
          <w:lang w:eastAsia="en-AU" w:bidi="ar-SA"/>
        </w:rPr>
        <w:t>were sourced</w:t>
      </w:r>
      <w:r w:rsidR="00820DBC">
        <w:rPr>
          <w:lang w:eastAsia="en-AU" w:bidi="ar-SA"/>
        </w:rPr>
        <w:t xml:space="preserve"> </w:t>
      </w:r>
      <w:r w:rsidR="007D1390">
        <w:rPr>
          <w:lang w:eastAsia="en-AU" w:bidi="ar-SA"/>
        </w:rPr>
        <w:t xml:space="preserve">from </w:t>
      </w:r>
      <w:r w:rsidR="007D1390" w:rsidRPr="00CE58F8">
        <w:rPr>
          <w:i/>
          <w:lang w:eastAsia="en-AU" w:bidi="ar-SA"/>
        </w:rPr>
        <w:t>A. nidulans</w:t>
      </w:r>
      <w:r w:rsidR="007D1390">
        <w:rPr>
          <w:lang w:eastAsia="en-AU" w:bidi="ar-SA"/>
        </w:rPr>
        <w:t xml:space="preserve"> </w:t>
      </w:r>
      <w:r w:rsidR="007D1390" w:rsidRPr="002773C4">
        <w:rPr>
          <w:lang w:eastAsia="en-AU" w:bidi="ar-SA"/>
        </w:rPr>
        <w:t>(</w:t>
      </w:r>
      <w:r w:rsidR="00AB20EE">
        <w:rPr>
          <w:lang w:eastAsia="en-AU" w:bidi="ar-SA"/>
        </w:rPr>
        <w:t>Kelly and Hynes</w:t>
      </w:r>
      <w:r w:rsidR="004605F6">
        <w:rPr>
          <w:lang w:eastAsia="en-AU" w:bidi="ar-SA"/>
        </w:rPr>
        <w:t xml:space="preserve"> 1985</w:t>
      </w:r>
      <w:r w:rsidR="007D1390">
        <w:rPr>
          <w:rFonts w:cs="Arial"/>
          <w:color w:val="000000" w:themeColor="text1"/>
        </w:rPr>
        <w:t>)</w:t>
      </w:r>
      <w:r w:rsidR="007D1390">
        <w:rPr>
          <w:lang w:eastAsia="en-AU" w:bidi="ar-SA"/>
        </w:rPr>
        <w:t>.</w:t>
      </w:r>
      <w:r w:rsidR="00605F3E" w:rsidRPr="00605F3E">
        <w:rPr>
          <w:lang w:eastAsia="en-AU" w:bidi="ar-SA"/>
        </w:rPr>
        <w:t xml:space="preserve"> </w:t>
      </w:r>
      <w:r w:rsidR="00820DBC">
        <w:rPr>
          <w:lang w:eastAsia="en-AU" w:bidi="ar-SA"/>
        </w:rPr>
        <w:t xml:space="preserve">Inclusion of the </w:t>
      </w:r>
      <w:r>
        <w:rPr>
          <w:lang w:eastAsia="en-AU" w:bidi="ar-SA"/>
        </w:rPr>
        <w:t>acetamidase selection marker</w:t>
      </w:r>
      <w:r w:rsidR="00820DBC">
        <w:rPr>
          <w:lang w:eastAsia="en-AU" w:bidi="ar-SA"/>
        </w:rPr>
        <w:t xml:space="preserve"> is regarded as </w:t>
      </w:r>
      <w:r w:rsidR="00820DBC" w:rsidRPr="00C21A0F">
        <w:rPr>
          <w:lang w:eastAsia="en-AU" w:bidi="ar-SA"/>
        </w:rPr>
        <w:t xml:space="preserve">‘mainstream’ in filamentous fungi </w:t>
      </w:r>
      <w:r w:rsidR="00820DBC">
        <w:rPr>
          <w:lang w:eastAsia="en-AU" w:bidi="ar-SA"/>
        </w:rPr>
        <w:t>systems involving</w:t>
      </w:r>
      <w:r w:rsidR="00820DBC" w:rsidRPr="00C21A0F">
        <w:rPr>
          <w:lang w:eastAsia="en-AU" w:bidi="ar-SA"/>
        </w:rPr>
        <w:t xml:space="preserve"> recombinant gene </w:t>
      </w:r>
      <w:r w:rsidR="00820DBC">
        <w:rPr>
          <w:lang w:eastAsia="en-AU" w:bidi="ar-SA"/>
        </w:rPr>
        <w:t>expression</w:t>
      </w:r>
      <w:r w:rsidR="00820DBC" w:rsidRPr="00C21A0F">
        <w:rPr>
          <w:lang w:eastAsia="en-AU" w:bidi="ar-SA"/>
        </w:rPr>
        <w:t xml:space="preserve"> (</w:t>
      </w:r>
      <w:r w:rsidR="00820DBC" w:rsidRPr="004605F6">
        <w:rPr>
          <w:lang w:eastAsia="en-AU" w:bidi="ar-SA"/>
        </w:rPr>
        <w:t xml:space="preserve">Gryshyna </w:t>
      </w:r>
      <w:r w:rsidR="00820DBC" w:rsidRPr="007F5F1F">
        <w:rPr>
          <w:rFonts w:eastAsia="TimesNewRomanPSMT" w:cs="Arial"/>
          <w:iCs/>
          <w:szCs w:val="22"/>
          <w:lang w:bidi="ar-SA"/>
        </w:rPr>
        <w:t>et al.</w:t>
      </w:r>
      <w:r w:rsidR="00820DBC" w:rsidRPr="004605F6">
        <w:rPr>
          <w:lang w:eastAsia="en-AU" w:bidi="ar-SA"/>
        </w:rPr>
        <w:t xml:space="preserve"> 2016</w:t>
      </w:r>
      <w:r w:rsidR="00820DBC" w:rsidRPr="00C21A0F">
        <w:rPr>
          <w:lang w:eastAsia="en-AU" w:bidi="ar-SA"/>
        </w:rPr>
        <w:t>)</w:t>
      </w:r>
      <w:r w:rsidR="00820DBC">
        <w:rPr>
          <w:lang w:eastAsia="en-AU" w:bidi="ar-SA"/>
        </w:rPr>
        <w:t xml:space="preserve"> and there are no safety</w:t>
      </w:r>
      <w:r>
        <w:rPr>
          <w:lang w:eastAsia="en-AU" w:bidi="ar-SA"/>
        </w:rPr>
        <w:t xml:space="preserve"> concerns with the acetamide gene product</w:t>
      </w:r>
      <w:r w:rsidR="00820DBC">
        <w:rPr>
          <w:lang w:eastAsia="en-AU" w:bidi="ar-SA"/>
        </w:rPr>
        <w:t>.</w:t>
      </w:r>
    </w:p>
    <w:p w14:paraId="59709545" w14:textId="72B843F5" w:rsidR="00CA3849" w:rsidRPr="00D67005" w:rsidRDefault="00CA3849" w:rsidP="00E02D51">
      <w:pPr>
        <w:pStyle w:val="Heading2"/>
        <w:numPr>
          <w:ilvl w:val="0"/>
          <w:numId w:val="0"/>
        </w:numPr>
        <w:ind w:left="851" w:hanging="851"/>
      </w:pPr>
      <w:bookmarkStart w:id="68" w:name="_Toc499282443"/>
      <w:bookmarkStart w:id="69" w:name="_Toc505255640"/>
      <w:bookmarkStart w:id="70" w:name="_Toc536543999"/>
      <w:bookmarkStart w:id="71" w:name="_Toc536607134"/>
      <w:bookmarkStart w:id="72" w:name="_Toc28003773"/>
      <w:r>
        <w:t>3.</w:t>
      </w:r>
      <w:r w:rsidR="00A07714">
        <w:t>2</w:t>
      </w:r>
      <w:r w:rsidR="001E6A7B">
        <w:tab/>
      </w:r>
      <w:r>
        <w:t>Characterisation of the genetic modification(s)</w:t>
      </w:r>
      <w:bookmarkEnd w:id="68"/>
      <w:bookmarkEnd w:id="69"/>
      <w:bookmarkEnd w:id="70"/>
      <w:bookmarkEnd w:id="71"/>
      <w:bookmarkEnd w:id="72"/>
    </w:p>
    <w:p w14:paraId="35090066" w14:textId="3D5FF42D" w:rsidR="00223358" w:rsidRDefault="00223358" w:rsidP="00E02D51">
      <w:pPr>
        <w:pStyle w:val="Heading3"/>
      </w:pPr>
      <w:bookmarkStart w:id="73" w:name="_Toc536544000"/>
      <w:bookmarkStart w:id="74" w:name="_Toc536607135"/>
      <w:bookmarkStart w:id="75" w:name="_Toc28003774"/>
      <w:bookmarkStart w:id="76" w:name="_Toc471740086"/>
      <w:bookmarkStart w:id="77" w:name="_Toc505255641"/>
      <w:bookmarkStart w:id="78" w:name="_Toc499282447"/>
      <w:r>
        <w:t>3.2.1</w:t>
      </w:r>
      <w:r w:rsidR="00AD28CF">
        <w:tab/>
      </w:r>
      <w:r>
        <w:t>Description of DNA to be introduced and method of transformation</w:t>
      </w:r>
      <w:bookmarkEnd w:id="73"/>
      <w:bookmarkEnd w:id="74"/>
      <w:bookmarkEnd w:id="75"/>
    </w:p>
    <w:p w14:paraId="1A93863B" w14:textId="3595E2E2" w:rsidR="0026179C" w:rsidRDefault="009A05CE" w:rsidP="007D2374">
      <w:pPr>
        <w:rPr>
          <w:lang w:eastAsia="en-AU" w:bidi="ar-SA"/>
        </w:rPr>
      </w:pPr>
      <w:r>
        <w:rPr>
          <w:lang w:eastAsia="en-AU" w:bidi="ar-SA"/>
        </w:rPr>
        <w:t xml:space="preserve">Two </w:t>
      </w:r>
      <w:r w:rsidR="000F67B2">
        <w:rPr>
          <w:lang w:eastAsia="en-AU" w:bidi="ar-SA"/>
        </w:rPr>
        <w:t xml:space="preserve">plasmids were generated to introduce </w:t>
      </w:r>
      <w:r>
        <w:rPr>
          <w:lang w:eastAsia="en-AU" w:bidi="ar-SA"/>
        </w:rPr>
        <w:t xml:space="preserve">the </w:t>
      </w:r>
      <w:r>
        <w:rPr>
          <w:rFonts w:cs="Arial"/>
          <w:color w:val="000000" w:themeColor="text1"/>
        </w:rPr>
        <w:t>glucoamylase</w:t>
      </w:r>
      <w:r>
        <w:rPr>
          <w:lang w:eastAsia="en-AU" w:bidi="ar-SA"/>
        </w:rPr>
        <w:t xml:space="preserve"> (</w:t>
      </w:r>
      <w:r w:rsidRPr="00102AFE">
        <w:rPr>
          <w:i/>
          <w:lang w:eastAsia="en-AU" w:bidi="ar-SA"/>
        </w:rPr>
        <w:t>amgGT</w:t>
      </w:r>
      <w:r w:rsidRPr="0037210D">
        <w:rPr>
          <w:lang w:eastAsia="en-AU" w:bidi="ar-SA"/>
        </w:rPr>
        <w:t>)</w:t>
      </w:r>
      <w:r>
        <w:rPr>
          <w:lang w:eastAsia="en-AU" w:bidi="ar-SA"/>
        </w:rPr>
        <w:t xml:space="preserve"> gene from </w:t>
      </w:r>
      <w:r w:rsidRPr="009A05CE">
        <w:rPr>
          <w:i/>
          <w:lang w:eastAsia="en-AU" w:bidi="ar-SA"/>
        </w:rPr>
        <w:t>T. cingulat</w:t>
      </w:r>
      <w:r w:rsidR="00150BBE">
        <w:rPr>
          <w:i/>
          <w:lang w:eastAsia="en-AU" w:bidi="ar-SA"/>
        </w:rPr>
        <w:t>a</w:t>
      </w:r>
      <w:r w:rsidR="000F67B2">
        <w:rPr>
          <w:lang w:eastAsia="en-AU" w:bidi="ar-SA"/>
        </w:rPr>
        <w:t xml:space="preserve"> in</w:t>
      </w:r>
      <w:r w:rsidR="00860CFC">
        <w:rPr>
          <w:lang w:eastAsia="en-AU" w:bidi="ar-SA"/>
        </w:rPr>
        <w:t>to</w:t>
      </w:r>
      <w:r w:rsidR="000F67B2">
        <w:rPr>
          <w:lang w:eastAsia="en-AU" w:bidi="ar-SA"/>
        </w:rPr>
        <w:t xml:space="preserve"> the </w:t>
      </w:r>
      <w:r w:rsidR="000F67B2" w:rsidRPr="000F67B2">
        <w:rPr>
          <w:i/>
          <w:lang w:eastAsia="en-AU" w:bidi="ar-SA"/>
        </w:rPr>
        <w:t>A. niger</w:t>
      </w:r>
      <w:r w:rsidR="000F67B2">
        <w:rPr>
          <w:lang w:eastAsia="en-AU" w:bidi="ar-SA"/>
        </w:rPr>
        <w:t xml:space="preserve"> host.</w:t>
      </w:r>
      <w:r>
        <w:rPr>
          <w:lang w:eastAsia="en-AU" w:bidi="ar-SA"/>
        </w:rPr>
        <w:t xml:space="preserve"> The first </w:t>
      </w:r>
      <w:r w:rsidR="000F67B2">
        <w:rPr>
          <w:lang w:eastAsia="en-AU" w:bidi="ar-SA"/>
        </w:rPr>
        <w:t xml:space="preserve">plasmid contained an </w:t>
      </w:r>
      <w:r>
        <w:rPr>
          <w:lang w:eastAsia="en-AU" w:bidi="ar-SA"/>
        </w:rPr>
        <w:t xml:space="preserve">expression cassette </w:t>
      </w:r>
      <w:r w:rsidR="000F67B2">
        <w:rPr>
          <w:lang w:eastAsia="en-AU" w:bidi="ar-SA"/>
        </w:rPr>
        <w:t>with</w:t>
      </w:r>
      <w:r>
        <w:rPr>
          <w:lang w:eastAsia="en-AU" w:bidi="ar-SA"/>
        </w:rPr>
        <w:t xml:space="preserve"> the </w:t>
      </w:r>
      <w:r w:rsidRPr="00577FE1">
        <w:rPr>
          <w:i/>
          <w:lang w:eastAsia="en-AU" w:bidi="ar-SA"/>
        </w:rPr>
        <w:t>amgGT</w:t>
      </w:r>
      <w:r>
        <w:rPr>
          <w:lang w:eastAsia="en-AU" w:bidi="ar-SA"/>
        </w:rPr>
        <w:t xml:space="preserve"> gene flanked by promoter and terminator sequences from the host, followed by a copy of the endogenous aminolevulinic acid synthase gene (</w:t>
      </w:r>
      <w:r w:rsidRPr="007D1390">
        <w:rPr>
          <w:i/>
          <w:lang w:eastAsia="en-AU" w:bidi="ar-SA"/>
        </w:rPr>
        <w:t>hemA</w:t>
      </w:r>
      <w:r>
        <w:rPr>
          <w:lang w:eastAsia="en-AU" w:bidi="ar-SA"/>
        </w:rPr>
        <w:t xml:space="preserve">) gene. </w:t>
      </w:r>
      <w:r w:rsidR="00574E24">
        <w:rPr>
          <w:lang w:eastAsia="en-AU" w:bidi="ar-SA"/>
        </w:rPr>
        <w:t>Th</w:t>
      </w:r>
      <w:r w:rsidR="00CB2EF1">
        <w:rPr>
          <w:lang w:eastAsia="en-AU" w:bidi="ar-SA"/>
        </w:rPr>
        <w:t xml:space="preserve">is </w:t>
      </w:r>
      <w:r w:rsidR="000F67B2">
        <w:rPr>
          <w:lang w:eastAsia="en-AU" w:bidi="ar-SA"/>
        </w:rPr>
        <w:t>plasmid</w:t>
      </w:r>
      <w:r w:rsidR="00CB2EF1">
        <w:rPr>
          <w:lang w:eastAsia="en-AU" w:bidi="ar-SA"/>
        </w:rPr>
        <w:t xml:space="preserve"> would be transformed into a </w:t>
      </w:r>
      <w:r w:rsidR="00CB2EF1">
        <w:rPr>
          <w:i/>
          <w:lang w:eastAsia="en-AU" w:bidi="ar-SA"/>
        </w:rPr>
        <w:t>h</w:t>
      </w:r>
      <w:r w:rsidR="00CB2EF1" w:rsidRPr="00CB2EF1">
        <w:rPr>
          <w:i/>
          <w:lang w:eastAsia="en-AU" w:bidi="ar-SA"/>
        </w:rPr>
        <w:t>emA</w:t>
      </w:r>
      <w:r w:rsidR="00CB2EF1" w:rsidRPr="000F67B2">
        <w:rPr>
          <w:vertAlign w:val="superscript"/>
          <w:lang w:eastAsia="en-AU" w:bidi="ar-SA"/>
        </w:rPr>
        <w:t>-</w:t>
      </w:r>
      <w:r w:rsidR="00CB2EF1">
        <w:rPr>
          <w:lang w:eastAsia="en-AU" w:bidi="ar-SA"/>
        </w:rPr>
        <w:t xml:space="preserve"> strain</w:t>
      </w:r>
      <w:r w:rsidR="00860CFC">
        <w:rPr>
          <w:lang w:eastAsia="en-AU" w:bidi="ar-SA"/>
        </w:rPr>
        <w:t xml:space="preserve">. The addition of the </w:t>
      </w:r>
      <w:r w:rsidR="00860CFC" w:rsidRPr="00860CFC">
        <w:rPr>
          <w:i/>
          <w:lang w:eastAsia="en-AU" w:bidi="ar-SA"/>
        </w:rPr>
        <w:t>hemA</w:t>
      </w:r>
      <w:r w:rsidR="00860CFC">
        <w:rPr>
          <w:lang w:eastAsia="en-AU" w:bidi="ar-SA"/>
        </w:rPr>
        <w:t xml:space="preserve"> gene would</w:t>
      </w:r>
      <w:r w:rsidR="00CB2EF1">
        <w:rPr>
          <w:lang w:eastAsia="en-AU" w:bidi="ar-SA"/>
        </w:rPr>
        <w:t xml:space="preserve"> restore the enzyme function</w:t>
      </w:r>
      <w:r w:rsidR="007D2374">
        <w:rPr>
          <w:lang w:eastAsia="en-AU" w:bidi="ar-SA"/>
        </w:rPr>
        <w:t>,</w:t>
      </w:r>
      <w:r w:rsidR="0026179C">
        <w:rPr>
          <w:lang w:eastAsia="en-AU" w:bidi="ar-SA"/>
        </w:rPr>
        <w:t xml:space="preserve"> allow</w:t>
      </w:r>
      <w:r w:rsidR="007D2374">
        <w:rPr>
          <w:lang w:eastAsia="en-AU" w:bidi="ar-SA"/>
        </w:rPr>
        <w:t>ing</w:t>
      </w:r>
      <w:r w:rsidR="0026179C">
        <w:rPr>
          <w:lang w:eastAsia="en-AU" w:bidi="ar-SA"/>
        </w:rPr>
        <w:t xml:space="preserve"> for selection of positive transformants by growth on </w:t>
      </w:r>
      <w:r w:rsidR="002A6776">
        <w:rPr>
          <w:lang w:eastAsia="en-AU" w:bidi="ar-SA"/>
        </w:rPr>
        <w:t xml:space="preserve">minimal </w:t>
      </w:r>
      <w:r w:rsidR="0026179C">
        <w:rPr>
          <w:lang w:eastAsia="en-AU" w:bidi="ar-SA"/>
        </w:rPr>
        <w:t xml:space="preserve">media </w:t>
      </w:r>
      <w:r w:rsidR="002A6776">
        <w:rPr>
          <w:lang w:eastAsia="en-AU" w:bidi="ar-SA"/>
        </w:rPr>
        <w:t>devoid of</w:t>
      </w:r>
      <w:r w:rsidR="00574E24">
        <w:rPr>
          <w:lang w:eastAsia="en-AU" w:bidi="ar-SA"/>
        </w:rPr>
        <w:t xml:space="preserve"> </w:t>
      </w:r>
      <w:r w:rsidR="007D2374">
        <w:rPr>
          <w:lang w:eastAsia="en-AU" w:bidi="ar-SA"/>
        </w:rPr>
        <w:t>5-aminolevulinic acid</w:t>
      </w:r>
      <w:r w:rsidR="004605F6">
        <w:rPr>
          <w:lang w:eastAsia="en-AU" w:bidi="ar-SA"/>
        </w:rPr>
        <w:t xml:space="preserve"> (Franken et al. 2012)</w:t>
      </w:r>
      <w:r w:rsidR="007D2374">
        <w:rPr>
          <w:lang w:eastAsia="en-AU" w:bidi="ar-SA"/>
        </w:rPr>
        <w:t>.</w:t>
      </w:r>
    </w:p>
    <w:p w14:paraId="162E9D8F" w14:textId="77777777" w:rsidR="0026179C" w:rsidRDefault="0026179C" w:rsidP="0026179C">
      <w:pPr>
        <w:rPr>
          <w:lang w:eastAsia="en-AU" w:bidi="ar-SA"/>
        </w:rPr>
      </w:pPr>
    </w:p>
    <w:p w14:paraId="2696B971" w14:textId="4A4224C1" w:rsidR="00BF446A" w:rsidRDefault="009A05CE" w:rsidP="0026179C">
      <w:pPr>
        <w:rPr>
          <w:lang w:eastAsia="en-AU" w:bidi="ar-SA"/>
        </w:rPr>
      </w:pPr>
      <w:r>
        <w:rPr>
          <w:lang w:eastAsia="en-AU" w:bidi="ar-SA"/>
        </w:rPr>
        <w:t xml:space="preserve">The </w:t>
      </w:r>
      <w:r w:rsidR="0026179C">
        <w:rPr>
          <w:lang w:eastAsia="en-AU" w:bidi="ar-SA"/>
        </w:rPr>
        <w:t xml:space="preserve">second </w:t>
      </w:r>
      <w:r w:rsidR="000F67B2">
        <w:rPr>
          <w:lang w:eastAsia="en-AU" w:bidi="ar-SA"/>
        </w:rPr>
        <w:t xml:space="preserve">plasmid contained an </w:t>
      </w:r>
      <w:r>
        <w:rPr>
          <w:lang w:eastAsia="en-AU" w:bidi="ar-SA"/>
        </w:rPr>
        <w:t xml:space="preserve">expression cassette </w:t>
      </w:r>
      <w:r w:rsidR="000F67B2">
        <w:rPr>
          <w:lang w:eastAsia="en-AU" w:bidi="ar-SA"/>
        </w:rPr>
        <w:t>with</w:t>
      </w:r>
      <w:r>
        <w:rPr>
          <w:lang w:eastAsia="en-AU" w:bidi="ar-SA"/>
        </w:rPr>
        <w:t xml:space="preserve"> the </w:t>
      </w:r>
      <w:r w:rsidRPr="00B949F0">
        <w:rPr>
          <w:i/>
          <w:lang w:eastAsia="en-AU" w:bidi="ar-SA"/>
        </w:rPr>
        <w:t>amgGT</w:t>
      </w:r>
      <w:r>
        <w:rPr>
          <w:lang w:eastAsia="en-AU" w:bidi="ar-SA"/>
        </w:rPr>
        <w:t xml:space="preserve"> gene </w:t>
      </w:r>
      <w:r w:rsidR="0026179C">
        <w:rPr>
          <w:lang w:eastAsia="en-AU" w:bidi="ar-SA"/>
        </w:rPr>
        <w:t>flanked by the same promoter and terminator sequences as the first expression cas</w:t>
      </w:r>
      <w:r w:rsidR="000F67B2">
        <w:rPr>
          <w:lang w:eastAsia="en-AU" w:bidi="ar-SA"/>
        </w:rPr>
        <w:t xml:space="preserve">sette, </w:t>
      </w:r>
      <w:r w:rsidR="0026179C">
        <w:rPr>
          <w:lang w:eastAsia="en-AU" w:bidi="ar-SA"/>
        </w:rPr>
        <w:t xml:space="preserve">followed by the </w:t>
      </w:r>
      <w:r w:rsidR="0026179C" w:rsidRPr="007D1390">
        <w:rPr>
          <w:lang w:eastAsia="en-AU" w:bidi="ar-SA"/>
        </w:rPr>
        <w:t>acetamidase gene (</w:t>
      </w:r>
      <w:r w:rsidR="0026179C" w:rsidRPr="007D1390">
        <w:rPr>
          <w:i/>
          <w:lang w:eastAsia="en-AU" w:bidi="ar-SA"/>
        </w:rPr>
        <w:t>amdS</w:t>
      </w:r>
      <w:r w:rsidR="0026179C" w:rsidRPr="007D1390">
        <w:rPr>
          <w:lang w:eastAsia="en-AU" w:bidi="ar-SA"/>
        </w:rPr>
        <w:t>)</w:t>
      </w:r>
      <w:r w:rsidR="0026179C">
        <w:rPr>
          <w:lang w:eastAsia="en-AU" w:bidi="ar-SA"/>
        </w:rPr>
        <w:t xml:space="preserve">. </w:t>
      </w:r>
      <w:r w:rsidR="00860CFC">
        <w:rPr>
          <w:lang w:eastAsia="en-AU" w:bidi="ar-SA"/>
        </w:rPr>
        <w:t>Addition of</w:t>
      </w:r>
      <w:r w:rsidR="004C36F2">
        <w:rPr>
          <w:lang w:eastAsia="en-AU" w:bidi="ar-SA"/>
        </w:rPr>
        <w:t xml:space="preserve"> the acetamidase </w:t>
      </w:r>
      <w:r w:rsidR="00860CFC">
        <w:rPr>
          <w:lang w:eastAsia="en-AU" w:bidi="ar-SA"/>
        </w:rPr>
        <w:t>gene w</w:t>
      </w:r>
      <w:r w:rsidR="006B4411">
        <w:rPr>
          <w:lang w:eastAsia="en-AU" w:bidi="ar-SA"/>
        </w:rPr>
        <w:t>ould</w:t>
      </w:r>
      <w:r w:rsidR="00860CFC">
        <w:rPr>
          <w:lang w:eastAsia="en-AU" w:bidi="ar-SA"/>
        </w:rPr>
        <w:t xml:space="preserve"> allow</w:t>
      </w:r>
      <w:r w:rsidR="004C36F2">
        <w:rPr>
          <w:lang w:eastAsia="en-AU" w:bidi="ar-SA"/>
        </w:rPr>
        <w:t xml:space="preserve"> for selection of positive transformants by growth on media containing acetamide</w:t>
      </w:r>
      <w:r w:rsidR="00DE516A">
        <w:rPr>
          <w:lang w:eastAsia="en-AU" w:bidi="ar-SA"/>
        </w:rPr>
        <w:t xml:space="preserve"> (Kelly and Hynes 1985)</w:t>
      </w:r>
      <w:r w:rsidR="0026179C">
        <w:rPr>
          <w:lang w:eastAsia="en-AU" w:bidi="ar-SA"/>
        </w:rPr>
        <w:t>.</w:t>
      </w:r>
    </w:p>
    <w:p w14:paraId="0285A9FF" w14:textId="0DB578FE" w:rsidR="007D2374" w:rsidRDefault="007D2374" w:rsidP="0026179C">
      <w:pPr>
        <w:rPr>
          <w:rFonts w:cs="Arial"/>
          <w:color w:val="000000" w:themeColor="text1"/>
        </w:rPr>
      </w:pPr>
    </w:p>
    <w:p w14:paraId="2BE4153E" w14:textId="5CA69205" w:rsidR="00F41CDD" w:rsidRDefault="00DB4E31" w:rsidP="00F41CDD">
      <w:pPr>
        <w:rPr>
          <w:rFonts w:cs="Arial"/>
          <w:color w:val="000000" w:themeColor="text1"/>
        </w:rPr>
      </w:pPr>
      <w:r>
        <w:rPr>
          <w:rFonts w:cs="Arial"/>
          <w:color w:val="000000" w:themeColor="text1"/>
        </w:rPr>
        <w:t>The two plasmids were introduced sequentially using protoplast-mediated transformation (Li et al. 2017)</w:t>
      </w:r>
      <w:r w:rsidR="000F67B2">
        <w:rPr>
          <w:rFonts w:cs="Arial"/>
          <w:color w:val="000000" w:themeColor="text1"/>
          <w:szCs w:val="22"/>
        </w:rPr>
        <w:t xml:space="preserve">. </w:t>
      </w:r>
      <w:r w:rsidR="00F41CDD">
        <w:rPr>
          <w:rFonts w:cs="Arial"/>
          <w:color w:val="000000" w:themeColor="text1"/>
          <w:szCs w:val="22"/>
        </w:rPr>
        <w:t xml:space="preserve">The first step was to introduce the </w:t>
      </w:r>
      <w:r w:rsidR="00F41CDD" w:rsidRPr="00F41CDD">
        <w:rPr>
          <w:rFonts w:cs="Arial"/>
          <w:i/>
          <w:color w:val="000000" w:themeColor="text1"/>
          <w:szCs w:val="22"/>
        </w:rPr>
        <w:t>amgGT-hemA</w:t>
      </w:r>
      <w:r w:rsidR="00F41CDD">
        <w:rPr>
          <w:rFonts w:cs="Arial"/>
          <w:color w:val="000000" w:themeColor="text1"/>
          <w:szCs w:val="22"/>
        </w:rPr>
        <w:t xml:space="preserve"> plasmid into a </w:t>
      </w:r>
      <w:r w:rsidR="00F41CDD" w:rsidRPr="00F41CDD">
        <w:rPr>
          <w:rFonts w:cs="Arial"/>
          <w:i/>
          <w:color w:val="000000" w:themeColor="text1"/>
          <w:szCs w:val="22"/>
        </w:rPr>
        <w:t>hemA</w:t>
      </w:r>
      <w:r w:rsidR="00F41CDD" w:rsidRPr="00F41CDD">
        <w:rPr>
          <w:rFonts w:cs="Arial"/>
          <w:i/>
          <w:color w:val="000000" w:themeColor="text1"/>
          <w:szCs w:val="22"/>
          <w:vertAlign w:val="superscript"/>
        </w:rPr>
        <w:t>-</w:t>
      </w:r>
      <w:r w:rsidR="00F41CDD">
        <w:rPr>
          <w:rFonts w:cs="Arial"/>
          <w:color w:val="000000" w:themeColor="text1"/>
          <w:szCs w:val="22"/>
        </w:rPr>
        <w:t xml:space="preserve"> recipient strain</w:t>
      </w:r>
      <w:r w:rsidR="00860CFC" w:rsidRPr="00860CFC">
        <w:rPr>
          <w:rFonts w:cs="Arial"/>
          <w:color w:val="000000" w:themeColor="text1"/>
          <w:szCs w:val="22"/>
        </w:rPr>
        <w:t>.</w:t>
      </w:r>
      <w:r w:rsidR="00F41CDD">
        <w:rPr>
          <w:rFonts w:cs="Arial"/>
          <w:color w:val="000000" w:themeColor="text1"/>
          <w:szCs w:val="22"/>
        </w:rPr>
        <w:t xml:space="preserve"> After selection of a </w:t>
      </w:r>
      <w:r w:rsidR="00F41CDD" w:rsidRPr="00F41CDD">
        <w:rPr>
          <w:rFonts w:cs="Arial"/>
          <w:i/>
          <w:color w:val="000000" w:themeColor="text1"/>
          <w:szCs w:val="22"/>
        </w:rPr>
        <w:t>hemA</w:t>
      </w:r>
      <w:r w:rsidR="00F41CDD" w:rsidRPr="00F41CDD">
        <w:rPr>
          <w:rFonts w:cs="Arial"/>
          <w:i/>
          <w:color w:val="000000" w:themeColor="text1"/>
          <w:szCs w:val="22"/>
          <w:vertAlign w:val="superscript"/>
        </w:rPr>
        <w:t>+</w:t>
      </w:r>
      <w:r w:rsidR="00F41CDD">
        <w:rPr>
          <w:rFonts w:cs="Arial"/>
          <w:color w:val="000000" w:themeColor="text1"/>
          <w:szCs w:val="22"/>
        </w:rPr>
        <w:t xml:space="preserve"> clone </w:t>
      </w:r>
      <w:r w:rsidR="006B4411">
        <w:rPr>
          <w:rFonts w:cs="Arial"/>
          <w:color w:val="000000" w:themeColor="text1"/>
          <w:szCs w:val="22"/>
        </w:rPr>
        <w:t>co-</w:t>
      </w:r>
      <w:r w:rsidR="00F41CDD">
        <w:rPr>
          <w:rFonts w:cs="Arial"/>
          <w:color w:val="000000" w:themeColor="text1"/>
          <w:szCs w:val="22"/>
        </w:rPr>
        <w:t xml:space="preserve">expressing glucoamylase, the </w:t>
      </w:r>
      <w:r w:rsidR="00F41CDD" w:rsidRPr="00F41CDD">
        <w:rPr>
          <w:rFonts w:cs="Arial"/>
          <w:i/>
          <w:color w:val="000000" w:themeColor="text1"/>
          <w:szCs w:val="22"/>
        </w:rPr>
        <w:t>amgGT-amdS</w:t>
      </w:r>
      <w:r w:rsidR="00F41CDD">
        <w:rPr>
          <w:rFonts w:cs="Arial"/>
          <w:color w:val="000000" w:themeColor="text1"/>
          <w:szCs w:val="22"/>
        </w:rPr>
        <w:t xml:space="preserve"> plasmid was then introduced. </w:t>
      </w:r>
      <w:r w:rsidR="006B4411">
        <w:rPr>
          <w:rFonts w:cs="Arial"/>
          <w:color w:val="000000" w:themeColor="text1"/>
          <w:szCs w:val="22"/>
        </w:rPr>
        <w:t xml:space="preserve">After selection of a </w:t>
      </w:r>
      <w:r w:rsidR="00F41CDD">
        <w:rPr>
          <w:rFonts w:cs="Arial"/>
          <w:color w:val="000000" w:themeColor="text1"/>
          <w:szCs w:val="22"/>
        </w:rPr>
        <w:t xml:space="preserve">clone </w:t>
      </w:r>
      <w:r w:rsidR="006B4411">
        <w:rPr>
          <w:rFonts w:cs="Arial"/>
          <w:color w:val="000000" w:themeColor="text1"/>
          <w:szCs w:val="22"/>
        </w:rPr>
        <w:t xml:space="preserve">co-expressing acetamidase and glucoamylase, </w:t>
      </w:r>
      <w:r w:rsidR="001A70FE">
        <w:rPr>
          <w:rFonts w:cs="Arial"/>
          <w:color w:val="000000" w:themeColor="text1"/>
          <w:szCs w:val="22"/>
        </w:rPr>
        <w:t>several</w:t>
      </w:r>
      <w:r w:rsidR="00F41CDD">
        <w:rPr>
          <w:rFonts w:cs="Arial"/>
          <w:color w:val="000000" w:themeColor="text1"/>
          <w:szCs w:val="22"/>
        </w:rPr>
        <w:t xml:space="preserve"> rounds of chemical and ultraviolet radiation mutagenesis</w:t>
      </w:r>
      <w:r w:rsidR="006B4411">
        <w:rPr>
          <w:rFonts w:cs="Arial"/>
          <w:color w:val="000000" w:themeColor="text1"/>
          <w:szCs w:val="22"/>
        </w:rPr>
        <w:t xml:space="preserve"> was performed</w:t>
      </w:r>
      <w:r w:rsidR="00F41CDD">
        <w:rPr>
          <w:rFonts w:cs="Arial"/>
          <w:color w:val="000000" w:themeColor="text1"/>
          <w:szCs w:val="22"/>
        </w:rPr>
        <w:t xml:space="preserve">. A final clone </w:t>
      </w:r>
      <w:r w:rsidR="00657719">
        <w:rPr>
          <w:rFonts w:cs="Arial"/>
          <w:color w:val="000000" w:themeColor="text1"/>
          <w:szCs w:val="22"/>
        </w:rPr>
        <w:t xml:space="preserve">designated CBP5-7 </w:t>
      </w:r>
      <w:r w:rsidR="00F41CDD">
        <w:rPr>
          <w:rFonts w:cs="Arial"/>
          <w:color w:val="000000" w:themeColor="text1"/>
          <w:szCs w:val="22"/>
        </w:rPr>
        <w:t>showing high expression of glucoamylase was selected for production</w:t>
      </w:r>
      <w:r w:rsidR="006B4411">
        <w:rPr>
          <w:rFonts w:cs="Arial"/>
          <w:color w:val="000000" w:themeColor="text1"/>
          <w:szCs w:val="22"/>
        </w:rPr>
        <w:t xml:space="preserve"> purposes.</w:t>
      </w:r>
      <w:r w:rsidR="00F41CDD">
        <w:rPr>
          <w:rFonts w:cs="Arial"/>
          <w:color w:val="000000" w:themeColor="text1"/>
        </w:rPr>
        <w:t xml:space="preserve"> </w:t>
      </w:r>
    </w:p>
    <w:p w14:paraId="6AD3CD2B" w14:textId="70E7B5CB" w:rsidR="00223358" w:rsidRDefault="00223358" w:rsidP="00E02D51">
      <w:pPr>
        <w:pStyle w:val="Heading3"/>
      </w:pPr>
      <w:bookmarkStart w:id="79" w:name="_Toc536544001"/>
      <w:bookmarkStart w:id="80" w:name="_Toc536607136"/>
      <w:bookmarkStart w:id="81" w:name="_Toc28003775"/>
      <w:r w:rsidRPr="00BE6060">
        <w:t>3.</w:t>
      </w:r>
      <w:r w:rsidR="00AC71C7">
        <w:t>2</w:t>
      </w:r>
      <w:r w:rsidRPr="00BE6060">
        <w:t>.2</w:t>
      </w:r>
      <w:r w:rsidRPr="00BE6060">
        <w:tab/>
        <w:t xml:space="preserve">Characterisation of </w:t>
      </w:r>
      <w:r w:rsidR="00F92421">
        <w:t xml:space="preserve">the </w:t>
      </w:r>
      <w:r w:rsidRPr="00BE6060">
        <w:t>inserted DNA</w:t>
      </w:r>
      <w:bookmarkEnd w:id="79"/>
      <w:bookmarkEnd w:id="80"/>
      <w:bookmarkEnd w:id="81"/>
    </w:p>
    <w:p w14:paraId="6849A3AB" w14:textId="0F222EE4" w:rsidR="003D68C6" w:rsidRPr="00BF446A" w:rsidRDefault="003D68C6" w:rsidP="00BF446A">
      <w:pPr>
        <w:rPr>
          <w:lang w:eastAsia="en-AU" w:bidi="ar-SA"/>
        </w:rPr>
      </w:pPr>
      <w:r>
        <w:rPr>
          <w:rFonts w:cs="Arial"/>
          <w:color w:val="000000" w:themeColor="text1"/>
        </w:rPr>
        <w:t>Analysis of gene copy number</w:t>
      </w:r>
      <w:r w:rsidR="00657719">
        <w:rPr>
          <w:rFonts w:cs="Arial"/>
          <w:color w:val="000000" w:themeColor="text1"/>
        </w:rPr>
        <w:t xml:space="preserve"> in </w:t>
      </w:r>
      <w:r w:rsidR="00D95891">
        <w:rPr>
          <w:rFonts w:cs="Arial"/>
          <w:color w:val="000000" w:themeColor="text1"/>
        </w:rPr>
        <w:t xml:space="preserve">CBP5-7 </w:t>
      </w:r>
      <w:r>
        <w:rPr>
          <w:rFonts w:cs="Arial"/>
          <w:color w:val="000000" w:themeColor="text1"/>
        </w:rPr>
        <w:t xml:space="preserve">was determined </w:t>
      </w:r>
      <w:r w:rsidR="00C5752B">
        <w:rPr>
          <w:rFonts w:cs="Arial"/>
          <w:color w:val="000000" w:themeColor="text1"/>
        </w:rPr>
        <w:t>using Southern blot analysis and</w:t>
      </w:r>
      <w:r>
        <w:rPr>
          <w:rFonts w:cs="Arial"/>
          <w:color w:val="000000" w:themeColor="text1"/>
        </w:rPr>
        <w:t xml:space="preserve"> real-time quantitative PCR. The </w:t>
      </w:r>
      <w:r w:rsidR="00BC5EBB">
        <w:rPr>
          <w:rFonts w:cs="Arial"/>
          <w:color w:val="000000" w:themeColor="text1"/>
        </w:rPr>
        <w:t>results</w:t>
      </w:r>
      <w:r>
        <w:rPr>
          <w:rFonts w:cs="Arial"/>
          <w:color w:val="000000" w:themeColor="text1"/>
        </w:rPr>
        <w:t xml:space="preserve"> showed that several copies of the </w:t>
      </w:r>
      <w:r w:rsidRPr="003D68C6">
        <w:rPr>
          <w:rFonts w:cs="Arial"/>
          <w:i/>
          <w:color w:val="000000" w:themeColor="text1"/>
        </w:rPr>
        <w:t>amgGT</w:t>
      </w:r>
      <w:r>
        <w:rPr>
          <w:rFonts w:cs="Arial"/>
          <w:color w:val="000000" w:themeColor="text1"/>
        </w:rPr>
        <w:t xml:space="preserve"> gene was inserted into the genome of the </w:t>
      </w:r>
      <w:r w:rsidRPr="003D68C6">
        <w:rPr>
          <w:rFonts w:cs="Arial"/>
          <w:i/>
          <w:color w:val="000000" w:themeColor="text1"/>
        </w:rPr>
        <w:t>A. niger</w:t>
      </w:r>
      <w:r>
        <w:rPr>
          <w:rFonts w:cs="Arial"/>
          <w:color w:val="000000" w:themeColor="text1"/>
        </w:rPr>
        <w:t xml:space="preserve"> host.</w:t>
      </w:r>
      <w:r w:rsidR="00785016" w:rsidDel="00785016">
        <w:rPr>
          <w:rFonts w:cs="Arial"/>
          <w:color w:val="000000" w:themeColor="text1"/>
        </w:rPr>
        <w:t xml:space="preserve"> </w:t>
      </w:r>
      <w:r w:rsidR="00BC5EBB">
        <w:rPr>
          <w:rFonts w:cs="Arial"/>
          <w:color w:val="000000" w:themeColor="text1"/>
        </w:rPr>
        <w:t xml:space="preserve">Confirmation of the gene copy number was achieved by whole genome sequence analyses, which also showed that the gene sequence of the insert was as expected, with no rearrangements or mutations. This was important considering that several rounds of conventional mutagenesis </w:t>
      </w:r>
      <w:r w:rsidR="009D1657">
        <w:rPr>
          <w:rFonts w:cs="Arial"/>
          <w:color w:val="000000" w:themeColor="text1"/>
        </w:rPr>
        <w:t xml:space="preserve">were </w:t>
      </w:r>
      <w:r w:rsidR="00BC5EBB">
        <w:rPr>
          <w:rFonts w:cs="Arial"/>
          <w:color w:val="000000" w:themeColor="text1"/>
        </w:rPr>
        <w:t>performed to drive higher expression levels in the production strain.</w:t>
      </w:r>
    </w:p>
    <w:p w14:paraId="1FAB47A3" w14:textId="2302110B" w:rsidR="00223358" w:rsidRDefault="00223358" w:rsidP="00E02D51">
      <w:pPr>
        <w:pStyle w:val="Heading3"/>
      </w:pPr>
      <w:bookmarkStart w:id="82" w:name="_Toc536544002"/>
      <w:bookmarkStart w:id="83" w:name="_Toc536607137"/>
      <w:bookmarkStart w:id="84" w:name="_Toc28003776"/>
      <w:r w:rsidRPr="0058182E">
        <w:t>3.2.3</w:t>
      </w:r>
      <w:r w:rsidR="00AD28CF">
        <w:tab/>
      </w:r>
      <w:bookmarkEnd w:id="82"/>
      <w:bookmarkEnd w:id="83"/>
      <w:r w:rsidR="00F92421" w:rsidRPr="00F92421">
        <w:t>Stability of the production organisms and inheritance of the introduced DNA</w:t>
      </w:r>
      <w:bookmarkEnd w:id="84"/>
    </w:p>
    <w:p w14:paraId="696ADF52" w14:textId="2AA96519" w:rsidR="00012CBF" w:rsidRDefault="00657719" w:rsidP="00F8144D">
      <w:pPr>
        <w:rPr>
          <w:lang w:eastAsia="en-AU" w:bidi="ar-SA"/>
        </w:rPr>
      </w:pPr>
      <w:r>
        <w:rPr>
          <w:rFonts w:cs="Arial"/>
          <w:color w:val="000000" w:themeColor="text1"/>
        </w:rPr>
        <w:t xml:space="preserve">Southern blot analysis was performed on genomic DNA extracted from </w:t>
      </w:r>
      <w:r w:rsidR="004C06EE">
        <w:rPr>
          <w:rFonts w:cs="Arial"/>
          <w:color w:val="000000" w:themeColor="text1"/>
        </w:rPr>
        <w:t xml:space="preserve">three </w:t>
      </w:r>
      <w:r>
        <w:rPr>
          <w:rFonts w:cs="Arial"/>
          <w:color w:val="000000" w:themeColor="text1"/>
        </w:rPr>
        <w:t xml:space="preserve">cultures of CBP5-7 </w:t>
      </w:r>
      <w:r w:rsidR="004C06EE">
        <w:rPr>
          <w:rFonts w:cs="Arial"/>
          <w:color w:val="000000" w:themeColor="text1"/>
        </w:rPr>
        <w:t>at the end of standard fermentation run</w:t>
      </w:r>
      <w:r w:rsidR="006C574C">
        <w:rPr>
          <w:rFonts w:cs="Arial"/>
          <w:color w:val="000000" w:themeColor="text1"/>
        </w:rPr>
        <w:t>s</w:t>
      </w:r>
      <w:r w:rsidR="004C06EE">
        <w:rPr>
          <w:rFonts w:cs="Arial"/>
          <w:color w:val="000000" w:themeColor="text1"/>
        </w:rPr>
        <w:t xml:space="preserve">. The results were compared to genomic DNA from a reference </w:t>
      </w:r>
      <w:r w:rsidR="006C574C">
        <w:rPr>
          <w:rFonts w:cs="Arial"/>
          <w:color w:val="000000" w:themeColor="text1"/>
        </w:rPr>
        <w:t>stock. The results showed the same banding patterns across the different fermentation runs and the reference stock. Morphological characteristics was also compared across the fermentation runs and to the reference stock and no differences were observed.</w:t>
      </w:r>
      <w:bookmarkStart w:id="85" w:name="_Toc536544003"/>
      <w:bookmarkStart w:id="86" w:name="_Toc536607138"/>
    </w:p>
    <w:p w14:paraId="25D696AF" w14:textId="51023ABC" w:rsidR="00CA3849" w:rsidRDefault="00CA3849" w:rsidP="00E02D51">
      <w:pPr>
        <w:pStyle w:val="Heading2"/>
        <w:numPr>
          <w:ilvl w:val="0"/>
          <w:numId w:val="0"/>
        </w:numPr>
        <w:ind w:left="851" w:hanging="851"/>
      </w:pPr>
      <w:bookmarkStart w:id="87" w:name="_Toc28003777"/>
      <w:r w:rsidRPr="00DD6B6A">
        <w:t>3.</w:t>
      </w:r>
      <w:r w:rsidR="00A07714">
        <w:t>3</w:t>
      </w:r>
      <w:r w:rsidR="001E6A7B">
        <w:tab/>
      </w:r>
      <w:r>
        <w:t xml:space="preserve">Safety of </w:t>
      </w:r>
      <w:bookmarkEnd w:id="76"/>
      <w:bookmarkEnd w:id="77"/>
      <w:bookmarkEnd w:id="78"/>
      <w:bookmarkEnd w:id="85"/>
      <w:bookmarkEnd w:id="86"/>
      <w:r w:rsidR="007322A1">
        <w:t>glucoamylase</w:t>
      </w:r>
      <w:bookmarkEnd w:id="87"/>
    </w:p>
    <w:p w14:paraId="1CC6BA13" w14:textId="611D6513" w:rsidR="00C15A6C" w:rsidRDefault="00C15A6C" w:rsidP="00E02D51">
      <w:pPr>
        <w:pStyle w:val="Heading3"/>
      </w:pPr>
      <w:bookmarkStart w:id="88" w:name="_Toc536544004"/>
      <w:bookmarkStart w:id="89" w:name="_Toc536607139"/>
      <w:bookmarkStart w:id="90" w:name="_Toc28003778"/>
      <w:r w:rsidRPr="00C15A6C">
        <w:t>3.</w:t>
      </w:r>
      <w:r w:rsidR="00A07714">
        <w:t>3</w:t>
      </w:r>
      <w:r w:rsidRPr="00C15A6C">
        <w:t>.1</w:t>
      </w:r>
      <w:r w:rsidR="0035149D">
        <w:tab/>
      </w:r>
      <w:r w:rsidRPr="00C15A6C">
        <w:t>History of safe use</w:t>
      </w:r>
      <w:bookmarkEnd w:id="88"/>
      <w:bookmarkEnd w:id="89"/>
      <w:bookmarkEnd w:id="90"/>
    </w:p>
    <w:p w14:paraId="40CF1CAC" w14:textId="3AA10063" w:rsidR="00431328" w:rsidRPr="00570878" w:rsidRDefault="00431328" w:rsidP="00431328">
      <w:pPr>
        <w:rPr>
          <w:lang w:bidi="ar-SA"/>
        </w:rPr>
      </w:pPr>
      <w:r w:rsidRPr="00570878">
        <w:rPr>
          <w:lang w:bidi="ar-SA"/>
        </w:rPr>
        <w:t xml:space="preserve">In considering the safety of novel proteins it is important to consider that a large and diverse range of proteins are ingested as part of the normal human diet without any adverse effects. </w:t>
      </w:r>
    </w:p>
    <w:p w14:paraId="648BBF82" w14:textId="77777777" w:rsidR="00431328" w:rsidRDefault="00431328" w:rsidP="00431328">
      <w:pPr>
        <w:rPr>
          <w:lang w:bidi="ar-SA"/>
        </w:rPr>
      </w:pPr>
      <w:r w:rsidRPr="00570878">
        <w:rPr>
          <w:lang w:bidi="ar-SA"/>
        </w:rPr>
        <w:t>Only a small number of dietary proteins have the potential to cause adverse health effects, because they have anti-nutrient properties or they can cause allergies in some consumers (Delaney et al. 2008). Furthermore, proteins perform a wide range of functions in humans. To encompass this range of type and function, the safety assessment of the novel protein must consider if there is a history of safe use, and whether there are any potential toxic or allergenic effects.</w:t>
      </w:r>
    </w:p>
    <w:p w14:paraId="45C22E14" w14:textId="31DB7175" w:rsidR="00CD7C1F" w:rsidRDefault="00CD7C1F" w:rsidP="00F92421">
      <w:pPr>
        <w:rPr>
          <w:lang w:eastAsia="en-AU" w:bidi="ar-SA"/>
        </w:rPr>
      </w:pPr>
    </w:p>
    <w:p w14:paraId="7355568A" w14:textId="1813A4A5" w:rsidR="00431328" w:rsidRPr="0076408E" w:rsidRDefault="00431328" w:rsidP="00431328">
      <w:pPr>
        <w:rPr>
          <w:lang w:bidi="ar-SA"/>
        </w:rPr>
      </w:pPr>
      <w:r w:rsidRPr="0076408E">
        <w:rPr>
          <w:lang w:bidi="ar-SA"/>
        </w:rPr>
        <w:t xml:space="preserve">Glucoamylase from </w:t>
      </w:r>
      <w:r w:rsidRPr="0076408E">
        <w:rPr>
          <w:i/>
          <w:lang w:bidi="ar-SA"/>
        </w:rPr>
        <w:t>A. niger</w:t>
      </w:r>
      <w:r w:rsidRPr="0076408E">
        <w:rPr>
          <w:lang w:bidi="ar-SA"/>
        </w:rPr>
        <w:t xml:space="preserve"> </w:t>
      </w:r>
      <w:r w:rsidR="009320D6">
        <w:rPr>
          <w:lang w:bidi="ar-SA"/>
        </w:rPr>
        <w:t xml:space="preserve">was </w:t>
      </w:r>
      <w:r w:rsidRPr="0076408E">
        <w:rPr>
          <w:lang w:bidi="ar-SA"/>
        </w:rPr>
        <w:t xml:space="preserve">approved for use </w:t>
      </w:r>
      <w:r w:rsidR="00383FC6" w:rsidRPr="0076408E">
        <w:rPr>
          <w:lang w:bidi="ar-SA"/>
        </w:rPr>
        <w:t>in</w:t>
      </w:r>
      <w:r w:rsidRPr="0076408E">
        <w:rPr>
          <w:lang w:bidi="ar-SA"/>
        </w:rPr>
        <w:t xml:space="preserve"> Denmark for </w:t>
      </w:r>
      <w:r w:rsidR="00B152E6" w:rsidRPr="0076408E">
        <w:rPr>
          <w:lang w:bidi="ar-SA"/>
        </w:rPr>
        <w:t xml:space="preserve">starch processing, </w:t>
      </w:r>
      <w:r w:rsidRPr="0076408E">
        <w:rPr>
          <w:lang w:bidi="ar-SA"/>
        </w:rPr>
        <w:t xml:space="preserve">alcohol </w:t>
      </w:r>
      <w:r w:rsidR="00B152E6" w:rsidRPr="0076408E">
        <w:rPr>
          <w:lang w:bidi="ar-SA"/>
        </w:rPr>
        <w:t>(distilling and brewery) cereal beverage and baking applications in 2015</w:t>
      </w:r>
      <w:r w:rsidRPr="0076408E">
        <w:rPr>
          <w:lang w:bidi="ar-SA"/>
        </w:rPr>
        <w:t>, in accordance with EFSA guidelines for the presentation of data on food enzymes. According to the applicant, the enzyme has also been approved in France</w:t>
      </w:r>
      <w:r w:rsidR="00B152E6" w:rsidRPr="0076408E">
        <w:rPr>
          <w:lang w:bidi="ar-SA"/>
        </w:rPr>
        <w:t>, although the date of approval is</w:t>
      </w:r>
      <w:r w:rsidRPr="0076408E">
        <w:rPr>
          <w:lang w:bidi="ar-SA"/>
        </w:rPr>
        <w:t xml:space="preserve"> not specified. </w:t>
      </w:r>
    </w:p>
    <w:p w14:paraId="06DD28FD" w14:textId="77777777" w:rsidR="00B152E6" w:rsidRPr="00431328" w:rsidRDefault="00B152E6" w:rsidP="00431328">
      <w:pPr>
        <w:rPr>
          <w:highlight w:val="yellow"/>
          <w:lang w:bidi="ar-SA"/>
        </w:rPr>
      </w:pPr>
    </w:p>
    <w:p w14:paraId="4A98F8E6" w14:textId="0AA63919" w:rsidR="00431328" w:rsidRPr="00F92421" w:rsidRDefault="00431328" w:rsidP="00F92421">
      <w:pPr>
        <w:rPr>
          <w:lang w:bidi="ar-SA"/>
        </w:rPr>
      </w:pPr>
      <w:r w:rsidRPr="008B59CD">
        <w:rPr>
          <w:lang w:bidi="ar-SA"/>
        </w:rPr>
        <w:t>By volume, glucoamylase is one of the most used commercial biocatalysts in the food industry (Kumar and Satyanarayana 2009). Glucoamylases from a large number of microbial sources have been widely used in the food industry since the 1960s for the hydrolysis of starch (Kumar and Satyanarayana 2009), particularly in the starch, brewing, distilling and baking industries. FSANZ and a number of other regulatory authorities, including those of Brazil, Canada, China, Denmark, France, Japan and Mexico have authorized the use of various glucoamylases as processing aids.</w:t>
      </w:r>
      <w:r>
        <w:rPr>
          <w:lang w:bidi="ar-SA"/>
        </w:rPr>
        <w:t xml:space="preserve">  </w:t>
      </w:r>
    </w:p>
    <w:p w14:paraId="25CBADAE" w14:textId="181A8BC7" w:rsidR="00F92421" w:rsidRDefault="00F92421" w:rsidP="00E02D51">
      <w:pPr>
        <w:pStyle w:val="Heading3"/>
      </w:pPr>
      <w:bookmarkStart w:id="91" w:name="_Toc28003779"/>
      <w:r>
        <w:t>3.3.2</w:t>
      </w:r>
      <w:r>
        <w:tab/>
        <w:t>Bioinformatic assessment of enzyme toxicity</w:t>
      </w:r>
      <w:bookmarkEnd w:id="91"/>
    </w:p>
    <w:p w14:paraId="38C078A3" w14:textId="0CD83E0B" w:rsidR="00F92421" w:rsidRPr="007D1390" w:rsidRDefault="009732A1" w:rsidP="00F92421">
      <w:pPr>
        <w:rPr>
          <w:b/>
          <w:i/>
          <w:lang w:bidi="ar-SA"/>
        </w:rPr>
      </w:pPr>
      <w:r w:rsidRPr="00570878">
        <w:t xml:space="preserve">The applicant provided results from </w:t>
      </w:r>
      <w:r w:rsidRPr="00570878">
        <w:rPr>
          <w:i/>
        </w:rPr>
        <w:t>in silico</w:t>
      </w:r>
      <w:r w:rsidRPr="00570878">
        <w:t xml:space="preserve"> analyses comparing the amino acid sequence for the </w:t>
      </w:r>
      <w:r w:rsidRPr="00570878">
        <w:rPr>
          <w:rFonts w:cs="Arial"/>
        </w:rPr>
        <w:t>glucoamylase</w:t>
      </w:r>
      <w:r w:rsidRPr="00570878">
        <w:t xml:space="preserve"> protein to known protein toxins identified in the </w:t>
      </w:r>
      <w:hyperlink r:id="rId19" w:history="1">
        <w:r w:rsidRPr="00570878">
          <w:rPr>
            <w:color w:val="3333FF"/>
            <w:u w:val="single"/>
          </w:rPr>
          <w:t>UniProt</w:t>
        </w:r>
      </w:hyperlink>
      <w:r w:rsidRPr="00570878">
        <w:rPr>
          <w:vertAlign w:val="superscript"/>
        </w:rPr>
        <w:footnoteReference w:id="9"/>
      </w:r>
      <w:r w:rsidR="005423AC">
        <w:t xml:space="preserve"> database. No noteworthy</w:t>
      </w:r>
      <w:r w:rsidRPr="00570878">
        <w:t xml:space="preserve"> similarity was found between the glucoamylase protein to any known protein toxins, thus it can be concluded that the toxigenic potential of this protein is low.</w:t>
      </w:r>
    </w:p>
    <w:p w14:paraId="4B319AB9" w14:textId="3D6D8957" w:rsidR="00C15A6C" w:rsidRDefault="00A07714" w:rsidP="00E02D51">
      <w:pPr>
        <w:pStyle w:val="Heading3"/>
      </w:pPr>
      <w:bookmarkStart w:id="92" w:name="_Toc536544005"/>
      <w:bookmarkStart w:id="93" w:name="_Toc536607140"/>
      <w:bookmarkStart w:id="94" w:name="_Toc28003780"/>
      <w:r>
        <w:t>3.3</w:t>
      </w:r>
      <w:r w:rsidR="00C15A6C">
        <w:t>.</w:t>
      </w:r>
      <w:r w:rsidR="00F92421">
        <w:t>3</w:t>
      </w:r>
      <w:r w:rsidR="0035149D">
        <w:tab/>
      </w:r>
      <w:r w:rsidR="00C15A6C">
        <w:t>Toxicology studies in animals</w:t>
      </w:r>
      <w:bookmarkEnd w:id="92"/>
      <w:bookmarkEnd w:id="93"/>
      <w:bookmarkEnd w:id="94"/>
    </w:p>
    <w:p w14:paraId="1C93FDED" w14:textId="09C47A7B" w:rsidR="00F43DAD" w:rsidRPr="002F23D0" w:rsidRDefault="00F43DAD" w:rsidP="00F43DAD">
      <w:pPr>
        <w:rPr>
          <w:i/>
          <w:lang w:bidi="ar-SA"/>
        </w:rPr>
      </w:pPr>
      <w:r w:rsidRPr="002F23D0">
        <w:rPr>
          <w:i/>
          <w:lang w:bidi="ar-SA"/>
        </w:rPr>
        <w:t>Thirteen week oral gavage study of glucoamylase</w:t>
      </w:r>
      <w:r w:rsidR="00BA5651" w:rsidRPr="002F23D0">
        <w:rPr>
          <w:i/>
          <w:lang w:bidi="ar-SA"/>
        </w:rPr>
        <w:t>, PPY30930</w:t>
      </w:r>
      <w:r w:rsidRPr="002F23D0">
        <w:rPr>
          <w:i/>
          <w:lang w:bidi="ar-SA"/>
        </w:rPr>
        <w:t xml:space="preserve"> in CD rats (Huntingdon Life Sciences Ltd., Study Number</w:t>
      </w:r>
      <w:r w:rsidR="002F23D0" w:rsidRPr="002F23D0">
        <w:rPr>
          <w:i/>
          <w:lang w:bidi="ar-SA"/>
        </w:rPr>
        <w:t xml:space="preserve"> </w:t>
      </w:r>
      <w:r w:rsidR="00BA5651" w:rsidRPr="002F23D0">
        <w:rPr>
          <w:i/>
          <w:lang w:bidi="ar-SA"/>
        </w:rPr>
        <w:t>LK</w:t>
      </w:r>
      <w:r w:rsidR="002F23D0" w:rsidRPr="002F23D0">
        <w:rPr>
          <w:i/>
          <w:lang w:bidi="ar-SA"/>
        </w:rPr>
        <w:t>G0032</w:t>
      </w:r>
      <w:r w:rsidRPr="002F23D0">
        <w:rPr>
          <w:i/>
          <w:lang w:bidi="ar-SA"/>
        </w:rPr>
        <w:t>,</w:t>
      </w:r>
      <w:r w:rsidR="002F23D0" w:rsidRPr="002F23D0">
        <w:rPr>
          <w:i/>
          <w:lang w:bidi="ar-SA"/>
        </w:rPr>
        <w:t xml:space="preserve"> 2011</w:t>
      </w:r>
      <w:r w:rsidRPr="002F23D0">
        <w:rPr>
          <w:i/>
          <w:lang w:bidi="ar-SA"/>
        </w:rPr>
        <w:t xml:space="preserve">) Regulatory status: GLP. </w:t>
      </w:r>
    </w:p>
    <w:p w14:paraId="74813C38" w14:textId="77777777" w:rsidR="00F43DAD" w:rsidRPr="00F43DAD" w:rsidRDefault="00F43DAD" w:rsidP="00F43DAD">
      <w:pPr>
        <w:rPr>
          <w:i/>
          <w:highlight w:val="yellow"/>
          <w:lang w:bidi="ar-SA"/>
        </w:rPr>
      </w:pPr>
    </w:p>
    <w:p w14:paraId="446F4905" w14:textId="00D8F5D2" w:rsidR="00F43DAD" w:rsidRPr="00F43DAD" w:rsidRDefault="00F43DAD" w:rsidP="00F43DAD">
      <w:pPr>
        <w:rPr>
          <w:highlight w:val="yellow"/>
          <w:lang w:val="en-US" w:bidi="ar-SA"/>
        </w:rPr>
      </w:pPr>
      <w:r w:rsidRPr="002F23D0">
        <w:rPr>
          <w:lang w:val="en-US" w:bidi="ar-SA"/>
        </w:rPr>
        <w:t>The test article for this study was glucoamylase</w:t>
      </w:r>
      <w:r w:rsidR="002F23D0" w:rsidRPr="002F23D0">
        <w:rPr>
          <w:lang w:val="en-US" w:bidi="ar-SA"/>
        </w:rPr>
        <w:t>, Batch PPY</w:t>
      </w:r>
      <w:r w:rsidR="00BE63CB">
        <w:rPr>
          <w:lang w:val="en-US" w:bidi="ar-SA"/>
        </w:rPr>
        <w:t xml:space="preserve"> </w:t>
      </w:r>
      <w:r w:rsidR="002F23D0" w:rsidRPr="002F23D0">
        <w:rPr>
          <w:lang w:val="en-US" w:bidi="ar-SA"/>
        </w:rPr>
        <w:t>30930</w:t>
      </w:r>
      <w:r w:rsidR="002F23D0" w:rsidRPr="002F23D0">
        <w:rPr>
          <w:i/>
          <w:lang w:val="en-US" w:bidi="ar-SA"/>
        </w:rPr>
        <w:t>.</w:t>
      </w:r>
      <w:r w:rsidRPr="002F23D0">
        <w:rPr>
          <w:lang w:val="en-US" w:bidi="ar-SA"/>
        </w:rPr>
        <w:t xml:space="preserve"> </w:t>
      </w:r>
      <w:r w:rsidRPr="00A53E0C">
        <w:rPr>
          <w:lang w:val="en-US" w:bidi="ar-SA"/>
        </w:rPr>
        <w:t xml:space="preserve">This batch was produced by </w:t>
      </w:r>
      <w:r w:rsidR="00A53E0C" w:rsidRPr="00A53E0C">
        <w:rPr>
          <w:lang w:val="en-US" w:bidi="ar-SA"/>
        </w:rPr>
        <w:t xml:space="preserve">the </w:t>
      </w:r>
      <w:r w:rsidR="00657719" w:rsidRPr="00612503">
        <w:rPr>
          <w:color w:val="000000" w:themeColor="text1"/>
          <w:lang w:val="en-US" w:bidi="ar-SA"/>
        </w:rPr>
        <w:t xml:space="preserve">CBP5-7 </w:t>
      </w:r>
      <w:r w:rsidRPr="00A53E0C">
        <w:rPr>
          <w:lang w:val="en-US" w:bidi="ar-SA"/>
        </w:rPr>
        <w:t>production strain that is the subject of this application.</w:t>
      </w:r>
      <w:r w:rsidRPr="002F23D0">
        <w:rPr>
          <w:lang w:val="en-US" w:bidi="ar-SA"/>
        </w:rPr>
        <w:t xml:space="preserve"> </w:t>
      </w:r>
      <w:r w:rsidRPr="0092067E">
        <w:rPr>
          <w:lang w:val="en-US" w:bidi="ar-SA"/>
        </w:rPr>
        <w:t>The test article was received as a liquid with a Total Orga</w:t>
      </w:r>
      <w:r w:rsidR="002F23D0" w:rsidRPr="0092067E">
        <w:rPr>
          <w:lang w:val="en-US" w:bidi="ar-SA"/>
        </w:rPr>
        <w:t xml:space="preserve">nic Solid (TOS) </w:t>
      </w:r>
      <w:r w:rsidR="002F23D0" w:rsidRPr="009320D6">
        <w:rPr>
          <w:lang w:val="en-US" w:bidi="ar-SA"/>
        </w:rPr>
        <w:t>content</w:t>
      </w:r>
      <w:r w:rsidR="002F23D0" w:rsidRPr="0092067E">
        <w:rPr>
          <w:lang w:val="en-US" w:bidi="ar-SA"/>
        </w:rPr>
        <w:t xml:space="preserve"> of 10.9</w:t>
      </w:r>
      <w:r w:rsidRPr="0092067E">
        <w:rPr>
          <w:lang w:val="en-US" w:bidi="ar-SA"/>
        </w:rPr>
        <w:t>% w/w</w:t>
      </w:r>
      <w:r w:rsidR="007853EE">
        <w:rPr>
          <w:lang w:val="en-US" w:bidi="ar-SA"/>
        </w:rPr>
        <w:t>, (dry matter content 11.4%)</w:t>
      </w:r>
      <w:r w:rsidRPr="0092067E">
        <w:rPr>
          <w:lang w:val="en-US" w:bidi="ar-SA"/>
        </w:rPr>
        <w:t xml:space="preserve">. The vehicle and control article was water, purified by reverse osmosis. Enzyme activity of the dose formulations was determined from </w:t>
      </w:r>
      <w:r w:rsidR="00A53E0C">
        <w:rPr>
          <w:lang w:val="en-US" w:bidi="ar-SA"/>
        </w:rPr>
        <w:t xml:space="preserve">triplicate </w:t>
      </w:r>
      <w:r w:rsidRPr="0092067E">
        <w:rPr>
          <w:lang w:val="en-US" w:bidi="ar-SA"/>
        </w:rPr>
        <w:t xml:space="preserve">samples collected during Weeks 1, 6 and 13. </w:t>
      </w:r>
    </w:p>
    <w:p w14:paraId="5A5F7ACF" w14:textId="77777777" w:rsidR="0076408E" w:rsidRDefault="0076408E" w:rsidP="00F43DAD">
      <w:pPr>
        <w:rPr>
          <w:lang w:val="en-US" w:bidi="ar-SA"/>
        </w:rPr>
      </w:pPr>
    </w:p>
    <w:p w14:paraId="51D7E4C2" w14:textId="3F9607CC" w:rsidR="00F43DAD" w:rsidRPr="00F43DAD" w:rsidRDefault="00F43DAD" w:rsidP="00F43DAD">
      <w:pPr>
        <w:rPr>
          <w:highlight w:val="yellow"/>
          <w:lang w:val="en-US" w:bidi="ar-SA"/>
        </w:rPr>
      </w:pPr>
      <w:r w:rsidRPr="00835B41">
        <w:rPr>
          <w:lang w:val="en-US" w:bidi="ar-SA"/>
        </w:rPr>
        <w:t>The test subjects were Crl:CD</w:t>
      </w:r>
      <w:r w:rsidRPr="00835B41">
        <w:rPr>
          <w:rFonts w:cs="Arial"/>
          <w:lang w:val="en-US" w:bidi="ar-SA"/>
        </w:rPr>
        <w:t>®</w:t>
      </w:r>
      <w:r w:rsidRPr="00835B41">
        <w:rPr>
          <w:lang w:val="en-US" w:bidi="ar-SA"/>
        </w:rPr>
        <w:t xml:space="preserve">(SD) rats, received at </w:t>
      </w:r>
      <w:r w:rsidR="00A53E0C" w:rsidRPr="00A53E0C">
        <w:rPr>
          <w:lang w:val="en-US" w:bidi="ar-SA"/>
        </w:rPr>
        <w:t>29</w:t>
      </w:r>
      <w:r w:rsidRPr="00A53E0C">
        <w:rPr>
          <w:lang w:val="en-US" w:bidi="ar-SA"/>
        </w:rPr>
        <w:t xml:space="preserve"> to </w:t>
      </w:r>
      <w:r w:rsidR="00A53E0C">
        <w:rPr>
          <w:lang w:val="en-US" w:bidi="ar-SA"/>
        </w:rPr>
        <w:t>35</w:t>
      </w:r>
      <w:r w:rsidRPr="00835B41">
        <w:rPr>
          <w:lang w:val="en-US" w:bidi="ar-SA"/>
        </w:rPr>
        <w:t xml:space="preserve"> days of age. Rats were acclimatized to the study room and standard laboratory environmental conditions for 12 days prior to the start of the study. Rats were group-housed by sex, 5/cage, in polycarbonate cages and provided with water </w:t>
      </w:r>
      <w:r w:rsidRPr="00835B41">
        <w:rPr>
          <w:i/>
          <w:lang w:val="en-US" w:bidi="ar-SA"/>
        </w:rPr>
        <w:t>ad libitum</w:t>
      </w:r>
      <w:r w:rsidRPr="00835B41">
        <w:rPr>
          <w:lang w:val="en-US" w:bidi="ar-SA"/>
        </w:rPr>
        <w:t xml:space="preserve">, and standard rat diet </w:t>
      </w:r>
      <w:r w:rsidRPr="00835B41">
        <w:rPr>
          <w:i/>
          <w:lang w:val="en-US" w:bidi="ar-SA"/>
        </w:rPr>
        <w:t>ad libitum</w:t>
      </w:r>
      <w:r w:rsidRPr="00835B41">
        <w:rPr>
          <w:lang w:val="en-US" w:bidi="ar-SA"/>
        </w:rPr>
        <w:t xml:space="preserve"> except during scheduled fasting prior to blood collection. All rats were subject to prestudy ophthalmologic examination</w:t>
      </w:r>
      <w:r w:rsidR="007850BA">
        <w:rPr>
          <w:lang w:val="en-US" w:bidi="ar-SA"/>
        </w:rPr>
        <w:t>, detailed physical examination (including arena observations), bodyweight and food intake measurements</w:t>
      </w:r>
      <w:r w:rsidRPr="00835B41">
        <w:rPr>
          <w:lang w:val="en-US" w:bidi="ar-SA"/>
        </w:rPr>
        <w:t>.</w:t>
      </w:r>
    </w:p>
    <w:p w14:paraId="7A790FC3" w14:textId="77777777" w:rsidR="0076408E" w:rsidRDefault="0076408E" w:rsidP="00F43DAD">
      <w:pPr>
        <w:rPr>
          <w:lang w:val="en-US" w:bidi="ar-SA"/>
        </w:rPr>
      </w:pPr>
    </w:p>
    <w:p w14:paraId="2F8D1646" w14:textId="1825BAB9" w:rsidR="00F43DAD" w:rsidRPr="00F43DAD" w:rsidRDefault="00F43DAD" w:rsidP="00F43DAD">
      <w:pPr>
        <w:rPr>
          <w:highlight w:val="yellow"/>
          <w:lang w:val="en-US" w:bidi="ar-SA"/>
        </w:rPr>
      </w:pPr>
      <w:r w:rsidRPr="00835B41">
        <w:rPr>
          <w:lang w:val="en-US" w:bidi="ar-SA"/>
        </w:rPr>
        <w:t xml:space="preserve">Rats were assigned, 10/sex/group, to groups gavaged once daily at a dose volume of 10 mL/kg bw, to deliver a dose of 0, 1, 3.3 or 10 mL/kg bw/day of the test article as supplied to the laboratory. </w:t>
      </w:r>
      <w:r w:rsidRPr="00F22399">
        <w:rPr>
          <w:lang w:val="en-US" w:bidi="ar-SA"/>
        </w:rPr>
        <w:t xml:space="preserve">The volume delivered was based on the most recently recorded body weight. </w:t>
      </w:r>
      <w:r w:rsidRPr="009147F9">
        <w:rPr>
          <w:lang w:val="en-US" w:bidi="ar-SA"/>
        </w:rPr>
        <w:t xml:space="preserve">During the in-life phase, rats were subject to cageside observations twice daily. Detailed clinical observations were recorded daily through the first week, twice weekly during Weeks 2 to 4, and once weekly thereafter. Water consumption was </w:t>
      </w:r>
      <w:r w:rsidR="00F22399" w:rsidRPr="009147F9">
        <w:rPr>
          <w:lang w:val="en-US" w:bidi="ar-SA"/>
        </w:rPr>
        <w:t>appraised by visual observation on a daily basis</w:t>
      </w:r>
      <w:r w:rsidR="00D74E00">
        <w:rPr>
          <w:lang w:val="en-US" w:bidi="ar-SA"/>
        </w:rPr>
        <w:t xml:space="preserve"> but because visual observation did not reveal any group differences quantitative measurements were not undertaken</w:t>
      </w:r>
      <w:r w:rsidRPr="009147F9">
        <w:rPr>
          <w:lang w:val="en-US" w:bidi="ar-SA"/>
        </w:rPr>
        <w:t>. Bodyweight, and behaviour in an arena were recorded weekly</w:t>
      </w:r>
      <w:r w:rsidR="007850BA">
        <w:rPr>
          <w:lang w:val="en-US" w:bidi="ar-SA"/>
        </w:rPr>
        <w:t xml:space="preserve">. </w:t>
      </w:r>
      <w:r w:rsidRPr="00C671A4">
        <w:rPr>
          <w:lang w:val="en-US" w:bidi="ar-SA"/>
        </w:rPr>
        <w:t>Sensory reactivity and grip strength were assessed during Week 12 prior to administration of the daily dose. Sensory reactivity was assessed by response to approaching the face with a probe, auditory startle response, tail pinch response and touch response. Motor activity was also measured electronically during Week 12. Rats in the control and</w:t>
      </w:r>
      <w:r w:rsidR="00431328" w:rsidRPr="00C671A4">
        <w:rPr>
          <w:lang w:val="en-US" w:bidi="ar-SA"/>
        </w:rPr>
        <w:t xml:space="preserve"> </w:t>
      </w:r>
      <w:r w:rsidRPr="00C671A4">
        <w:rPr>
          <w:lang w:val="en-US" w:bidi="ar-SA"/>
        </w:rPr>
        <w:t xml:space="preserve">10 mL/kg bw/day groups were subject to ophthalmologic examinations in Week 13 but because no differences in the prevalence of ocular abnormalities were observed between those two groups, examination was not extended to the 1 or 3.3 mL/kg bw/day groups. </w:t>
      </w:r>
    </w:p>
    <w:p w14:paraId="6E724218" w14:textId="77777777" w:rsidR="0076408E" w:rsidRDefault="0076408E" w:rsidP="00F43DAD">
      <w:pPr>
        <w:rPr>
          <w:lang w:val="en-US" w:bidi="ar-SA"/>
        </w:rPr>
      </w:pPr>
    </w:p>
    <w:p w14:paraId="52DC0599" w14:textId="0B740E68" w:rsidR="00F43DAD" w:rsidRPr="00F43DAD" w:rsidRDefault="00F43DAD" w:rsidP="00F43DAD">
      <w:pPr>
        <w:rPr>
          <w:highlight w:val="yellow"/>
          <w:lang w:val="en-US" w:bidi="ar-SA"/>
        </w:rPr>
      </w:pPr>
      <w:r w:rsidRPr="00932137">
        <w:rPr>
          <w:lang w:val="en-US" w:bidi="ar-SA"/>
        </w:rPr>
        <w:t xml:space="preserve">Blood was collected from all surviving rats in Week 13 for haematology (including assessment of coagulation factors) and clinical chemistry. All surviving animals were killed at the end of 13 weeks of treatment, and subject to necropsy. </w:t>
      </w:r>
      <w:r w:rsidR="00932137">
        <w:rPr>
          <w:lang w:val="en-US" w:bidi="ar-SA"/>
        </w:rPr>
        <w:t xml:space="preserve">The animal killed during the treatment period was also subject to necropsy. The following </w:t>
      </w:r>
      <w:r w:rsidR="00932137" w:rsidRPr="00932137">
        <w:rPr>
          <w:lang w:val="en-US" w:bidi="ar-SA"/>
        </w:rPr>
        <w:t>f</w:t>
      </w:r>
      <w:r w:rsidRPr="00932137">
        <w:rPr>
          <w:lang w:val="en-US" w:bidi="ar-SA"/>
        </w:rPr>
        <w:t>resh organ weights were recorded for</w:t>
      </w:r>
      <w:r w:rsidR="00932137" w:rsidRPr="00932137">
        <w:rPr>
          <w:lang w:val="en-US" w:bidi="ar-SA"/>
        </w:rPr>
        <w:t xml:space="preserve"> all animals killed at t</w:t>
      </w:r>
      <w:r w:rsidR="00365D6C">
        <w:rPr>
          <w:lang w:val="en-US" w:bidi="ar-SA"/>
        </w:rPr>
        <w:t>h</w:t>
      </w:r>
      <w:r w:rsidR="00932137" w:rsidRPr="00932137">
        <w:rPr>
          <w:lang w:val="en-US" w:bidi="ar-SA"/>
        </w:rPr>
        <w:t>e end of the 13-week treatment period:</w:t>
      </w:r>
      <w:r w:rsidRPr="00932137">
        <w:rPr>
          <w:lang w:val="en-US" w:bidi="ar-SA"/>
        </w:rPr>
        <w:t xml:space="preserve"> adrenals, brain, heart, kidneys, liver, spleen, thymus, and either testes and epididymides or ovaries and uterus as sex-appropriate. A comprehensive list of organs and tissues </w:t>
      </w:r>
      <w:r w:rsidR="00365D6C">
        <w:rPr>
          <w:lang w:val="en-US" w:bidi="ar-SA"/>
        </w:rPr>
        <w:t xml:space="preserve">from all animals </w:t>
      </w:r>
      <w:r w:rsidRPr="00932137">
        <w:rPr>
          <w:lang w:val="en-US" w:bidi="ar-SA"/>
        </w:rPr>
        <w:t xml:space="preserve">was preserved for histopathological examination. </w:t>
      </w:r>
      <w:r w:rsidR="00367F43">
        <w:rPr>
          <w:lang w:val="en-US" w:bidi="ar-SA"/>
        </w:rPr>
        <w:t xml:space="preserve">In the first instance </w:t>
      </w:r>
      <w:r w:rsidR="00D74E00">
        <w:rPr>
          <w:lang w:val="en-US" w:bidi="ar-SA"/>
        </w:rPr>
        <w:t xml:space="preserve">histopathological </w:t>
      </w:r>
      <w:r w:rsidR="00367F43">
        <w:rPr>
          <w:lang w:val="en-US" w:bidi="ar-SA"/>
        </w:rPr>
        <w:t>examination was confined to all Control and animals receiving 10 mL/kg bw/day, however due to potential treatment-related effects being noted in the heart and kidneys of males receiving 10 mL/kg bw/day, examination of these tissues was extended to all males at 1.0 or 3.3 mL/k</w:t>
      </w:r>
      <w:r w:rsidR="00DA0166">
        <w:rPr>
          <w:lang w:val="en-US" w:bidi="ar-SA"/>
        </w:rPr>
        <w:t>g</w:t>
      </w:r>
      <w:r w:rsidR="00367F43">
        <w:rPr>
          <w:lang w:val="en-US" w:bidi="ar-SA"/>
        </w:rPr>
        <w:t xml:space="preserve"> bw/day surviving until the end of Week 13.  </w:t>
      </w:r>
    </w:p>
    <w:p w14:paraId="29AB6C6E" w14:textId="77777777" w:rsidR="0076408E" w:rsidRDefault="0076408E" w:rsidP="00F43DAD">
      <w:pPr>
        <w:rPr>
          <w:lang w:val="en-US" w:bidi="ar-SA"/>
        </w:rPr>
      </w:pPr>
    </w:p>
    <w:p w14:paraId="0341D471" w14:textId="4A7FF373" w:rsidR="00F43DAD" w:rsidRPr="00F43DAD" w:rsidRDefault="00F43DAD" w:rsidP="00F43DAD">
      <w:pPr>
        <w:rPr>
          <w:highlight w:val="yellow"/>
          <w:lang w:val="en-US" w:bidi="ar-SA"/>
        </w:rPr>
      </w:pPr>
      <w:r w:rsidRPr="00367F43">
        <w:rPr>
          <w:lang w:val="en-US" w:bidi="ar-SA"/>
        </w:rPr>
        <w:t>Analysis of the enzyme activity of dose formulat</w:t>
      </w:r>
      <w:r w:rsidR="00367F43">
        <w:rPr>
          <w:lang w:val="en-US" w:bidi="ar-SA"/>
        </w:rPr>
        <w:t>ions from</w:t>
      </w:r>
      <w:r w:rsidRPr="00367F43">
        <w:rPr>
          <w:lang w:val="en-US" w:bidi="ar-SA"/>
        </w:rPr>
        <w:t xml:space="preserve"> Weeks 1, 6 and 13 confirmed that it did not deviate from the intended activity by m</w:t>
      </w:r>
      <w:r w:rsidR="00367F43" w:rsidRPr="00367F43">
        <w:rPr>
          <w:lang w:val="en-US" w:bidi="ar-SA"/>
        </w:rPr>
        <w:t>ore than 4</w:t>
      </w:r>
      <w:r w:rsidRPr="00367F43">
        <w:rPr>
          <w:lang w:val="en-US" w:bidi="ar-SA"/>
        </w:rPr>
        <w:t xml:space="preserve">%, and the formulations were therefore suitable for use on study. </w:t>
      </w:r>
    </w:p>
    <w:p w14:paraId="4B3DA644" w14:textId="77777777" w:rsidR="0076408E" w:rsidRDefault="0076408E" w:rsidP="00F43DAD">
      <w:pPr>
        <w:rPr>
          <w:lang w:val="en-US" w:bidi="ar-SA"/>
        </w:rPr>
      </w:pPr>
    </w:p>
    <w:p w14:paraId="0299AA4F" w14:textId="0821C60D" w:rsidR="00375551" w:rsidRDefault="00F43DAD" w:rsidP="00F43DAD">
      <w:pPr>
        <w:rPr>
          <w:lang w:val="en-US" w:bidi="ar-SA"/>
        </w:rPr>
      </w:pPr>
      <w:r w:rsidRPr="00365D6C">
        <w:rPr>
          <w:lang w:val="en-US" w:bidi="ar-SA"/>
        </w:rPr>
        <w:t xml:space="preserve">There were no treatment-related </w:t>
      </w:r>
      <w:r w:rsidR="00E849BF" w:rsidRPr="00365D6C">
        <w:rPr>
          <w:lang w:val="en-US" w:bidi="ar-SA"/>
        </w:rPr>
        <w:t>deaths</w:t>
      </w:r>
      <w:r w:rsidRPr="00365D6C">
        <w:rPr>
          <w:lang w:val="en-US" w:bidi="ar-SA"/>
        </w:rPr>
        <w:t xml:space="preserve"> prior to scheduled termination. One male rat in the</w:t>
      </w:r>
      <w:r w:rsidR="00E849BF" w:rsidRPr="00365D6C">
        <w:rPr>
          <w:lang w:val="en-US" w:bidi="ar-SA"/>
        </w:rPr>
        <w:t xml:space="preserve"> 1.0</w:t>
      </w:r>
      <w:r w:rsidRPr="00365D6C">
        <w:rPr>
          <w:lang w:val="en-US" w:bidi="ar-SA"/>
        </w:rPr>
        <w:t xml:space="preserve"> mL/kg bw/day group was killed</w:t>
      </w:r>
      <w:r w:rsidR="00E849BF" w:rsidRPr="00365D6C">
        <w:rPr>
          <w:lang w:val="en-US" w:bidi="ar-SA"/>
        </w:rPr>
        <w:t xml:space="preserve"> in Week 12, due to limited use of a </w:t>
      </w:r>
      <w:r w:rsidR="00365D6C" w:rsidRPr="00365D6C">
        <w:rPr>
          <w:lang w:val="en-US" w:bidi="ar-SA"/>
        </w:rPr>
        <w:t>hind limb</w:t>
      </w:r>
      <w:r w:rsidR="00E849BF" w:rsidRPr="00365D6C">
        <w:rPr>
          <w:lang w:val="en-US" w:bidi="ar-SA"/>
        </w:rPr>
        <w:t xml:space="preserve">. Assessment of in-life, macroscopic and microscopic data from this rat did not reveal any </w:t>
      </w:r>
      <w:r w:rsidR="00D34412">
        <w:rPr>
          <w:lang w:val="en-US" w:bidi="ar-SA"/>
        </w:rPr>
        <w:t xml:space="preserve">findings associated with </w:t>
      </w:r>
      <w:r w:rsidR="00E849BF" w:rsidRPr="00365D6C">
        <w:rPr>
          <w:lang w:val="en-US" w:bidi="ar-SA"/>
        </w:rPr>
        <w:t xml:space="preserve">treatment. </w:t>
      </w:r>
      <w:r w:rsidRPr="00365D6C">
        <w:rPr>
          <w:lang w:val="en-US" w:bidi="ar-SA"/>
        </w:rPr>
        <w:t>Treatment with glucoamylase had no e</w:t>
      </w:r>
      <w:r w:rsidR="0076515D">
        <w:rPr>
          <w:lang w:val="en-US" w:bidi="ar-SA"/>
        </w:rPr>
        <w:t xml:space="preserve">ffects on clinical observations, </w:t>
      </w:r>
      <w:r w:rsidR="00E849BF" w:rsidRPr="00365D6C">
        <w:rPr>
          <w:lang w:val="en-US" w:bidi="ar-SA"/>
        </w:rPr>
        <w:t xml:space="preserve">behaviour </w:t>
      </w:r>
      <w:r w:rsidRPr="00365D6C">
        <w:rPr>
          <w:lang w:val="en-US" w:bidi="ar-SA"/>
        </w:rPr>
        <w:t xml:space="preserve">in an arena, sensory reactivity tests, grip strength, motor activity </w:t>
      </w:r>
      <w:r w:rsidR="0076515D">
        <w:rPr>
          <w:lang w:val="en-US" w:bidi="ar-SA"/>
        </w:rPr>
        <w:t>measured</w:t>
      </w:r>
      <w:r w:rsidRPr="00365D6C">
        <w:rPr>
          <w:lang w:val="en-US" w:bidi="ar-SA"/>
        </w:rPr>
        <w:t>, bodyweights</w:t>
      </w:r>
      <w:r w:rsidR="0076515D">
        <w:rPr>
          <w:lang w:val="en-US" w:bidi="ar-SA"/>
        </w:rPr>
        <w:t xml:space="preserve"> </w:t>
      </w:r>
      <w:r w:rsidRPr="00365D6C">
        <w:rPr>
          <w:lang w:val="en-US" w:bidi="ar-SA"/>
        </w:rPr>
        <w:t xml:space="preserve">gains, food consumption, water consumption, ophthalmic findings, haematology, organ weights or findings on gross necropsy. </w:t>
      </w:r>
      <w:r w:rsidR="008A787F">
        <w:rPr>
          <w:lang w:val="en-US" w:bidi="ar-SA"/>
        </w:rPr>
        <w:t>Week 13</w:t>
      </w:r>
      <w:r w:rsidR="00A7002F">
        <w:rPr>
          <w:lang w:val="en-US" w:bidi="ar-SA"/>
        </w:rPr>
        <w:t xml:space="preserve"> blood chemistry investigation showed a</w:t>
      </w:r>
      <w:r w:rsidR="008A787F">
        <w:rPr>
          <w:lang w:val="en-US" w:bidi="ar-SA"/>
        </w:rPr>
        <w:t xml:space="preserve"> slightly higher than control mean aspartate amino-transferase valu</w:t>
      </w:r>
      <w:r w:rsidR="00EF6C34">
        <w:rPr>
          <w:lang w:val="en-US" w:bidi="ar-SA"/>
        </w:rPr>
        <w:t xml:space="preserve">e for males at 10 mL/kg bw/day. The study director commented that </w:t>
      </w:r>
      <w:r w:rsidR="00375551">
        <w:rPr>
          <w:lang w:val="en-US" w:bidi="ar-SA"/>
        </w:rPr>
        <w:t xml:space="preserve">the differences from control was mainly attributable to </w:t>
      </w:r>
      <w:r w:rsidR="00EF6C34">
        <w:rPr>
          <w:lang w:val="en-US" w:bidi="ar-SA"/>
        </w:rPr>
        <w:t>three individual ma</w:t>
      </w:r>
      <w:r w:rsidR="00EC0AC3">
        <w:rPr>
          <w:lang w:val="en-US" w:bidi="ar-SA"/>
        </w:rPr>
        <w:t>les at 1</w:t>
      </w:r>
      <w:r w:rsidR="00EF6C34">
        <w:rPr>
          <w:lang w:val="en-US" w:bidi="ar-SA"/>
        </w:rPr>
        <w:t>0 mL/kg bw/day</w:t>
      </w:r>
      <w:r w:rsidR="00375551">
        <w:rPr>
          <w:lang w:val="en-US" w:bidi="ar-SA"/>
        </w:rPr>
        <w:t xml:space="preserve"> which </w:t>
      </w:r>
      <w:r w:rsidR="00EF6C34">
        <w:rPr>
          <w:lang w:val="en-US" w:bidi="ar-SA"/>
        </w:rPr>
        <w:t>showed aspartate amino-transferase values above the concurrent control range</w:t>
      </w:r>
      <w:r w:rsidR="00375551">
        <w:rPr>
          <w:lang w:val="en-US" w:bidi="ar-SA"/>
        </w:rPr>
        <w:t>. The study director further commented t</w:t>
      </w:r>
      <w:r w:rsidR="00EF6C34">
        <w:rPr>
          <w:lang w:val="en-US" w:bidi="ar-SA"/>
        </w:rPr>
        <w:t xml:space="preserve">hat all values for males at </w:t>
      </w:r>
      <w:r w:rsidR="00EC0AC3">
        <w:rPr>
          <w:lang w:val="en-US" w:bidi="ar-SA"/>
        </w:rPr>
        <w:t>1</w:t>
      </w:r>
      <w:r w:rsidR="00375551">
        <w:rPr>
          <w:lang w:val="en-US" w:bidi="ar-SA"/>
        </w:rPr>
        <w:t xml:space="preserve">0 mL/kg bw/day </w:t>
      </w:r>
      <w:r w:rsidR="00EF6C34" w:rsidRPr="00FD7139">
        <w:rPr>
          <w:lang w:val="en-US" w:bidi="ar-SA"/>
        </w:rPr>
        <w:t>were within the background data limits</w:t>
      </w:r>
      <w:r w:rsidR="00E40A87" w:rsidRPr="00FD7139">
        <w:rPr>
          <w:lang w:val="en-US" w:bidi="ar-SA"/>
        </w:rPr>
        <w:t>, (</w:t>
      </w:r>
      <w:r w:rsidR="00375551">
        <w:rPr>
          <w:lang w:val="en-US" w:bidi="ar-SA"/>
        </w:rPr>
        <w:t xml:space="preserve">this is an </w:t>
      </w:r>
      <w:r w:rsidR="00E40A87" w:rsidRPr="00FD7139">
        <w:rPr>
          <w:lang w:val="en-US" w:bidi="ar-SA"/>
        </w:rPr>
        <w:t xml:space="preserve">incorrect statement as the </w:t>
      </w:r>
      <w:r w:rsidR="00EF6C34" w:rsidRPr="00FD7139">
        <w:rPr>
          <w:lang w:val="en-US" w:bidi="ar-SA"/>
        </w:rPr>
        <w:t>individual value for one of the males (No.4</w:t>
      </w:r>
      <w:r w:rsidR="00375551">
        <w:rPr>
          <w:lang w:val="en-US" w:bidi="ar-SA"/>
        </w:rPr>
        <w:t>)</w:t>
      </w:r>
      <w:r w:rsidR="005466AE">
        <w:rPr>
          <w:lang w:val="en-US" w:bidi="ar-SA"/>
        </w:rPr>
        <w:t xml:space="preserve"> was</w:t>
      </w:r>
      <w:r w:rsidR="00EF6C34" w:rsidRPr="00FD7139">
        <w:rPr>
          <w:lang w:val="en-US" w:bidi="ar-SA"/>
        </w:rPr>
        <w:t xml:space="preserve"> 118 U/L, whereas the highest background data value quoted is 98 U/L</w:t>
      </w:r>
      <w:r w:rsidR="005466AE">
        <w:rPr>
          <w:lang w:val="en-US" w:bidi="ar-SA"/>
        </w:rPr>
        <w:t xml:space="preserve"> (mean 75.9 with SD 5.60)</w:t>
      </w:r>
      <w:r w:rsidR="00E40A87" w:rsidRPr="00FD7139">
        <w:rPr>
          <w:lang w:val="en-US" w:bidi="ar-SA"/>
        </w:rPr>
        <w:t xml:space="preserve">). </w:t>
      </w:r>
      <w:r w:rsidR="007437D0">
        <w:rPr>
          <w:lang w:val="en-US" w:bidi="ar-SA"/>
        </w:rPr>
        <w:t>The elevated</w:t>
      </w:r>
      <w:r w:rsidR="007437D0" w:rsidRPr="00171704">
        <w:rPr>
          <w:lang w:val="en-US" w:bidi="ar-SA"/>
        </w:rPr>
        <w:t xml:space="preserve"> </w:t>
      </w:r>
      <w:r w:rsidR="007437D0">
        <w:rPr>
          <w:lang w:val="en-US" w:bidi="ar-SA"/>
        </w:rPr>
        <w:t xml:space="preserve">aspartate amino-transferase levels noted for males at 10 mL/kg bw/day are considered most likely to be associated with the heart changes discussed below. </w:t>
      </w:r>
      <w:r w:rsidR="00375551">
        <w:rPr>
          <w:lang w:val="en-US" w:bidi="ar-SA"/>
        </w:rPr>
        <w:t xml:space="preserve">Similar changes </w:t>
      </w:r>
      <w:r w:rsidR="0076515D">
        <w:rPr>
          <w:lang w:val="en-US" w:bidi="ar-SA"/>
        </w:rPr>
        <w:t xml:space="preserve">from controls, </w:t>
      </w:r>
      <w:r w:rsidR="00375551">
        <w:rPr>
          <w:lang w:val="en-US" w:bidi="ar-SA"/>
        </w:rPr>
        <w:t xml:space="preserve">in aspartate amino-transferase levels were not evident for </w:t>
      </w:r>
      <w:r w:rsidR="00F462CD">
        <w:rPr>
          <w:lang w:val="en-US" w:bidi="ar-SA"/>
        </w:rPr>
        <w:t xml:space="preserve">males at 1.0 or 3.3 mL/kg bw/day or </w:t>
      </w:r>
      <w:r w:rsidR="00375551">
        <w:rPr>
          <w:lang w:val="en-US" w:bidi="ar-SA"/>
        </w:rPr>
        <w:t xml:space="preserve">any treated female group.  </w:t>
      </w:r>
    </w:p>
    <w:p w14:paraId="1D1C32E6" w14:textId="77777777" w:rsidR="0076408E" w:rsidRDefault="0076408E" w:rsidP="00F43DAD">
      <w:pPr>
        <w:rPr>
          <w:lang w:val="en-US" w:bidi="ar-SA"/>
        </w:rPr>
      </w:pPr>
    </w:p>
    <w:p w14:paraId="0FBFBA00" w14:textId="77777777" w:rsidR="00B03188" w:rsidRDefault="00375551" w:rsidP="00F43DAD">
      <w:pPr>
        <w:rPr>
          <w:lang w:val="en-US" w:bidi="ar-SA"/>
        </w:rPr>
      </w:pPr>
      <w:r>
        <w:rPr>
          <w:lang w:val="en-US" w:bidi="ar-SA"/>
        </w:rPr>
        <w:t>Treatment related m</w:t>
      </w:r>
      <w:r w:rsidR="00A9718C">
        <w:rPr>
          <w:lang w:val="en-US" w:bidi="ar-SA"/>
        </w:rPr>
        <w:t xml:space="preserve">icroscopic </w:t>
      </w:r>
      <w:r>
        <w:rPr>
          <w:lang w:val="en-US" w:bidi="ar-SA"/>
        </w:rPr>
        <w:t>changes were co</w:t>
      </w:r>
      <w:r w:rsidR="00EC0AC3">
        <w:rPr>
          <w:lang w:val="en-US" w:bidi="ar-SA"/>
        </w:rPr>
        <w:t>nfined to males at 10</w:t>
      </w:r>
      <w:r>
        <w:rPr>
          <w:lang w:val="en-US" w:bidi="ar-SA"/>
        </w:rPr>
        <w:t xml:space="preserve"> mL/kg bw/day and consisted of changes in the heart and kidneys. </w:t>
      </w:r>
      <w:r w:rsidR="00EC0AC3">
        <w:rPr>
          <w:lang w:val="en-US" w:bidi="ar-SA"/>
        </w:rPr>
        <w:t xml:space="preserve">Multifocal </w:t>
      </w:r>
      <w:r w:rsidR="00A9718C">
        <w:rPr>
          <w:lang w:val="en-US" w:bidi="ar-SA"/>
        </w:rPr>
        <w:t>myocardial inflammation/</w:t>
      </w:r>
    </w:p>
    <w:p w14:paraId="41CCACD5" w14:textId="72BCEDEE" w:rsidR="003C19AB" w:rsidRDefault="00A9718C" w:rsidP="00F43DAD">
      <w:pPr>
        <w:rPr>
          <w:lang w:val="en-US" w:bidi="ar-SA"/>
        </w:rPr>
      </w:pPr>
      <w:r>
        <w:rPr>
          <w:lang w:val="en-US" w:bidi="ar-SA"/>
        </w:rPr>
        <w:t>degeneration in the he</w:t>
      </w:r>
      <w:r w:rsidR="00EC0AC3">
        <w:rPr>
          <w:lang w:val="en-US" w:bidi="ar-SA"/>
        </w:rPr>
        <w:t xml:space="preserve">art was recorded for four males (minimal degree in three animals and slight in one) </w:t>
      </w:r>
      <w:r>
        <w:rPr>
          <w:lang w:val="en-US" w:bidi="ar-SA"/>
        </w:rPr>
        <w:t>at 10 mL/kg bw/day,</w:t>
      </w:r>
      <w:r w:rsidR="00EC0AC3">
        <w:rPr>
          <w:lang w:val="en-US" w:bidi="ar-SA"/>
        </w:rPr>
        <w:t xml:space="preserve"> with a further male at this dosage showing the same change</w:t>
      </w:r>
      <w:r w:rsidR="000F58C5">
        <w:rPr>
          <w:lang w:val="en-US" w:bidi="ar-SA"/>
        </w:rPr>
        <w:t xml:space="preserve"> but </w:t>
      </w:r>
      <w:r w:rsidR="00EC0AC3">
        <w:rPr>
          <w:lang w:val="en-US" w:bidi="ar-SA"/>
        </w:rPr>
        <w:t>fo</w:t>
      </w:r>
      <w:r w:rsidR="0076515D">
        <w:rPr>
          <w:lang w:val="en-US" w:bidi="ar-SA"/>
        </w:rPr>
        <w:t xml:space="preserve">cal (minimal). The same </w:t>
      </w:r>
      <w:r w:rsidR="00FC45AB">
        <w:rPr>
          <w:lang w:val="en-US" w:bidi="ar-SA"/>
        </w:rPr>
        <w:t xml:space="preserve">heart </w:t>
      </w:r>
      <w:r w:rsidR="00C0297D">
        <w:rPr>
          <w:lang w:val="en-US" w:bidi="ar-SA"/>
        </w:rPr>
        <w:t>finding</w:t>
      </w:r>
      <w:r w:rsidR="00EC0AC3">
        <w:rPr>
          <w:lang w:val="en-US" w:bidi="ar-SA"/>
        </w:rPr>
        <w:t xml:space="preserve"> was noted in three male controls but limite</w:t>
      </w:r>
      <w:r w:rsidR="000F58C5">
        <w:rPr>
          <w:lang w:val="en-US" w:bidi="ar-SA"/>
        </w:rPr>
        <w:t xml:space="preserve">d to focal and </w:t>
      </w:r>
      <w:r w:rsidR="00EC0AC3">
        <w:rPr>
          <w:lang w:val="en-US" w:bidi="ar-SA"/>
        </w:rPr>
        <w:t xml:space="preserve">minimal. </w:t>
      </w:r>
      <w:r w:rsidR="00C0297D">
        <w:rPr>
          <w:lang w:val="en-US" w:bidi="ar-SA"/>
        </w:rPr>
        <w:t>T</w:t>
      </w:r>
      <w:r w:rsidR="00AC3F3C">
        <w:rPr>
          <w:lang w:val="en-US" w:bidi="ar-SA"/>
        </w:rPr>
        <w:t>he st</w:t>
      </w:r>
      <w:r w:rsidR="0076515D">
        <w:rPr>
          <w:lang w:val="en-US" w:bidi="ar-SA"/>
        </w:rPr>
        <w:t>udy director commented that</w:t>
      </w:r>
      <w:r w:rsidR="0076408E">
        <w:rPr>
          <w:lang w:val="en-US" w:bidi="ar-SA"/>
        </w:rPr>
        <w:t xml:space="preserve"> the</w:t>
      </w:r>
      <w:r w:rsidR="0076515D">
        <w:rPr>
          <w:lang w:val="en-US" w:bidi="ar-SA"/>
        </w:rPr>
        <w:t xml:space="preserve"> incidence </w:t>
      </w:r>
      <w:r w:rsidR="0076408E">
        <w:rPr>
          <w:lang w:val="en-US" w:bidi="ar-SA"/>
        </w:rPr>
        <w:t>for</w:t>
      </w:r>
      <w:r w:rsidR="0089034F">
        <w:rPr>
          <w:lang w:val="en-US" w:bidi="ar-SA"/>
        </w:rPr>
        <w:t xml:space="preserve"> males at 10 mL/kg bw/day </w:t>
      </w:r>
      <w:r w:rsidR="0076515D">
        <w:rPr>
          <w:lang w:val="en-US" w:bidi="ar-SA"/>
        </w:rPr>
        <w:t xml:space="preserve">was </w:t>
      </w:r>
      <w:r w:rsidR="0089034F">
        <w:rPr>
          <w:lang w:val="en-US" w:bidi="ar-SA"/>
        </w:rPr>
        <w:t xml:space="preserve">within </w:t>
      </w:r>
      <w:r w:rsidR="00D355B9">
        <w:rPr>
          <w:lang w:val="en-US" w:bidi="ar-SA"/>
        </w:rPr>
        <w:t xml:space="preserve">the </w:t>
      </w:r>
      <w:r w:rsidR="0089034F">
        <w:rPr>
          <w:lang w:val="en-US" w:bidi="ar-SA"/>
        </w:rPr>
        <w:t>background data</w:t>
      </w:r>
      <w:r w:rsidR="00EC0AC3">
        <w:rPr>
          <w:lang w:val="en-US" w:bidi="ar-SA"/>
        </w:rPr>
        <w:t xml:space="preserve"> </w:t>
      </w:r>
      <w:r w:rsidR="00D355B9">
        <w:rPr>
          <w:lang w:val="en-US" w:bidi="ar-SA"/>
        </w:rPr>
        <w:t xml:space="preserve">range, </w:t>
      </w:r>
      <w:r w:rsidR="0076515D">
        <w:rPr>
          <w:lang w:val="en-US" w:bidi="ar-SA"/>
        </w:rPr>
        <w:t xml:space="preserve">and that </w:t>
      </w:r>
      <w:r w:rsidR="00D355B9">
        <w:rPr>
          <w:lang w:val="en-US" w:bidi="ar-SA"/>
        </w:rPr>
        <w:t xml:space="preserve">the multifocal nature </w:t>
      </w:r>
      <w:r w:rsidR="00620DCF">
        <w:rPr>
          <w:lang w:val="en-US" w:bidi="ar-SA"/>
        </w:rPr>
        <w:t>may have arisen due to an exacerbation of a background finding</w:t>
      </w:r>
      <w:r w:rsidR="0089034F">
        <w:rPr>
          <w:lang w:val="en-US" w:bidi="ar-SA"/>
        </w:rPr>
        <w:t xml:space="preserve">. </w:t>
      </w:r>
      <w:r w:rsidR="00B732F0">
        <w:rPr>
          <w:lang w:val="en-US" w:bidi="ar-SA"/>
        </w:rPr>
        <w:t>The b</w:t>
      </w:r>
      <w:r w:rsidR="0089034F">
        <w:rPr>
          <w:lang w:val="en-US" w:bidi="ar-SA"/>
        </w:rPr>
        <w:t>ackground data presen</w:t>
      </w:r>
      <w:r w:rsidR="00105CFB">
        <w:rPr>
          <w:lang w:val="en-US" w:bidi="ar-SA"/>
        </w:rPr>
        <w:t xml:space="preserve">ted were not a direct match </w:t>
      </w:r>
      <w:r w:rsidR="0076515D">
        <w:rPr>
          <w:lang w:val="en-US" w:bidi="ar-SA"/>
        </w:rPr>
        <w:t xml:space="preserve">to </w:t>
      </w:r>
      <w:r w:rsidR="00105CFB">
        <w:rPr>
          <w:lang w:val="en-US" w:bidi="ar-SA"/>
        </w:rPr>
        <w:t xml:space="preserve">the </w:t>
      </w:r>
      <w:r w:rsidR="00D355B9">
        <w:rPr>
          <w:lang w:val="en-US" w:bidi="ar-SA"/>
        </w:rPr>
        <w:t xml:space="preserve">study </w:t>
      </w:r>
      <w:r w:rsidR="0076515D">
        <w:rPr>
          <w:lang w:val="en-US" w:bidi="ar-SA"/>
        </w:rPr>
        <w:t>findings</w:t>
      </w:r>
      <w:r w:rsidR="00105CFB">
        <w:rPr>
          <w:lang w:val="en-US" w:bidi="ar-SA"/>
        </w:rPr>
        <w:t xml:space="preserve">, i.e. in the study the finding was reported as </w:t>
      </w:r>
      <w:r w:rsidR="00D355B9">
        <w:rPr>
          <w:lang w:val="en-US" w:bidi="ar-SA"/>
        </w:rPr>
        <w:t xml:space="preserve">combined </w:t>
      </w:r>
      <w:r w:rsidR="00105CFB">
        <w:rPr>
          <w:lang w:val="en-US" w:bidi="ar-SA"/>
        </w:rPr>
        <w:t xml:space="preserve">myocardial inflammation/degeneration, whereas the background data reports </w:t>
      </w:r>
      <w:r w:rsidR="0096085E">
        <w:rPr>
          <w:lang w:val="en-US" w:bidi="ar-SA"/>
        </w:rPr>
        <w:t xml:space="preserve">as separate entries </w:t>
      </w:r>
      <w:r w:rsidR="00105CFB">
        <w:rPr>
          <w:lang w:val="en-US" w:bidi="ar-SA"/>
        </w:rPr>
        <w:t>“myocardial inflammation” and “cardiomyopathy”</w:t>
      </w:r>
      <w:r w:rsidR="00D355B9">
        <w:rPr>
          <w:lang w:val="en-US" w:bidi="ar-SA"/>
        </w:rPr>
        <w:t>. I</w:t>
      </w:r>
      <w:r w:rsidR="00492E39">
        <w:rPr>
          <w:lang w:val="en-US" w:bidi="ar-SA"/>
        </w:rPr>
        <w:t xml:space="preserve">n addition </w:t>
      </w:r>
      <w:r w:rsidR="00D355B9">
        <w:rPr>
          <w:lang w:val="en-US" w:bidi="ar-SA"/>
        </w:rPr>
        <w:t>the background data do</w:t>
      </w:r>
      <w:r w:rsidR="0096085E">
        <w:rPr>
          <w:lang w:val="en-US" w:bidi="ar-SA"/>
        </w:rPr>
        <w:t xml:space="preserve">es not provide any grading information e.g. </w:t>
      </w:r>
      <w:r w:rsidR="00620DCF">
        <w:rPr>
          <w:lang w:val="en-US" w:bidi="ar-SA"/>
        </w:rPr>
        <w:t>focal and multifocal</w:t>
      </w:r>
      <w:r w:rsidR="00492E39">
        <w:rPr>
          <w:lang w:val="en-US" w:bidi="ar-SA"/>
        </w:rPr>
        <w:t xml:space="preserve">. The study director makes </w:t>
      </w:r>
      <w:r w:rsidR="00105CFB">
        <w:rPr>
          <w:lang w:val="en-US" w:bidi="ar-SA"/>
        </w:rPr>
        <w:t>no acknowledgment/clarification of th</w:t>
      </w:r>
      <w:r w:rsidR="00492E39">
        <w:rPr>
          <w:lang w:val="en-US" w:bidi="ar-SA"/>
        </w:rPr>
        <w:t>ese</w:t>
      </w:r>
      <w:r w:rsidR="00105CFB">
        <w:rPr>
          <w:lang w:val="en-US" w:bidi="ar-SA"/>
        </w:rPr>
        <w:t xml:space="preserve"> </w:t>
      </w:r>
      <w:r w:rsidR="00492E39">
        <w:rPr>
          <w:lang w:val="en-US" w:bidi="ar-SA"/>
        </w:rPr>
        <w:t xml:space="preserve">discrepancies. </w:t>
      </w:r>
      <w:r w:rsidR="006C4D7B">
        <w:rPr>
          <w:lang w:val="en-US" w:bidi="ar-SA"/>
        </w:rPr>
        <w:t xml:space="preserve">The differences in data presentation between the study results section and the background data </w:t>
      </w:r>
      <w:r w:rsidR="00620DCF">
        <w:rPr>
          <w:lang w:val="en-US" w:bidi="ar-SA"/>
        </w:rPr>
        <w:t>m</w:t>
      </w:r>
      <w:r w:rsidR="00314310">
        <w:rPr>
          <w:lang w:val="en-US" w:bidi="ar-SA"/>
        </w:rPr>
        <w:t xml:space="preserve">akes it difficult to </w:t>
      </w:r>
      <w:r w:rsidR="00806FAA">
        <w:rPr>
          <w:lang w:val="en-US" w:bidi="ar-SA"/>
        </w:rPr>
        <w:t xml:space="preserve">judge </w:t>
      </w:r>
      <w:r w:rsidR="00FC45AB">
        <w:rPr>
          <w:lang w:val="en-US" w:bidi="ar-SA"/>
        </w:rPr>
        <w:t>whether the heart findings</w:t>
      </w:r>
      <w:r w:rsidR="00806FAA">
        <w:rPr>
          <w:lang w:val="en-US" w:bidi="ar-SA"/>
        </w:rPr>
        <w:t xml:space="preserve"> are consistent with background findings, which in-turn impacts on the assessment of </w:t>
      </w:r>
      <w:r w:rsidR="00D355B9">
        <w:rPr>
          <w:lang w:val="en-US" w:bidi="ar-SA"/>
        </w:rPr>
        <w:t xml:space="preserve">toxicological importance of the </w:t>
      </w:r>
      <w:r w:rsidR="00620DCF">
        <w:rPr>
          <w:lang w:val="en-US" w:bidi="ar-SA"/>
        </w:rPr>
        <w:t>h</w:t>
      </w:r>
      <w:r w:rsidR="00FC45AB">
        <w:rPr>
          <w:lang w:val="en-US" w:bidi="ar-SA"/>
        </w:rPr>
        <w:t xml:space="preserve">eart </w:t>
      </w:r>
      <w:r w:rsidR="00C0297D">
        <w:rPr>
          <w:lang w:val="en-US" w:bidi="ar-SA"/>
        </w:rPr>
        <w:t xml:space="preserve">changes </w:t>
      </w:r>
      <w:r w:rsidR="00D355B9">
        <w:rPr>
          <w:lang w:val="en-US" w:bidi="ar-SA"/>
        </w:rPr>
        <w:t xml:space="preserve">seen </w:t>
      </w:r>
      <w:r w:rsidR="00620DCF">
        <w:rPr>
          <w:lang w:val="en-US" w:bidi="ar-SA"/>
        </w:rPr>
        <w:t>in males at 10 mL/kg bw/day</w:t>
      </w:r>
      <w:r w:rsidR="00D355B9">
        <w:rPr>
          <w:lang w:val="en-US" w:bidi="ar-SA"/>
        </w:rPr>
        <w:t xml:space="preserve">. </w:t>
      </w:r>
      <w:r w:rsidR="00620DCF">
        <w:rPr>
          <w:lang w:val="en-US" w:bidi="ar-SA"/>
        </w:rPr>
        <w:t>In the report Discussion, the study director comments they are considered to be of “little toxicological significance”, which indicates they are adverse, albeit minor in deg</w:t>
      </w:r>
      <w:r w:rsidR="00314310">
        <w:rPr>
          <w:lang w:val="en-US" w:bidi="ar-SA"/>
        </w:rPr>
        <w:t>ree. However the study director later concludes “Since none of the findings in this study was considered of any toxicological importance, the no observed adverse effect level (NOAEL) in this study is considered to be 10 m</w:t>
      </w:r>
      <w:r w:rsidR="00C57416">
        <w:rPr>
          <w:lang w:val="en-US" w:bidi="ar-SA"/>
        </w:rPr>
        <w:t>L/kg/day (equivalent to 1.135 g/</w:t>
      </w:r>
      <w:r w:rsidR="00314310">
        <w:rPr>
          <w:lang w:val="en-US" w:bidi="ar-SA"/>
        </w:rPr>
        <w:t>kg</w:t>
      </w:r>
      <w:r w:rsidR="00C57416">
        <w:rPr>
          <w:lang w:val="en-US" w:bidi="ar-SA"/>
        </w:rPr>
        <w:t xml:space="preserve"> bw</w:t>
      </w:r>
      <w:r w:rsidR="00314310">
        <w:rPr>
          <w:lang w:val="en-US" w:bidi="ar-SA"/>
        </w:rPr>
        <w:t xml:space="preserve">/day </w:t>
      </w:r>
      <w:r w:rsidR="00732E95">
        <w:rPr>
          <w:lang w:val="en-US" w:bidi="ar-SA"/>
        </w:rPr>
        <w:t>TOS</w:t>
      </w:r>
      <w:r w:rsidR="00314310">
        <w:rPr>
          <w:lang w:val="en-US" w:bidi="ar-SA"/>
        </w:rPr>
        <w:t>).</w:t>
      </w:r>
      <w:r w:rsidR="00B732F0">
        <w:rPr>
          <w:lang w:val="en-US" w:bidi="ar-SA"/>
        </w:rPr>
        <w:t xml:space="preserve">” </w:t>
      </w:r>
      <w:r w:rsidR="00E863E7">
        <w:rPr>
          <w:lang w:val="en-US" w:bidi="ar-SA"/>
        </w:rPr>
        <w:t xml:space="preserve">Of the three aforementioned males at 10 mL/kg </w:t>
      </w:r>
      <w:r w:rsidR="008E7BAF">
        <w:rPr>
          <w:lang w:val="en-US" w:bidi="ar-SA"/>
        </w:rPr>
        <w:t>bw/day</w:t>
      </w:r>
      <w:r w:rsidR="00E863E7">
        <w:rPr>
          <w:lang w:val="en-US" w:bidi="ar-SA"/>
        </w:rPr>
        <w:t xml:space="preserve"> which had elevated aspartate amino-transfer</w:t>
      </w:r>
      <w:r w:rsidR="00FC45AB">
        <w:rPr>
          <w:lang w:val="en-US" w:bidi="ar-SA"/>
        </w:rPr>
        <w:t>ase levels two had histopathological heart changes</w:t>
      </w:r>
      <w:r w:rsidR="00E863E7">
        <w:rPr>
          <w:lang w:val="en-US" w:bidi="ar-SA"/>
        </w:rPr>
        <w:t>,</w:t>
      </w:r>
      <w:r w:rsidR="00586D9C">
        <w:rPr>
          <w:lang w:val="en-US" w:bidi="ar-SA"/>
        </w:rPr>
        <w:t xml:space="preserve"> multifocal in extent,</w:t>
      </w:r>
      <w:r w:rsidR="00E863E7">
        <w:rPr>
          <w:lang w:val="en-US" w:bidi="ar-SA"/>
        </w:rPr>
        <w:t xml:space="preserve"> indicating a possible correlation. </w:t>
      </w:r>
      <w:r w:rsidR="000F58C5">
        <w:rPr>
          <w:lang w:val="en-US" w:bidi="ar-SA"/>
        </w:rPr>
        <w:t xml:space="preserve">Control males with heart lesions did not show any corresponding effects on aspartate amino-transferase levels. </w:t>
      </w:r>
      <w:r w:rsidR="009818B7">
        <w:rPr>
          <w:lang w:val="en-US" w:bidi="ar-SA"/>
        </w:rPr>
        <w:t xml:space="preserve">There was also some evidence of a correlation between individual heart weights and the presence of </w:t>
      </w:r>
      <w:r w:rsidR="00FC45AB">
        <w:rPr>
          <w:lang w:val="en-US" w:bidi="ar-SA"/>
        </w:rPr>
        <w:t>histopathological heart changes</w:t>
      </w:r>
      <w:r w:rsidR="005159E2">
        <w:rPr>
          <w:lang w:val="en-US" w:bidi="ar-SA"/>
        </w:rPr>
        <w:t>. T</w:t>
      </w:r>
      <w:r w:rsidR="009818B7">
        <w:rPr>
          <w:lang w:val="en-US" w:bidi="ar-SA"/>
        </w:rPr>
        <w:t>he three males at 10 mL/kg bw/day</w:t>
      </w:r>
      <w:r w:rsidR="00FC45AB">
        <w:rPr>
          <w:lang w:val="en-US" w:bidi="ar-SA"/>
        </w:rPr>
        <w:t xml:space="preserve"> </w:t>
      </w:r>
      <w:r w:rsidR="005159E2">
        <w:rPr>
          <w:lang w:val="en-US" w:bidi="ar-SA"/>
        </w:rPr>
        <w:t>and the three c</w:t>
      </w:r>
      <w:r w:rsidR="00FC45AB">
        <w:rPr>
          <w:lang w:val="en-US" w:bidi="ar-SA"/>
        </w:rPr>
        <w:t xml:space="preserve">ontrols with focal heart alterations </w:t>
      </w:r>
      <w:r w:rsidR="009818B7">
        <w:rPr>
          <w:lang w:val="en-US" w:bidi="ar-SA"/>
        </w:rPr>
        <w:t xml:space="preserve">had the highest heart weights </w:t>
      </w:r>
      <w:r w:rsidR="005159E2">
        <w:rPr>
          <w:lang w:val="en-US" w:bidi="ar-SA"/>
        </w:rPr>
        <w:t xml:space="preserve">within their respective </w:t>
      </w:r>
      <w:r w:rsidR="009818B7">
        <w:rPr>
          <w:lang w:val="en-US" w:bidi="ar-SA"/>
        </w:rPr>
        <w:t>group</w:t>
      </w:r>
      <w:r w:rsidR="005159E2">
        <w:rPr>
          <w:lang w:val="en-US" w:bidi="ar-SA"/>
        </w:rPr>
        <w:t>. As the v</w:t>
      </w:r>
      <w:r w:rsidR="009818B7">
        <w:rPr>
          <w:lang w:val="en-US" w:bidi="ar-SA"/>
        </w:rPr>
        <w:t xml:space="preserve">alues </w:t>
      </w:r>
      <w:r w:rsidR="005159E2">
        <w:rPr>
          <w:lang w:val="en-US" w:bidi="ar-SA"/>
        </w:rPr>
        <w:t>for the affected males at 1</w:t>
      </w:r>
      <w:r w:rsidR="00D355B9">
        <w:rPr>
          <w:lang w:val="en-US" w:bidi="ar-SA"/>
        </w:rPr>
        <w:t>0</w:t>
      </w:r>
      <w:r w:rsidR="005159E2">
        <w:rPr>
          <w:lang w:val="en-US" w:bidi="ar-SA"/>
        </w:rPr>
        <w:t xml:space="preserve"> mL/kg bw/day were </w:t>
      </w:r>
      <w:r w:rsidR="009818B7">
        <w:rPr>
          <w:lang w:val="en-US" w:bidi="ar-SA"/>
        </w:rPr>
        <w:t>higher than the highest concurrent control heart weight</w:t>
      </w:r>
      <w:r w:rsidR="005159E2">
        <w:rPr>
          <w:lang w:val="en-US" w:bidi="ar-SA"/>
        </w:rPr>
        <w:t xml:space="preserve"> (in the region of 6% higher) this provides support that the heart effects at 1</w:t>
      </w:r>
      <w:r w:rsidR="00D355B9">
        <w:rPr>
          <w:lang w:val="en-US" w:bidi="ar-SA"/>
        </w:rPr>
        <w:t>0</w:t>
      </w:r>
      <w:r w:rsidR="005159E2">
        <w:rPr>
          <w:lang w:val="en-US" w:bidi="ar-SA"/>
        </w:rPr>
        <w:t xml:space="preserve"> mL/kg bw/day are greater than expected from normal biological variation. </w:t>
      </w:r>
    </w:p>
    <w:p w14:paraId="29F0D2AB" w14:textId="77777777" w:rsidR="00C57416" w:rsidRDefault="00C57416" w:rsidP="00F43DAD">
      <w:pPr>
        <w:rPr>
          <w:lang w:val="en-US" w:bidi="ar-SA"/>
        </w:rPr>
      </w:pPr>
    </w:p>
    <w:p w14:paraId="7720F056" w14:textId="60A6276C" w:rsidR="0067272E" w:rsidRDefault="00C418D5" w:rsidP="00F43DAD">
      <w:pPr>
        <w:rPr>
          <w:lang w:val="en-US" w:bidi="ar-SA"/>
        </w:rPr>
      </w:pPr>
      <w:r w:rsidRPr="00586D9C">
        <w:rPr>
          <w:lang w:val="en-US" w:bidi="ar-SA"/>
        </w:rPr>
        <w:t xml:space="preserve">The lack of similar treatment-related </w:t>
      </w:r>
      <w:r w:rsidR="00FC45AB" w:rsidRPr="00586D9C">
        <w:rPr>
          <w:lang w:val="en-US" w:bidi="ar-SA"/>
        </w:rPr>
        <w:t>heart findings</w:t>
      </w:r>
      <w:r w:rsidRPr="00586D9C">
        <w:rPr>
          <w:lang w:val="en-US" w:bidi="ar-SA"/>
        </w:rPr>
        <w:t xml:space="preserve"> in females on this study is consistent with naturally occurring spontaneous progressive cardiomyopathy in rats, which </w:t>
      </w:r>
      <w:r w:rsidR="00892376" w:rsidRPr="00586D9C">
        <w:rPr>
          <w:lang w:val="en-US" w:bidi="ar-SA"/>
        </w:rPr>
        <w:t xml:space="preserve">is reported to have </w:t>
      </w:r>
      <w:r w:rsidRPr="00586D9C">
        <w:rPr>
          <w:lang w:val="en-US" w:bidi="ar-SA"/>
        </w:rPr>
        <w:t>a higher incidence in males than females (</w:t>
      </w:r>
      <w:r w:rsidR="007C131B" w:rsidRPr="00586D9C">
        <w:rPr>
          <w:lang w:val="en-US" w:bidi="ar-SA"/>
        </w:rPr>
        <w:t xml:space="preserve">Berridge </w:t>
      </w:r>
      <w:r w:rsidR="007C131B" w:rsidRPr="007F5F1F">
        <w:rPr>
          <w:lang w:val="en-US" w:bidi="ar-SA"/>
        </w:rPr>
        <w:t>et al</w:t>
      </w:r>
      <w:r w:rsidR="007F5F1F">
        <w:rPr>
          <w:lang w:val="en-US" w:bidi="ar-SA"/>
        </w:rPr>
        <w:t>.</w:t>
      </w:r>
      <w:r w:rsidR="007C131B" w:rsidRPr="00586D9C">
        <w:rPr>
          <w:i/>
          <w:lang w:val="en-US" w:bidi="ar-SA"/>
        </w:rPr>
        <w:t xml:space="preserve"> </w:t>
      </w:r>
      <w:r w:rsidR="007C131B" w:rsidRPr="00586D9C">
        <w:rPr>
          <w:lang w:val="en-US" w:bidi="ar-SA"/>
        </w:rPr>
        <w:t>2016</w:t>
      </w:r>
      <w:r w:rsidR="00AB20EE">
        <w:rPr>
          <w:lang w:val="en-US" w:bidi="ar-SA"/>
        </w:rPr>
        <w:t>;</w:t>
      </w:r>
      <w:r w:rsidR="007C131B" w:rsidRPr="00586D9C">
        <w:rPr>
          <w:lang w:val="en-US" w:bidi="ar-SA"/>
        </w:rPr>
        <w:t xml:space="preserve"> </w:t>
      </w:r>
      <w:r w:rsidRPr="00586D9C">
        <w:rPr>
          <w:lang w:val="en-US" w:bidi="ar-SA"/>
        </w:rPr>
        <w:t>Herman and Eldridge, 2019</w:t>
      </w:r>
      <w:r w:rsidR="00AB20EE">
        <w:rPr>
          <w:lang w:val="en-US" w:bidi="ar-SA"/>
        </w:rPr>
        <w:t>;</w:t>
      </w:r>
      <w:r w:rsidR="006D2243">
        <w:rPr>
          <w:lang w:val="en-US" w:bidi="ar-SA"/>
        </w:rPr>
        <w:t xml:space="preserve"> </w:t>
      </w:r>
      <w:r w:rsidR="00892376" w:rsidRPr="00586D9C">
        <w:rPr>
          <w:lang w:val="en-US" w:bidi="ar-SA"/>
        </w:rPr>
        <w:t xml:space="preserve">Jokinen </w:t>
      </w:r>
      <w:r w:rsidR="00892376" w:rsidRPr="007F5F1F">
        <w:rPr>
          <w:lang w:val="en-US" w:bidi="ar-SA"/>
        </w:rPr>
        <w:t>et al</w:t>
      </w:r>
      <w:r w:rsidR="007F5F1F">
        <w:rPr>
          <w:lang w:val="en-US" w:bidi="ar-SA"/>
        </w:rPr>
        <w:t>.</w:t>
      </w:r>
      <w:r w:rsidR="00892376" w:rsidRPr="00586D9C">
        <w:rPr>
          <w:lang w:val="en-US" w:bidi="ar-SA"/>
        </w:rPr>
        <w:t xml:space="preserve"> 2011</w:t>
      </w:r>
      <w:r w:rsidRPr="00586D9C">
        <w:rPr>
          <w:lang w:val="en-US" w:bidi="ar-SA"/>
        </w:rPr>
        <w:t>). In addition, the</w:t>
      </w:r>
      <w:r w:rsidR="00892376" w:rsidRPr="00586D9C">
        <w:rPr>
          <w:lang w:val="en-US" w:bidi="ar-SA"/>
        </w:rPr>
        <w:t xml:space="preserve">se authors reported onset of these lesions as early as three months of age. Herman and Eldridge state the most common sites of these </w:t>
      </w:r>
      <w:r w:rsidR="00FC45AB" w:rsidRPr="00586D9C">
        <w:rPr>
          <w:lang w:val="en-US" w:bidi="ar-SA"/>
        </w:rPr>
        <w:t xml:space="preserve">alterations are the left ventricle, </w:t>
      </w:r>
      <w:r w:rsidRPr="00586D9C">
        <w:rPr>
          <w:lang w:val="en-US" w:bidi="ar-SA"/>
        </w:rPr>
        <w:t>right ven</w:t>
      </w:r>
      <w:r w:rsidR="00FC45AB" w:rsidRPr="00586D9C">
        <w:rPr>
          <w:lang w:val="en-US" w:bidi="ar-SA"/>
        </w:rPr>
        <w:t>tricle</w:t>
      </w:r>
      <w:r w:rsidRPr="00586D9C">
        <w:rPr>
          <w:lang w:val="en-US" w:bidi="ar-SA"/>
        </w:rPr>
        <w:t xml:space="preserve"> and septum</w:t>
      </w:r>
      <w:r w:rsidR="00FC45AB" w:rsidRPr="00586D9C">
        <w:rPr>
          <w:lang w:val="en-US" w:bidi="ar-SA"/>
        </w:rPr>
        <w:t xml:space="preserve">, again this is consistent with </w:t>
      </w:r>
      <w:r w:rsidR="00DE6ED0">
        <w:rPr>
          <w:lang w:val="en-US" w:bidi="ar-SA"/>
        </w:rPr>
        <w:t xml:space="preserve">the findings in </w:t>
      </w:r>
      <w:r w:rsidR="00FC45AB" w:rsidRPr="00586D9C">
        <w:rPr>
          <w:lang w:val="en-US" w:bidi="ar-SA"/>
        </w:rPr>
        <w:t>this</w:t>
      </w:r>
      <w:r w:rsidR="00586D9C">
        <w:rPr>
          <w:lang w:val="en-US" w:bidi="ar-SA"/>
        </w:rPr>
        <w:t xml:space="preserve"> study. Of the five males at 10 mL/kg bw/day and three Controls wi</w:t>
      </w:r>
      <w:r w:rsidR="007437D0">
        <w:rPr>
          <w:lang w:val="en-US" w:bidi="ar-SA"/>
        </w:rPr>
        <w:t>th reported heart changes, the change was seen in the ventricles. T</w:t>
      </w:r>
      <w:r w:rsidR="005F2393" w:rsidRPr="00586D9C">
        <w:rPr>
          <w:lang w:val="en-US" w:bidi="ar-SA"/>
        </w:rPr>
        <w:t xml:space="preserve">he absence of any reports of fibrosis in the hearts of </w:t>
      </w:r>
      <w:r w:rsidR="007437D0">
        <w:rPr>
          <w:lang w:val="en-US" w:bidi="ar-SA"/>
        </w:rPr>
        <w:t xml:space="preserve">affected </w:t>
      </w:r>
      <w:r w:rsidR="005F2393" w:rsidRPr="00586D9C">
        <w:rPr>
          <w:lang w:val="en-US" w:bidi="ar-SA"/>
        </w:rPr>
        <w:t>males indicates that the heart changes are at an early stage of the pattern of spontaneous progressive cardiomyopathy. The typical pattern of change begins with focal and multifocal myocyte degeneration and necrosis, with varying degrees of inflammation and interstitial cell infiltration, and ultimately fibrosis (</w:t>
      </w:r>
      <w:r w:rsidR="00AB20EE">
        <w:rPr>
          <w:lang w:val="en-US" w:bidi="ar-SA"/>
        </w:rPr>
        <w:t>Herman and Eldridge</w:t>
      </w:r>
      <w:r w:rsidR="0067272E" w:rsidRPr="00586D9C">
        <w:rPr>
          <w:lang w:val="en-US" w:bidi="ar-SA"/>
        </w:rPr>
        <w:t xml:space="preserve"> 2011). </w:t>
      </w:r>
    </w:p>
    <w:p w14:paraId="56D5EBEA" w14:textId="77777777" w:rsidR="00DE6ED0" w:rsidRPr="00586D9C" w:rsidRDefault="00DE6ED0" w:rsidP="00F43DAD">
      <w:pPr>
        <w:rPr>
          <w:lang w:val="en-US" w:bidi="ar-SA"/>
        </w:rPr>
      </w:pPr>
    </w:p>
    <w:p w14:paraId="68CF2150" w14:textId="65EA1123" w:rsidR="000F58C5" w:rsidRDefault="0067272E" w:rsidP="00F43DAD">
      <w:pPr>
        <w:rPr>
          <w:lang w:val="en-US" w:bidi="ar-SA"/>
        </w:rPr>
      </w:pPr>
      <w:r w:rsidRPr="00586D9C">
        <w:rPr>
          <w:lang w:val="en-US" w:bidi="ar-SA"/>
        </w:rPr>
        <w:t xml:space="preserve">The scientific literature </w:t>
      </w:r>
      <w:r w:rsidR="007437D0">
        <w:rPr>
          <w:lang w:val="en-US" w:bidi="ar-SA"/>
        </w:rPr>
        <w:t xml:space="preserve">cited </w:t>
      </w:r>
      <w:r w:rsidR="00DE6ED0">
        <w:rPr>
          <w:lang w:val="en-US" w:bidi="ar-SA"/>
        </w:rPr>
        <w:t xml:space="preserve">above </w:t>
      </w:r>
      <w:r w:rsidRPr="00586D9C">
        <w:rPr>
          <w:lang w:val="en-US" w:bidi="ar-SA"/>
        </w:rPr>
        <w:t>supports the conclusion that the heart changes in males at 10</w:t>
      </w:r>
      <w:r w:rsidR="00AB20EE">
        <w:rPr>
          <w:lang w:val="en-US" w:bidi="ar-SA"/>
        </w:rPr>
        <w:t> </w:t>
      </w:r>
      <w:r w:rsidRPr="00586D9C">
        <w:rPr>
          <w:lang w:val="en-US" w:bidi="ar-SA"/>
        </w:rPr>
        <w:t>mL/kg bw/day are most likely to be attributable to a spontaneous background change which treatment has slightly exacerbated</w:t>
      </w:r>
      <w:r w:rsidR="00171704">
        <w:rPr>
          <w:lang w:val="en-US" w:bidi="ar-SA"/>
        </w:rPr>
        <w:t>.</w:t>
      </w:r>
      <w:r w:rsidR="007437D0">
        <w:rPr>
          <w:lang w:val="en-US" w:bidi="ar-SA"/>
        </w:rPr>
        <w:t xml:space="preserve"> There was no evidence that the heart changes were adversely affecting the general health of the rats and </w:t>
      </w:r>
      <w:r w:rsidR="006F5687">
        <w:rPr>
          <w:lang w:val="en-US" w:bidi="ar-SA"/>
        </w:rPr>
        <w:t xml:space="preserve">although treatment-related </w:t>
      </w:r>
      <w:r w:rsidR="007437D0">
        <w:rPr>
          <w:lang w:val="en-US" w:bidi="ar-SA"/>
        </w:rPr>
        <w:t>were</w:t>
      </w:r>
      <w:r w:rsidR="006F5687">
        <w:rPr>
          <w:lang w:val="en-US" w:bidi="ar-SA"/>
        </w:rPr>
        <w:t xml:space="preserve"> not considered to be of a severity to </w:t>
      </w:r>
      <w:r w:rsidR="007437D0">
        <w:rPr>
          <w:lang w:val="en-US" w:bidi="ar-SA"/>
        </w:rPr>
        <w:t xml:space="preserve">class as adverse. </w:t>
      </w:r>
      <w:r w:rsidR="006F5687">
        <w:rPr>
          <w:lang w:val="en-US" w:bidi="ar-SA"/>
        </w:rPr>
        <w:t xml:space="preserve"> </w:t>
      </w:r>
    </w:p>
    <w:p w14:paraId="471D1A8C" w14:textId="77777777" w:rsidR="007437D0" w:rsidRDefault="007437D0" w:rsidP="00F43DAD">
      <w:pPr>
        <w:rPr>
          <w:lang w:val="en-US" w:bidi="ar-SA"/>
        </w:rPr>
      </w:pPr>
    </w:p>
    <w:p w14:paraId="639F35F7" w14:textId="227FA4BD" w:rsidR="00467F52" w:rsidRDefault="00467F52" w:rsidP="00F43DAD">
      <w:pPr>
        <w:rPr>
          <w:lang w:val="en-US" w:bidi="ar-SA"/>
        </w:rPr>
      </w:pPr>
      <w:r>
        <w:rPr>
          <w:lang w:val="en-US" w:bidi="ar-SA"/>
        </w:rPr>
        <w:t>Males receiving 1.0 or 3.3 mL/kg bw/</w:t>
      </w:r>
      <w:r w:rsidR="00C11B0B">
        <w:rPr>
          <w:lang w:val="en-US" w:bidi="ar-SA"/>
        </w:rPr>
        <w:t xml:space="preserve">day </w:t>
      </w:r>
      <w:r w:rsidR="00C86136">
        <w:rPr>
          <w:lang w:val="en-US" w:bidi="ar-SA"/>
        </w:rPr>
        <w:t xml:space="preserve">also </w:t>
      </w:r>
      <w:r w:rsidR="00C11B0B">
        <w:rPr>
          <w:lang w:val="en-US" w:bidi="ar-SA"/>
        </w:rPr>
        <w:t>showe</w:t>
      </w:r>
      <w:r w:rsidR="00D21889">
        <w:rPr>
          <w:lang w:val="en-US" w:bidi="ar-SA"/>
        </w:rPr>
        <w:t xml:space="preserve">d a slightly higher than control incidence of </w:t>
      </w:r>
      <w:r w:rsidR="00C11B0B">
        <w:rPr>
          <w:lang w:val="en-US" w:bidi="ar-SA"/>
        </w:rPr>
        <w:t>multifocal myocardial inflammation/degeneration</w:t>
      </w:r>
      <w:r w:rsidR="00D21889">
        <w:rPr>
          <w:lang w:val="en-US" w:bidi="ar-SA"/>
        </w:rPr>
        <w:t xml:space="preserve">, however </w:t>
      </w:r>
      <w:r w:rsidR="00C11B0B">
        <w:rPr>
          <w:lang w:val="en-US" w:bidi="ar-SA"/>
        </w:rPr>
        <w:t>there was no dose response</w:t>
      </w:r>
      <w:r w:rsidR="00D21889">
        <w:rPr>
          <w:lang w:val="en-US" w:bidi="ar-SA"/>
        </w:rPr>
        <w:t>, between these groups,</w:t>
      </w:r>
      <w:r w:rsidR="00C11B0B">
        <w:rPr>
          <w:lang w:val="en-US" w:bidi="ar-SA"/>
        </w:rPr>
        <w:t xml:space="preserve"> in either incidence or degree and </w:t>
      </w:r>
      <w:r w:rsidR="009C23BB">
        <w:rPr>
          <w:lang w:val="en-US" w:bidi="ar-SA"/>
        </w:rPr>
        <w:t>no corresponding effects on aspartate amino-transferase or heart weights</w:t>
      </w:r>
      <w:r w:rsidR="00D21889">
        <w:rPr>
          <w:lang w:val="en-US" w:bidi="ar-SA"/>
        </w:rPr>
        <w:t xml:space="preserve">, </w:t>
      </w:r>
      <w:r w:rsidR="009C23BB">
        <w:rPr>
          <w:lang w:val="en-US" w:bidi="ar-SA"/>
        </w:rPr>
        <w:t xml:space="preserve">therefore the heart lesions </w:t>
      </w:r>
      <w:r w:rsidR="00E25ADF">
        <w:rPr>
          <w:lang w:val="en-US" w:bidi="ar-SA"/>
        </w:rPr>
        <w:t xml:space="preserve">in these </w:t>
      </w:r>
      <w:r w:rsidR="00D21889">
        <w:rPr>
          <w:lang w:val="en-US" w:bidi="ar-SA"/>
        </w:rPr>
        <w:t xml:space="preserve">treated </w:t>
      </w:r>
      <w:r w:rsidR="00E25ADF">
        <w:rPr>
          <w:lang w:val="en-US" w:bidi="ar-SA"/>
        </w:rPr>
        <w:t xml:space="preserve">groups </w:t>
      </w:r>
      <w:r w:rsidR="009C23BB">
        <w:rPr>
          <w:lang w:val="en-US" w:bidi="ar-SA"/>
        </w:rPr>
        <w:t xml:space="preserve">were considered to be attributable to normal biological variation. </w:t>
      </w:r>
    </w:p>
    <w:p w14:paraId="15DFB4E3" w14:textId="77777777" w:rsidR="007437D0" w:rsidRDefault="007437D0" w:rsidP="00F43DAD">
      <w:pPr>
        <w:rPr>
          <w:lang w:val="en-US" w:bidi="ar-SA"/>
        </w:rPr>
      </w:pPr>
    </w:p>
    <w:p w14:paraId="34CDF8BD" w14:textId="4BA114E6" w:rsidR="00E71A29" w:rsidRDefault="00E71A29" w:rsidP="00F43DAD">
      <w:pPr>
        <w:rPr>
          <w:lang w:val="en-US" w:bidi="ar-SA"/>
        </w:rPr>
      </w:pPr>
      <w:r w:rsidRPr="00B27BCE">
        <w:rPr>
          <w:lang w:val="en-US" w:bidi="ar-SA"/>
        </w:rPr>
        <w:t xml:space="preserve">The kidney changes were confined to males and consisted of higher, than control, dosage-related incidences of hyaline droplets at 3.3 or 10 mL/kg bw/day. The incidence of this finding for males at 1 mL/kg bw/day was slightly lower than controls. The study director commented that the severity of the finding </w:t>
      </w:r>
      <w:r w:rsidR="007F1217" w:rsidRPr="00B27BCE">
        <w:rPr>
          <w:lang w:val="en-US" w:bidi="ar-SA"/>
        </w:rPr>
        <w:t xml:space="preserve">for males at 3.3 or 10 mL/kg bw/day </w:t>
      </w:r>
      <w:r w:rsidRPr="00B27BCE">
        <w:rPr>
          <w:lang w:val="en-US" w:bidi="ar-SA"/>
        </w:rPr>
        <w:t xml:space="preserve">was similar to that seen for </w:t>
      </w:r>
      <w:r w:rsidR="007F1217" w:rsidRPr="00B27BCE">
        <w:rPr>
          <w:lang w:val="en-US" w:bidi="ar-SA"/>
        </w:rPr>
        <w:t xml:space="preserve">the five (50%) </w:t>
      </w:r>
      <w:r w:rsidRPr="00B27BCE">
        <w:rPr>
          <w:lang w:val="en-US" w:bidi="ar-SA"/>
        </w:rPr>
        <w:t>male controls</w:t>
      </w:r>
      <w:r w:rsidR="007F1217" w:rsidRPr="00B27BCE">
        <w:rPr>
          <w:lang w:val="en-US" w:bidi="ar-SA"/>
        </w:rPr>
        <w:t xml:space="preserve">, the finding is common in male rats, (related to high levels of </w:t>
      </w:r>
      <w:r w:rsidR="007F1217" w:rsidRPr="00B27BCE">
        <w:rPr>
          <w:rFonts w:cs="Arial"/>
          <w:lang w:val="en-US" w:bidi="ar-SA"/>
        </w:rPr>
        <w:t>α</w:t>
      </w:r>
      <w:r w:rsidR="007F1217" w:rsidRPr="00B27BCE">
        <w:rPr>
          <w:lang w:val="en-US" w:bidi="ar-SA"/>
        </w:rPr>
        <w:t>-2 globulin),</w:t>
      </w:r>
      <w:r w:rsidR="00124145">
        <w:rPr>
          <w:lang w:val="en-US" w:bidi="ar-SA"/>
        </w:rPr>
        <w:t xml:space="preserve"> it</w:t>
      </w:r>
      <w:r w:rsidR="007F1217" w:rsidRPr="00B27BCE">
        <w:rPr>
          <w:lang w:val="en-US" w:bidi="ar-SA"/>
        </w:rPr>
        <w:t xml:space="preserve"> was not apparent in female rats on this study</w:t>
      </w:r>
      <w:r w:rsidR="00124145">
        <w:rPr>
          <w:lang w:val="en-US" w:bidi="ar-SA"/>
        </w:rPr>
        <w:t>, and</w:t>
      </w:r>
      <w:r w:rsidR="007F1217" w:rsidRPr="00B27BCE">
        <w:rPr>
          <w:lang w:val="en-US" w:bidi="ar-SA"/>
        </w:rPr>
        <w:t xml:space="preserve"> is not relevant to humans as </w:t>
      </w:r>
      <w:r w:rsidR="00A7002F" w:rsidRPr="00B27BCE">
        <w:rPr>
          <w:lang w:val="en-US" w:bidi="ar-SA"/>
        </w:rPr>
        <w:t xml:space="preserve">extensively </w:t>
      </w:r>
      <w:r w:rsidR="007F1217" w:rsidRPr="00B27BCE">
        <w:rPr>
          <w:lang w:val="en-US" w:bidi="ar-SA"/>
        </w:rPr>
        <w:t xml:space="preserve">documented in the literature </w:t>
      </w:r>
      <w:r w:rsidR="007F1217" w:rsidRPr="00C86136">
        <w:rPr>
          <w:lang w:val="en-US" w:bidi="ar-SA"/>
        </w:rPr>
        <w:t>(</w:t>
      </w:r>
      <w:r w:rsidR="00C86136" w:rsidRPr="00C86136">
        <w:rPr>
          <w:lang w:val="en-US" w:bidi="ar-SA"/>
        </w:rPr>
        <w:t>Gopinath</w:t>
      </w:r>
      <w:r w:rsidR="0050497E">
        <w:rPr>
          <w:lang w:val="en-US" w:bidi="ar-SA"/>
        </w:rPr>
        <w:t xml:space="preserve"> et al </w:t>
      </w:r>
      <w:r w:rsidR="00C86136" w:rsidRPr="00C86136">
        <w:rPr>
          <w:lang w:val="en-US" w:bidi="ar-SA"/>
        </w:rPr>
        <w:t>1987</w:t>
      </w:r>
      <w:r w:rsidR="00CA46E2">
        <w:rPr>
          <w:lang w:val="en-US" w:bidi="ar-SA"/>
        </w:rPr>
        <w:t>; Greave 1990; Hascheck and Rousseaux 1991;</w:t>
      </w:r>
      <w:r w:rsidR="00C86136" w:rsidRPr="00C86136">
        <w:rPr>
          <w:lang w:val="en-US" w:bidi="ar-SA"/>
        </w:rPr>
        <w:t xml:space="preserve"> Swenberg </w:t>
      </w:r>
      <w:r w:rsidR="00C86136" w:rsidRPr="007F5F1F">
        <w:rPr>
          <w:lang w:val="en-US" w:bidi="ar-SA"/>
        </w:rPr>
        <w:t>et al.</w:t>
      </w:r>
      <w:r w:rsidR="00CA46E2">
        <w:rPr>
          <w:lang w:val="en-US" w:bidi="ar-SA"/>
        </w:rPr>
        <w:t xml:space="preserve"> </w:t>
      </w:r>
      <w:r w:rsidR="00C86136" w:rsidRPr="00C86136">
        <w:rPr>
          <w:lang w:val="en-US" w:bidi="ar-SA"/>
        </w:rPr>
        <w:t>1989</w:t>
      </w:r>
      <w:r w:rsidR="007F1217" w:rsidRPr="00C86136">
        <w:rPr>
          <w:lang w:val="en-US" w:bidi="ar-SA"/>
        </w:rPr>
        <w:t>)</w:t>
      </w:r>
      <w:r w:rsidR="00124145">
        <w:rPr>
          <w:lang w:val="en-US" w:bidi="ar-SA"/>
        </w:rPr>
        <w:t>.</w:t>
      </w:r>
      <w:r w:rsidR="000F49EF">
        <w:rPr>
          <w:lang w:val="en-US" w:bidi="ar-SA"/>
        </w:rPr>
        <w:t xml:space="preserve"> </w:t>
      </w:r>
      <w:r w:rsidR="00124145">
        <w:rPr>
          <w:lang w:val="en-US" w:bidi="ar-SA"/>
        </w:rPr>
        <w:t xml:space="preserve">Therefore, </w:t>
      </w:r>
      <w:r w:rsidR="000F49EF">
        <w:rPr>
          <w:lang w:val="en-US" w:bidi="ar-SA"/>
        </w:rPr>
        <w:t>t</w:t>
      </w:r>
      <w:r w:rsidR="00F41CAA" w:rsidRPr="00B27BCE">
        <w:rPr>
          <w:lang w:val="en-US" w:bidi="ar-SA"/>
        </w:rPr>
        <w:t xml:space="preserve">he finding was </w:t>
      </w:r>
      <w:r w:rsidR="00124145">
        <w:rPr>
          <w:lang w:val="en-US" w:bidi="ar-SA"/>
        </w:rPr>
        <w:t xml:space="preserve">considered to be </w:t>
      </w:r>
      <w:r w:rsidR="007F1217" w:rsidRPr="00B27BCE">
        <w:rPr>
          <w:lang w:val="en-US" w:bidi="ar-SA"/>
        </w:rPr>
        <w:t>of no toxicological significance.</w:t>
      </w:r>
      <w:r w:rsidR="00F41CAA" w:rsidRPr="00B27BCE">
        <w:rPr>
          <w:lang w:val="en-US" w:bidi="ar-SA"/>
        </w:rPr>
        <w:t xml:space="preserve">  </w:t>
      </w:r>
      <w:r w:rsidR="007F1217" w:rsidRPr="00B27BCE">
        <w:rPr>
          <w:lang w:val="en-US" w:bidi="ar-SA"/>
        </w:rPr>
        <w:t xml:space="preserve">   </w:t>
      </w:r>
      <w:r w:rsidRPr="00B27BCE">
        <w:rPr>
          <w:lang w:val="en-US" w:bidi="ar-SA"/>
        </w:rPr>
        <w:t xml:space="preserve"> </w:t>
      </w:r>
    </w:p>
    <w:p w14:paraId="215CCA36" w14:textId="2A6F4C67" w:rsidR="006861D6" w:rsidRDefault="006861D6" w:rsidP="00F43DAD">
      <w:pPr>
        <w:rPr>
          <w:lang w:val="en-US" w:bidi="ar-SA"/>
        </w:rPr>
      </w:pPr>
    </w:p>
    <w:p w14:paraId="7AE478E5" w14:textId="2CDB7F63" w:rsidR="006861D6" w:rsidRDefault="006861D6" w:rsidP="0072782A">
      <w:pPr>
        <w:rPr>
          <w:lang w:val="en-US" w:bidi="ar-SA"/>
        </w:rPr>
      </w:pPr>
      <w:r>
        <w:rPr>
          <w:lang w:val="en-US" w:bidi="ar-SA"/>
        </w:rPr>
        <w:t xml:space="preserve">FSANZ concluded that based on the evaluation above, the </w:t>
      </w:r>
      <w:r w:rsidR="00124145">
        <w:rPr>
          <w:lang w:val="en-US" w:bidi="ar-SA"/>
        </w:rPr>
        <w:t>n</w:t>
      </w:r>
      <w:r>
        <w:rPr>
          <w:lang w:val="en-US" w:bidi="ar-SA"/>
        </w:rPr>
        <w:t xml:space="preserve">o </w:t>
      </w:r>
      <w:r w:rsidR="00124145">
        <w:rPr>
          <w:lang w:val="en-US" w:bidi="ar-SA"/>
        </w:rPr>
        <w:t>o</w:t>
      </w:r>
      <w:r>
        <w:rPr>
          <w:lang w:val="en-US" w:bidi="ar-SA"/>
        </w:rPr>
        <w:t xml:space="preserve">bserved </w:t>
      </w:r>
      <w:r w:rsidR="00124145">
        <w:rPr>
          <w:lang w:val="en-US" w:bidi="ar-SA"/>
        </w:rPr>
        <w:t>a</w:t>
      </w:r>
      <w:r w:rsidR="00DE6ED0">
        <w:rPr>
          <w:lang w:val="en-US" w:bidi="ar-SA"/>
        </w:rPr>
        <w:t xml:space="preserve">dverse </w:t>
      </w:r>
      <w:r w:rsidR="00124145">
        <w:rPr>
          <w:lang w:val="en-US" w:bidi="ar-SA"/>
        </w:rPr>
        <w:t>e</w:t>
      </w:r>
      <w:r>
        <w:rPr>
          <w:lang w:val="en-US" w:bidi="ar-SA"/>
        </w:rPr>
        <w:t xml:space="preserve">ffect </w:t>
      </w:r>
      <w:r w:rsidR="00124145">
        <w:rPr>
          <w:lang w:val="en-US" w:bidi="ar-SA"/>
        </w:rPr>
        <w:t>l</w:t>
      </w:r>
      <w:r>
        <w:rPr>
          <w:lang w:val="en-US" w:bidi="ar-SA"/>
        </w:rPr>
        <w:t>ev</w:t>
      </w:r>
      <w:r w:rsidR="000F49EF">
        <w:rPr>
          <w:lang w:val="en-US" w:bidi="ar-SA"/>
        </w:rPr>
        <w:t>el (NOAEL) in this study was 10</w:t>
      </w:r>
      <w:r>
        <w:rPr>
          <w:lang w:val="en-US" w:bidi="ar-SA"/>
        </w:rPr>
        <w:t xml:space="preserve"> mL/kg bw/day</w:t>
      </w:r>
      <w:r w:rsidR="006F5687">
        <w:rPr>
          <w:lang w:val="en-US" w:bidi="ar-SA"/>
        </w:rPr>
        <w:t>, (equ</w:t>
      </w:r>
      <w:r w:rsidR="004F6E77">
        <w:rPr>
          <w:lang w:val="en-US" w:bidi="ar-SA"/>
        </w:rPr>
        <w:t>ivalent to 1.135</w:t>
      </w:r>
      <w:r w:rsidR="00DE6ED0">
        <w:rPr>
          <w:lang w:val="en-US" w:bidi="ar-SA"/>
        </w:rPr>
        <w:t xml:space="preserve"> </w:t>
      </w:r>
      <w:r w:rsidR="004F6E77">
        <w:rPr>
          <w:lang w:val="en-US" w:bidi="ar-SA"/>
        </w:rPr>
        <w:t>g TOS/kg</w:t>
      </w:r>
      <w:r w:rsidR="00DE6ED0">
        <w:rPr>
          <w:lang w:val="en-US" w:bidi="ar-SA"/>
        </w:rPr>
        <w:t xml:space="preserve"> bw</w:t>
      </w:r>
      <w:r w:rsidR="004F6E77">
        <w:rPr>
          <w:lang w:val="en-US" w:bidi="ar-SA"/>
        </w:rPr>
        <w:t>/day)</w:t>
      </w:r>
      <w:r>
        <w:rPr>
          <w:lang w:val="en-US" w:bidi="ar-SA"/>
        </w:rPr>
        <w:t xml:space="preserve">. </w:t>
      </w:r>
      <w:r w:rsidR="0067272E">
        <w:rPr>
          <w:lang w:val="en-US" w:bidi="ar-SA"/>
        </w:rPr>
        <w:t xml:space="preserve">This is consistent with the NOAEL assigned by the Study Director. </w:t>
      </w:r>
    </w:p>
    <w:p w14:paraId="16DC0996" w14:textId="368E6A1C" w:rsidR="00C15A6C" w:rsidRDefault="00C15A6C" w:rsidP="00E02D51">
      <w:pPr>
        <w:pStyle w:val="Heading3"/>
      </w:pPr>
      <w:bookmarkStart w:id="95" w:name="_Toc536544006"/>
      <w:bookmarkStart w:id="96" w:name="_Toc536607141"/>
      <w:bookmarkStart w:id="97" w:name="_Toc28003781"/>
      <w:r>
        <w:t>3.</w:t>
      </w:r>
      <w:r w:rsidR="00A07714">
        <w:t>3</w:t>
      </w:r>
      <w:r>
        <w:t>.</w:t>
      </w:r>
      <w:r w:rsidR="00F92421">
        <w:t>4</w:t>
      </w:r>
      <w:r w:rsidR="0035149D">
        <w:tab/>
      </w:r>
      <w:r>
        <w:t>Genotoxicity assays</w:t>
      </w:r>
      <w:bookmarkEnd w:id="95"/>
      <w:bookmarkEnd w:id="96"/>
      <w:bookmarkEnd w:id="97"/>
    </w:p>
    <w:p w14:paraId="315097F9" w14:textId="10B4A68E" w:rsidR="00A84E2E" w:rsidRPr="00A84E2E" w:rsidRDefault="00A84E2E" w:rsidP="00A84E2E">
      <w:pPr>
        <w:rPr>
          <w:i/>
          <w:lang w:bidi="ar-SA"/>
        </w:rPr>
      </w:pPr>
      <w:r w:rsidRPr="00F3298B">
        <w:rPr>
          <w:i/>
          <w:lang w:eastAsia="en-AU"/>
        </w:rPr>
        <w:t>Bacterial reverse mutation assay</w:t>
      </w:r>
      <w:r>
        <w:rPr>
          <w:i/>
          <w:lang w:eastAsia="en-AU"/>
        </w:rPr>
        <w:t xml:space="preserve"> </w:t>
      </w:r>
      <w:r w:rsidRPr="00A84E2E">
        <w:rPr>
          <w:i/>
          <w:lang w:bidi="ar-SA"/>
        </w:rPr>
        <w:t xml:space="preserve">(Novozymes A/S, Study Number 20118002, 2011). Regulatory status: GLP; conducted in accordance with the general recommendations of OECD Guideline No. 471. </w:t>
      </w:r>
    </w:p>
    <w:p w14:paraId="1C0849F1" w14:textId="77777777" w:rsidR="00A84E2E" w:rsidRDefault="00A84E2E" w:rsidP="00A84E2E">
      <w:pPr>
        <w:rPr>
          <w:i/>
        </w:rPr>
      </w:pPr>
    </w:p>
    <w:p w14:paraId="05096C6F" w14:textId="47A4A603" w:rsidR="00A84E2E" w:rsidRDefault="00A84E2E" w:rsidP="00A84E2E">
      <w:r>
        <w:rPr>
          <w:lang w:val="en-AU"/>
        </w:rPr>
        <w:t xml:space="preserve">The test article for this assay was </w:t>
      </w:r>
      <w:r w:rsidR="007C7F85" w:rsidRPr="007C7F85">
        <w:rPr>
          <w:lang w:val="en-AU"/>
        </w:rPr>
        <w:t>glucoamylase, batch number PPY 30930, with a declared dry matter content of</w:t>
      </w:r>
      <w:r w:rsidRPr="007C7F85">
        <w:rPr>
          <w:lang w:val="en-AU"/>
        </w:rPr>
        <w:t xml:space="preserve"> </w:t>
      </w:r>
      <w:r w:rsidR="007C7F85" w:rsidRPr="007C7F85">
        <w:rPr>
          <w:lang w:val="en-AU"/>
        </w:rPr>
        <w:t>11.4%</w:t>
      </w:r>
      <w:r w:rsidR="003C0F54">
        <w:rPr>
          <w:lang w:val="en-AU"/>
        </w:rPr>
        <w:t xml:space="preserve"> w/w</w:t>
      </w:r>
      <w:r w:rsidR="007853EE">
        <w:rPr>
          <w:lang w:val="en-AU"/>
        </w:rPr>
        <w:t>,</w:t>
      </w:r>
      <w:r w:rsidR="007853EE" w:rsidRPr="007853EE">
        <w:rPr>
          <w:lang w:val="en-US" w:bidi="ar-SA"/>
        </w:rPr>
        <w:t xml:space="preserve"> </w:t>
      </w:r>
      <w:r w:rsidR="007853EE" w:rsidRPr="00E71E92">
        <w:rPr>
          <w:lang w:val="en-US" w:bidi="ar-SA"/>
        </w:rPr>
        <w:t>which is glucoamylase from the production strain that is the subject of the application.</w:t>
      </w:r>
      <w:r w:rsidR="007C7F85" w:rsidRPr="007C7F85">
        <w:rPr>
          <w:lang w:val="en-AU"/>
        </w:rPr>
        <w:t xml:space="preserve"> </w:t>
      </w:r>
      <w:r w:rsidRPr="00B102F1">
        <w:t xml:space="preserve">The test article </w:t>
      </w:r>
      <w:r>
        <w:t xml:space="preserve">contains histidine </w:t>
      </w:r>
      <w:r w:rsidRPr="007C7F85">
        <w:t>and tryptophan</w:t>
      </w:r>
      <w:r>
        <w:t>, the amino acid</w:t>
      </w:r>
      <w:r w:rsidRPr="007C7F85">
        <w:t>s</w:t>
      </w:r>
      <w:r>
        <w:t xml:space="preserve"> that </w:t>
      </w:r>
      <w:r w:rsidRPr="000C384B">
        <w:t xml:space="preserve">are </w:t>
      </w:r>
      <w:r>
        <w:t>the growth-limiting factor</w:t>
      </w:r>
      <w:r w:rsidRPr="000C384B">
        <w:t>s</w:t>
      </w:r>
      <w:r>
        <w:t xml:space="preserve"> for the test strains of </w:t>
      </w:r>
      <w:r w:rsidRPr="00B102F1">
        <w:rPr>
          <w:i/>
        </w:rPr>
        <w:t>S</w:t>
      </w:r>
      <w:r w:rsidR="006C67FB">
        <w:rPr>
          <w:i/>
        </w:rPr>
        <w:t>almonella</w:t>
      </w:r>
      <w:r w:rsidRPr="00B102F1">
        <w:rPr>
          <w:i/>
        </w:rPr>
        <w:t xml:space="preserve"> typhimurium</w:t>
      </w:r>
      <w:r>
        <w:t xml:space="preserve"> </w:t>
      </w:r>
      <w:r w:rsidRPr="000C384B">
        <w:t xml:space="preserve">and </w:t>
      </w:r>
      <w:r w:rsidRPr="000C384B">
        <w:rPr>
          <w:i/>
        </w:rPr>
        <w:t>E</w:t>
      </w:r>
      <w:r w:rsidR="006C67FB" w:rsidRPr="006C67FB">
        <w:rPr>
          <w:i/>
        </w:rPr>
        <w:t>scherichia</w:t>
      </w:r>
      <w:r w:rsidR="006C67FB">
        <w:rPr>
          <w:i/>
        </w:rPr>
        <w:t xml:space="preserve"> </w:t>
      </w:r>
      <w:r w:rsidRPr="000C384B">
        <w:rPr>
          <w:i/>
        </w:rPr>
        <w:t>coli</w:t>
      </w:r>
      <w:r w:rsidRPr="000C384B">
        <w:t xml:space="preserve"> respectively. </w:t>
      </w:r>
      <w:r>
        <w:t xml:space="preserve">A standard bacterial reverse mutation assay conducted by the plate incorporation method is likely to be confounded by a “feeding effect” in which the bacterial lawn is increased and the number of spontaneous mutations are increased as a result of more nutrient. In order to overcome this confounding, all strains were exposed to the test article using the </w:t>
      </w:r>
      <w:r w:rsidRPr="00EC0880">
        <w:t>“treat and plate” method.</w:t>
      </w:r>
      <w:r>
        <w:t xml:space="preserve"> This method includes a rinsing step which removes the test article. </w:t>
      </w:r>
    </w:p>
    <w:p w14:paraId="0F752973" w14:textId="77777777" w:rsidR="00BB6342" w:rsidRDefault="00BB6342" w:rsidP="00A84E2E">
      <w:pPr>
        <w:rPr>
          <w:lang w:val="en-AU"/>
        </w:rPr>
      </w:pPr>
    </w:p>
    <w:p w14:paraId="3D99CFF5" w14:textId="015E7D7B" w:rsidR="00254C96" w:rsidRDefault="00A84E2E" w:rsidP="00A84E2E">
      <w:pPr>
        <w:rPr>
          <w:lang w:eastAsia="en-AU"/>
        </w:rPr>
      </w:pPr>
      <w:r w:rsidRPr="001027D8">
        <w:rPr>
          <w:lang w:eastAsia="en-AU"/>
        </w:rPr>
        <w:t xml:space="preserve">The test systems for this assay were </w:t>
      </w:r>
      <w:r w:rsidRPr="000C384B">
        <w:rPr>
          <w:i/>
          <w:lang w:eastAsia="en-AU"/>
        </w:rPr>
        <w:t>S</w:t>
      </w:r>
      <w:r w:rsidR="006C67FB">
        <w:rPr>
          <w:i/>
          <w:lang w:eastAsia="en-AU"/>
        </w:rPr>
        <w:t>.</w:t>
      </w:r>
      <w:r w:rsidRPr="000C384B">
        <w:rPr>
          <w:i/>
          <w:lang w:eastAsia="en-AU"/>
        </w:rPr>
        <w:t xml:space="preserve"> typhimurium</w:t>
      </w:r>
      <w:r w:rsidRPr="000C384B">
        <w:rPr>
          <w:lang w:eastAsia="en-AU"/>
        </w:rPr>
        <w:t xml:space="preserve"> strains TA98, TA100, TA1535 and TA1537 and </w:t>
      </w:r>
      <w:r w:rsidRPr="000C384B">
        <w:rPr>
          <w:i/>
          <w:lang w:eastAsia="en-AU"/>
        </w:rPr>
        <w:t>E</w:t>
      </w:r>
      <w:r w:rsidR="006C67FB">
        <w:rPr>
          <w:i/>
          <w:lang w:eastAsia="en-AU"/>
        </w:rPr>
        <w:t>.</w:t>
      </w:r>
      <w:r w:rsidRPr="000C384B">
        <w:rPr>
          <w:i/>
          <w:lang w:eastAsia="en-AU"/>
        </w:rPr>
        <w:t xml:space="preserve"> coli</w:t>
      </w:r>
      <w:r w:rsidRPr="000C384B">
        <w:rPr>
          <w:lang w:eastAsia="en-AU"/>
        </w:rPr>
        <w:t xml:space="preserve"> WP2 </w:t>
      </w:r>
      <w:r w:rsidRPr="000C384B">
        <w:rPr>
          <w:i/>
          <w:lang w:eastAsia="en-AU"/>
        </w:rPr>
        <w:t>uvr</w:t>
      </w:r>
      <w:r w:rsidRPr="000C384B">
        <w:rPr>
          <w:lang w:eastAsia="en-AU"/>
        </w:rPr>
        <w:t>A</w:t>
      </w:r>
      <w:r w:rsidR="000C384B" w:rsidRPr="000C384B">
        <w:rPr>
          <w:lang w:eastAsia="en-AU"/>
        </w:rPr>
        <w:t>pKM101</w:t>
      </w:r>
      <w:r w:rsidRPr="001027D8">
        <w:rPr>
          <w:lang w:eastAsia="en-AU"/>
        </w:rPr>
        <w:t>.</w:t>
      </w:r>
      <w:r>
        <w:rPr>
          <w:lang w:eastAsia="en-AU"/>
        </w:rPr>
        <w:t xml:space="preserve"> The test article was diluted to the required concentrations using the vehicle/negative control article, </w:t>
      </w:r>
      <w:r w:rsidR="000C384B" w:rsidRPr="000C384B">
        <w:rPr>
          <w:lang w:eastAsia="en-AU"/>
        </w:rPr>
        <w:t xml:space="preserve">deionised </w:t>
      </w:r>
      <w:r w:rsidRPr="000C384B">
        <w:rPr>
          <w:lang w:eastAsia="en-AU"/>
        </w:rPr>
        <w:t>water</w:t>
      </w:r>
      <w:r>
        <w:rPr>
          <w:lang w:eastAsia="en-AU"/>
        </w:rPr>
        <w:t xml:space="preserve">. Positive control articles for assays without addition of S9 mix were </w:t>
      </w:r>
      <w:r w:rsidR="00553E40">
        <w:rPr>
          <w:lang w:eastAsia="en-AU"/>
        </w:rPr>
        <w:t>2-n</w:t>
      </w:r>
      <w:r w:rsidRPr="000C384B">
        <w:rPr>
          <w:lang w:eastAsia="en-AU"/>
        </w:rPr>
        <w:t xml:space="preserve">itrofluorene for TA98, ICR-191 for TA1537, and N-methyl-N-nitro-N-nitrosoguanidine for TA100, TA1535, and WP2 </w:t>
      </w:r>
      <w:r w:rsidRPr="000C384B">
        <w:rPr>
          <w:i/>
          <w:lang w:eastAsia="en-AU"/>
        </w:rPr>
        <w:t>uvr</w:t>
      </w:r>
      <w:r w:rsidRPr="000C384B">
        <w:rPr>
          <w:lang w:eastAsia="en-AU"/>
        </w:rPr>
        <w:t>A</w:t>
      </w:r>
      <w:r w:rsidR="00553E40">
        <w:rPr>
          <w:lang w:eastAsia="en-AU"/>
        </w:rPr>
        <w:t>pKM101</w:t>
      </w:r>
      <w:r w:rsidRPr="000C384B">
        <w:rPr>
          <w:lang w:eastAsia="en-AU"/>
        </w:rPr>
        <w:t xml:space="preserve">. </w:t>
      </w:r>
      <w:r w:rsidRPr="00F16FBC">
        <w:rPr>
          <w:lang w:eastAsia="en-AU"/>
        </w:rPr>
        <w:t xml:space="preserve">For assays with </w:t>
      </w:r>
      <w:r>
        <w:rPr>
          <w:lang w:eastAsia="en-AU"/>
        </w:rPr>
        <w:t xml:space="preserve">addition of S9 mix for </w:t>
      </w:r>
      <w:r w:rsidRPr="00F16FBC">
        <w:rPr>
          <w:lang w:eastAsia="en-AU"/>
        </w:rPr>
        <w:t xml:space="preserve">metabolic activation, the positive control article was </w:t>
      </w:r>
      <w:r w:rsidRPr="003A7B4E">
        <w:rPr>
          <w:lang w:eastAsia="en-AU"/>
        </w:rPr>
        <w:t>2-aminoanthracene</w:t>
      </w:r>
      <w:r w:rsidRPr="00F16FBC">
        <w:rPr>
          <w:color w:val="FF0000"/>
          <w:lang w:eastAsia="en-AU"/>
        </w:rPr>
        <w:t xml:space="preserve"> </w:t>
      </w:r>
      <w:r w:rsidRPr="00F16FBC">
        <w:rPr>
          <w:lang w:eastAsia="en-AU"/>
        </w:rPr>
        <w:t xml:space="preserve">for all bacterial strains. </w:t>
      </w:r>
    </w:p>
    <w:p w14:paraId="0EFB47E1" w14:textId="77777777" w:rsidR="00254C96" w:rsidRDefault="00254C96" w:rsidP="00A84E2E">
      <w:pPr>
        <w:rPr>
          <w:lang w:eastAsia="en-AU"/>
        </w:rPr>
      </w:pPr>
    </w:p>
    <w:p w14:paraId="5484599C" w14:textId="77777777" w:rsidR="0074123C" w:rsidRDefault="00A84E2E" w:rsidP="00A84E2E">
      <w:pPr>
        <w:rPr>
          <w:lang w:eastAsia="en-AU"/>
        </w:rPr>
      </w:pPr>
      <w:r w:rsidRPr="001027D8">
        <w:rPr>
          <w:lang w:eastAsia="en-AU"/>
        </w:rPr>
        <w:t>The dose levels tested</w:t>
      </w:r>
      <w:r w:rsidR="00173848">
        <w:rPr>
          <w:lang w:eastAsia="en-AU"/>
        </w:rPr>
        <w:t>, in the initial and confirmatory run</w:t>
      </w:r>
      <w:r w:rsidRPr="001027D8">
        <w:rPr>
          <w:lang w:eastAsia="en-AU"/>
        </w:rPr>
        <w:t xml:space="preserve"> were </w:t>
      </w:r>
      <w:r w:rsidR="00A70759">
        <w:rPr>
          <w:lang w:eastAsia="en-AU"/>
        </w:rPr>
        <w:t>156</w:t>
      </w:r>
      <w:r w:rsidRPr="00A70759">
        <w:rPr>
          <w:lang w:eastAsia="en-AU"/>
        </w:rPr>
        <w:t xml:space="preserve">, </w:t>
      </w:r>
      <w:r w:rsidR="00A70759">
        <w:rPr>
          <w:lang w:eastAsia="en-AU"/>
        </w:rPr>
        <w:t xml:space="preserve">313, 625, 1250, 2500, 5000 </w:t>
      </w:r>
      <w:r w:rsidRPr="00A70759">
        <w:rPr>
          <w:lang w:eastAsia="en-AU"/>
        </w:rPr>
        <w:t>μg</w:t>
      </w:r>
      <w:r w:rsidR="00A70759">
        <w:rPr>
          <w:lang w:eastAsia="en-AU"/>
        </w:rPr>
        <w:t>/mL</w:t>
      </w:r>
      <w:r w:rsidRPr="001027D8">
        <w:rPr>
          <w:lang w:eastAsia="en-AU"/>
        </w:rPr>
        <w:t xml:space="preserve">. S9 mix or sham mix, tester strain, vehicle, and test article or positive control article were </w:t>
      </w:r>
      <w:r>
        <w:rPr>
          <w:lang w:eastAsia="en-AU"/>
        </w:rPr>
        <w:t>mixed in a test</w:t>
      </w:r>
      <w:r w:rsidR="00A70759">
        <w:rPr>
          <w:lang w:eastAsia="en-AU"/>
        </w:rPr>
        <w:t xml:space="preserve"> </w:t>
      </w:r>
      <w:r w:rsidRPr="001027D8">
        <w:rPr>
          <w:lang w:eastAsia="en-AU"/>
        </w:rPr>
        <w:t xml:space="preserve">tube mixed by vortex and incubated for </w:t>
      </w:r>
      <w:r w:rsidR="00A70759" w:rsidRPr="00A70759">
        <w:rPr>
          <w:lang w:eastAsia="en-AU"/>
        </w:rPr>
        <w:t>3</w:t>
      </w:r>
      <w:r w:rsidRPr="001027D8">
        <w:rPr>
          <w:lang w:eastAsia="en-AU"/>
        </w:rPr>
        <w:t xml:space="preserve"> h at 37°C with shaking. The contents of the tube were then centrifuged and the supernatant was removed. The tester strain was resuspended in </w:t>
      </w:r>
      <w:r w:rsidR="00A70759">
        <w:rPr>
          <w:lang w:eastAsia="en-AU"/>
        </w:rPr>
        <w:t>phosphate buffer</w:t>
      </w:r>
      <w:r w:rsidRPr="001027D8">
        <w:rPr>
          <w:lang w:eastAsia="en-AU"/>
        </w:rPr>
        <w:t xml:space="preserve"> and an aliquot was added to molten selective top agar. This mixture was overlaid onto the surface of minimal bottom agar. After the overlay had solidified, the plates were inverted and incubated for </w:t>
      </w:r>
      <w:r w:rsidR="00A70759" w:rsidRPr="00A70759">
        <w:rPr>
          <w:lang w:eastAsia="en-AU"/>
        </w:rPr>
        <w:t>64</w:t>
      </w:r>
      <w:r w:rsidRPr="001027D8">
        <w:rPr>
          <w:lang w:eastAsia="en-AU"/>
        </w:rPr>
        <w:t xml:space="preserve"> hours at </w:t>
      </w:r>
      <w:r w:rsidRPr="00F3298B">
        <w:rPr>
          <w:lang w:eastAsia="en-AU"/>
        </w:rPr>
        <w:t>37</w:t>
      </w:r>
      <w:r w:rsidRPr="00F3298B">
        <w:rPr>
          <w:rFonts w:cs="Arial"/>
          <w:lang w:eastAsia="en-AU"/>
        </w:rPr>
        <w:t>±</w:t>
      </w:r>
      <w:r w:rsidRPr="00F3298B">
        <w:rPr>
          <w:lang w:eastAsia="en-AU"/>
        </w:rPr>
        <w:t>2</w:t>
      </w:r>
      <w:r w:rsidRPr="00F3298B">
        <w:rPr>
          <w:rFonts w:cs="Arial"/>
          <w:lang w:eastAsia="en-AU"/>
        </w:rPr>
        <w:t>°</w:t>
      </w:r>
      <w:r w:rsidRPr="00F3298B">
        <w:rPr>
          <w:lang w:eastAsia="en-AU"/>
        </w:rPr>
        <w:t>C</w:t>
      </w:r>
      <w:r w:rsidRPr="001027D8">
        <w:rPr>
          <w:lang w:eastAsia="en-AU"/>
        </w:rPr>
        <w:t xml:space="preserve">. Revertant bacterial colonies were counted. </w:t>
      </w:r>
    </w:p>
    <w:p w14:paraId="2D4E1237" w14:textId="77777777" w:rsidR="0074123C" w:rsidRDefault="0074123C" w:rsidP="00A84E2E">
      <w:pPr>
        <w:rPr>
          <w:lang w:eastAsia="en-AU"/>
        </w:rPr>
      </w:pPr>
    </w:p>
    <w:p w14:paraId="730F5CFC" w14:textId="678EE579" w:rsidR="00A84E2E" w:rsidRDefault="0074123C" w:rsidP="00A84E2E">
      <w:pPr>
        <w:rPr>
          <w:lang w:eastAsia="en-AU"/>
        </w:rPr>
      </w:pPr>
      <w:r>
        <w:rPr>
          <w:lang w:eastAsia="en-AU"/>
        </w:rPr>
        <w:t>N</w:t>
      </w:r>
      <w:r w:rsidR="006C631F" w:rsidRPr="00A15193">
        <w:rPr>
          <w:lang w:eastAsia="en-AU"/>
        </w:rPr>
        <w:t xml:space="preserve">o precipitation of the test article </w:t>
      </w:r>
      <w:r>
        <w:rPr>
          <w:lang w:eastAsia="en-AU"/>
        </w:rPr>
        <w:t>was observed in any strain in either experiment with or without metabolic activation, and no</w:t>
      </w:r>
      <w:r w:rsidR="00A15193" w:rsidRPr="00A15193">
        <w:rPr>
          <w:lang w:eastAsia="en-AU"/>
        </w:rPr>
        <w:t xml:space="preserve"> cyto</w:t>
      </w:r>
      <w:r w:rsidR="006C631F" w:rsidRPr="00A15193">
        <w:rPr>
          <w:lang w:eastAsia="en-AU"/>
        </w:rPr>
        <w:t xml:space="preserve">toxicity </w:t>
      </w:r>
      <w:r>
        <w:rPr>
          <w:lang w:eastAsia="en-AU"/>
        </w:rPr>
        <w:t>was detected. There was no biologically relevant increase in revertant colonies, with or without S9 mix.</w:t>
      </w:r>
      <w:r w:rsidR="00A15193" w:rsidRPr="00A15193">
        <w:rPr>
          <w:lang w:eastAsia="en-AU"/>
        </w:rPr>
        <w:t xml:space="preserve"> </w:t>
      </w:r>
      <w:r w:rsidR="00A84E2E" w:rsidRPr="00A15193">
        <w:rPr>
          <w:lang w:eastAsia="en-AU"/>
        </w:rPr>
        <w:t>Positive controls induced mutagenesis</w:t>
      </w:r>
      <w:r w:rsidR="00A15193" w:rsidRPr="00A15193">
        <w:rPr>
          <w:lang w:eastAsia="en-AU"/>
        </w:rPr>
        <w:t xml:space="preserve"> at expected levels, based on background data</w:t>
      </w:r>
      <w:r w:rsidR="00A84E2E" w:rsidRPr="00A15193">
        <w:rPr>
          <w:lang w:eastAsia="en-AU"/>
        </w:rPr>
        <w:t>, confirming the validity of the assay.</w:t>
      </w:r>
    </w:p>
    <w:p w14:paraId="666BC6F6" w14:textId="0FACB921" w:rsidR="00013737" w:rsidRDefault="00013737" w:rsidP="00A84E2E">
      <w:pPr>
        <w:rPr>
          <w:lang w:eastAsia="en-AU"/>
        </w:rPr>
      </w:pPr>
    </w:p>
    <w:p w14:paraId="0DA1FB31" w14:textId="01CD08BF" w:rsidR="00013737" w:rsidRDefault="00013737" w:rsidP="00013737">
      <w:r>
        <w:rPr>
          <w:lang w:eastAsia="en-AU"/>
        </w:rPr>
        <w:t>Due to a failure to add bacteria suspension there were no confirmatory data for strain TA100, 2500</w:t>
      </w:r>
      <w:r w:rsidRPr="00173848">
        <w:rPr>
          <w:lang w:eastAsia="en-AU"/>
        </w:rPr>
        <w:t xml:space="preserve"> </w:t>
      </w:r>
      <w:r w:rsidRPr="00A70759">
        <w:rPr>
          <w:lang w:eastAsia="en-AU"/>
        </w:rPr>
        <w:t>μg</w:t>
      </w:r>
      <w:r>
        <w:rPr>
          <w:lang w:eastAsia="en-AU"/>
        </w:rPr>
        <w:t xml:space="preserve">/mL with S9 mix. Considering there was clearly no effect of treatment noted for this group on the initial run and in the absence of any treatment-related effects for this strain at other treatment levels, including at 5000 </w:t>
      </w:r>
      <w:r w:rsidRPr="00A70759">
        <w:rPr>
          <w:lang w:eastAsia="en-AU"/>
        </w:rPr>
        <w:t>μg</w:t>
      </w:r>
      <w:r>
        <w:rPr>
          <w:lang w:eastAsia="en-AU"/>
        </w:rPr>
        <w:t xml:space="preserve">/mL, the lack of data is not considered to adversely affect the outcome/validity of the study.  </w:t>
      </w:r>
    </w:p>
    <w:p w14:paraId="20A41DFA" w14:textId="77777777" w:rsidR="00BB6342" w:rsidRPr="00A15193" w:rsidRDefault="00BB6342" w:rsidP="00A84E2E">
      <w:pPr>
        <w:rPr>
          <w:lang w:eastAsia="en-AU"/>
        </w:rPr>
      </w:pPr>
    </w:p>
    <w:p w14:paraId="2F6F2C61" w14:textId="77777777" w:rsidR="00A84E2E" w:rsidRPr="001027D8" w:rsidRDefault="00A84E2E" w:rsidP="00A84E2E">
      <w:pPr>
        <w:rPr>
          <w:lang w:eastAsia="en-AU"/>
        </w:rPr>
      </w:pPr>
      <w:r w:rsidRPr="00A15193">
        <w:rPr>
          <w:lang w:eastAsia="en-AU"/>
        </w:rPr>
        <w:t>It was concluded that under the conditions of this study, the test article did not cause a positive mutagenic response with any of the tester strains in either the presence or absence of metabolic activation.</w:t>
      </w:r>
      <w:r w:rsidRPr="001027D8">
        <w:rPr>
          <w:lang w:eastAsia="en-AU"/>
        </w:rPr>
        <w:t xml:space="preserve"> </w:t>
      </w:r>
    </w:p>
    <w:p w14:paraId="19C029D9" w14:textId="77777777" w:rsidR="00A84E2E" w:rsidRPr="00A84E2E" w:rsidRDefault="00A84E2E" w:rsidP="00A84E2E">
      <w:pPr>
        <w:rPr>
          <w:lang w:eastAsia="en-AU" w:bidi="ar-SA"/>
        </w:rPr>
      </w:pPr>
    </w:p>
    <w:p w14:paraId="554D1EE3" w14:textId="260A2D36" w:rsidR="00F43DAD" w:rsidRPr="00E71E92" w:rsidRDefault="00F43DAD" w:rsidP="007F4386">
      <w:pPr>
        <w:keepNext/>
        <w:keepLines/>
        <w:rPr>
          <w:i/>
          <w:lang w:val="en-US" w:bidi="ar-SA"/>
        </w:rPr>
      </w:pPr>
      <w:r w:rsidRPr="00E71E92">
        <w:rPr>
          <w:i/>
          <w:lang w:val="en-US" w:bidi="ar-SA"/>
        </w:rPr>
        <w:t xml:space="preserve">Micronucleus assay in cultured human peripheral blood lymphocytes (Covance Laboratories, Study Number </w:t>
      </w:r>
      <w:r w:rsidR="004B7526" w:rsidRPr="00E71E92">
        <w:rPr>
          <w:i/>
          <w:lang w:val="en-US" w:bidi="ar-SA"/>
        </w:rPr>
        <w:t>8228638</w:t>
      </w:r>
      <w:r w:rsidRPr="00E71E92">
        <w:rPr>
          <w:i/>
          <w:lang w:val="en-US" w:bidi="ar-SA"/>
        </w:rPr>
        <w:t>, 201</w:t>
      </w:r>
      <w:r w:rsidR="004B7526" w:rsidRPr="00E71E92">
        <w:rPr>
          <w:i/>
          <w:lang w:val="en-US" w:bidi="ar-SA"/>
        </w:rPr>
        <w:t>0</w:t>
      </w:r>
      <w:r w:rsidRPr="00E71E92">
        <w:rPr>
          <w:i/>
          <w:lang w:val="en-US" w:bidi="ar-SA"/>
        </w:rPr>
        <w:t xml:space="preserve">). Regulatory status: GLP; in accordance with </w:t>
      </w:r>
      <w:r w:rsidR="004B7526" w:rsidRPr="00E71E92">
        <w:rPr>
          <w:i/>
          <w:lang w:val="en-US" w:bidi="ar-SA"/>
        </w:rPr>
        <w:t xml:space="preserve">the 2009 draft proposal </w:t>
      </w:r>
      <w:r w:rsidRPr="00E71E92">
        <w:rPr>
          <w:i/>
          <w:lang w:val="en-US" w:bidi="ar-SA"/>
        </w:rPr>
        <w:t>OECD Guideline 487</w:t>
      </w:r>
      <w:r w:rsidR="006C67FB">
        <w:rPr>
          <w:i/>
          <w:lang w:val="en-US" w:bidi="ar-SA"/>
        </w:rPr>
        <w:t>.</w:t>
      </w:r>
      <w:r w:rsidR="004B7526" w:rsidRPr="00E71E92">
        <w:rPr>
          <w:i/>
          <w:lang w:val="en-US" w:bidi="ar-SA"/>
        </w:rPr>
        <w:t xml:space="preserve"> </w:t>
      </w:r>
    </w:p>
    <w:p w14:paraId="0AA6CFEC" w14:textId="77777777" w:rsidR="00F43DAD" w:rsidRPr="00F43DAD" w:rsidRDefault="00F43DAD" w:rsidP="007F4386">
      <w:pPr>
        <w:keepNext/>
        <w:keepLines/>
        <w:rPr>
          <w:i/>
          <w:highlight w:val="yellow"/>
          <w:lang w:val="en-US" w:bidi="ar-SA"/>
        </w:rPr>
      </w:pPr>
    </w:p>
    <w:p w14:paraId="4621500C" w14:textId="54574F49" w:rsidR="00297626" w:rsidRPr="00297626" w:rsidRDefault="00F43DAD" w:rsidP="007F4386">
      <w:pPr>
        <w:keepNext/>
        <w:keepLines/>
        <w:widowControl/>
        <w:rPr>
          <w:lang w:val="en-US" w:bidi="ar-SA"/>
        </w:rPr>
      </w:pPr>
      <w:r w:rsidRPr="00E71E92">
        <w:rPr>
          <w:lang w:val="en-US" w:bidi="ar-SA"/>
        </w:rPr>
        <w:t xml:space="preserve">This assay was performed using Batch PPY </w:t>
      </w:r>
      <w:r w:rsidR="00E71E92" w:rsidRPr="00E71E92">
        <w:rPr>
          <w:lang w:val="en-US" w:bidi="ar-SA"/>
        </w:rPr>
        <w:t>30930</w:t>
      </w:r>
      <w:r w:rsidRPr="00E71E92">
        <w:rPr>
          <w:lang w:val="en-US" w:bidi="ar-SA"/>
        </w:rPr>
        <w:t xml:space="preserve">, </w:t>
      </w:r>
      <w:r w:rsidR="007853EE" w:rsidRPr="007C7F85">
        <w:rPr>
          <w:lang w:val="en-AU"/>
        </w:rPr>
        <w:t>with a declared dry matter content of 11.4%</w:t>
      </w:r>
      <w:r w:rsidR="007853EE">
        <w:rPr>
          <w:lang w:val="en-AU"/>
        </w:rPr>
        <w:t xml:space="preserve"> w/w (TOS 10.9%)</w:t>
      </w:r>
      <w:r w:rsidR="007853EE" w:rsidRPr="007C7F85">
        <w:rPr>
          <w:lang w:val="en-AU"/>
        </w:rPr>
        <w:t xml:space="preserve"> </w:t>
      </w:r>
      <w:r w:rsidRPr="00E71E92">
        <w:rPr>
          <w:lang w:val="en-US" w:bidi="ar-SA"/>
        </w:rPr>
        <w:t>which is glucoamylase from the production strain that is the subject of the application.</w:t>
      </w:r>
      <w:r w:rsidR="00001CC1">
        <w:rPr>
          <w:lang w:val="en-US" w:bidi="ar-SA"/>
        </w:rPr>
        <w:t xml:space="preserve"> </w:t>
      </w:r>
      <w:r w:rsidRPr="00E71E92">
        <w:rPr>
          <w:lang w:val="en-US" w:bidi="ar-SA"/>
        </w:rPr>
        <w:t>The test article was received as a liquid and diluted with purified water to obtain the range of concentrations tested. Purified water was used as the negative control article</w:t>
      </w:r>
      <w:r w:rsidR="00D00C2E">
        <w:rPr>
          <w:lang w:val="en-US" w:bidi="ar-SA"/>
        </w:rPr>
        <w:t>.</w:t>
      </w:r>
      <w:r w:rsidRPr="00E71E92">
        <w:rPr>
          <w:lang w:val="en-US" w:bidi="ar-SA"/>
        </w:rPr>
        <w:t xml:space="preserve"> Positive control articles were mitomycin C, cyclophosphamide and vinblastine. </w:t>
      </w:r>
      <w:r w:rsidR="00D00C2E" w:rsidRPr="00E71E92">
        <w:rPr>
          <w:lang w:val="en-US" w:bidi="ar-SA"/>
        </w:rPr>
        <w:t>Lymphocytes we</w:t>
      </w:r>
      <w:r w:rsidR="00D00C2E">
        <w:rPr>
          <w:lang w:val="en-US" w:bidi="ar-SA"/>
        </w:rPr>
        <w:t xml:space="preserve">re obtained from </w:t>
      </w:r>
      <w:r w:rsidR="00D00C2E" w:rsidRPr="00E71E92">
        <w:rPr>
          <w:lang w:val="en-US" w:bidi="ar-SA"/>
        </w:rPr>
        <w:t>healthy non-smoking male donors</w:t>
      </w:r>
      <w:r w:rsidR="00D00C2E">
        <w:rPr>
          <w:lang w:val="en-US" w:bidi="ar-SA"/>
        </w:rPr>
        <w:t xml:space="preserve">, for each experiment </w:t>
      </w:r>
      <w:r w:rsidR="00507D23">
        <w:rPr>
          <w:lang w:val="en-US" w:bidi="ar-SA"/>
        </w:rPr>
        <w:t xml:space="preserve">phase </w:t>
      </w:r>
      <w:r w:rsidR="00D00C2E">
        <w:rPr>
          <w:lang w:val="en-US" w:bidi="ar-SA"/>
        </w:rPr>
        <w:t>(</w:t>
      </w:r>
      <w:r w:rsidR="00CA46E2">
        <w:rPr>
          <w:lang w:val="en-US" w:bidi="ar-SA"/>
        </w:rPr>
        <w:t>Range-Finder</w:t>
      </w:r>
      <w:r w:rsidR="00083320">
        <w:rPr>
          <w:lang w:val="en-US" w:bidi="ar-SA"/>
        </w:rPr>
        <w:t xml:space="preserve"> or</w:t>
      </w:r>
      <w:r w:rsidR="00D00C2E">
        <w:rPr>
          <w:lang w:val="en-US" w:bidi="ar-SA"/>
        </w:rPr>
        <w:t xml:space="preserve"> Micronucleus), samples from two donors were pooled.</w:t>
      </w:r>
      <w:r w:rsidR="00D00C2E" w:rsidRPr="00D00C2E">
        <w:rPr>
          <w:lang w:val="en-US" w:bidi="ar-SA"/>
        </w:rPr>
        <w:t xml:space="preserve"> </w:t>
      </w:r>
      <w:r w:rsidR="00271815">
        <w:rPr>
          <w:lang w:val="en-US" w:bidi="ar-SA"/>
        </w:rPr>
        <w:t xml:space="preserve">In </w:t>
      </w:r>
      <w:r w:rsidR="00254C96">
        <w:rPr>
          <w:lang w:val="en-US" w:bidi="ar-SA"/>
        </w:rPr>
        <w:t xml:space="preserve">both </w:t>
      </w:r>
      <w:r w:rsidR="00271815">
        <w:rPr>
          <w:lang w:val="en-US" w:bidi="ar-SA"/>
        </w:rPr>
        <w:t>phases, l</w:t>
      </w:r>
      <w:r w:rsidR="00D00C2E">
        <w:rPr>
          <w:lang w:val="en-US" w:bidi="ar-SA"/>
        </w:rPr>
        <w:t xml:space="preserve">ymphocytes were pre-treated with </w:t>
      </w:r>
      <w:r w:rsidR="00507D23">
        <w:rPr>
          <w:lang w:val="en-US" w:bidi="ar-SA"/>
        </w:rPr>
        <w:t>p</w:t>
      </w:r>
      <w:r w:rsidR="00D00C2E" w:rsidRPr="002E6048">
        <w:rPr>
          <w:lang w:val="en-US" w:bidi="ar-SA"/>
        </w:rPr>
        <w:t>hytohaemagglutinin</w:t>
      </w:r>
      <w:r w:rsidR="00D00C2E">
        <w:rPr>
          <w:lang w:val="en-US" w:bidi="ar-SA"/>
        </w:rPr>
        <w:t xml:space="preserve"> to stimulate division. </w:t>
      </w:r>
      <w:r w:rsidR="00271815">
        <w:rPr>
          <w:lang w:val="en-US" w:bidi="ar-SA"/>
        </w:rPr>
        <w:t xml:space="preserve">In both the </w:t>
      </w:r>
      <w:r w:rsidR="00CA46E2">
        <w:rPr>
          <w:lang w:val="en-US" w:bidi="ar-SA"/>
        </w:rPr>
        <w:t>Range-Finder</w:t>
      </w:r>
      <w:r w:rsidR="00271815">
        <w:rPr>
          <w:lang w:val="en-US" w:bidi="ar-SA"/>
        </w:rPr>
        <w:t xml:space="preserve"> and Micronucleus phases, two time regimes were investigated: three-hours </w:t>
      </w:r>
      <w:r w:rsidR="00284C2F">
        <w:rPr>
          <w:lang w:val="en-US" w:bidi="ar-SA"/>
        </w:rPr>
        <w:t>incubation with</w:t>
      </w:r>
      <w:r w:rsidR="00271815">
        <w:rPr>
          <w:lang w:val="en-US" w:bidi="ar-SA"/>
        </w:rPr>
        <w:t xml:space="preserve"> test material followed</w:t>
      </w:r>
      <w:r w:rsidR="00284C2F">
        <w:rPr>
          <w:lang w:val="en-US" w:bidi="ar-SA"/>
        </w:rPr>
        <w:t>, after washing,</w:t>
      </w:r>
      <w:r w:rsidR="00271815">
        <w:rPr>
          <w:lang w:val="en-US" w:bidi="ar-SA"/>
        </w:rPr>
        <w:t xml:space="preserve"> by a 21-hour </w:t>
      </w:r>
      <w:r w:rsidR="001B4F15">
        <w:rPr>
          <w:lang w:val="en-US" w:bidi="ar-SA"/>
        </w:rPr>
        <w:t>incubation</w:t>
      </w:r>
      <w:r w:rsidR="00271815">
        <w:rPr>
          <w:lang w:val="en-US" w:bidi="ar-SA"/>
        </w:rPr>
        <w:t xml:space="preserve"> period (with or without S9 mix), and a 24-hour </w:t>
      </w:r>
      <w:r w:rsidR="00284C2F">
        <w:rPr>
          <w:lang w:val="en-US" w:bidi="ar-SA"/>
        </w:rPr>
        <w:t>incubation</w:t>
      </w:r>
      <w:r w:rsidR="00271815">
        <w:rPr>
          <w:lang w:val="en-US" w:bidi="ar-SA"/>
        </w:rPr>
        <w:t xml:space="preserve"> followed</w:t>
      </w:r>
      <w:r w:rsidR="001B4F15">
        <w:rPr>
          <w:lang w:val="en-US" w:bidi="ar-SA"/>
        </w:rPr>
        <w:t>, after washing,</w:t>
      </w:r>
      <w:r w:rsidR="00271815">
        <w:rPr>
          <w:lang w:val="en-US" w:bidi="ar-SA"/>
        </w:rPr>
        <w:t xml:space="preserve"> by a 24-hour </w:t>
      </w:r>
      <w:r w:rsidR="001B4F15">
        <w:rPr>
          <w:lang w:val="en-US" w:bidi="ar-SA"/>
        </w:rPr>
        <w:t>incubation</w:t>
      </w:r>
      <w:r w:rsidR="00271815">
        <w:rPr>
          <w:lang w:val="en-US" w:bidi="ar-SA"/>
        </w:rPr>
        <w:t xml:space="preserve"> period (without S9).  Positive controls were only used in the Micronucleus phase of the study, with and without S9 mix for the three hour </w:t>
      </w:r>
      <w:r w:rsidR="001B4F15">
        <w:rPr>
          <w:lang w:val="en-US" w:bidi="ar-SA"/>
        </w:rPr>
        <w:t>incubation</w:t>
      </w:r>
      <w:r w:rsidR="00271815">
        <w:rPr>
          <w:lang w:val="en-US" w:bidi="ar-SA"/>
        </w:rPr>
        <w:t xml:space="preserve"> regime and without S9 mix for the 24-hour </w:t>
      </w:r>
      <w:r w:rsidR="001B4F15">
        <w:rPr>
          <w:lang w:val="en-US" w:bidi="ar-SA"/>
        </w:rPr>
        <w:t xml:space="preserve">incubation </w:t>
      </w:r>
      <w:r w:rsidR="00271815">
        <w:rPr>
          <w:lang w:val="en-US" w:bidi="ar-SA"/>
        </w:rPr>
        <w:t>regime. Independent</w:t>
      </w:r>
      <w:r w:rsidR="00297626">
        <w:rPr>
          <w:lang w:val="en-US" w:bidi="ar-SA"/>
        </w:rPr>
        <w:t xml:space="preserve"> of the treatment time, each Micronucleus test </w:t>
      </w:r>
      <w:r w:rsidR="00297626" w:rsidRPr="00297626">
        <w:rPr>
          <w:lang w:val="en-US" w:bidi="ar-SA"/>
        </w:rPr>
        <w:t xml:space="preserve">with test article and positive control </w:t>
      </w:r>
      <w:r w:rsidR="00297626">
        <w:rPr>
          <w:lang w:val="en-US" w:bidi="ar-SA"/>
        </w:rPr>
        <w:t>was</w:t>
      </w:r>
      <w:r w:rsidR="00297626" w:rsidRPr="00297626">
        <w:rPr>
          <w:lang w:val="en-US" w:bidi="ar-SA"/>
        </w:rPr>
        <w:t xml:space="preserve"> conducted in duplicate whereas assays with the negative control were conducted in fourfold. </w:t>
      </w:r>
      <w:r w:rsidR="00D00C2E" w:rsidRPr="002E6048">
        <w:rPr>
          <w:lang w:val="en-US" w:bidi="ar-SA"/>
        </w:rPr>
        <w:t>Incubation was at 37</w:t>
      </w:r>
      <w:r w:rsidR="00D00C2E" w:rsidRPr="002E6048">
        <w:rPr>
          <w:rFonts w:cs="Arial"/>
          <w:lang w:val="en-US" w:bidi="ar-SA"/>
        </w:rPr>
        <w:t>º</w:t>
      </w:r>
      <w:r w:rsidR="00D00C2E" w:rsidRPr="002E6048">
        <w:rPr>
          <w:lang w:val="en-US" w:bidi="ar-SA"/>
        </w:rPr>
        <w:t>C.</w:t>
      </w:r>
      <w:r w:rsidR="00F27A63">
        <w:rPr>
          <w:lang w:val="en-US" w:bidi="ar-SA"/>
        </w:rPr>
        <w:t xml:space="preserve"> </w:t>
      </w:r>
      <w:r w:rsidR="00FA57D5" w:rsidRPr="00FE446D">
        <w:rPr>
          <w:lang w:val="en-US" w:bidi="ar-SA"/>
        </w:rPr>
        <w:t>At the end of the incubation cells were harvested, processed to slides and examined.</w:t>
      </w:r>
      <w:r w:rsidR="00FA57D5">
        <w:rPr>
          <w:lang w:val="en-US" w:bidi="ar-SA"/>
        </w:rPr>
        <w:t xml:space="preserve"> </w:t>
      </w:r>
      <w:r w:rsidR="00F27A63">
        <w:rPr>
          <w:lang w:val="en-US" w:bidi="ar-SA"/>
        </w:rPr>
        <w:t>Osmola</w:t>
      </w:r>
      <w:r w:rsidR="00507D23">
        <w:rPr>
          <w:lang w:val="en-US" w:bidi="ar-SA"/>
        </w:rPr>
        <w:t xml:space="preserve">lity and pH measurements on post-treatment incubation medium were </w:t>
      </w:r>
      <w:r w:rsidR="00D126DA">
        <w:rPr>
          <w:lang w:val="en-US" w:bidi="ar-SA"/>
        </w:rPr>
        <w:t>undertaken</w:t>
      </w:r>
      <w:r w:rsidR="00001CC1">
        <w:rPr>
          <w:lang w:val="en-US" w:bidi="ar-SA"/>
        </w:rPr>
        <w:t xml:space="preserve">. At </w:t>
      </w:r>
      <w:r w:rsidR="00001CC1" w:rsidRPr="00284C2F">
        <w:rPr>
          <w:lang w:val="en-US" w:bidi="ar-SA"/>
        </w:rPr>
        <w:t xml:space="preserve">5000 </w:t>
      </w:r>
      <w:r w:rsidR="00001CC1" w:rsidRPr="00284C2F">
        <w:rPr>
          <w:rFonts w:cs="Arial"/>
          <w:lang w:val="en-US" w:bidi="ar-SA"/>
        </w:rPr>
        <w:t>µ</w:t>
      </w:r>
      <w:r w:rsidR="00001CC1" w:rsidRPr="00284C2F">
        <w:rPr>
          <w:lang w:val="en-US" w:bidi="ar-SA"/>
        </w:rPr>
        <w:t>g/mL</w:t>
      </w:r>
      <w:r w:rsidR="00001CC1">
        <w:rPr>
          <w:lang w:val="en-US" w:bidi="ar-SA"/>
        </w:rPr>
        <w:t xml:space="preserve"> (highest concentration tested) osmolality and pH were similar to the concurrent vehicle control. </w:t>
      </w:r>
    </w:p>
    <w:p w14:paraId="735A8C54" w14:textId="34BAFF7E" w:rsidR="00F27A63" w:rsidRDefault="00F27A63" w:rsidP="00F43DAD">
      <w:pPr>
        <w:widowControl/>
        <w:rPr>
          <w:lang w:val="en-US" w:bidi="ar-SA"/>
        </w:rPr>
      </w:pPr>
    </w:p>
    <w:p w14:paraId="484A908D" w14:textId="555AD957" w:rsidR="00F43DAD" w:rsidRPr="00B46F0E" w:rsidRDefault="001B4F15" w:rsidP="00B46F0E">
      <w:pPr>
        <w:rPr>
          <w:lang w:val="en-US" w:bidi="ar-SA"/>
        </w:rPr>
      </w:pPr>
      <w:r>
        <w:rPr>
          <w:lang w:val="en-US" w:bidi="ar-SA"/>
        </w:rPr>
        <w:t xml:space="preserve">The </w:t>
      </w:r>
      <w:r w:rsidR="00CA46E2">
        <w:rPr>
          <w:lang w:val="en-US" w:bidi="ar-SA"/>
        </w:rPr>
        <w:t>Range-Finder</w:t>
      </w:r>
      <w:r w:rsidR="0028290C">
        <w:rPr>
          <w:lang w:val="en-US" w:bidi="ar-SA"/>
        </w:rPr>
        <w:t xml:space="preserve"> experiment was carried out to determine whether there was evidence of cytotoxicity and assist in selection of dose levels for the Micronucleus </w:t>
      </w:r>
      <w:r w:rsidR="00D126DA">
        <w:rPr>
          <w:lang w:val="en-US" w:bidi="ar-SA"/>
        </w:rPr>
        <w:t>test</w:t>
      </w:r>
      <w:r w:rsidR="0028290C">
        <w:rPr>
          <w:lang w:val="en-US" w:bidi="ar-SA"/>
        </w:rPr>
        <w:t>.</w:t>
      </w:r>
      <w:r w:rsidR="002760E7">
        <w:rPr>
          <w:lang w:val="en-US" w:bidi="ar-SA"/>
        </w:rPr>
        <w:t xml:space="preserve"> </w:t>
      </w:r>
      <w:r w:rsidR="00284C2F">
        <w:rPr>
          <w:lang w:val="en-US" w:bidi="ar-SA"/>
        </w:rPr>
        <w:t xml:space="preserve">The </w:t>
      </w:r>
      <w:r w:rsidR="00CA46E2">
        <w:rPr>
          <w:lang w:val="en-US" w:bidi="ar-SA"/>
        </w:rPr>
        <w:t>Range-Finder</w:t>
      </w:r>
      <w:r w:rsidR="00284C2F">
        <w:rPr>
          <w:lang w:val="en-US" w:bidi="ar-SA"/>
        </w:rPr>
        <w:t xml:space="preserve"> investigated the following concentrations of test article </w:t>
      </w:r>
      <w:r w:rsidR="00284C2F" w:rsidRPr="00284C2F">
        <w:rPr>
          <w:lang w:val="en-US" w:bidi="ar-SA"/>
        </w:rPr>
        <w:t xml:space="preserve">0, 18.1, 30.2, 50.4, 84, 140, 233, 389, 648, 1080, 1800, 3000 and 5000 </w:t>
      </w:r>
      <w:r w:rsidR="00284C2F" w:rsidRPr="00284C2F">
        <w:rPr>
          <w:rFonts w:cs="Arial"/>
          <w:lang w:val="en-US" w:bidi="ar-SA"/>
        </w:rPr>
        <w:t>µ</w:t>
      </w:r>
      <w:r w:rsidR="00284C2F" w:rsidRPr="00284C2F">
        <w:rPr>
          <w:lang w:val="en-US" w:bidi="ar-SA"/>
        </w:rPr>
        <w:t>g/mL</w:t>
      </w:r>
      <w:r w:rsidR="00284C2F">
        <w:rPr>
          <w:lang w:val="en-US" w:bidi="ar-SA"/>
        </w:rPr>
        <w:t>.</w:t>
      </w:r>
      <w:r w:rsidR="00AB17FA" w:rsidRPr="00AB17FA">
        <w:rPr>
          <w:lang w:val="en-US" w:bidi="ar-SA"/>
        </w:rPr>
        <w:t xml:space="preserve"> </w:t>
      </w:r>
      <w:r w:rsidR="00AB17FA">
        <w:rPr>
          <w:lang w:val="en-US" w:bidi="ar-SA"/>
        </w:rPr>
        <w:t xml:space="preserve">Under all conditions investigated on </w:t>
      </w:r>
      <w:r w:rsidR="00AB17FA" w:rsidRPr="00FA57D5">
        <w:rPr>
          <w:lang w:val="en-US" w:bidi="ar-SA"/>
        </w:rPr>
        <w:t xml:space="preserve">the </w:t>
      </w:r>
      <w:r w:rsidR="00CA46E2">
        <w:rPr>
          <w:lang w:val="en-US" w:bidi="ar-SA"/>
        </w:rPr>
        <w:t>Range-Finder</w:t>
      </w:r>
      <w:r w:rsidR="00AB17FA" w:rsidRPr="00FA57D5">
        <w:rPr>
          <w:lang w:val="en-US" w:bidi="ar-SA"/>
        </w:rPr>
        <w:t xml:space="preserve"> experiment</w:t>
      </w:r>
      <w:r>
        <w:rPr>
          <w:lang w:val="en-US" w:bidi="ar-SA"/>
        </w:rPr>
        <w:t xml:space="preserve"> </w:t>
      </w:r>
      <w:r w:rsidR="00AB17FA">
        <w:rPr>
          <w:lang w:val="en-US" w:bidi="ar-SA"/>
        </w:rPr>
        <w:t xml:space="preserve">only a low level (range 0-19%) of cytotoxicity was observed. On this basis </w:t>
      </w:r>
      <w:r w:rsidR="00FA57D5" w:rsidRPr="00FA57D5">
        <w:rPr>
          <w:lang w:val="en-US" w:bidi="ar-SA"/>
        </w:rPr>
        <w:t xml:space="preserve">the doses for both the three and 24-hour exposure </w:t>
      </w:r>
      <w:r w:rsidR="00FA57D5">
        <w:rPr>
          <w:lang w:val="en-US" w:bidi="ar-SA"/>
        </w:rPr>
        <w:t>Micronucleus assays</w:t>
      </w:r>
      <w:r w:rsidR="00FA57D5" w:rsidRPr="00FA57D5">
        <w:rPr>
          <w:lang w:val="en-US" w:bidi="ar-SA"/>
        </w:rPr>
        <w:t xml:space="preserve"> were 500, 1000, 2000, 3000, 4000 and 5000 </w:t>
      </w:r>
      <w:r w:rsidR="00FA57D5" w:rsidRPr="00FA57D5">
        <w:rPr>
          <w:rFonts w:cs="Arial"/>
          <w:lang w:val="en-US" w:bidi="ar-SA"/>
        </w:rPr>
        <w:t>µ</w:t>
      </w:r>
      <w:r w:rsidR="00FA57D5" w:rsidRPr="00FA57D5">
        <w:rPr>
          <w:lang w:val="en-US" w:bidi="ar-SA"/>
        </w:rPr>
        <w:t>g/mL</w:t>
      </w:r>
      <w:r w:rsidR="00FA57D5" w:rsidRPr="00B46F0E">
        <w:rPr>
          <w:lang w:val="en-US" w:bidi="ar-SA"/>
        </w:rPr>
        <w:t>.</w:t>
      </w:r>
      <w:r w:rsidR="00AB17FA" w:rsidRPr="00B46F0E">
        <w:rPr>
          <w:lang w:val="en-US" w:bidi="ar-SA"/>
        </w:rPr>
        <w:t xml:space="preserve"> </w:t>
      </w:r>
      <w:r w:rsidR="00B16FA3">
        <w:rPr>
          <w:lang w:val="en-US" w:bidi="ar-SA"/>
        </w:rPr>
        <w:t xml:space="preserve">As expected from the </w:t>
      </w:r>
      <w:r w:rsidR="00CA46E2">
        <w:rPr>
          <w:lang w:val="en-US" w:bidi="ar-SA"/>
        </w:rPr>
        <w:t>Range-Finder</w:t>
      </w:r>
      <w:r w:rsidR="00B16FA3">
        <w:rPr>
          <w:lang w:val="en-US" w:bidi="ar-SA"/>
        </w:rPr>
        <w:t xml:space="preserve"> study the level of cytotoxicity </w:t>
      </w:r>
      <w:r w:rsidR="008A1FA8">
        <w:rPr>
          <w:lang w:val="en-US" w:bidi="ar-SA"/>
        </w:rPr>
        <w:t>i</w:t>
      </w:r>
      <w:r w:rsidR="00B16FA3">
        <w:rPr>
          <w:lang w:val="en-US" w:bidi="ar-SA"/>
        </w:rPr>
        <w:t xml:space="preserve">n the Micronucleus phase was low, (range 0-7%). </w:t>
      </w:r>
      <w:r w:rsidR="00FA57D5" w:rsidRPr="00B46F0E">
        <w:rPr>
          <w:lang w:val="en-US" w:bidi="ar-SA"/>
        </w:rPr>
        <w:t>The expected significant increase in binucleate cells with micronuclei was observed</w:t>
      </w:r>
      <w:r w:rsidR="008A1FA8">
        <w:rPr>
          <w:lang w:val="en-US" w:bidi="ar-SA"/>
        </w:rPr>
        <w:t xml:space="preserve"> </w:t>
      </w:r>
      <w:r w:rsidR="00FA57D5" w:rsidRPr="00B46F0E">
        <w:rPr>
          <w:lang w:val="en-US" w:bidi="ar-SA"/>
        </w:rPr>
        <w:t xml:space="preserve"> with all positive control articles. However no treatment-related increase in binucleate cells with micronuclei, relative to negative control assays, was observed in assays containing the test article, with or without S9 mix. </w:t>
      </w:r>
      <w:r w:rsidR="00F43DAD" w:rsidRPr="00B46F0E">
        <w:rPr>
          <w:lang w:val="en-US" w:bidi="ar-SA"/>
        </w:rPr>
        <w:t>No significant differences were observed between treated and negative control cells.</w:t>
      </w:r>
    </w:p>
    <w:p w14:paraId="672EF9E6" w14:textId="77777777" w:rsidR="00013737" w:rsidRDefault="00013737" w:rsidP="00F43DAD">
      <w:pPr>
        <w:rPr>
          <w:lang w:val="en-US" w:bidi="ar-SA"/>
        </w:rPr>
      </w:pPr>
    </w:p>
    <w:p w14:paraId="47B2ECC1" w14:textId="41369CED" w:rsidR="00F43DAD" w:rsidRPr="00F43DAD" w:rsidRDefault="00F43DAD" w:rsidP="00F43DAD">
      <w:pPr>
        <w:rPr>
          <w:lang w:val="en-US" w:bidi="ar-SA"/>
        </w:rPr>
      </w:pPr>
      <w:r w:rsidRPr="00B46F0E">
        <w:rPr>
          <w:lang w:val="en-US" w:bidi="ar-SA"/>
        </w:rPr>
        <w:t xml:space="preserve">It was concluded that the test article, with or without metabolic activation, did not induce micronuclei in human peripheral blood lymphocytes at concentrations up to 5000 </w:t>
      </w:r>
      <w:r w:rsidRPr="00B46F0E">
        <w:rPr>
          <w:rFonts w:cs="Arial"/>
          <w:lang w:val="en-US" w:bidi="ar-SA"/>
        </w:rPr>
        <w:t>µ</w:t>
      </w:r>
      <w:r w:rsidRPr="00B46F0E">
        <w:rPr>
          <w:lang w:val="en-US" w:bidi="ar-SA"/>
        </w:rPr>
        <w:t>g/mL</w:t>
      </w:r>
    </w:p>
    <w:p w14:paraId="382E8460" w14:textId="6658ECB4" w:rsidR="00C15A6C" w:rsidRDefault="007B70AE" w:rsidP="00E02D51">
      <w:pPr>
        <w:pStyle w:val="Heading3"/>
      </w:pPr>
      <w:bookmarkStart w:id="98" w:name="_Toc536544008"/>
      <w:bookmarkStart w:id="99" w:name="_Toc536607143"/>
      <w:bookmarkStart w:id="100" w:name="_Toc28003782"/>
      <w:r>
        <w:t>3.3</w:t>
      </w:r>
      <w:r w:rsidR="00C15A6C">
        <w:t>.5</w:t>
      </w:r>
      <w:r w:rsidR="0035149D">
        <w:tab/>
      </w:r>
      <w:r w:rsidR="009F4D72">
        <w:t>P</w:t>
      </w:r>
      <w:r w:rsidR="00C15A6C">
        <w:t>otential for allergenicity</w:t>
      </w:r>
      <w:bookmarkEnd w:id="98"/>
      <w:bookmarkEnd w:id="99"/>
      <w:bookmarkEnd w:id="100"/>
      <w:r w:rsidR="00C15A6C">
        <w:t xml:space="preserve"> </w:t>
      </w:r>
    </w:p>
    <w:p w14:paraId="4D4E8089" w14:textId="34BA8D77" w:rsidR="005C5F5C" w:rsidRDefault="005C5F5C" w:rsidP="00F43DAD">
      <w:pPr>
        <w:rPr>
          <w:lang w:bidi="ar-SA"/>
        </w:rPr>
      </w:pPr>
      <w:r>
        <w:rPr>
          <w:lang w:bidi="ar-SA"/>
        </w:rPr>
        <w:t>A s</w:t>
      </w:r>
      <w:r w:rsidR="00F43DAD" w:rsidRPr="00FF52F9">
        <w:rPr>
          <w:lang w:bidi="ar-SA"/>
        </w:rPr>
        <w:t xml:space="preserve">equence homology assessment to known allergens was conducted by the applicant </w:t>
      </w:r>
      <w:r w:rsidR="00B86C79">
        <w:rPr>
          <w:lang w:bidi="ar-SA"/>
        </w:rPr>
        <w:t xml:space="preserve">and FSANZ </w:t>
      </w:r>
      <w:r w:rsidR="00F43DAD" w:rsidRPr="00FF52F9">
        <w:rPr>
          <w:lang w:bidi="ar-SA"/>
        </w:rPr>
        <w:t>by comparing the glucoamylase to the databases of FARRP (</w:t>
      </w:r>
      <w:hyperlink r:id="rId20" w:history="1">
        <w:r w:rsidR="00F43DAD" w:rsidRPr="00FF52F9">
          <w:rPr>
            <w:color w:val="3333FF"/>
            <w:u w:val="single"/>
            <w:lang w:bidi="ar-SA"/>
          </w:rPr>
          <w:t>http://www.allergenonline.org</w:t>
        </w:r>
      </w:hyperlink>
      <w:r w:rsidR="00F43DAD" w:rsidRPr="00FF52F9">
        <w:rPr>
          <w:lang w:bidi="ar-SA"/>
        </w:rPr>
        <w:t>) and the World Health Organisation and International Union of Immunological Societies (WHO/IUIS) Allergen Nomenclature Sub-committee (</w:t>
      </w:r>
      <w:hyperlink r:id="rId21" w:history="1">
        <w:r w:rsidR="00F43DAD" w:rsidRPr="00FF52F9">
          <w:rPr>
            <w:color w:val="3333FF"/>
            <w:u w:val="single"/>
            <w:lang w:bidi="ar-SA"/>
          </w:rPr>
          <w:t>http://www.allergen.org</w:t>
        </w:r>
      </w:hyperlink>
      <w:r w:rsidR="00F43DAD" w:rsidRPr="00FF52F9">
        <w:rPr>
          <w:lang w:bidi="ar-SA"/>
        </w:rPr>
        <w:t xml:space="preserve">). </w:t>
      </w:r>
      <w:r w:rsidR="00B86C79">
        <w:rPr>
          <w:lang w:bidi="ar-SA"/>
        </w:rPr>
        <w:t xml:space="preserve">The applicant’s search was carried out using FASTA version 34 in January 2018, whilst FSANZ used the most recent version (at the time of this assessment), FASTA 36. </w:t>
      </w:r>
    </w:p>
    <w:p w14:paraId="73D1CAFF" w14:textId="77777777" w:rsidR="001E14AC" w:rsidRDefault="001E14AC" w:rsidP="00F43DAD">
      <w:pPr>
        <w:rPr>
          <w:lang w:bidi="ar-SA"/>
        </w:rPr>
      </w:pPr>
    </w:p>
    <w:p w14:paraId="139D86E7" w14:textId="75DB0297" w:rsidR="001E14AC" w:rsidRDefault="00F43DAD" w:rsidP="00F43DAD">
      <w:pPr>
        <w:rPr>
          <w:lang w:bidi="ar-SA"/>
        </w:rPr>
      </w:pPr>
      <w:r w:rsidRPr="00FF52F9">
        <w:rPr>
          <w:lang w:bidi="ar-SA"/>
        </w:rPr>
        <w:t xml:space="preserve">Using the 80-mer sliding window </w:t>
      </w:r>
      <w:r w:rsidR="00B86C79">
        <w:rPr>
          <w:lang w:bidi="ar-SA"/>
        </w:rPr>
        <w:t xml:space="preserve">both </w:t>
      </w:r>
      <w:r w:rsidRPr="00FF52F9">
        <w:rPr>
          <w:lang w:bidi="ar-SA"/>
        </w:rPr>
        <w:t>search</w:t>
      </w:r>
      <w:r w:rsidR="00B86C79">
        <w:rPr>
          <w:lang w:bidi="ar-SA"/>
        </w:rPr>
        <w:t>es</w:t>
      </w:r>
      <w:r w:rsidRPr="00FF52F9">
        <w:rPr>
          <w:lang w:bidi="ar-SA"/>
        </w:rPr>
        <w:t xml:space="preserve"> </w:t>
      </w:r>
      <w:r w:rsidR="00B86C79">
        <w:rPr>
          <w:lang w:bidi="ar-SA"/>
        </w:rPr>
        <w:t xml:space="preserve">found </w:t>
      </w:r>
      <w:r w:rsidRPr="00FF52F9">
        <w:rPr>
          <w:lang w:bidi="ar-SA"/>
        </w:rPr>
        <w:t>significant similarity</w:t>
      </w:r>
      <w:r w:rsidR="000D5330">
        <w:rPr>
          <w:lang w:bidi="ar-SA"/>
        </w:rPr>
        <w:t xml:space="preserve">, </w:t>
      </w:r>
      <w:r w:rsidR="00997036">
        <w:rPr>
          <w:lang w:bidi="ar-SA"/>
        </w:rPr>
        <w:t>up to 84%</w:t>
      </w:r>
      <w:r w:rsidR="00B86C79">
        <w:rPr>
          <w:lang w:bidi="ar-SA"/>
        </w:rPr>
        <w:t xml:space="preserve"> from FASTA 34 and 82.5% using FASTA 36</w:t>
      </w:r>
      <w:r w:rsidR="000D5330">
        <w:rPr>
          <w:lang w:bidi="ar-SA"/>
        </w:rPr>
        <w:t>, (E values &lt;</w:t>
      </w:r>
      <w:r w:rsidR="000D5330" w:rsidRPr="000D5330">
        <w:rPr>
          <w:lang w:bidi="ar-SA"/>
        </w:rPr>
        <w:t>1x10</w:t>
      </w:r>
      <w:r w:rsidR="000D5330">
        <w:rPr>
          <w:vertAlign w:val="superscript"/>
          <w:lang w:bidi="ar-SA"/>
        </w:rPr>
        <w:t>-7</w:t>
      </w:r>
      <w:r w:rsidR="000D5330">
        <w:rPr>
          <w:lang w:bidi="ar-SA"/>
        </w:rPr>
        <w:t xml:space="preserve">) </w:t>
      </w:r>
      <w:r w:rsidRPr="000D5330">
        <w:rPr>
          <w:lang w:bidi="ar-SA"/>
        </w:rPr>
        <w:t>to</w:t>
      </w:r>
      <w:r w:rsidRPr="00FF52F9">
        <w:rPr>
          <w:lang w:bidi="ar-SA"/>
        </w:rPr>
        <w:t xml:space="preserve"> the glucoamylase from </w:t>
      </w:r>
      <w:r w:rsidRPr="00FF52F9">
        <w:rPr>
          <w:i/>
          <w:lang w:bidi="ar-SA"/>
        </w:rPr>
        <w:t>Schizophyllum commune</w:t>
      </w:r>
      <w:r w:rsidRPr="00FF52F9">
        <w:rPr>
          <w:lang w:bidi="ar-SA"/>
        </w:rPr>
        <w:t xml:space="preserve"> (splitgill mushroom</w:t>
      </w:r>
      <w:r w:rsidRPr="0058779A">
        <w:rPr>
          <w:lang w:bidi="ar-SA"/>
        </w:rPr>
        <w:t xml:space="preserve">). </w:t>
      </w:r>
      <w:r w:rsidR="00966FEC">
        <w:rPr>
          <w:lang w:bidi="ar-SA"/>
        </w:rPr>
        <w:t xml:space="preserve">A full length sequence alignment search revealed a high degree of protein </w:t>
      </w:r>
      <w:r w:rsidR="00966FEC" w:rsidRPr="00AE565E">
        <w:rPr>
          <w:lang w:bidi="ar-SA"/>
        </w:rPr>
        <w:t xml:space="preserve">homology </w:t>
      </w:r>
      <w:r w:rsidR="00966FEC">
        <w:rPr>
          <w:lang w:bidi="ar-SA"/>
        </w:rPr>
        <w:t xml:space="preserve">(70%) which was not confined to a distinct region; a search for exact matches of 8 amino acid sequences identified 43 matches. </w:t>
      </w:r>
      <w:r w:rsidR="00884713">
        <w:rPr>
          <w:lang w:bidi="ar-SA"/>
        </w:rPr>
        <w:t>These results</w:t>
      </w:r>
      <w:r w:rsidR="00966FEC">
        <w:rPr>
          <w:lang w:bidi="ar-SA"/>
        </w:rPr>
        <w:t xml:space="preserve"> of high similarity</w:t>
      </w:r>
      <w:r w:rsidR="00884713">
        <w:rPr>
          <w:lang w:bidi="ar-SA"/>
        </w:rPr>
        <w:t xml:space="preserve"> are </w:t>
      </w:r>
      <w:r w:rsidR="00966FEC">
        <w:rPr>
          <w:lang w:bidi="ar-SA"/>
        </w:rPr>
        <w:t xml:space="preserve">not unexpected as the donor organism </w:t>
      </w:r>
      <w:r w:rsidR="00966FEC">
        <w:rPr>
          <w:i/>
          <w:lang w:bidi="ar-SA"/>
        </w:rPr>
        <w:t>T.</w:t>
      </w:r>
      <w:r w:rsidR="00150BBE">
        <w:rPr>
          <w:i/>
          <w:lang w:bidi="ar-SA"/>
        </w:rPr>
        <w:t> </w:t>
      </w:r>
      <w:r w:rsidR="00966FEC">
        <w:rPr>
          <w:i/>
          <w:lang w:bidi="ar-SA"/>
        </w:rPr>
        <w:t>cingulat</w:t>
      </w:r>
      <w:r w:rsidR="00150BBE">
        <w:rPr>
          <w:i/>
          <w:lang w:bidi="ar-SA"/>
        </w:rPr>
        <w:t>a</w:t>
      </w:r>
      <w:r w:rsidR="00966FEC">
        <w:rPr>
          <w:i/>
          <w:lang w:bidi="ar-SA"/>
        </w:rPr>
        <w:t xml:space="preserve"> </w:t>
      </w:r>
      <w:r w:rsidR="00591B2B">
        <w:rPr>
          <w:lang w:bidi="ar-SA"/>
        </w:rPr>
        <w:t>is also a mushroom</w:t>
      </w:r>
      <w:r w:rsidR="00966FEC">
        <w:rPr>
          <w:lang w:bidi="ar-SA"/>
        </w:rPr>
        <w:t xml:space="preserve">/fungus. </w:t>
      </w:r>
      <w:r w:rsidR="00591B2B">
        <w:rPr>
          <w:i/>
          <w:lang w:bidi="ar-SA"/>
        </w:rPr>
        <w:t>T.</w:t>
      </w:r>
      <w:r w:rsidR="00150BBE">
        <w:rPr>
          <w:i/>
          <w:lang w:bidi="ar-SA"/>
        </w:rPr>
        <w:t xml:space="preserve"> </w:t>
      </w:r>
      <w:r w:rsidR="00591B2B">
        <w:rPr>
          <w:i/>
          <w:lang w:bidi="ar-SA"/>
        </w:rPr>
        <w:t>cingulat</w:t>
      </w:r>
      <w:r w:rsidR="00150BBE">
        <w:rPr>
          <w:i/>
          <w:lang w:bidi="ar-SA"/>
        </w:rPr>
        <w:t>a</w:t>
      </w:r>
      <w:r w:rsidR="00591B2B">
        <w:rPr>
          <w:i/>
          <w:lang w:bidi="ar-SA"/>
        </w:rPr>
        <w:t xml:space="preserve"> </w:t>
      </w:r>
      <w:r w:rsidR="00591B2B">
        <w:rPr>
          <w:lang w:bidi="ar-SA"/>
        </w:rPr>
        <w:t xml:space="preserve">is also known as “white rot fungus” and is commonly found on debarked trees and rotting wood. No reports of </w:t>
      </w:r>
      <w:r w:rsidR="00591B2B">
        <w:rPr>
          <w:i/>
          <w:lang w:bidi="ar-SA"/>
        </w:rPr>
        <w:t>T.</w:t>
      </w:r>
      <w:r w:rsidR="00150BBE">
        <w:rPr>
          <w:i/>
          <w:lang w:bidi="ar-SA"/>
        </w:rPr>
        <w:t xml:space="preserve"> </w:t>
      </w:r>
      <w:r w:rsidR="00591B2B">
        <w:rPr>
          <w:i/>
          <w:lang w:bidi="ar-SA"/>
        </w:rPr>
        <w:t>cingulat</w:t>
      </w:r>
      <w:r w:rsidR="00150BBE">
        <w:rPr>
          <w:i/>
          <w:lang w:bidi="ar-SA"/>
        </w:rPr>
        <w:t>a</w:t>
      </w:r>
      <w:r w:rsidR="00591B2B">
        <w:rPr>
          <w:i/>
          <w:lang w:bidi="ar-SA"/>
        </w:rPr>
        <w:t xml:space="preserve"> </w:t>
      </w:r>
      <w:r w:rsidR="00591B2B">
        <w:rPr>
          <w:lang w:bidi="ar-SA"/>
        </w:rPr>
        <w:t xml:space="preserve">as a food were found, nor reports of any adverse effects associated with this mushroom. </w:t>
      </w:r>
    </w:p>
    <w:p w14:paraId="0706E99B" w14:textId="77777777" w:rsidR="001E14AC" w:rsidRDefault="001E14AC" w:rsidP="00F43DAD">
      <w:pPr>
        <w:rPr>
          <w:lang w:bidi="ar-SA"/>
        </w:rPr>
      </w:pPr>
    </w:p>
    <w:p w14:paraId="480715AA" w14:textId="039369CD" w:rsidR="00F83CBA" w:rsidRPr="00EC49AE" w:rsidRDefault="001E06A0" w:rsidP="00F43DAD">
      <w:pPr>
        <w:rPr>
          <w:lang w:bidi="ar-SA"/>
        </w:rPr>
      </w:pPr>
      <w:r>
        <w:rPr>
          <w:lang w:bidi="ar-SA"/>
        </w:rPr>
        <w:t xml:space="preserve">According to </w:t>
      </w:r>
      <w:r w:rsidR="00C43673" w:rsidRPr="00403ACA">
        <w:rPr>
          <w:lang w:bidi="ar-SA"/>
        </w:rPr>
        <w:t>Aalberse et al</w:t>
      </w:r>
      <w:r w:rsidR="007F5F1F">
        <w:rPr>
          <w:lang w:bidi="ar-SA"/>
        </w:rPr>
        <w:t>.</w:t>
      </w:r>
      <w:r w:rsidR="00C43673" w:rsidRPr="00403ACA">
        <w:rPr>
          <w:lang w:bidi="ar-SA"/>
        </w:rPr>
        <w:t xml:space="preserve"> (2000)</w:t>
      </w:r>
      <w:r w:rsidR="00C43673">
        <w:rPr>
          <w:lang w:bidi="ar-SA"/>
        </w:rPr>
        <w:t xml:space="preserve"> </w:t>
      </w:r>
      <w:r>
        <w:rPr>
          <w:lang w:bidi="ar-SA"/>
        </w:rPr>
        <w:t xml:space="preserve">70% homology over the </w:t>
      </w:r>
      <w:r w:rsidR="001E14AC">
        <w:rPr>
          <w:lang w:bidi="ar-SA"/>
        </w:rPr>
        <w:t xml:space="preserve">full length with an allergen has a moderate likelihood of </w:t>
      </w:r>
      <w:r>
        <w:rPr>
          <w:lang w:bidi="ar-SA"/>
        </w:rPr>
        <w:t>cross-react</w:t>
      </w:r>
      <w:r w:rsidR="001E14AC">
        <w:rPr>
          <w:lang w:bidi="ar-SA"/>
        </w:rPr>
        <w:t>ivity</w:t>
      </w:r>
      <w:r>
        <w:rPr>
          <w:lang w:bidi="ar-SA"/>
        </w:rPr>
        <w:t>. On this basis it is possible that this glucoamylase will act as an allergen</w:t>
      </w:r>
      <w:r w:rsidR="001E14AC">
        <w:rPr>
          <w:lang w:bidi="ar-SA"/>
        </w:rPr>
        <w:t>. H</w:t>
      </w:r>
      <w:r>
        <w:rPr>
          <w:lang w:bidi="ar-SA"/>
        </w:rPr>
        <w:t>owever, a</w:t>
      </w:r>
      <w:r w:rsidR="00884713">
        <w:rPr>
          <w:lang w:bidi="ar-SA"/>
        </w:rPr>
        <w:t xml:space="preserve">s </w:t>
      </w:r>
      <w:r>
        <w:rPr>
          <w:lang w:bidi="ar-SA"/>
        </w:rPr>
        <w:t>mentioned</w:t>
      </w:r>
      <w:r w:rsidR="00884713">
        <w:rPr>
          <w:lang w:bidi="ar-SA"/>
        </w:rPr>
        <w:t xml:space="preserve"> in</w:t>
      </w:r>
      <w:r w:rsidR="00AE565E">
        <w:rPr>
          <w:lang w:bidi="ar-SA"/>
        </w:rPr>
        <w:t xml:space="preserve"> the assessment for</w:t>
      </w:r>
      <w:r w:rsidR="00884713">
        <w:rPr>
          <w:lang w:bidi="ar-SA"/>
        </w:rPr>
        <w:t xml:space="preserve"> A1168, t</w:t>
      </w:r>
      <w:r w:rsidR="00F43DAD" w:rsidRPr="00C17F01">
        <w:rPr>
          <w:lang w:bidi="ar-SA"/>
        </w:rPr>
        <w:t xml:space="preserve">he glucoamylase from </w:t>
      </w:r>
      <w:r w:rsidR="00F43DAD" w:rsidRPr="00C17F01">
        <w:rPr>
          <w:i/>
          <w:lang w:bidi="ar-SA"/>
        </w:rPr>
        <w:t>S. commune</w:t>
      </w:r>
      <w:r w:rsidR="001E14AC">
        <w:rPr>
          <w:i/>
          <w:lang w:bidi="ar-SA"/>
        </w:rPr>
        <w:t xml:space="preserve">, </w:t>
      </w:r>
      <w:r w:rsidR="001E14AC" w:rsidRPr="001E14AC">
        <w:rPr>
          <w:lang w:bidi="ar-SA"/>
        </w:rPr>
        <w:t>which this gluc</w:t>
      </w:r>
      <w:r w:rsidR="001E14AC">
        <w:rPr>
          <w:lang w:bidi="ar-SA"/>
        </w:rPr>
        <w:t>o</w:t>
      </w:r>
      <w:r w:rsidR="001E14AC" w:rsidRPr="001E14AC">
        <w:rPr>
          <w:lang w:bidi="ar-SA"/>
        </w:rPr>
        <w:t>amylase</w:t>
      </w:r>
      <w:r w:rsidR="001E14AC">
        <w:rPr>
          <w:i/>
          <w:lang w:bidi="ar-SA"/>
        </w:rPr>
        <w:t xml:space="preserve"> </w:t>
      </w:r>
      <w:r w:rsidR="001E14AC" w:rsidRPr="001E14AC">
        <w:rPr>
          <w:lang w:bidi="ar-SA"/>
        </w:rPr>
        <w:t>is showing similarity with</w:t>
      </w:r>
      <w:r w:rsidR="001E14AC">
        <w:rPr>
          <w:lang w:bidi="ar-SA"/>
        </w:rPr>
        <w:t>,</w:t>
      </w:r>
      <w:r w:rsidR="00F43DAD" w:rsidRPr="001E14AC">
        <w:rPr>
          <w:lang w:bidi="ar-SA"/>
        </w:rPr>
        <w:t xml:space="preserve"> h</w:t>
      </w:r>
      <w:r w:rsidR="00F43DAD" w:rsidRPr="00C17F01">
        <w:rPr>
          <w:lang w:bidi="ar-SA"/>
        </w:rPr>
        <w:t>as been identified as a respiratory allergen, associated with fungal rhinitis, sinusitis and allergic bronchopulmonary mycosis (Toyotome et al</w:t>
      </w:r>
      <w:r w:rsidR="007F5F1F">
        <w:rPr>
          <w:lang w:bidi="ar-SA"/>
        </w:rPr>
        <w:t>.</w:t>
      </w:r>
      <w:r w:rsidR="00F43DAD" w:rsidRPr="00C17F01">
        <w:rPr>
          <w:lang w:bidi="ar-SA"/>
        </w:rPr>
        <w:t xml:space="preserve"> 2014</w:t>
      </w:r>
      <w:r w:rsidR="004206CE">
        <w:rPr>
          <w:lang w:bidi="ar-SA"/>
        </w:rPr>
        <w:t>), rather than a food allergen</w:t>
      </w:r>
      <w:r w:rsidR="00F43DAD" w:rsidRPr="00C17F01">
        <w:rPr>
          <w:lang w:bidi="ar-SA"/>
        </w:rPr>
        <w:t xml:space="preserve">. There have been no reports of allergic reactions associated with the consumption of </w:t>
      </w:r>
      <w:r w:rsidR="00F43DAD" w:rsidRPr="00C17F01">
        <w:rPr>
          <w:i/>
          <w:lang w:bidi="ar-SA"/>
        </w:rPr>
        <w:t>S. commune</w:t>
      </w:r>
      <w:r w:rsidR="00F43DAD" w:rsidRPr="00C17F01">
        <w:rPr>
          <w:lang w:bidi="ar-SA"/>
        </w:rPr>
        <w:t>, which is eaten in Africa, Asia, the Indian subcontinent, and central America</w:t>
      </w:r>
      <w:r w:rsidR="00AE565E">
        <w:rPr>
          <w:lang w:bidi="ar-SA"/>
        </w:rPr>
        <w:t xml:space="preserve">. </w:t>
      </w:r>
      <w:r w:rsidR="00E41003">
        <w:rPr>
          <w:lang w:bidi="ar-SA"/>
        </w:rPr>
        <w:t>This is consistent with the finding that r</w:t>
      </w:r>
      <w:r w:rsidR="00C803B1">
        <w:rPr>
          <w:lang w:bidi="ar-SA"/>
        </w:rPr>
        <w:t xml:space="preserve">espiratory </w:t>
      </w:r>
      <w:r w:rsidR="00E41003">
        <w:rPr>
          <w:lang w:bidi="ar-SA"/>
        </w:rPr>
        <w:t xml:space="preserve">allergens </w:t>
      </w:r>
      <w:r w:rsidR="00C803B1">
        <w:rPr>
          <w:lang w:bidi="ar-SA"/>
        </w:rPr>
        <w:t xml:space="preserve">are usually not </w:t>
      </w:r>
      <w:r w:rsidR="00E41003">
        <w:rPr>
          <w:lang w:bidi="ar-SA"/>
        </w:rPr>
        <w:t>digestive</w:t>
      </w:r>
      <w:r w:rsidR="00C803B1">
        <w:rPr>
          <w:lang w:bidi="ar-SA"/>
        </w:rPr>
        <w:t xml:space="preserve"> allergens, </w:t>
      </w:r>
      <w:r w:rsidR="00E41003">
        <w:rPr>
          <w:lang w:bidi="ar-SA"/>
        </w:rPr>
        <w:t xml:space="preserve">which in turn is considered to be </w:t>
      </w:r>
      <w:r w:rsidR="007B3764">
        <w:rPr>
          <w:lang w:bidi="ar-SA"/>
        </w:rPr>
        <w:t xml:space="preserve">due to insufficient amounts of the allergen being ingested to trigger a clinical reaction. The use pattern of the glucoamylase in this application is such that it will be used at the minimal level to achieve its technical function and </w:t>
      </w:r>
      <w:r w:rsidR="00C1668C">
        <w:rPr>
          <w:lang w:bidi="ar-SA"/>
        </w:rPr>
        <w:t>if present in the final food, the amount present would be expected to be very low and insufficient to elicit a clinically evident allergic reaction.</w:t>
      </w:r>
      <w:r w:rsidR="00AF2B14">
        <w:rPr>
          <w:lang w:bidi="ar-SA"/>
        </w:rPr>
        <w:t xml:space="preserve"> </w:t>
      </w:r>
      <w:r w:rsidR="00C1668C">
        <w:rPr>
          <w:lang w:bidi="ar-SA"/>
        </w:rPr>
        <w:t>In addition, o</w:t>
      </w:r>
      <w:r w:rsidR="00F83CBA">
        <w:rPr>
          <w:lang w:bidi="ar-SA"/>
        </w:rPr>
        <w:t xml:space="preserve">ne of the enzymes investigated by </w:t>
      </w:r>
      <w:r w:rsidR="00F83CBA" w:rsidRPr="00E50359">
        <w:rPr>
          <w:lang w:bidi="ar-SA"/>
        </w:rPr>
        <w:t>Bindslev-Jensen et al</w:t>
      </w:r>
      <w:r w:rsidR="007F5F1F">
        <w:rPr>
          <w:lang w:bidi="ar-SA"/>
        </w:rPr>
        <w:t>.</w:t>
      </w:r>
      <w:r w:rsidR="00F83CBA" w:rsidRPr="00E50359">
        <w:rPr>
          <w:lang w:bidi="ar-SA"/>
        </w:rPr>
        <w:t xml:space="preserve"> (2006)</w:t>
      </w:r>
      <w:r w:rsidR="00F83CBA">
        <w:rPr>
          <w:lang w:bidi="ar-SA"/>
        </w:rPr>
        <w:t xml:space="preserve"> was a glucoamylase </w:t>
      </w:r>
      <w:r w:rsidR="00EC49AE">
        <w:rPr>
          <w:lang w:bidi="ar-SA"/>
        </w:rPr>
        <w:t xml:space="preserve">that had a sequence identity of up to 68% </w:t>
      </w:r>
      <w:r w:rsidR="00C43673">
        <w:rPr>
          <w:lang w:bidi="ar-SA"/>
        </w:rPr>
        <w:t>(</w:t>
      </w:r>
      <w:r w:rsidR="00C43673">
        <w:rPr>
          <w:i/>
          <w:lang w:bidi="ar-SA"/>
        </w:rPr>
        <w:t xml:space="preserve">cf </w:t>
      </w:r>
      <w:r w:rsidR="00C43673">
        <w:rPr>
          <w:lang w:bidi="ar-SA"/>
        </w:rPr>
        <w:t xml:space="preserve">70% in this application) </w:t>
      </w:r>
      <w:r w:rsidR="00EC49AE">
        <w:rPr>
          <w:lang w:bidi="ar-SA"/>
        </w:rPr>
        <w:t xml:space="preserve">to glucoamylase from </w:t>
      </w:r>
      <w:r w:rsidR="00EC49AE">
        <w:rPr>
          <w:i/>
          <w:lang w:bidi="ar-SA"/>
        </w:rPr>
        <w:t>S.</w:t>
      </w:r>
      <w:r w:rsidR="00F6236E">
        <w:rPr>
          <w:i/>
          <w:lang w:bidi="ar-SA"/>
        </w:rPr>
        <w:t xml:space="preserve"> </w:t>
      </w:r>
      <w:r w:rsidR="00EC49AE">
        <w:rPr>
          <w:i/>
          <w:lang w:bidi="ar-SA"/>
        </w:rPr>
        <w:t>commune</w:t>
      </w:r>
      <w:r w:rsidR="005F2A51">
        <w:rPr>
          <w:i/>
          <w:lang w:bidi="ar-SA"/>
        </w:rPr>
        <w:t>;</w:t>
      </w:r>
      <w:r w:rsidR="006754EF">
        <w:rPr>
          <w:i/>
          <w:lang w:bidi="ar-SA"/>
        </w:rPr>
        <w:t xml:space="preserve"> </w:t>
      </w:r>
      <w:r w:rsidR="006754EF">
        <w:rPr>
          <w:lang w:bidi="ar-SA"/>
        </w:rPr>
        <w:t xml:space="preserve">none of the tested patients on the study showed </w:t>
      </w:r>
      <w:r w:rsidR="00C1668C">
        <w:rPr>
          <w:lang w:bidi="ar-SA"/>
        </w:rPr>
        <w:t xml:space="preserve">clinical symptoms of an allergenic reaction after oral ingestion of the glucoamylase.  </w:t>
      </w:r>
      <w:r w:rsidR="00EC49AE">
        <w:rPr>
          <w:lang w:bidi="ar-SA"/>
        </w:rPr>
        <w:t xml:space="preserve"> </w:t>
      </w:r>
    </w:p>
    <w:p w14:paraId="44225BDD" w14:textId="77777777" w:rsidR="001E14AC" w:rsidRDefault="001E14AC" w:rsidP="00F43DAD">
      <w:pPr>
        <w:rPr>
          <w:lang w:bidi="ar-SA"/>
        </w:rPr>
      </w:pPr>
    </w:p>
    <w:p w14:paraId="692BCECB" w14:textId="392D0AE3" w:rsidR="00F43DAD" w:rsidRDefault="00C1668C" w:rsidP="00F43DAD">
      <w:pPr>
        <w:rPr>
          <w:lang w:bidi="ar-SA"/>
        </w:rPr>
      </w:pPr>
      <w:r>
        <w:rPr>
          <w:lang w:bidi="ar-SA"/>
        </w:rPr>
        <w:t xml:space="preserve">In summary, </w:t>
      </w:r>
      <w:r w:rsidR="001E06A0">
        <w:rPr>
          <w:lang w:bidi="ar-SA"/>
        </w:rPr>
        <w:t>the</w:t>
      </w:r>
      <w:r w:rsidR="00AF59CE">
        <w:rPr>
          <w:lang w:bidi="ar-SA"/>
        </w:rPr>
        <w:t xml:space="preserve"> glucoamy</w:t>
      </w:r>
      <w:r w:rsidR="00357902">
        <w:rPr>
          <w:lang w:bidi="ar-SA"/>
        </w:rPr>
        <w:t>l</w:t>
      </w:r>
      <w:r w:rsidR="00AF59CE">
        <w:rPr>
          <w:lang w:bidi="ar-SA"/>
        </w:rPr>
        <w:t xml:space="preserve">ase in this application has no identified association with causing food allergy and is not expected to be at a high enough level in food to cause concern. </w:t>
      </w:r>
      <w:r w:rsidR="00A32F75">
        <w:rPr>
          <w:lang w:bidi="ar-SA"/>
        </w:rPr>
        <w:t>T</w:t>
      </w:r>
      <w:r w:rsidR="00F43DAD" w:rsidRPr="00AE565E">
        <w:rPr>
          <w:lang w:bidi="ar-SA"/>
        </w:rPr>
        <w:t xml:space="preserve">he homology therefore between the recombinant glucoamylase </w:t>
      </w:r>
      <w:r w:rsidR="000F5D00">
        <w:rPr>
          <w:lang w:bidi="ar-SA"/>
        </w:rPr>
        <w:t>and</w:t>
      </w:r>
      <w:r w:rsidR="00F43DAD" w:rsidRPr="00AE565E">
        <w:rPr>
          <w:lang w:bidi="ar-SA"/>
        </w:rPr>
        <w:t xml:space="preserve"> </w:t>
      </w:r>
      <w:r w:rsidR="00626BF8" w:rsidRPr="00626BF8">
        <w:rPr>
          <w:lang w:bidi="ar-SA"/>
        </w:rPr>
        <w:t xml:space="preserve">glucoamylase </w:t>
      </w:r>
      <w:r w:rsidR="00626BF8">
        <w:rPr>
          <w:lang w:bidi="ar-SA"/>
        </w:rPr>
        <w:t xml:space="preserve">from </w:t>
      </w:r>
      <w:r w:rsidR="00F43DAD" w:rsidRPr="00AE565E">
        <w:rPr>
          <w:i/>
          <w:lang w:bidi="ar-SA"/>
        </w:rPr>
        <w:t>S. commune</w:t>
      </w:r>
      <w:r w:rsidR="00F43DAD" w:rsidRPr="00AE565E">
        <w:rPr>
          <w:lang w:bidi="ar-SA"/>
        </w:rPr>
        <w:t xml:space="preserve"> is not considered to represent a food safety </w:t>
      </w:r>
      <w:r w:rsidR="00626BF8">
        <w:rPr>
          <w:lang w:bidi="ar-SA"/>
        </w:rPr>
        <w:t>concern</w:t>
      </w:r>
      <w:r w:rsidR="00F43DAD" w:rsidRPr="00AE565E">
        <w:rPr>
          <w:lang w:bidi="ar-SA"/>
        </w:rPr>
        <w:t xml:space="preserve">. </w:t>
      </w:r>
    </w:p>
    <w:p w14:paraId="150CDDE5" w14:textId="77777777" w:rsidR="000F5D00" w:rsidRPr="00AE565E" w:rsidRDefault="000F5D00" w:rsidP="00F43DAD">
      <w:pPr>
        <w:rPr>
          <w:lang w:bidi="ar-SA"/>
        </w:rPr>
      </w:pPr>
    </w:p>
    <w:p w14:paraId="202D60DF" w14:textId="1373E525" w:rsidR="00A32F75" w:rsidRDefault="00AF59CE" w:rsidP="00A32F75">
      <w:pPr>
        <w:rPr>
          <w:lang w:bidi="ar-SA"/>
        </w:rPr>
      </w:pPr>
      <w:r w:rsidRPr="00A32F75">
        <w:rPr>
          <w:lang w:bidi="ar-SA"/>
        </w:rPr>
        <w:t xml:space="preserve">The FASTA sequence homology assessment conducted by the applicant also revealed a 35.2% identity over an 80 amino acid window for beta-xylosidase from </w:t>
      </w:r>
      <w:r w:rsidRPr="00A32F75">
        <w:rPr>
          <w:i/>
          <w:lang w:bidi="ar-SA"/>
        </w:rPr>
        <w:t>A.</w:t>
      </w:r>
      <w:r w:rsidR="00150BBE">
        <w:rPr>
          <w:i/>
          <w:lang w:bidi="ar-SA"/>
        </w:rPr>
        <w:t xml:space="preserve"> n</w:t>
      </w:r>
      <w:r w:rsidRPr="00A32F75">
        <w:rPr>
          <w:i/>
          <w:lang w:bidi="ar-SA"/>
        </w:rPr>
        <w:t>iger.</w:t>
      </w:r>
      <w:r w:rsidRPr="00A32F75">
        <w:rPr>
          <w:lang w:bidi="ar-SA"/>
        </w:rPr>
        <w:t xml:space="preserve"> </w:t>
      </w:r>
      <w:r w:rsidR="000D2824" w:rsidRPr="00A32F75">
        <w:rPr>
          <w:lang w:bidi="ar-SA"/>
        </w:rPr>
        <w:t>This</w:t>
      </w:r>
      <w:r w:rsidRPr="00A32F75">
        <w:rPr>
          <w:lang w:bidi="ar-SA"/>
        </w:rPr>
        <w:t xml:space="preserve"> beta-xylosidase is </w:t>
      </w:r>
      <w:r w:rsidR="000D2824" w:rsidRPr="00A32F75">
        <w:rPr>
          <w:lang w:bidi="ar-SA"/>
        </w:rPr>
        <w:t>classified as an occupational allergen (especially in bakers)</w:t>
      </w:r>
      <w:r w:rsidR="00C57416">
        <w:rPr>
          <w:lang w:bidi="ar-SA"/>
        </w:rPr>
        <w:t>, that is not a food allergen</w:t>
      </w:r>
      <w:r w:rsidR="00A32F75" w:rsidRPr="00A32F75">
        <w:rPr>
          <w:lang w:bidi="ar-SA"/>
        </w:rPr>
        <w:t xml:space="preserve">. On this basis and considering a) the very low % of homology identity (35%) and b) in the more recent FASTA 36 </w:t>
      </w:r>
      <w:r w:rsidR="00D00334">
        <w:rPr>
          <w:lang w:bidi="ar-SA"/>
        </w:rPr>
        <w:t xml:space="preserve">search </w:t>
      </w:r>
      <w:r w:rsidR="00A32F75" w:rsidRPr="00A32F75">
        <w:rPr>
          <w:lang w:bidi="ar-SA"/>
        </w:rPr>
        <w:t>this enzyme was not identified as a homology match, the homology</w:t>
      </w:r>
      <w:r w:rsidR="00A32F75">
        <w:rPr>
          <w:lang w:bidi="ar-SA"/>
        </w:rPr>
        <w:t xml:space="preserve"> between </w:t>
      </w:r>
      <w:r w:rsidR="00A32F75" w:rsidRPr="00AE565E">
        <w:rPr>
          <w:lang w:bidi="ar-SA"/>
        </w:rPr>
        <w:t>the recombinant glucoamylase</w:t>
      </w:r>
      <w:r w:rsidR="00A32F75">
        <w:rPr>
          <w:lang w:bidi="ar-SA"/>
        </w:rPr>
        <w:t xml:space="preserve"> and beta-xylosidase </w:t>
      </w:r>
      <w:r w:rsidR="00A32F75" w:rsidRPr="00AE565E">
        <w:rPr>
          <w:lang w:bidi="ar-SA"/>
        </w:rPr>
        <w:t xml:space="preserve">is not considered to represent a food safety </w:t>
      </w:r>
      <w:r w:rsidR="00626BF8">
        <w:rPr>
          <w:lang w:bidi="ar-SA"/>
        </w:rPr>
        <w:t>concern</w:t>
      </w:r>
      <w:r w:rsidR="00A32F75" w:rsidRPr="00AE565E">
        <w:rPr>
          <w:lang w:bidi="ar-SA"/>
        </w:rPr>
        <w:t xml:space="preserve">. </w:t>
      </w:r>
    </w:p>
    <w:p w14:paraId="230233BA" w14:textId="77777777" w:rsidR="000F5D00" w:rsidRPr="00AE565E" w:rsidRDefault="000F5D00" w:rsidP="00A32F75">
      <w:pPr>
        <w:rPr>
          <w:lang w:bidi="ar-SA"/>
        </w:rPr>
      </w:pPr>
    </w:p>
    <w:p w14:paraId="0856B8D3" w14:textId="53E33110" w:rsidR="00F43DAD" w:rsidRPr="00F43DAD" w:rsidRDefault="000F5D00" w:rsidP="00F43DAD">
      <w:pPr>
        <w:rPr>
          <w:lang w:bidi="ar-SA"/>
        </w:rPr>
      </w:pPr>
      <w:r>
        <w:rPr>
          <w:lang w:bidi="ar-SA"/>
        </w:rPr>
        <w:t>The applicant has indicated that soy</w:t>
      </w:r>
      <w:r w:rsidR="006B670F">
        <w:rPr>
          <w:lang w:bidi="ar-SA"/>
        </w:rPr>
        <w:t xml:space="preserve"> and possibly </w:t>
      </w:r>
      <w:r>
        <w:rPr>
          <w:lang w:bidi="ar-SA"/>
        </w:rPr>
        <w:t>wheat</w:t>
      </w:r>
      <w:r w:rsidR="00D00334">
        <w:rPr>
          <w:lang w:bidi="ar-SA"/>
        </w:rPr>
        <w:t xml:space="preserve"> (as a source of starch)</w:t>
      </w:r>
      <w:r>
        <w:rPr>
          <w:lang w:bidi="ar-SA"/>
        </w:rPr>
        <w:t xml:space="preserve"> </w:t>
      </w:r>
      <w:r w:rsidR="006B670F">
        <w:rPr>
          <w:lang w:bidi="ar-SA"/>
        </w:rPr>
        <w:t xml:space="preserve">may be present </w:t>
      </w:r>
      <w:r w:rsidR="00C57416">
        <w:rPr>
          <w:lang w:bidi="ar-SA"/>
        </w:rPr>
        <w:t xml:space="preserve">as ingredients </w:t>
      </w:r>
      <w:r w:rsidR="00D00334">
        <w:rPr>
          <w:lang w:bidi="ar-SA"/>
        </w:rPr>
        <w:t xml:space="preserve">in the fermentation medium. The applicant has stated </w:t>
      </w:r>
      <w:r w:rsidR="00626BF8">
        <w:rPr>
          <w:lang w:bidi="ar-SA"/>
        </w:rPr>
        <w:t xml:space="preserve">that </w:t>
      </w:r>
      <w:r w:rsidR="00956935" w:rsidRPr="00F301B3">
        <w:rPr>
          <w:lang w:bidi="ar-SA"/>
        </w:rPr>
        <w:t xml:space="preserve">the final food </w:t>
      </w:r>
      <w:r w:rsidR="00D00334">
        <w:rPr>
          <w:lang w:bidi="ar-SA"/>
        </w:rPr>
        <w:t xml:space="preserve">will not </w:t>
      </w:r>
      <w:r w:rsidR="00956935" w:rsidRPr="00F301B3">
        <w:rPr>
          <w:lang w:bidi="ar-SA"/>
        </w:rPr>
        <w:t xml:space="preserve">contain </w:t>
      </w:r>
      <w:r w:rsidR="00D00334">
        <w:rPr>
          <w:lang w:bidi="ar-SA"/>
        </w:rPr>
        <w:t xml:space="preserve">significant </w:t>
      </w:r>
      <w:r w:rsidR="00956935" w:rsidRPr="00F301B3">
        <w:rPr>
          <w:lang w:bidi="ar-SA"/>
        </w:rPr>
        <w:t xml:space="preserve">residual amounts of </w:t>
      </w:r>
      <w:r w:rsidR="00D00334">
        <w:rPr>
          <w:lang w:bidi="ar-SA"/>
        </w:rPr>
        <w:t xml:space="preserve">these </w:t>
      </w:r>
      <w:r w:rsidR="00956935" w:rsidRPr="00F301B3">
        <w:rPr>
          <w:lang w:bidi="ar-SA"/>
        </w:rPr>
        <w:t xml:space="preserve">raw materials </w:t>
      </w:r>
      <w:r w:rsidR="00D00334">
        <w:rPr>
          <w:lang w:bidi="ar-SA"/>
        </w:rPr>
        <w:t>due to d</w:t>
      </w:r>
      <w:r w:rsidR="00F301B3" w:rsidRPr="00F301B3">
        <w:rPr>
          <w:lang w:bidi="ar-SA"/>
        </w:rPr>
        <w:t>ownstream-stream processes</w:t>
      </w:r>
      <w:r w:rsidR="007C78AC">
        <w:rPr>
          <w:lang w:bidi="ar-SA"/>
        </w:rPr>
        <w:t xml:space="preserve"> such as washing and filtration, which </w:t>
      </w:r>
      <w:r w:rsidR="00F301B3" w:rsidRPr="00F301B3">
        <w:rPr>
          <w:lang w:bidi="ar-SA"/>
        </w:rPr>
        <w:t>are expec</w:t>
      </w:r>
      <w:r w:rsidR="007C78AC">
        <w:rPr>
          <w:lang w:bidi="ar-SA"/>
        </w:rPr>
        <w:t xml:space="preserve">ted to remove remaining amounts. </w:t>
      </w:r>
      <w:r w:rsidR="004F2832">
        <w:rPr>
          <w:lang w:bidi="ar-SA"/>
        </w:rPr>
        <w:t xml:space="preserve">Testing of product blends which include this glucoamylase </w:t>
      </w:r>
      <w:r w:rsidR="00892EEA">
        <w:rPr>
          <w:lang w:bidi="ar-SA"/>
        </w:rPr>
        <w:t>are</w:t>
      </w:r>
      <w:r w:rsidR="007C78AC">
        <w:rPr>
          <w:lang w:bidi="ar-SA"/>
        </w:rPr>
        <w:t xml:space="preserve"> undertaken </w:t>
      </w:r>
      <w:r w:rsidR="00892EEA">
        <w:rPr>
          <w:lang w:bidi="ar-SA"/>
        </w:rPr>
        <w:t xml:space="preserve">by the applicant </w:t>
      </w:r>
      <w:r w:rsidR="007C78AC">
        <w:rPr>
          <w:lang w:bidi="ar-SA"/>
        </w:rPr>
        <w:t>to monitor this</w:t>
      </w:r>
      <w:r w:rsidR="00F301B3" w:rsidRPr="00F301B3">
        <w:rPr>
          <w:lang w:bidi="ar-SA"/>
        </w:rPr>
        <w:t xml:space="preserve">. </w:t>
      </w:r>
    </w:p>
    <w:p w14:paraId="50E61499" w14:textId="5E939FB7" w:rsidR="00C15A6C" w:rsidRDefault="007B70AE" w:rsidP="00E02D51">
      <w:pPr>
        <w:pStyle w:val="Heading3"/>
      </w:pPr>
      <w:bookmarkStart w:id="101" w:name="_Toc536544009"/>
      <w:bookmarkStart w:id="102" w:name="_Toc536607144"/>
      <w:bookmarkStart w:id="103" w:name="_Toc28003783"/>
      <w:r>
        <w:t>3.3</w:t>
      </w:r>
      <w:r w:rsidR="00C15A6C">
        <w:t>.6</w:t>
      </w:r>
      <w:r w:rsidR="0035149D">
        <w:tab/>
      </w:r>
      <w:r w:rsidR="00C15A6C">
        <w:t>Approvals</w:t>
      </w:r>
      <w:r w:rsidR="008A18C9">
        <w:t xml:space="preserve"> </w:t>
      </w:r>
      <w:r w:rsidR="00183BF7">
        <w:t>by o</w:t>
      </w:r>
      <w:r w:rsidR="00C15A6C">
        <w:t xml:space="preserve">ther </w:t>
      </w:r>
      <w:r w:rsidR="00183BF7">
        <w:t>regulatory</w:t>
      </w:r>
      <w:r w:rsidR="00C15A6C">
        <w:t xml:space="preserve"> agencies</w:t>
      </w:r>
      <w:bookmarkEnd w:id="101"/>
      <w:bookmarkEnd w:id="102"/>
      <w:bookmarkEnd w:id="103"/>
    </w:p>
    <w:p w14:paraId="60630605" w14:textId="75BA7768" w:rsidR="009F47F1" w:rsidRPr="009F47F1" w:rsidRDefault="00E60D1E" w:rsidP="001E4D8F">
      <w:pPr>
        <w:widowControl/>
        <w:autoSpaceDE w:val="0"/>
        <w:autoSpaceDN w:val="0"/>
        <w:adjustRightInd w:val="0"/>
        <w:rPr>
          <w:lang w:bidi="ar-SA"/>
        </w:rPr>
      </w:pPr>
      <w:r w:rsidRPr="00D07125">
        <w:rPr>
          <w:lang w:bidi="ar-SA"/>
        </w:rPr>
        <w:t>The appli</w:t>
      </w:r>
      <w:r w:rsidR="000F16C2" w:rsidRPr="00D07125">
        <w:rPr>
          <w:lang w:bidi="ar-SA"/>
        </w:rPr>
        <w:t xml:space="preserve">cant provided </w:t>
      </w:r>
      <w:r w:rsidR="00FA3E24">
        <w:rPr>
          <w:lang w:bidi="ar-SA"/>
        </w:rPr>
        <w:t xml:space="preserve">a </w:t>
      </w:r>
      <w:r w:rsidR="000F16C2" w:rsidRPr="00D07125">
        <w:rPr>
          <w:lang w:bidi="ar-SA"/>
        </w:rPr>
        <w:t>letter</w:t>
      </w:r>
      <w:r w:rsidRPr="00D07125">
        <w:rPr>
          <w:lang w:bidi="ar-SA"/>
        </w:rPr>
        <w:t xml:space="preserve"> of approval from Danish authorities for the use of the enzyme for</w:t>
      </w:r>
      <w:r w:rsidR="000F16C2" w:rsidRPr="00D07125">
        <w:rPr>
          <w:lang w:bidi="ar-SA"/>
        </w:rPr>
        <w:t xml:space="preserve"> starch processing</w:t>
      </w:r>
      <w:r w:rsidR="001E4D8F">
        <w:rPr>
          <w:lang w:bidi="ar-SA"/>
        </w:rPr>
        <w:t xml:space="preserve"> </w:t>
      </w:r>
      <w:r w:rsidR="000F16C2" w:rsidRPr="00D07125">
        <w:rPr>
          <w:lang w:bidi="ar-SA"/>
        </w:rPr>
        <w:t>and p</w:t>
      </w:r>
      <w:r w:rsidRPr="00D07125">
        <w:rPr>
          <w:lang w:bidi="ar-SA"/>
        </w:rPr>
        <w:t xml:space="preserve">roduction of </w:t>
      </w:r>
      <w:r w:rsidR="000F16C2" w:rsidRPr="00D07125">
        <w:rPr>
          <w:lang w:bidi="ar-SA"/>
        </w:rPr>
        <w:t xml:space="preserve">alcohol </w:t>
      </w:r>
      <w:r w:rsidR="00B928D4">
        <w:rPr>
          <w:lang w:bidi="ar-SA"/>
        </w:rPr>
        <w:t>(distilled</w:t>
      </w:r>
      <w:r w:rsidR="000F16C2" w:rsidRPr="00D07125">
        <w:rPr>
          <w:lang w:bidi="ar-SA"/>
        </w:rPr>
        <w:t xml:space="preserve"> an</w:t>
      </w:r>
      <w:r w:rsidR="00B928D4">
        <w:rPr>
          <w:lang w:bidi="ar-SA"/>
        </w:rPr>
        <w:t>d brewed products</w:t>
      </w:r>
      <w:r w:rsidR="000F16C2" w:rsidRPr="00D07125">
        <w:rPr>
          <w:lang w:bidi="ar-SA"/>
        </w:rPr>
        <w:t xml:space="preserve">), cereal based beverages and </w:t>
      </w:r>
      <w:r w:rsidRPr="00D07125">
        <w:rPr>
          <w:lang w:bidi="ar-SA"/>
        </w:rPr>
        <w:t>for</w:t>
      </w:r>
      <w:r w:rsidR="000F16C2" w:rsidRPr="00D07125">
        <w:rPr>
          <w:lang w:bidi="ar-SA"/>
        </w:rPr>
        <w:t xml:space="preserve"> baking applications, dated 2015</w:t>
      </w:r>
      <w:r w:rsidRPr="00D07125">
        <w:rPr>
          <w:lang w:bidi="ar-SA"/>
        </w:rPr>
        <w:t>. The evaluations had been made in accordance with EFSA guidelines for the presentation of data on food enzymes</w:t>
      </w:r>
      <w:r w:rsidR="000F16C2" w:rsidRPr="00D07125">
        <w:rPr>
          <w:lang w:bidi="ar-SA"/>
        </w:rPr>
        <w:t xml:space="preserve">. </w:t>
      </w:r>
      <w:r w:rsidR="00FA3E24">
        <w:rPr>
          <w:lang w:bidi="ar-SA"/>
        </w:rPr>
        <w:t xml:space="preserve">In addition, the applicant has stated </w:t>
      </w:r>
      <w:r w:rsidR="001E4D8F">
        <w:rPr>
          <w:rFonts w:cs="Arial"/>
          <w:szCs w:val="22"/>
          <w:lang w:eastAsia="en-GB" w:bidi="ar-SA"/>
        </w:rPr>
        <w:t>the enzyme is included in the French positive list for processing aids, including food enzymes (The French order of October 19, 2006 on use of processing aids in the manufacture of certain foodstuff), as amended</w:t>
      </w:r>
      <w:r w:rsidR="00CA46E2">
        <w:rPr>
          <w:rFonts w:cs="Arial"/>
          <w:szCs w:val="22"/>
          <w:lang w:eastAsia="en-GB" w:bidi="ar-SA"/>
        </w:rPr>
        <w:t>.</w:t>
      </w:r>
    </w:p>
    <w:p w14:paraId="34C7362A" w14:textId="0BFE5199" w:rsidR="00632A7A" w:rsidRDefault="00AF0509" w:rsidP="00AF0509">
      <w:pPr>
        <w:pStyle w:val="Heading1"/>
      </w:pPr>
      <w:bookmarkStart w:id="104" w:name="_Toc536544010"/>
      <w:bookmarkStart w:id="105" w:name="_Toc536607145"/>
      <w:bookmarkStart w:id="106" w:name="_Toc28003784"/>
      <w:bookmarkStart w:id="107" w:name="_Toc501699836"/>
      <w:r>
        <w:t>4</w:t>
      </w:r>
      <w:r w:rsidR="00632A7A">
        <w:t xml:space="preserve"> </w:t>
      </w:r>
      <w:bookmarkEnd w:id="104"/>
      <w:bookmarkEnd w:id="105"/>
      <w:r w:rsidR="00E02D51">
        <w:tab/>
      </w:r>
      <w:r w:rsidR="006963C9">
        <w:t>Discussion</w:t>
      </w:r>
      <w:bookmarkEnd w:id="106"/>
      <w:r w:rsidR="006963C9">
        <w:t xml:space="preserve"> </w:t>
      </w:r>
    </w:p>
    <w:p w14:paraId="25CF517F" w14:textId="6876A518" w:rsidR="007C62F4" w:rsidRDefault="00F43DAD" w:rsidP="00F43DAD">
      <w:pPr>
        <w:rPr>
          <w:lang w:val="en-AU"/>
        </w:rPr>
      </w:pPr>
      <w:r w:rsidRPr="00AF2B14">
        <w:t xml:space="preserve">No public health and safety </w:t>
      </w:r>
      <w:r w:rsidR="00626BF8">
        <w:t>concerns</w:t>
      </w:r>
      <w:r w:rsidRPr="00AF2B14">
        <w:t xml:space="preserve"> were identified with the </w:t>
      </w:r>
      <w:r w:rsidR="00270729">
        <w:t xml:space="preserve">use of glucoamylase from </w:t>
      </w:r>
      <w:r w:rsidRPr="00AF2B14">
        <w:rPr>
          <w:i/>
        </w:rPr>
        <w:t>A.</w:t>
      </w:r>
      <w:r w:rsidR="00150BBE">
        <w:rPr>
          <w:i/>
        </w:rPr>
        <w:t xml:space="preserve"> </w:t>
      </w:r>
      <w:r w:rsidRPr="00AF2B14">
        <w:rPr>
          <w:i/>
        </w:rPr>
        <w:t>niger</w:t>
      </w:r>
      <w:r w:rsidRPr="00AF2B14">
        <w:t xml:space="preserve"> </w:t>
      </w:r>
      <w:r w:rsidR="00270729">
        <w:t xml:space="preserve">when used as a food processing aid </w:t>
      </w:r>
      <w:r w:rsidR="007C62F4">
        <w:t xml:space="preserve">at GMP levels </w:t>
      </w:r>
      <w:r w:rsidR="007C62F4">
        <w:rPr>
          <w:lang w:val="en-AU"/>
        </w:rPr>
        <w:t xml:space="preserve">for starch processing and the production of potable alcohol. </w:t>
      </w:r>
    </w:p>
    <w:p w14:paraId="1058EB1B" w14:textId="567498AD" w:rsidR="007C62F4" w:rsidRDefault="007C62F4" w:rsidP="00F43DAD">
      <w:pPr>
        <w:rPr>
          <w:lang w:val="en-AU"/>
        </w:rPr>
      </w:pPr>
    </w:p>
    <w:p w14:paraId="4C815A0C" w14:textId="14D6260B" w:rsidR="003E2B55" w:rsidRDefault="008D3403" w:rsidP="00F43DAD">
      <w:r w:rsidRPr="008D3403">
        <w:rPr>
          <w:lang w:val="en-AU"/>
        </w:rPr>
        <w:t xml:space="preserve">The </w:t>
      </w:r>
      <w:r>
        <w:rPr>
          <w:lang w:val="en-AU"/>
        </w:rPr>
        <w:t xml:space="preserve">host </w:t>
      </w:r>
      <w:r w:rsidRPr="008D3403">
        <w:rPr>
          <w:i/>
          <w:lang w:val="en-AU"/>
        </w:rPr>
        <w:t>A. niger</w:t>
      </w:r>
      <w:r>
        <w:rPr>
          <w:lang w:val="en-AU"/>
        </w:rPr>
        <w:t xml:space="preserve"> </w:t>
      </w:r>
      <w:r w:rsidRPr="008D3403">
        <w:rPr>
          <w:lang w:val="en-AU"/>
        </w:rPr>
        <w:t xml:space="preserve">strain </w:t>
      </w:r>
      <w:r w:rsidR="007C62F4">
        <w:rPr>
          <w:lang w:val="en-AU"/>
        </w:rPr>
        <w:t>has a long history of safe use as a source of enzyme processing aids, including several</w:t>
      </w:r>
      <w:r w:rsidR="003E2B55">
        <w:rPr>
          <w:lang w:val="en-AU"/>
        </w:rPr>
        <w:t xml:space="preserve"> already permitted in the Code and is </w:t>
      </w:r>
      <w:r w:rsidR="003E2B55">
        <w:t xml:space="preserve">neither toxigenic or pathogenic. </w:t>
      </w:r>
      <w:r>
        <w:t xml:space="preserve">Molecular characterisation of the production strain </w:t>
      </w:r>
      <w:r w:rsidR="00FE1831">
        <w:rPr>
          <w:rFonts w:cs="Arial"/>
          <w:color w:val="000000" w:themeColor="text1"/>
        </w:rPr>
        <w:t xml:space="preserve">CBP5-7 </w:t>
      </w:r>
      <w:r>
        <w:t xml:space="preserve">confirmed that the </w:t>
      </w:r>
      <w:r w:rsidR="00FE1831">
        <w:t>gene insert</w:t>
      </w:r>
      <w:r>
        <w:t xml:space="preserve"> </w:t>
      </w:r>
      <w:r w:rsidR="00FE1831">
        <w:t xml:space="preserve">was as expected and would </w:t>
      </w:r>
      <w:r>
        <w:t xml:space="preserve">encode the glucoamylase as specified. The </w:t>
      </w:r>
      <w:r w:rsidR="00FE1831">
        <w:t>insert was also shown to be genetically stable and heritable.</w:t>
      </w:r>
    </w:p>
    <w:p w14:paraId="67389AEC" w14:textId="4143C03D" w:rsidR="00F43DAD" w:rsidRPr="00F43DAD" w:rsidRDefault="00F43DAD" w:rsidP="00F43DAD">
      <w:pPr>
        <w:rPr>
          <w:highlight w:val="yellow"/>
        </w:rPr>
      </w:pPr>
    </w:p>
    <w:p w14:paraId="3C23546D" w14:textId="2A12986E" w:rsidR="003E2B55" w:rsidRDefault="003E2B55" w:rsidP="00F43DAD">
      <w:r>
        <w:t xml:space="preserve">Glucoamylase from </w:t>
      </w:r>
      <w:r w:rsidR="00FE1831">
        <w:t>CPB5-7</w:t>
      </w:r>
      <w:r>
        <w:t xml:space="preserve"> showed no evidence of genotoxicity in a bacterial reverse mutation assay or a micronucleus assay in human lymphocytes. Glucoamylase did not cause any adverse effects </w:t>
      </w:r>
      <w:r w:rsidR="00214C1E">
        <w:t xml:space="preserve">in a sub-chronic toxicity study in rats. </w:t>
      </w:r>
      <w:r w:rsidR="00214C1E" w:rsidRPr="00542892">
        <w:t>The NOAEL was the highe</w:t>
      </w:r>
      <w:r w:rsidR="00214C1E">
        <w:t>st dose tested, 10 mL/kg bw/day or 1135</w:t>
      </w:r>
      <w:r w:rsidR="00214C1E" w:rsidRPr="00542892">
        <w:t xml:space="preserve"> </w:t>
      </w:r>
      <w:r w:rsidR="00214C1E">
        <w:t>m</w:t>
      </w:r>
      <w:r w:rsidR="00214C1E" w:rsidRPr="00542892">
        <w:t>g/kg bw/day</w:t>
      </w:r>
      <w:r w:rsidR="00214C1E">
        <w:t xml:space="preserve"> on a TOS basis</w:t>
      </w:r>
      <w:r w:rsidR="00214C1E" w:rsidRPr="00542892">
        <w:t xml:space="preserve">. </w:t>
      </w:r>
      <w:r w:rsidR="00214C1E" w:rsidRPr="00B511CA">
        <w:t xml:space="preserve">The </w:t>
      </w:r>
      <w:r w:rsidR="00214C1E">
        <w:t xml:space="preserve">applicant’s estimated theoretical maximal daily intake (TMDI) </w:t>
      </w:r>
      <w:r w:rsidR="00214C1E" w:rsidRPr="00B511CA">
        <w:t>of glucoamylase is 0.31 mg kg bw/day</w:t>
      </w:r>
      <w:r w:rsidR="00214C1E">
        <w:t xml:space="preserve"> TOS,</w:t>
      </w:r>
      <w:r w:rsidR="00214C1E" w:rsidRPr="00B511CA">
        <w:t xml:space="preserve"> resulting in a Margin of Exposure (MoE) of</w:t>
      </w:r>
      <w:r w:rsidR="002D59C3">
        <w:t xml:space="preserve"> more than 3</w:t>
      </w:r>
      <w:r w:rsidR="00214C1E">
        <w:t>000</w:t>
      </w:r>
      <w:r w:rsidR="00214C1E" w:rsidRPr="00B511CA">
        <w:t xml:space="preserve"> between the NOAEL and TMDI.</w:t>
      </w:r>
    </w:p>
    <w:p w14:paraId="376FA805" w14:textId="77777777" w:rsidR="003E2B55" w:rsidRDefault="003E2B55" w:rsidP="00F43DAD"/>
    <w:p w14:paraId="360CF3F6" w14:textId="7566422E" w:rsidR="00214C1E" w:rsidRPr="00F43DAD" w:rsidRDefault="00214C1E" w:rsidP="00214C1E">
      <w:r w:rsidRPr="00542892">
        <w:t>Bioinformatic analyses did</w:t>
      </w:r>
      <w:r>
        <w:t xml:space="preserve"> not</w:t>
      </w:r>
      <w:r w:rsidRPr="00542892">
        <w:t xml:space="preserve"> identify</w:t>
      </w:r>
      <w:r>
        <w:t xml:space="preserve"> any homology with any known toxins but did show </w:t>
      </w:r>
      <w:r w:rsidRPr="00542892">
        <w:t>a high degree of homology between the recombinant glucoamylase to that of a respiratory allergen</w:t>
      </w:r>
      <w:r>
        <w:t xml:space="preserve">. </w:t>
      </w:r>
      <w:r w:rsidRPr="007F4386">
        <w:t xml:space="preserve">However, further analysis indicated that the glucoamylase from </w:t>
      </w:r>
      <w:r w:rsidRPr="007F4386">
        <w:rPr>
          <w:i/>
        </w:rPr>
        <w:t>T. cingulat</w:t>
      </w:r>
      <w:r w:rsidR="00150BBE" w:rsidRPr="007F4386">
        <w:rPr>
          <w:i/>
        </w:rPr>
        <w:t>a</w:t>
      </w:r>
      <w:r w:rsidRPr="007F4386">
        <w:rPr>
          <w:i/>
        </w:rPr>
        <w:t xml:space="preserve"> </w:t>
      </w:r>
      <w:r w:rsidRPr="007F4386">
        <w:t xml:space="preserve">expressed in </w:t>
      </w:r>
      <w:r w:rsidR="00C57416" w:rsidRPr="007F4386">
        <w:rPr>
          <w:i/>
        </w:rPr>
        <w:t>A.</w:t>
      </w:r>
      <w:r w:rsidR="00150BBE" w:rsidRPr="007F4386">
        <w:rPr>
          <w:i/>
        </w:rPr>
        <w:t xml:space="preserve"> </w:t>
      </w:r>
      <w:r w:rsidRPr="007F4386">
        <w:rPr>
          <w:i/>
        </w:rPr>
        <w:t>niger</w:t>
      </w:r>
      <w:r w:rsidRPr="007F4386">
        <w:t xml:space="preserve"> is </w:t>
      </w:r>
      <w:r w:rsidR="00C57416" w:rsidRPr="007F4386">
        <w:t xml:space="preserve">unlikely to be a food safety </w:t>
      </w:r>
      <w:r w:rsidR="00626BF8" w:rsidRPr="007F4386">
        <w:t>concern</w:t>
      </w:r>
      <w:r w:rsidR="00C57416" w:rsidRPr="007F4386">
        <w:t>.</w:t>
      </w:r>
      <w:r w:rsidR="00C57416">
        <w:t xml:space="preserve"> </w:t>
      </w:r>
      <w:r>
        <w:t xml:space="preserve">Soy and possibly wheat are used in the fermentation medium, however due to washing and </w:t>
      </w:r>
      <w:r w:rsidR="00644DA7">
        <w:t>filtration processes</w:t>
      </w:r>
      <w:r w:rsidR="00AB513D">
        <w:t xml:space="preserve"> they are not expected to be present in the final product. </w:t>
      </w:r>
      <w:r>
        <w:t xml:space="preserve"> </w:t>
      </w:r>
    </w:p>
    <w:p w14:paraId="0B635B4E" w14:textId="38059AF3" w:rsidR="00521FAD" w:rsidRDefault="00B72F37">
      <w:pPr>
        <w:pStyle w:val="Heading1"/>
      </w:pPr>
      <w:bookmarkStart w:id="108" w:name="_Toc28003785"/>
      <w:bookmarkStart w:id="109" w:name="_Toc536544012"/>
      <w:bookmarkStart w:id="110" w:name="_Toc536607147"/>
      <w:r>
        <w:t>5</w:t>
      </w:r>
      <w:r w:rsidR="00AF0509">
        <w:t xml:space="preserve"> </w:t>
      </w:r>
      <w:r w:rsidR="00E02D51">
        <w:tab/>
      </w:r>
      <w:r w:rsidR="00521FAD" w:rsidRPr="00521FAD">
        <w:t>Conclusion</w:t>
      </w:r>
      <w:bookmarkEnd w:id="108"/>
    </w:p>
    <w:p w14:paraId="4B1F8BB6" w14:textId="77777777" w:rsidR="00F43DAD" w:rsidRPr="00F43DAD" w:rsidRDefault="00F43DAD" w:rsidP="00F43DAD">
      <w:pPr>
        <w:widowControl/>
        <w:rPr>
          <w:b/>
          <w:lang w:eastAsia="en-AU" w:bidi="ar-SA"/>
        </w:rPr>
      </w:pPr>
      <w:r w:rsidRPr="00B511CA">
        <w:rPr>
          <w:lang w:eastAsia="en-AU" w:bidi="ar-SA"/>
        </w:rPr>
        <w:t>Based on the reviewed toxicological data, it is concluded that in the absence of any identifiable hazard an Acceptable Daily Intake (ADI) ‘not specified’ is appropriate. A dietary exposure assessment was therefore not required.</w:t>
      </w:r>
      <w:r w:rsidRPr="00F43DAD">
        <w:rPr>
          <w:highlight w:val="yellow"/>
          <w:lang w:eastAsia="en-AU" w:bidi="ar-SA"/>
        </w:rPr>
        <w:t xml:space="preserve"> </w:t>
      </w:r>
    </w:p>
    <w:p w14:paraId="26281CEA" w14:textId="794E51BA" w:rsidR="00AF0509" w:rsidRDefault="00521FAD" w:rsidP="00AF0509">
      <w:pPr>
        <w:pStyle w:val="Heading1"/>
      </w:pPr>
      <w:bookmarkStart w:id="111" w:name="_Toc28003786"/>
      <w:r w:rsidRPr="00521FAD">
        <w:t xml:space="preserve">6 </w:t>
      </w:r>
      <w:r w:rsidR="00E02D51">
        <w:tab/>
      </w:r>
      <w:r w:rsidR="00AF0509">
        <w:t>References</w:t>
      </w:r>
      <w:bookmarkEnd w:id="107"/>
      <w:bookmarkEnd w:id="109"/>
      <w:bookmarkEnd w:id="110"/>
      <w:bookmarkEnd w:id="111"/>
    </w:p>
    <w:p w14:paraId="1D2DACA1" w14:textId="495FA831" w:rsidR="00403ACA" w:rsidRDefault="00403ACA" w:rsidP="001A70FE">
      <w:pPr>
        <w:rPr>
          <w:sz w:val="20"/>
        </w:rPr>
      </w:pPr>
      <w:r>
        <w:rPr>
          <w:sz w:val="20"/>
        </w:rPr>
        <w:t>Aalberse RC (2000). Structural biology of allergens. J Allergy Clin Immunol 106:206-238</w:t>
      </w:r>
    </w:p>
    <w:p w14:paraId="3DD437BB" w14:textId="77777777" w:rsidR="00403ACA" w:rsidRDefault="00403ACA" w:rsidP="001A70FE">
      <w:pPr>
        <w:rPr>
          <w:sz w:val="20"/>
        </w:rPr>
      </w:pPr>
    </w:p>
    <w:p w14:paraId="00428E9B" w14:textId="22C88F1C" w:rsidR="00D929EF" w:rsidRDefault="00D929EF" w:rsidP="001A70FE">
      <w:pPr>
        <w:rPr>
          <w:bCs/>
          <w:sz w:val="20"/>
          <w:szCs w:val="20"/>
        </w:rPr>
      </w:pPr>
      <w:r w:rsidRPr="000664B8">
        <w:rPr>
          <w:sz w:val="20"/>
        </w:rPr>
        <w:t xml:space="preserve">Atchade E, Jean-Baptiste S, Houzé S, Chabut C, Massias L, Castier Y, Brugière O, Mal H, Montravers P (2017) Fatal invasive aspergillosis caused by </w:t>
      </w:r>
      <w:r w:rsidRPr="00780653">
        <w:rPr>
          <w:i/>
          <w:sz w:val="20"/>
        </w:rPr>
        <w:t>Aspergillus niger</w:t>
      </w:r>
      <w:r w:rsidRPr="000664B8">
        <w:rPr>
          <w:sz w:val="20"/>
        </w:rPr>
        <w:t xml:space="preserve"> after bilateral lung transplantation</w:t>
      </w:r>
      <w:r w:rsidRPr="000664B8">
        <w:rPr>
          <w:bCs/>
          <w:sz w:val="20"/>
          <w:szCs w:val="20"/>
        </w:rPr>
        <w:t xml:space="preserve">. </w:t>
      </w:r>
      <w:r w:rsidR="00DB4E31" w:rsidRPr="00DB4E31">
        <w:rPr>
          <w:bCs/>
          <w:sz w:val="20"/>
          <w:szCs w:val="20"/>
        </w:rPr>
        <w:t xml:space="preserve">Med Mycol Case Rep </w:t>
      </w:r>
      <w:r w:rsidRPr="000664B8">
        <w:rPr>
          <w:bCs/>
          <w:sz w:val="20"/>
          <w:szCs w:val="20"/>
        </w:rPr>
        <w:t>17:4-7</w:t>
      </w:r>
    </w:p>
    <w:p w14:paraId="0334AFDE" w14:textId="77A30FE6" w:rsidR="00403ACA" w:rsidRDefault="00403ACA" w:rsidP="001A70FE">
      <w:pPr>
        <w:rPr>
          <w:bCs/>
          <w:sz w:val="20"/>
          <w:szCs w:val="20"/>
        </w:rPr>
      </w:pPr>
    </w:p>
    <w:p w14:paraId="7710D804" w14:textId="77777777" w:rsidR="00E50359" w:rsidRPr="00732E95" w:rsidRDefault="00E50359" w:rsidP="001A70FE">
      <w:pPr>
        <w:widowControl/>
        <w:rPr>
          <w:rFonts w:eastAsia="Calibri"/>
          <w:sz w:val="20"/>
          <w:szCs w:val="20"/>
          <w:lang w:val="en-AU" w:bidi="ar-SA"/>
        </w:rPr>
      </w:pPr>
      <w:r w:rsidRPr="00732E95">
        <w:rPr>
          <w:rFonts w:eastAsia="Calibri"/>
          <w:sz w:val="20"/>
          <w:szCs w:val="20"/>
          <w:lang w:val="en-AU" w:bidi="ar-SA"/>
        </w:rPr>
        <w:t xml:space="preserve">Bindslev-Jensen C, Skov PS, Roggen EL, Hvass P, Brinch DS (2006) Investigation on possible allergenicity of 19 different commercial enzymes used in the food industry. </w:t>
      </w:r>
      <w:r w:rsidRPr="00780653">
        <w:rPr>
          <w:rFonts w:eastAsia="Calibri"/>
          <w:sz w:val="20"/>
          <w:szCs w:val="20"/>
          <w:lang w:val="en-AU" w:bidi="ar-SA"/>
        </w:rPr>
        <w:t>Food and Chemical Toxicology</w:t>
      </w:r>
      <w:r w:rsidRPr="00732E95">
        <w:rPr>
          <w:rFonts w:eastAsia="Calibri"/>
          <w:sz w:val="20"/>
          <w:szCs w:val="20"/>
          <w:lang w:val="en-AU" w:bidi="ar-SA"/>
        </w:rPr>
        <w:t xml:space="preserve"> 44: 1909-1915</w:t>
      </w:r>
    </w:p>
    <w:p w14:paraId="574AE4E0" w14:textId="2DB9D998" w:rsidR="0034618B" w:rsidRPr="00732E95" w:rsidRDefault="0034618B" w:rsidP="001A70FE">
      <w:pPr>
        <w:rPr>
          <w:bCs/>
          <w:sz w:val="20"/>
          <w:szCs w:val="20"/>
        </w:rPr>
      </w:pPr>
    </w:p>
    <w:p w14:paraId="4DDD5A69" w14:textId="599AAAE2" w:rsidR="007C131B" w:rsidRDefault="007C131B" w:rsidP="001A70FE">
      <w:pPr>
        <w:rPr>
          <w:bCs/>
          <w:sz w:val="20"/>
          <w:szCs w:val="20"/>
        </w:rPr>
      </w:pPr>
      <w:r w:rsidRPr="00732E95">
        <w:rPr>
          <w:bCs/>
          <w:sz w:val="20"/>
          <w:szCs w:val="20"/>
        </w:rPr>
        <w:t>Berridge BR, Mowat V, Naga H, Nyska A, Okazak</w:t>
      </w:r>
      <w:r w:rsidR="005600ED">
        <w:rPr>
          <w:bCs/>
          <w:sz w:val="20"/>
          <w:szCs w:val="20"/>
        </w:rPr>
        <w:t>i</w:t>
      </w:r>
      <w:r w:rsidRPr="00732E95">
        <w:rPr>
          <w:bCs/>
          <w:sz w:val="20"/>
          <w:szCs w:val="20"/>
        </w:rPr>
        <w:t xml:space="preserve"> Y, Clements PJ</w:t>
      </w:r>
      <w:r w:rsidR="005600ED">
        <w:rPr>
          <w:bCs/>
          <w:sz w:val="20"/>
          <w:szCs w:val="20"/>
        </w:rPr>
        <w:t>, Rinke</w:t>
      </w:r>
      <w:r w:rsidRPr="00732E95">
        <w:rPr>
          <w:bCs/>
          <w:sz w:val="20"/>
          <w:szCs w:val="20"/>
        </w:rPr>
        <w:t xml:space="preserve"> M, Snyder PW, Boyle M</w:t>
      </w:r>
      <w:r w:rsidR="005600ED">
        <w:rPr>
          <w:bCs/>
          <w:sz w:val="20"/>
          <w:szCs w:val="20"/>
        </w:rPr>
        <w:t>C</w:t>
      </w:r>
      <w:r w:rsidRPr="00732E95">
        <w:rPr>
          <w:bCs/>
          <w:sz w:val="20"/>
          <w:szCs w:val="20"/>
        </w:rPr>
        <w:t>, Wells</w:t>
      </w:r>
      <w:r w:rsidR="005600ED">
        <w:rPr>
          <w:bCs/>
          <w:sz w:val="20"/>
          <w:szCs w:val="20"/>
        </w:rPr>
        <w:t xml:space="preserve"> MY</w:t>
      </w:r>
      <w:r w:rsidRPr="00732E95">
        <w:rPr>
          <w:bCs/>
          <w:sz w:val="20"/>
          <w:szCs w:val="20"/>
        </w:rPr>
        <w:t xml:space="preserve"> (2016) Non-proliferative and Proliferative Lesions of the Car</w:t>
      </w:r>
      <w:r w:rsidR="005600ED">
        <w:rPr>
          <w:bCs/>
          <w:sz w:val="20"/>
          <w:szCs w:val="20"/>
        </w:rPr>
        <w:t>d</w:t>
      </w:r>
      <w:r w:rsidRPr="00732E95">
        <w:rPr>
          <w:bCs/>
          <w:sz w:val="20"/>
          <w:szCs w:val="20"/>
        </w:rPr>
        <w:t xml:space="preserve">iovascular System of the Rat and Mouse. Journal of Toxicological Pathology 29 (3 suppl): 1S-47S </w:t>
      </w:r>
    </w:p>
    <w:p w14:paraId="1D9A97B1" w14:textId="435444E9" w:rsidR="00C525DE" w:rsidRDefault="00C525DE" w:rsidP="001A70FE">
      <w:pPr>
        <w:rPr>
          <w:bCs/>
          <w:sz w:val="20"/>
          <w:szCs w:val="20"/>
        </w:rPr>
      </w:pPr>
    </w:p>
    <w:p w14:paraId="0A9CE56D" w14:textId="77777777" w:rsidR="00C525DE" w:rsidRDefault="00C525DE" w:rsidP="00C525DE">
      <w:pPr>
        <w:rPr>
          <w:sz w:val="20"/>
          <w:szCs w:val="20"/>
        </w:rPr>
      </w:pPr>
      <w:r>
        <w:rPr>
          <w:sz w:val="20"/>
          <w:szCs w:val="20"/>
        </w:rPr>
        <w:t>Bucci T.J (1991) Evaluation of altered morphology In: (Hascheck W and Rousseaux (eds) Handbook of Toxicologic Pathology. 1</w:t>
      </w:r>
      <w:r w:rsidRPr="00C525DE">
        <w:rPr>
          <w:sz w:val="20"/>
          <w:szCs w:val="20"/>
        </w:rPr>
        <w:t>st</w:t>
      </w:r>
      <w:r>
        <w:rPr>
          <w:sz w:val="20"/>
          <w:szCs w:val="20"/>
        </w:rPr>
        <w:t xml:space="preserve"> ed. Elsevier p23-35. </w:t>
      </w:r>
    </w:p>
    <w:p w14:paraId="12E482E7" w14:textId="77777777" w:rsidR="00C525DE" w:rsidRDefault="00C525DE" w:rsidP="001A70FE">
      <w:pPr>
        <w:rPr>
          <w:bCs/>
          <w:sz w:val="20"/>
          <w:szCs w:val="20"/>
        </w:rPr>
      </w:pPr>
    </w:p>
    <w:p w14:paraId="427AB5D0" w14:textId="3146FDB3" w:rsidR="001A70FE" w:rsidRDefault="001A70FE" w:rsidP="001A70FE">
      <w:pPr>
        <w:rPr>
          <w:bCs/>
          <w:sz w:val="20"/>
          <w:szCs w:val="20"/>
        </w:rPr>
      </w:pPr>
    </w:p>
    <w:p w14:paraId="78AD6596" w14:textId="53883F20" w:rsidR="001A70FE" w:rsidRDefault="001A70FE" w:rsidP="001A70FE">
      <w:pPr>
        <w:widowControl/>
        <w:rPr>
          <w:sz w:val="20"/>
          <w:szCs w:val="20"/>
        </w:rPr>
      </w:pPr>
      <w:r w:rsidRPr="009D72DE">
        <w:rPr>
          <w:sz w:val="20"/>
          <w:szCs w:val="20"/>
        </w:rPr>
        <w:t>Delaney B, Astwood JD, Cunny H, Conn RE, Herouet-Guicheney C, MacIntosh S, Meyer LS, Privalle L, Gao Y, Mattsson J, Levine M, ILSI Food Biotechnology Committee Task Force on Protein Safety (2008) Evaluation of protein safety in the context of agricultural biotechnology. Food Chem Toxicol 46: S71-S97</w:t>
      </w:r>
    </w:p>
    <w:p w14:paraId="2CEA961A" w14:textId="2B850A31" w:rsidR="004605F6" w:rsidRDefault="004605F6" w:rsidP="001A70FE">
      <w:pPr>
        <w:widowControl/>
        <w:rPr>
          <w:sz w:val="20"/>
          <w:szCs w:val="20"/>
        </w:rPr>
      </w:pPr>
    </w:p>
    <w:p w14:paraId="29E4C82D" w14:textId="2A2A5A53" w:rsidR="004605F6" w:rsidRPr="009D72DE" w:rsidRDefault="004605F6" w:rsidP="004605F6">
      <w:pPr>
        <w:widowControl/>
        <w:rPr>
          <w:sz w:val="20"/>
          <w:szCs w:val="20"/>
        </w:rPr>
      </w:pPr>
      <w:r>
        <w:rPr>
          <w:sz w:val="20"/>
          <w:szCs w:val="20"/>
        </w:rPr>
        <w:t xml:space="preserve">Franken ACW, Lokman BC, Ram AFJ, van den Hondel CAMJJ, de Weert S, Punt PJ (2012) </w:t>
      </w:r>
      <w:r w:rsidRPr="004605F6">
        <w:rPr>
          <w:sz w:val="20"/>
          <w:szCs w:val="20"/>
        </w:rPr>
        <w:t xml:space="preserve">Analysis of the role of the </w:t>
      </w:r>
      <w:r w:rsidRPr="004605F6">
        <w:rPr>
          <w:i/>
          <w:sz w:val="20"/>
          <w:szCs w:val="20"/>
        </w:rPr>
        <w:t>Aspergillus niger</w:t>
      </w:r>
      <w:r w:rsidRPr="004605F6">
        <w:rPr>
          <w:sz w:val="20"/>
          <w:szCs w:val="20"/>
        </w:rPr>
        <w:t xml:space="preserve"> aminolevulinic acid</w:t>
      </w:r>
      <w:r>
        <w:rPr>
          <w:sz w:val="20"/>
          <w:szCs w:val="20"/>
        </w:rPr>
        <w:t xml:space="preserve"> </w:t>
      </w:r>
      <w:r w:rsidRPr="004605F6">
        <w:rPr>
          <w:sz w:val="20"/>
          <w:szCs w:val="20"/>
        </w:rPr>
        <w:t>synthase (</w:t>
      </w:r>
      <w:r w:rsidRPr="004605F6">
        <w:rPr>
          <w:i/>
          <w:sz w:val="20"/>
          <w:szCs w:val="20"/>
        </w:rPr>
        <w:t>hemA</w:t>
      </w:r>
      <w:r w:rsidRPr="004605F6">
        <w:rPr>
          <w:sz w:val="20"/>
          <w:szCs w:val="20"/>
        </w:rPr>
        <w:t>) gene illustrates the difference between</w:t>
      </w:r>
      <w:r>
        <w:rPr>
          <w:sz w:val="20"/>
          <w:szCs w:val="20"/>
        </w:rPr>
        <w:t xml:space="preserve"> </w:t>
      </w:r>
      <w:r w:rsidRPr="004605F6">
        <w:rPr>
          <w:sz w:val="20"/>
          <w:szCs w:val="20"/>
        </w:rPr>
        <w:t>regulation of yeast and fungal haem- and sirohaem-dependent</w:t>
      </w:r>
      <w:r>
        <w:rPr>
          <w:sz w:val="20"/>
          <w:szCs w:val="20"/>
        </w:rPr>
        <w:t xml:space="preserve"> </w:t>
      </w:r>
      <w:r w:rsidRPr="004605F6">
        <w:rPr>
          <w:sz w:val="20"/>
          <w:szCs w:val="20"/>
        </w:rPr>
        <w:t>pathways</w:t>
      </w:r>
      <w:r>
        <w:rPr>
          <w:sz w:val="20"/>
          <w:szCs w:val="20"/>
        </w:rPr>
        <w:t>. FEMS Microbiol Lett 335:104-112</w:t>
      </w:r>
    </w:p>
    <w:p w14:paraId="482CFB4E" w14:textId="77777777" w:rsidR="007C131B" w:rsidRPr="00732E95" w:rsidRDefault="007C131B" w:rsidP="001A70FE">
      <w:pPr>
        <w:rPr>
          <w:bCs/>
          <w:sz w:val="20"/>
          <w:szCs w:val="20"/>
        </w:rPr>
      </w:pPr>
    </w:p>
    <w:p w14:paraId="31B24F71" w14:textId="77777777" w:rsidR="00D929EF" w:rsidRDefault="00D929EF" w:rsidP="001A70FE">
      <w:pPr>
        <w:rPr>
          <w:sz w:val="20"/>
          <w:szCs w:val="20"/>
        </w:rPr>
      </w:pPr>
      <w:r w:rsidRPr="000664B8">
        <w:rPr>
          <w:sz w:val="20"/>
          <w:szCs w:val="20"/>
        </w:rPr>
        <w:t xml:space="preserve">Frisvad JC, Larsen TO, Thrane U, Meijer M, Varga J, Samson RA, Nielsen KF (2011) Fumonisin and ochratoxin production in industrial </w:t>
      </w:r>
      <w:r w:rsidRPr="00780653">
        <w:rPr>
          <w:i/>
          <w:sz w:val="20"/>
          <w:szCs w:val="20"/>
        </w:rPr>
        <w:t>Aspergillus niger</w:t>
      </w:r>
      <w:r w:rsidRPr="000664B8">
        <w:rPr>
          <w:sz w:val="20"/>
          <w:szCs w:val="20"/>
        </w:rPr>
        <w:t xml:space="preserve"> strains. PLoS One 6(8):e23496</w:t>
      </w:r>
    </w:p>
    <w:p w14:paraId="209E80EA" w14:textId="77777777" w:rsidR="00D929EF" w:rsidRDefault="00D929EF" w:rsidP="001A70FE">
      <w:pPr>
        <w:rPr>
          <w:sz w:val="20"/>
          <w:szCs w:val="20"/>
        </w:rPr>
      </w:pPr>
    </w:p>
    <w:p w14:paraId="7BC442D5" w14:textId="4E8635F7" w:rsidR="00D929EF" w:rsidRDefault="00D929EF" w:rsidP="001A70FE">
      <w:pPr>
        <w:rPr>
          <w:sz w:val="20"/>
          <w:szCs w:val="20"/>
        </w:rPr>
      </w:pPr>
      <w:r w:rsidRPr="00B640CA">
        <w:rPr>
          <w:sz w:val="20"/>
          <w:szCs w:val="20"/>
        </w:rPr>
        <w:t xml:space="preserve">Gautam AK, Sahrma S, Avasthi S, Bhadauria R (2011) Diversity, pathogenicity and toxicology of </w:t>
      </w:r>
      <w:r w:rsidRPr="00780653">
        <w:rPr>
          <w:i/>
          <w:sz w:val="20"/>
          <w:szCs w:val="20"/>
        </w:rPr>
        <w:t>A. niger</w:t>
      </w:r>
      <w:r w:rsidRPr="00B640CA">
        <w:rPr>
          <w:sz w:val="20"/>
          <w:szCs w:val="20"/>
        </w:rPr>
        <w:t xml:space="preserve">: An important spoilage fungi. </w:t>
      </w:r>
      <w:r w:rsidR="00DB4E31">
        <w:rPr>
          <w:sz w:val="20"/>
          <w:szCs w:val="20"/>
        </w:rPr>
        <w:t>Res J Microbiol</w:t>
      </w:r>
      <w:r w:rsidRPr="00B640CA">
        <w:rPr>
          <w:sz w:val="20"/>
          <w:szCs w:val="20"/>
        </w:rPr>
        <w:t xml:space="preserve"> 6(3):270-280</w:t>
      </w:r>
    </w:p>
    <w:p w14:paraId="28994CE6" w14:textId="7D06FF9E" w:rsidR="00C86136" w:rsidRDefault="00C86136" w:rsidP="001A70FE">
      <w:pPr>
        <w:rPr>
          <w:sz w:val="20"/>
          <w:szCs w:val="20"/>
        </w:rPr>
      </w:pPr>
    </w:p>
    <w:p w14:paraId="10894417" w14:textId="34B890BC" w:rsidR="00C86136" w:rsidRDefault="00C86136" w:rsidP="001A70FE">
      <w:pPr>
        <w:rPr>
          <w:sz w:val="20"/>
          <w:szCs w:val="20"/>
        </w:rPr>
      </w:pPr>
      <w:r>
        <w:rPr>
          <w:sz w:val="20"/>
          <w:szCs w:val="20"/>
        </w:rPr>
        <w:t>Greave P (1990)</w:t>
      </w:r>
      <w:r w:rsidR="00887A28">
        <w:rPr>
          <w:sz w:val="20"/>
          <w:szCs w:val="20"/>
        </w:rPr>
        <w:t xml:space="preserve"> </w:t>
      </w:r>
      <w:r w:rsidR="00A61585">
        <w:rPr>
          <w:sz w:val="20"/>
          <w:szCs w:val="20"/>
        </w:rPr>
        <w:t>Cardiovascular system</w:t>
      </w:r>
      <w:r w:rsidR="00887A28">
        <w:rPr>
          <w:sz w:val="20"/>
          <w:szCs w:val="20"/>
        </w:rPr>
        <w:t>. In</w:t>
      </w:r>
      <w:r>
        <w:rPr>
          <w:sz w:val="20"/>
          <w:szCs w:val="20"/>
        </w:rPr>
        <w:t xml:space="preserve"> </w:t>
      </w:r>
      <w:r w:rsidR="00887A28">
        <w:rPr>
          <w:sz w:val="20"/>
          <w:szCs w:val="20"/>
        </w:rPr>
        <w:t xml:space="preserve">Greave P (ed) </w:t>
      </w:r>
      <w:r>
        <w:rPr>
          <w:sz w:val="20"/>
          <w:szCs w:val="20"/>
        </w:rPr>
        <w:t xml:space="preserve">Histopathology of Pre-clinical toxicity studies </w:t>
      </w:r>
      <w:r w:rsidR="00887A28">
        <w:rPr>
          <w:sz w:val="20"/>
          <w:szCs w:val="20"/>
        </w:rPr>
        <w:t xml:space="preserve">: interpretation and relevance in drug safety evaluation. </w:t>
      </w:r>
      <w:r w:rsidR="0050497E">
        <w:rPr>
          <w:sz w:val="20"/>
          <w:szCs w:val="20"/>
        </w:rPr>
        <w:t>4</w:t>
      </w:r>
      <w:r w:rsidR="0050497E">
        <w:rPr>
          <w:sz w:val="20"/>
          <w:szCs w:val="20"/>
          <w:vertAlign w:val="superscript"/>
        </w:rPr>
        <w:t>th</w:t>
      </w:r>
      <w:r w:rsidR="00887A28">
        <w:rPr>
          <w:sz w:val="20"/>
          <w:szCs w:val="20"/>
        </w:rPr>
        <w:t xml:space="preserve"> ed, Elsevier, </w:t>
      </w:r>
      <w:r w:rsidR="0050497E">
        <w:rPr>
          <w:sz w:val="20"/>
          <w:szCs w:val="20"/>
        </w:rPr>
        <w:t>Canada, p 349-371</w:t>
      </w:r>
    </w:p>
    <w:p w14:paraId="7E8650B6" w14:textId="0386FBD2" w:rsidR="00C86136" w:rsidRDefault="00C86136" w:rsidP="001A70FE">
      <w:pPr>
        <w:rPr>
          <w:sz w:val="20"/>
          <w:szCs w:val="20"/>
        </w:rPr>
      </w:pPr>
    </w:p>
    <w:p w14:paraId="6C775E6F" w14:textId="0765E23F" w:rsidR="00C86136" w:rsidRDefault="00C86136" w:rsidP="001A70FE">
      <w:pPr>
        <w:rPr>
          <w:sz w:val="20"/>
          <w:szCs w:val="20"/>
        </w:rPr>
      </w:pPr>
      <w:r>
        <w:rPr>
          <w:sz w:val="20"/>
          <w:szCs w:val="20"/>
        </w:rPr>
        <w:t>Gopinath C</w:t>
      </w:r>
      <w:r w:rsidR="0050497E">
        <w:rPr>
          <w:sz w:val="20"/>
          <w:szCs w:val="20"/>
        </w:rPr>
        <w:t xml:space="preserve">, Prentice D, Lewis </w:t>
      </w:r>
      <w:r>
        <w:rPr>
          <w:sz w:val="20"/>
          <w:szCs w:val="20"/>
        </w:rPr>
        <w:t xml:space="preserve">(1987) </w:t>
      </w:r>
      <w:r w:rsidR="00A83537">
        <w:rPr>
          <w:sz w:val="20"/>
          <w:szCs w:val="20"/>
        </w:rPr>
        <w:t xml:space="preserve">The </w:t>
      </w:r>
      <w:r w:rsidR="00A61585">
        <w:rPr>
          <w:sz w:val="20"/>
          <w:szCs w:val="20"/>
        </w:rPr>
        <w:t xml:space="preserve">cardiovascular system </w:t>
      </w:r>
      <w:r w:rsidR="00A83537">
        <w:rPr>
          <w:sz w:val="20"/>
          <w:szCs w:val="20"/>
        </w:rPr>
        <w:t xml:space="preserve"> In: Prentice D (ed)</w:t>
      </w:r>
      <w:r w:rsidR="00892E7A">
        <w:rPr>
          <w:sz w:val="20"/>
          <w:szCs w:val="20"/>
        </w:rPr>
        <w:t xml:space="preserve"> </w:t>
      </w:r>
      <w:r>
        <w:rPr>
          <w:sz w:val="20"/>
          <w:szCs w:val="20"/>
        </w:rPr>
        <w:t>Atlas of experimental toxicology pathology</w:t>
      </w:r>
      <w:r w:rsidR="00A83537">
        <w:rPr>
          <w:sz w:val="20"/>
          <w:szCs w:val="20"/>
        </w:rPr>
        <w:t>. 1</w:t>
      </w:r>
      <w:r w:rsidR="00A83537" w:rsidRPr="00A83537">
        <w:rPr>
          <w:sz w:val="20"/>
          <w:szCs w:val="20"/>
          <w:vertAlign w:val="superscript"/>
        </w:rPr>
        <w:t>st</w:t>
      </w:r>
      <w:r w:rsidR="00A83537">
        <w:rPr>
          <w:sz w:val="20"/>
          <w:szCs w:val="20"/>
        </w:rPr>
        <w:t xml:space="preserve"> ed. Springer, Netherlands</w:t>
      </w:r>
      <w:r w:rsidR="00892E7A">
        <w:rPr>
          <w:sz w:val="20"/>
          <w:szCs w:val="20"/>
        </w:rPr>
        <w:t>,</w:t>
      </w:r>
      <w:r w:rsidR="00A83537">
        <w:rPr>
          <w:sz w:val="20"/>
          <w:szCs w:val="20"/>
        </w:rPr>
        <w:t xml:space="preserve"> </w:t>
      </w:r>
      <w:r w:rsidR="00A61585">
        <w:rPr>
          <w:sz w:val="20"/>
          <w:szCs w:val="20"/>
        </w:rPr>
        <w:t>p11-21</w:t>
      </w:r>
    </w:p>
    <w:p w14:paraId="35A91569" w14:textId="76676E53" w:rsidR="001A70FE" w:rsidRDefault="001A70FE" w:rsidP="001A70FE">
      <w:pPr>
        <w:rPr>
          <w:sz w:val="20"/>
          <w:szCs w:val="20"/>
        </w:rPr>
      </w:pPr>
    </w:p>
    <w:p w14:paraId="79006049" w14:textId="7B843F21" w:rsidR="001A70FE" w:rsidRDefault="001A70FE" w:rsidP="001A70FE">
      <w:pPr>
        <w:rPr>
          <w:sz w:val="20"/>
          <w:szCs w:val="20"/>
        </w:rPr>
      </w:pPr>
      <w:r w:rsidRPr="001A70FE">
        <w:rPr>
          <w:sz w:val="20"/>
          <w:szCs w:val="20"/>
        </w:rPr>
        <w:t xml:space="preserve">Gryshyna A, Kautto L, Peterson R, Nevalainen KMH (2016) On the safety of filamentous fungi with special emphasis on </w:t>
      </w:r>
      <w:r w:rsidRPr="004605F6">
        <w:rPr>
          <w:i/>
          <w:sz w:val="20"/>
          <w:szCs w:val="20"/>
        </w:rPr>
        <w:t>Trichoderma reesei</w:t>
      </w:r>
      <w:r w:rsidRPr="001A70FE">
        <w:rPr>
          <w:sz w:val="20"/>
          <w:szCs w:val="20"/>
        </w:rPr>
        <w:t xml:space="preserve"> and products made by recombinant means. In Schmoll M, Dattenböck C (eds) Gene expression systems in fungi: advancements and applications. Fungal Biology. Springer, Cham</w:t>
      </w:r>
    </w:p>
    <w:p w14:paraId="425E85A1" w14:textId="2D5B1964" w:rsidR="0034618B" w:rsidRDefault="0034618B" w:rsidP="001A70FE">
      <w:pPr>
        <w:rPr>
          <w:sz w:val="20"/>
          <w:szCs w:val="20"/>
        </w:rPr>
      </w:pPr>
    </w:p>
    <w:p w14:paraId="63469190" w14:textId="6C26FDE9" w:rsidR="009D72DE" w:rsidRPr="009D72DE" w:rsidRDefault="0034618B" w:rsidP="001A70FE">
      <w:pPr>
        <w:rPr>
          <w:sz w:val="20"/>
          <w:szCs w:val="20"/>
        </w:rPr>
      </w:pPr>
      <w:r w:rsidRPr="009D72DE">
        <w:rPr>
          <w:sz w:val="20"/>
          <w:szCs w:val="20"/>
        </w:rPr>
        <w:t xml:space="preserve">Herman E and Eldridge S (2019) Spontaneously occurring cardiovascular lesions in commonly used laboratory animals. Cardio-Oncology </w:t>
      </w:r>
      <w:r w:rsidR="00A61585">
        <w:rPr>
          <w:sz w:val="20"/>
          <w:szCs w:val="20"/>
        </w:rPr>
        <w:t>Vol 5, p3</w:t>
      </w:r>
    </w:p>
    <w:p w14:paraId="1AE9CB40" w14:textId="1F643B60" w:rsidR="0034618B" w:rsidRPr="009D72DE" w:rsidRDefault="00556513" w:rsidP="001A70FE">
      <w:pPr>
        <w:rPr>
          <w:sz w:val="20"/>
          <w:szCs w:val="20"/>
        </w:rPr>
      </w:pPr>
      <w:hyperlink r:id="rId22" w:history="1">
        <w:r w:rsidR="0034618B" w:rsidRPr="009D72DE">
          <w:rPr>
            <w:rStyle w:val="Hyperlink"/>
            <w:sz w:val="20"/>
            <w:szCs w:val="20"/>
          </w:rPr>
          <w:t>https://link.springer.com/article/10.1186/s40959-019-0040-y</w:t>
        </w:r>
      </w:hyperlink>
    </w:p>
    <w:p w14:paraId="504E5D04" w14:textId="35D11C52" w:rsidR="00D929EF" w:rsidRDefault="00D929EF" w:rsidP="001A70FE">
      <w:pPr>
        <w:rPr>
          <w:sz w:val="20"/>
          <w:szCs w:val="20"/>
        </w:rPr>
      </w:pPr>
    </w:p>
    <w:p w14:paraId="4DF0036B" w14:textId="77777777" w:rsidR="00D929EF" w:rsidRPr="009D72DE" w:rsidRDefault="00D929EF" w:rsidP="001A70FE">
      <w:pPr>
        <w:rPr>
          <w:sz w:val="20"/>
          <w:szCs w:val="20"/>
        </w:rPr>
      </w:pPr>
      <w:r w:rsidRPr="009D72DE">
        <w:rPr>
          <w:sz w:val="20"/>
          <w:szCs w:val="20"/>
        </w:rPr>
        <w:t xml:space="preserve">IUBMB (2018) EC 3.2.1.3. </w:t>
      </w:r>
      <w:hyperlink r:id="rId23" w:history="1">
        <w:r w:rsidRPr="009D72DE">
          <w:rPr>
            <w:rStyle w:val="Hyperlink"/>
            <w:sz w:val="20"/>
            <w:szCs w:val="20"/>
          </w:rPr>
          <w:t>https://www.qmul.ac.uk/sbcs/iubmb/enzyme/EC3/2/1/3.html</w:t>
        </w:r>
      </w:hyperlink>
      <w:r w:rsidRPr="009D72DE">
        <w:rPr>
          <w:sz w:val="20"/>
          <w:szCs w:val="20"/>
        </w:rPr>
        <w:t xml:space="preserve"> </w:t>
      </w:r>
    </w:p>
    <w:p w14:paraId="1A4565F4" w14:textId="62AC03EE" w:rsidR="00D929EF" w:rsidRPr="009D72DE" w:rsidRDefault="00D929EF" w:rsidP="001A70FE">
      <w:pPr>
        <w:rPr>
          <w:sz w:val="20"/>
          <w:szCs w:val="20"/>
        </w:rPr>
      </w:pPr>
    </w:p>
    <w:p w14:paraId="5E968504" w14:textId="66FF713D" w:rsidR="00D929EF" w:rsidRPr="009D72DE" w:rsidRDefault="00D929EF" w:rsidP="001A70FE">
      <w:pPr>
        <w:rPr>
          <w:sz w:val="20"/>
          <w:szCs w:val="20"/>
        </w:rPr>
      </w:pPr>
      <w:r w:rsidRPr="009D72DE">
        <w:rPr>
          <w:sz w:val="20"/>
          <w:szCs w:val="20"/>
        </w:rPr>
        <w:t xml:space="preserve">JECFA (2017) Combined compendium of food additive specifications (FAO JECFA Monograph 1) </w:t>
      </w:r>
      <w:hyperlink r:id="rId24" w:history="1">
        <w:r w:rsidRPr="009D72DE">
          <w:rPr>
            <w:rStyle w:val="Hyperlink"/>
            <w:sz w:val="20"/>
            <w:szCs w:val="20"/>
          </w:rPr>
          <w:t>http://www.fao.org/docrep/009/a0691e/A0691E03.htm</w:t>
        </w:r>
      </w:hyperlink>
      <w:r w:rsidRPr="009D72DE">
        <w:rPr>
          <w:sz w:val="20"/>
          <w:szCs w:val="20"/>
        </w:rPr>
        <w:t xml:space="preserve"> </w:t>
      </w:r>
    </w:p>
    <w:p w14:paraId="70A822AD" w14:textId="2A1867AD" w:rsidR="0034618B" w:rsidRPr="009D72DE" w:rsidRDefault="0034618B" w:rsidP="001A70FE">
      <w:pPr>
        <w:rPr>
          <w:sz w:val="20"/>
          <w:szCs w:val="20"/>
        </w:rPr>
      </w:pPr>
    </w:p>
    <w:p w14:paraId="054E1F55" w14:textId="515099FC" w:rsidR="0034618B" w:rsidRPr="009D72DE" w:rsidRDefault="0034618B" w:rsidP="001A70FE">
      <w:pPr>
        <w:rPr>
          <w:rStyle w:val="Hyperlink"/>
          <w:sz w:val="20"/>
          <w:szCs w:val="20"/>
        </w:rPr>
      </w:pPr>
      <w:r w:rsidRPr="009D72DE">
        <w:rPr>
          <w:sz w:val="20"/>
          <w:szCs w:val="20"/>
        </w:rPr>
        <w:t>Jokinen MP, Lieuallen WG</w:t>
      </w:r>
      <w:r w:rsidR="00780653">
        <w:rPr>
          <w:sz w:val="20"/>
          <w:szCs w:val="20"/>
        </w:rPr>
        <w:t>, Boyle</w:t>
      </w:r>
      <w:r w:rsidRPr="009D72DE">
        <w:rPr>
          <w:sz w:val="20"/>
          <w:szCs w:val="20"/>
        </w:rPr>
        <w:t xml:space="preserve"> MC</w:t>
      </w:r>
      <w:r w:rsidR="00780653">
        <w:rPr>
          <w:sz w:val="20"/>
          <w:szCs w:val="20"/>
        </w:rPr>
        <w:t>, Johnson</w:t>
      </w:r>
      <w:r w:rsidRPr="009D72DE">
        <w:rPr>
          <w:sz w:val="20"/>
          <w:szCs w:val="20"/>
        </w:rPr>
        <w:t xml:space="preserve"> CL, Malarkey</w:t>
      </w:r>
      <w:r w:rsidR="00780653">
        <w:rPr>
          <w:sz w:val="20"/>
          <w:szCs w:val="20"/>
        </w:rPr>
        <w:t xml:space="preserve"> D</w:t>
      </w:r>
      <w:r w:rsidRPr="009D72DE">
        <w:rPr>
          <w:sz w:val="20"/>
          <w:szCs w:val="20"/>
        </w:rPr>
        <w:t>E, Nyska A</w:t>
      </w:r>
      <w:r w:rsidR="00780653">
        <w:rPr>
          <w:sz w:val="20"/>
          <w:szCs w:val="20"/>
        </w:rPr>
        <w:t xml:space="preserve"> (2011)</w:t>
      </w:r>
      <w:r w:rsidRPr="009D72DE">
        <w:rPr>
          <w:sz w:val="20"/>
          <w:szCs w:val="20"/>
        </w:rPr>
        <w:t xml:space="preserve"> Morphologic Aspects of Rodent Car</w:t>
      </w:r>
      <w:r w:rsidR="001D2052" w:rsidRPr="009D72DE">
        <w:rPr>
          <w:sz w:val="20"/>
          <w:szCs w:val="20"/>
        </w:rPr>
        <w:t>d</w:t>
      </w:r>
      <w:r w:rsidRPr="009D72DE">
        <w:rPr>
          <w:sz w:val="20"/>
          <w:szCs w:val="20"/>
        </w:rPr>
        <w:t xml:space="preserve">iotoxicity in a </w:t>
      </w:r>
      <w:r w:rsidR="001D2052" w:rsidRPr="009D72DE">
        <w:rPr>
          <w:sz w:val="20"/>
          <w:szCs w:val="20"/>
        </w:rPr>
        <w:t>Retrospective E</w:t>
      </w:r>
      <w:r w:rsidRPr="009D72DE">
        <w:rPr>
          <w:sz w:val="20"/>
          <w:szCs w:val="20"/>
        </w:rPr>
        <w:t xml:space="preserve">valuation </w:t>
      </w:r>
      <w:r w:rsidR="001D2052" w:rsidRPr="009D72DE">
        <w:rPr>
          <w:sz w:val="20"/>
          <w:szCs w:val="20"/>
        </w:rPr>
        <w:t xml:space="preserve">of National Toxicology Program Studies. Toxicologic Pathology. </w:t>
      </w:r>
      <w:r w:rsidR="00893715">
        <w:rPr>
          <w:sz w:val="20"/>
          <w:szCs w:val="20"/>
        </w:rPr>
        <w:t>Vol. 39 p 850-860</w:t>
      </w:r>
      <w:r w:rsidR="001D2052" w:rsidRPr="009D72DE">
        <w:rPr>
          <w:sz w:val="20"/>
          <w:szCs w:val="20"/>
        </w:rPr>
        <w:t xml:space="preserve"> </w:t>
      </w:r>
      <w:hyperlink r:id="rId25" w:history="1">
        <w:r w:rsidR="001D2052" w:rsidRPr="009D72DE">
          <w:rPr>
            <w:rStyle w:val="Hyperlink"/>
            <w:sz w:val="20"/>
            <w:szCs w:val="20"/>
          </w:rPr>
          <w:t>https://journals.sagepub.com/doi/full/10.1177/0192623311413788#</w:t>
        </w:r>
      </w:hyperlink>
    </w:p>
    <w:p w14:paraId="0E3B7F60" w14:textId="2ECA62C1" w:rsidR="001D2052" w:rsidRDefault="001D2052" w:rsidP="001A70FE">
      <w:pPr>
        <w:rPr>
          <w:rStyle w:val="Hyperlink"/>
          <w:sz w:val="20"/>
          <w:szCs w:val="20"/>
        </w:rPr>
      </w:pPr>
    </w:p>
    <w:p w14:paraId="598F1DDF" w14:textId="06F81F06" w:rsidR="001A70FE" w:rsidRDefault="001A70FE" w:rsidP="001A70FE">
      <w:pPr>
        <w:rPr>
          <w:color w:val="000000" w:themeColor="text1"/>
          <w:sz w:val="20"/>
          <w:szCs w:val="20"/>
        </w:rPr>
      </w:pPr>
      <w:r w:rsidRPr="008706C3">
        <w:rPr>
          <w:color w:val="000000" w:themeColor="text1"/>
          <w:sz w:val="20"/>
          <w:szCs w:val="20"/>
        </w:rPr>
        <w:t xml:space="preserve">Kelly JM, Hynes MJ (1985) Transformation of </w:t>
      </w:r>
      <w:r w:rsidRPr="008706C3">
        <w:rPr>
          <w:i/>
          <w:color w:val="000000" w:themeColor="text1"/>
          <w:sz w:val="20"/>
          <w:szCs w:val="20"/>
        </w:rPr>
        <w:t>Aspergillus niger</w:t>
      </w:r>
      <w:r w:rsidRPr="008706C3">
        <w:rPr>
          <w:color w:val="000000" w:themeColor="text1"/>
          <w:sz w:val="20"/>
          <w:szCs w:val="20"/>
        </w:rPr>
        <w:t xml:space="preserve"> by the </w:t>
      </w:r>
      <w:r w:rsidRPr="008706C3">
        <w:rPr>
          <w:i/>
          <w:color w:val="000000" w:themeColor="text1"/>
          <w:sz w:val="20"/>
          <w:szCs w:val="20"/>
        </w:rPr>
        <w:t>amdS</w:t>
      </w:r>
      <w:r w:rsidRPr="008706C3">
        <w:rPr>
          <w:color w:val="000000" w:themeColor="text1"/>
          <w:sz w:val="20"/>
          <w:szCs w:val="20"/>
        </w:rPr>
        <w:t xml:space="preserve"> gene of </w:t>
      </w:r>
      <w:r w:rsidRPr="008706C3">
        <w:rPr>
          <w:i/>
          <w:color w:val="000000" w:themeColor="text1"/>
          <w:sz w:val="20"/>
          <w:szCs w:val="20"/>
        </w:rPr>
        <w:t>Aspergillus nidulans</w:t>
      </w:r>
      <w:r w:rsidR="006C1DF3">
        <w:rPr>
          <w:i/>
          <w:color w:val="000000" w:themeColor="text1"/>
          <w:sz w:val="20"/>
          <w:szCs w:val="20"/>
        </w:rPr>
        <w:t>.</w:t>
      </w:r>
      <w:r w:rsidRPr="008706C3">
        <w:rPr>
          <w:color w:val="000000" w:themeColor="text1"/>
          <w:sz w:val="20"/>
          <w:szCs w:val="20"/>
        </w:rPr>
        <w:t xml:space="preserve"> EMBO J</w:t>
      </w:r>
      <w:r w:rsidR="006C1DF3">
        <w:rPr>
          <w:color w:val="000000" w:themeColor="text1"/>
          <w:sz w:val="20"/>
          <w:szCs w:val="20"/>
        </w:rPr>
        <w:t xml:space="preserve"> 4(2):</w:t>
      </w:r>
      <w:r w:rsidRPr="008706C3">
        <w:rPr>
          <w:color w:val="000000" w:themeColor="text1"/>
          <w:sz w:val="20"/>
          <w:szCs w:val="20"/>
        </w:rPr>
        <w:t>475–479</w:t>
      </w:r>
    </w:p>
    <w:p w14:paraId="0CC9F407" w14:textId="3EFB94D4" w:rsidR="004F16C4" w:rsidRDefault="004F16C4" w:rsidP="001A70FE">
      <w:pPr>
        <w:rPr>
          <w:color w:val="000000" w:themeColor="text1"/>
          <w:sz w:val="20"/>
          <w:szCs w:val="20"/>
        </w:rPr>
      </w:pPr>
    </w:p>
    <w:p w14:paraId="5844643C" w14:textId="77777777" w:rsidR="004F16C4" w:rsidRPr="009D72DE" w:rsidRDefault="004F16C4" w:rsidP="004F16C4">
      <w:pPr>
        <w:widowControl/>
        <w:rPr>
          <w:sz w:val="20"/>
          <w:szCs w:val="20"/>
        </w:rPr>
      </w:pPr>
      <w:r w:rsidRPr="009D72DE">
        <w:rPr>
          <w:sz w:val="20"/>
          <w:szCs w:val="20"/>
        </w:rPr>
        <w:t>Kumar P and Satyanarayana T (2009) Microbial glucoamylases: characteristics and applications. Crit Rev Biotechnol 29(3): 225–255</w:t>
      </w:r>
    </w:p>
    <w:p w14:paraId="52C62F15" w14:textId="77777777" w:rsidR="004F16C4" w:rsidRPr="009D72DE" w:rsidRDefault="004F16C4" w:rsidP="004F16C4">
      <w:pPr>
        <w:widowControl/>
        <w:rPr>
          <w:sz w:val="20"/>
          <w:szCs w:val="20"/>
        </w:rPr>
      </w:pPr>
    </w:p>
    <w:p w14:paraId="26F1F2B5" w14:textId="7B9149D3" w:rsidR="00DB4E31" w:rsidRDefault="00DB4E31" w:rsidP="001A70FE">
      <w:pPr>
        <w:rPr>
          <w:color w:val="000000" w:themeColor="text1"/>
          <w:sz w:val="20"/>
          <w:szCs w:val="20"/>
        </w:rPr>
      </w:pPr>
      <w:r>
        <w:rPr>
          <w:color w:val="000000" w:themeColor="text1"/>
          <w:sz w:val="20"/>
          <w:szCs w:val="20"/>
        </w:rPr>
        <w:t xml:space="preserve">Li D, Tang Y, Lin J, Cai W (2017) </w:t>
      </w:r>
      <w:r w:rsidRPr="00DB4E31">
        <w:rPr>
          <w:color w:val="000000" w:themeColor="text1"/>
          <w:sz w:val="20"/>
          <w:szCs w:val="20"/>
        </w:rPr>
        <w:t>Methods for genetic transformation of filamentous fungi</w:t>
      </w:r>
      <w:r>
        <w:rPr>
          <w:color w:val="000000" w:themeColor="text1"/>
          <w:sz w:val="20"/>
          <w:szCs w:val="20"/>
        </w:rPr>
        <w:t>. Microb Cell Fact 16:e168</w:t>
      </w:r>
    </w:p>
    <w:p w14:paraId="7BAB3B41" w14:textId="4121E7F0" w:rsidR="00A33EDD" w:rsidRDefault="00A33EDD" w:rsidP="001A70FE">
      <w:pPr>
        <w:rPr>
          <w:color w:val="000000" w:themeColor="text1"/>
          <w:sz w:val="20"/>
          <w:szCs w:val="20"/>
        </w:rPr>
      </w:pPr>
    </w:p>
    <w:p w14:paraId="45DA220E" w14:textId="77777777" w:rsidR="004F16C4" w:rsidRPr="009D72DE" w:rsidRDefault="004F16C4" w:rsidP="004F16C4">
      <w:pPr>
        <w:widowControl/>
        <w:rPr>
          <w:sz w:val="20"/>
          <w:szCs w:val="20"/>
        </w:rPr>
      </w:pPr>
      <w:r w:rsidRPr="009D72DE">
        <w:rPr>
          <w:sz w:val="20"/>
          <w:szCs w:val="20"/>
        </w:rPr>
        <w:t xml:space="preserve">Nielsen BR, Lehmbeck J, Frandsen TP (2002) Cloning, heterologous expression, and enzymatic characterization of a thermostable glucoamylase from </w:t>
      </w:r>
      <w:r w:rsidRPr="009D72DE">
        <w:rPr>
          <w:i/>
          <w:sz w:val="20"/>
          <w:szCs w:val="20"/>
        </w:rPr>
        <w:t>Talaromyces emersonii</w:t>
      </w:r>
      <w:r w:rsidRPr="009D72DE">
        <w:rPr>
          <w:sz w:val="20"/>
          <w:szCs w:val="20"/>
        </w:rPr>
        <w:t>. Protein Expr Purif 26(1):1-8</w:t>
      </w:r>
    </w:p>
    <w:p w14:paraId="594B18CF" w14:textId="77777777" w:rsidR="004F16C4" w:rsidRDefault="004F16C4" w:rsidP="001A70FE">
      <w:pPr>
        <w:rPr>
          <w:color w:val="000000" w:themeColor="text1"/>
          <w:sz w:val="20"/>
          <w:szCs w:val="20"/>
        </w:rPr>
      </w:pPr>
    </w:p>
    <w:p w14:paraId="60252FD5" w14:textId="25B7F35C" w:rsidR="00A33EDD" w:rsidRDefault="00A33EDD" w:rsidP="00A33EDD">
      <w:pPr>
        <w:rPr>
          <w:color w:val="000000" w:themeColor="text1"/>
          <w:sz w:val="20"/>
          <w:szCs w:val="20"/>
        </w:rPr>
      </w:pPr>
      <w:r>
        <w:rPr>
          <w:color w:val="000000" w:themeColor="text1"/>
          <w:sz w:val="20"/>
          <w:szCs w:val="20"/>
        </w:rPr>
        <w:t xml:space="preserve">Nyanhongo GS, Gubitz G, Sukyai P, Leitnwe C, Haltrich D, Ludwig R (2007) </w:t>
      </w:r>
      <w:r w:rsidRPr="00A33EDD">
        <w:rPr>
          <w:color w:val="000000" w:themeColor="text1"/>
          <w:sz w:val="20"/>
          <w:szCs w:val="20"/>
        </w:rPr>
        <w:t xml:space="preserve">Oxidoreductases from </w:t>
      </w:r>
      <w:r w:rsidRPr="00A33EDD">
        <w:rPr>
          <w:i/>
          <w:color w:val="000000" w:themeColor="text1"/>
          <w:sz w:val="20"/>
          <w:szCs w:val="20"/>
        </w:rPr>
        <w:t>Trametes</w:t>
      </w:r>
      <w:r w:rsidRPr="00A33EDD">
        <w:rPr>
          <w:color w:val="000000" w:themeColor="text1"/>
          <w:sz w:val="20"/>
          <w:szCs w:val="20"/>
        </w:rPr>
        <w:t xml:space="preserve"> spp. in </w:t>
      </w:r>
      <w:r>
        <w:rPr>
          <w:color w:val="000000" w:themeColor="text1"/>
          <w:sz w:val="20"/>
          <w:szCs w:val="20"/>
        </w:rPr>
        <w:t>b</w:t>
      </w:r>
      <w:r w:rsidRPr="00A33EDD">
        <w:rPr>
          <w:color w:val="000000" w:themeColor="text1"/>
          <w:sz w:val="20"/>
          <w:szCs w:val="20"/>
        </w:rPr>
        <w:t>iotechnology:</w:t>
      </w:r>
      <w:r>
        <w:rPr>
          <w:color w:val="000000" w:themeColor="text1"/>
          <w:sz w:val="20"/>
          <w:szCs w:val="20"/>
        </w:rPr>
        <w:t xml:space="preserve"> a</w:t>
      </w:r>
      <w:r w:rsidRPr="00A33EDD">
        <w:rPr>
          <w:color w:val="000000" w:themeColor="text1"/>
          <w:sz w:val="20"/>
          <w:szCs w:val="20"/>
        </w:rPr>
        <w:t xml:space="preserve"> </w:t>
      </w:r>
      <w:r>
        <w:rPr>
          <w:color w:val="000000" w:themeColor="text1"/>
          <w:sz w:val="20"/>
          <w:szCs w:val="20"/>
        </w:rPr>
        <w:t>w</w:t>
      </w:r>
      <w:r w:rsidRPr="00A33EDD">
        <w:rPr>
          <w:color w:val="000000" w:themeColor="text1"/>
          <w:sz w:val="20"/>
          <w:szCs w:val="20"/>
        </w:rPr>
        <w:t xml:space="preserve">ealth of </w:t>
      </w:r>
      <w:r>
        <w:rPr>
          <w:color w:val="000000" w:themeColor="text1"/>
          <w:sz w:val="20"/>
          <w:szCs w:val="20"/>
        </w:rPr>
        <w:t>c</w:t>
      </w:r>
      <w:r w:rsidRPr="00A33EDD">
        <w:rPr>
          <w:color w:val="000000" w:themeColor="text1"/>
          <w:sz w:val="20"/>
          <w:szCs w:val="20"/>
        </w:rPr>
        <w:t xml:space="preserve">atalytic </w:t>
      </w:r>
      <w:r>
        <w:rPr>
          <w:color w:val="000000" w:themeColor="text1"/>
          <w:sz w:val="20"/>
          <w:szCs w:val="20"/>
        </w:rPr>
        <w:t>a</w:t>
      </w:r>
      <w:r w:rsidRPr="00A33EDD">
        <w:rPr>
          <w:color w:val="000000" w:themeColor="text1"/>
          <w:sz w:val="20"/>
          <w:szCs w:val="20"/>
        </w:rPr>
        <w:t>ctivity</w:t>
      </w:r>
      <w:r>
        <w:rPr>
          <w:color w:val="000000" w:themeColor="text1"/>
          <w:sz w:val="20"/>
          <w:szCs w:val="20"/>
        </w:rPr>
        <w:t>. Food Technol Biotechnol 45(3):250-268</w:t>
      </w:r>
    </w:p>
    <w:p w14:paraId="253B5397" w14:textId="6D3EACC1" w:rsidR="001A70FE" w:rsidRDefault="001A70FE" w:rsidP="001A70FE">
      <w:pPr>
        <w:rPr>
          <w:rStyle w:val="Hyperlink"/>
          <w:sz w:val="20"/>
          <w:szCs w:val="20"/>
        </w:rPr>
      </w:pPr>
    </w:p>
    <w:p w14:paraId="6E1A8EF5" w14:textId="5EF099F2" w:rsidR="004F16C4" w:rsidRDefault="004F16C4" w:rsidP="004F16C4">
      <w:pPr>
        <w:rPr>
          <w:sz w:val="20"/>
          <w:szCs w:val="20"/>
        </w:rPr>
      </w:pPr>
      <w:r w:rsidRPr="009D72DE">
        <w:rPr>
          <w:sz w:val="20"/>
          <w:szCs w:val="20"/>
        </w:rPr>
        <w:t>OECD (2009) “Genetic Toxicology: OECD Guideline for the testing of chemicals</w:t>
      </w:r>
      <w:r>
        <w:rPr>
          <w:sz w:val="20"/>
          <w:szCs w:val="20"/>
        </w:rPr>
        <w:t>”</w:t>
      </w:r>
      <w:r w:rsidRPr="009D72DE">
        <w:rPr>
          <w:sz w:val="20"/>
          <w:szCs w:val="20"/>
        </w:rPr>
        <w:t xml:space="preserve">. Draft proposal for a new Guideline 487; </w:t>
      </w:r>
      <w:r w:rsidRPr="009D72DE">
        <w:rPr>
          <w:i/>
          <w:sz w:val="20"/>
          <w:szCs w:val="20"/>
        </w:rPr>
        <w:t>In vitro</w:t>
      </w:r>
      <w:r w:rsidRPr="009D72DE">
        <w:rPr>
          <w:sz w:val="20"/>
          <w:szCs w:val="20"/>
        </w:rPr>
        <w:t xml:space="preserve"> micronucleus test </w:t>
      </w:r>
    </w:p>
    <w:p w14:paraId="7AE5AFDD" w14:textId="77777777" w:rsidR="004F16C4" w:rsidRPr="009D72DE" w:rsidRDefault="004F16C4" w:rsidP="001A70FE">
      <w:pPr>
        <w:rPr>
          <w:rStyle w:val="Hyperlink"/>
          <w:sz w:val="20"/>
          <w:szCs w:val="20"/>
        </w:rPr>
      </w:pPr>
    </w:p>
    <w:p w14:paraId="41E4A9F8" w14:textId="5D23FC34" w:rsidR="00D929EF" w:rsidRPr="009D72DE" w:rsidRDefault="00D929EF" w:rsidP="001A70FE">
      <w:pPr>
        <w:rPr>
          <w:sz w:val="20"/>
          <w:szCs w:val="20"/>
        </w:rPr>
      </w:pPr>
      <w:r w:rsidRPr="009D72DE">
        <w:rPr>
          <w:sz w:val="20"/>
          <w:szCs w:val="20"/>
        </w:rPr>
        <w:t>Pariza MW, Johnson EA (2001) Evaluating the safety of microbial enzyme preparations used in food processing: up</w:t>
      </w:r>
      <w:r w:rsidR="00780653">
        <w:rPr>
          <w:sz w:val="20"/>
          <w:szCs w:val="20"/>
        </w:rPr>
        <w:t>d</w:t>
      </w:r>
      <w:r w:rsidRPr="009D72DE">
        <w:rPr>
          <w:sz w:val="20"/>
          <w:szCs w:val="20"/>
        </w:rPr>
        <w:t xml:space="preserve">ate for a new century. </w:t>
      </w:r>
      <w:r w:rsidR="006C1DF3" w:rsidRPr="006C1DF3">
        <w:rPr>
          <w:sz w:val="20"/>
          <w:szCs w:val="20"/>
        </w:rPr>
        <w:t xml:space="preserve">Regul Toxicol Pharmacol </w:t>
      </w:r>
      <w:r w:rsidRPr="009D72DE">
        <w:rPr>
          <w:sz w:val="20"/>
          <w:szCs w:val="20"/>
        </w:rPr>
        <w:t>33:173-186</w:t>
      </w:r>
    </w:p>
    <w:p w14:paraId="7C5962EF" w14:textId="77777777" w:rsidR="00D929EF" w:rsidRPr="009D72DE" w:rsidRDefault="00D929EF" w:rsidP="001A70FE">
      <w:pPr>
        <w:rPr>
          <w:sz w:val="20"/>
          <w:szCs w:val="20"/>
        </w:rPr>
      </w:pPr>
    </w:p>
    <w:p w14:paraId="0C3574D8" w14:textId="0307562A" w:rsidR="00D929EF" w:rsidRPr="009D72DE" w:rsidRDefault="00D929EF" w:rsidP="001A70FE">
      <w:pPr>
        <w:rPr>
          <w:sz w:val="20"/>
          <w:szCs w:val="20"/>
        </w:rPr>
      </w:pPr>
      <w:r w:rsidRPr="009D72DE">
        <w:rPr>
          <w:sz w:val="20"/>
          <w:szCs w:val="20"/>
        </w:rPr>
        <w:t xml:space="preserve">Person AK, Chudgar SM, Norton BL, Tong BC, Stout, JE (2010) </w:t>
      </w:r>
      <w:r w:rsidRPr="00780653">
        <w:rPr>
          <w:i/>
          <w:sz w:val="20"/>
          <w:szCs w:val="20"/>
        </w:rPr>
        <w:t>Aspergillus niger</w:t>
      </w:r>
      <w:r w:rsidRPr="009D72DE">
        <w:rPr>
          <w:sz w:val="20"/>
          <w:szCs w:val="20"/>
        </w:rPr>
        <w:t xml:space="preserve">: an unusual cause of invasive pulmonary aspergillosis. </w:t>
      </w:r>
      <w:r w:rsidR="006C1DF3" w:rsidRPr="006C1DF3">
        <w:rPr>
          <w:sz w:val="20"/>
          <w:szCs w:val="20"/>
        </w:rPr>
        <w:t xml:space="preserve">J Med Microbiol </w:t>
      </w:r>
      <w:r w:rsidRPr="009D72DE">
        <w:rPr>
          <w:sz w:val="20"/>
          <w:szCs w:val="20"/>
        </w:rPr>
        <w:t>59(7):834-838</w:t>
      </w:r>
    </w:p>
    <w:p w14:paraId="79D04C6B" w14:textId="11F49F3D" w:rsidR="00D929EF" w:rsidRDefault="00D929EF" w:rsidP="001A70FE">
      <w:pPr>
        <w:rPr>
          <w:sz w:val="20"/>
          <w:szCs w:val="20"/>
        </w:rPr>
      </w:pPr>
    </w:p>
    <w:p w14:paraId="11FD88EC" w14:textId="77777777" w:rsidR="004F16C4" w:rsidRPr="009D72DE" w:rsidRDefault="004F16C4" w:rsidP="004F16C4">
      <w:pPr>
        <w:widowControl/>
        <w:rPr>
          <w:sz w:val="20"/>
          <w:szCs w:val="20"/>
        </w:rPr>
      </w:pPr>
      <w:r w:rsidRPr="00780653">
        <w:rPr>
          <w:sz w:val="20"/>
          <w:szCs w:val="20"/>
        </w:rPr>
        <w:t xml:space="preserve">Poulson PB (1983) Alcohol - Potable. </w:t>
      </w:r>
      <w:r>
        <w:rPr>
          <w:sz w:val="20"/>
          <w:szCs w:val="20"/>
        </w:rPr>
        <w:t xml:space="preserve">In </w:t>
      </w:r>
      <w:r w:rsidRPr="00780653">
        <w:rPr>
          <w:sz w:val="20"/>
          <w:szCs w:val="20"/>
        </w:rPr>
        <w:t>Godfrey T</w:t>
      </w:r>
      <w:r>
        <w:rPr>
          <w:sz w:val="20"/>
          <w:szCs w:val="20"/>
        </w:rPr>
        <w:t xml:space="preserve"> and</w:t>
      </w:r>
      <w:r w:rsidRPr="00780653">
        <w:rPr>
          <w:sz w:val="20"/>
          <w:szCs w:val="20"/>
        </w:rPr>
        <w:t xml:space="preserve"> Reichelt J </w:t>
      </w:r>
      <w:r>
        <w:rPr>
          <w:sz w:val="20"/>
          <w:szCs w:val="20"/>
        </w:rPr>
        <w:t>(</w:t>
      </w:r>
      <w:r w:rsidRPr="00780653">
        <w:rPr>
          <w:sz w:val="20"/>
          <w:szCs w:val="20"/>
        </w:rPr>
        <w:t>eds) Industrial Enzymology. The application of enzymes in</w:t>
      </w:r>
      <w:r>
        <w:rPr>
          <w:sz w:val="20"/>
          <w:szCs w:val="20"/>
        </w:rPr>
        <w:t xml:space="preserve"> </w:t>
      </w:r>
      <w:r w:rsidRPr="00780653">
        <w:rPr>
          <w:sz w:val="20"/>
          <w:szCs w:val="20"/>
        </w:rPr>
        <w:t>industry</w:t>
      </w:r>
      <w:r>
        <w:rPr>
          <w:sz w:val="20"/>
          <w:szCs w:val="20"/>
        </w:rPr>
        <w:t>.</w:t>
      </w:r>
      <w:r w:rsidRPr="00780653">
        <w:rPr>
          <w:sz w:val="20"/>
          <w:szCs w:val="20"/>
        </w:rPr>
        <w:t xml:space="preserve"> The Nature Press, New York 170-178</w:t>
      </w:r>
    </w:p>
    <w:p w14:paraId="467A904A" w14:textId="77777777" w:rsidR="004F16C4" w:rsidRDefault="004F16C4" w:rsidP="004F16C4">
      <w:pPr>
        <w:widowControl/>
        <w:rPr>
          <w:sz w:val="20"/>
          <w:szCs w:val="20"/>
          <w:highlight w:val="yellow"/>
        </w:rPr>
      </w:pPr>
    </w:p>
    <w:p w14:paraId="66FE3674" w14:textId="77777777" w:rsidR="004F16C4" w:rsidRDefault="004F16C4" w:rsidP="004F16C4">
      <w:pPr>
        <w:widowControl/>
        <w:rPr>
          <w:sz w:val="20"/>
          <w:szCs w:val="20"/>
          <w:highlight w:val="yellow"/>
        </w:rPr>
      </w:pPr>
      <w:r>
        <w:rPr>
          <w:sz w:val="20"/>
          <w:szCs w:val="20"/>
        </w:rPr>
        <w:t xml:space="preserve">Reichelt JR (1983) Starch. In </w:t>
      </w:r>
      <w:r w:rsidRPr="00780653">
        <w:rPr>
          <w:sz w:val="20"/>
          <w:szCs w:val="20"/>
        </w:rPr>
        <w:t>Godfrey T</w:t>
      </w:r>
      <w:r>
        <w:rPr>
          <w:sz w:val="20"/>
          <w:szCs w:val="20"/>
        </w:rPr>
        <w:t xml:space="preserve"> and</w:t>
      </w:r>
      <w:r w:rsidRPr="00780653">
        <w:rPr>
          <w:sz w:val="20"/>
          <w:szCs w:val="20"/>
        </w:rPr>
        <w:t xml:space="preserve"> Reichelt J </w:t>
      </w:r>
      <w:r>
        <w:rPr>
          <w:sz w:val="20"/>
          <w:szCs w:val="20"/>
        </w:rPr>
        <w:t>(</w:t>
      </w:r>
      <w:r w:rsidRPr="00780653">
        <w:rPr>
          <w:sz w:val="20"/>
          <w:szCs w:val="20"/>
        </w:rPr>
        <w:t xml:space="preserve">eds) </w:t>
      </w:r>
      <w:r w:rsidRPr="002D7055">
        <w:rPr>
          <w:sz w:val="20"/>
          <w:szCs w:val="20"/>
        </w:rPr>
        <w:t>Industrial Enzymology. The application of enzymes in industry</w:t>
      </w:r>
      <w:r>
        <w:rPr>
          <w:sz w:val="20"/>
          <w:szCs w:val="20"/>
        </w:rPr>
        <w:t>.</w:t>
      </w:r>
      <w:r w:rsidRPr="002D7055">
        <w:rPr>
          <w:sz w:val="20"/>
          <w:szCs w:val="20"/>
        </w:rPr>
        <w:t xml:space="preserve"> The Nature Press, New York 375-396</w:t>
      </w:r>
    </w:p>
    <w:p w14:paraId="417BFC99" w14:textId="77777777" w:rsidR="004F16C4" w:rsidRPr="009D72DE" w:rsidRDefault="004F16C4" w:rsidP="004F16C4">
      <w:pPr>
        <w:widowControl/>
        <w:rPr>
          <w:sz w:val="20"/>
          <w:szCs w:val="20"/>
          <w:highlight w:val="yellow"/>
        </w:rPr>
      </w:pPr>
    </w:p>
    <w:p w14:paraId="4C96481B" w14:textId="77777777" w:rsidR="004F16C4" w:rsidRPr="009D72DE" w:rsidRDefault="004F16C4" w:rsidP="004F16C4">
      <w:pPr>
        <w:widowControl/>
        <w:rPr>
          <w:sz w:val="20"/>
          <w:szCs w:val="20"/>
        </w:rPr>
      </w:pPr>
      <w:r w:rsidRPr="009D72DE">
        <w:rPr>
          <w:sz w:val="20"/>
          <w:szCs w:val="20"/>
        </w:rPr>
        <w:t xml:space="preserve">Rose M, Grisafi P, Botstein D (1984) Structure and function of the yeast </w:t>
      </w:r>
      <w:r w:rsidRPr="009D72DE">
        <w:rPr>
          <w:i/>
          <w:sz w:val="20"/>
          <w:szCs w:val="20"/>
        </w:rPr>
        <w:t>URA3</w:t>
      </w:r>
      <w:r w:rsidRPr="009D72DE">
        <w:rPr>
          <w:sz w:val="20"/>
          <w:szCs w:val="20"/>
        </w:rPr>
        <w:t xml:space="preserve"> gene: expression in </w:t>
      </w:r>
      <w:r w:rsidRPr="009D72DE">
        <w:rPr>
          <w:i/>
          <w:sz w:val="20"/>
          <w:szCs w:val="20"/>
        </w:rPr>
        <w:t>Escherichia coli</w:t>
      </w:r>
      <w:r w:rsidRPr="009D72DE">
        <w:rPr>
          <w:sz w:val="20"/>
          <w:szCs w:val="20"/>
        </w:rPr>
        <w:t>. Gene 29(1-2):113-124</w:t>
      </w:r>
    </w:p>
    <w:p w14:paraId="3C591B6F" w14:textId="77777777" w:rsidR="004F16C4" w:rsidRPr="009D72DE" w:rsidRDefault="004F16C4" w:rsidP="004F16C4">
      <w:pPr>
        <w:widowControl/>
        <w:rPr>
          <w:sz w:val="20"/>
          <w:szCs w:val="20"/>
          <w:highlight w:val="yellow"/>
        </w:rPr>
      </w:pPr>
    </w:p>
    <w:p w14:paraId="417E532E" w14:textId="77777777" w:rsidR="004F16C4" w:rsidRDefault="004F16C4" w:rsidP="004F16C4">
      <w:pPr>
        <w:widowControl/>
        <w:rPr>
          <w:sz w:val="20"/>
          <w:szCs w:val="20"/>
        </w:rPr>
      </w:pPr>
      <w:r w:rsidRPr="009D72DE">
        <w:rPr>
          <w:sz w:val="20"/>
          <w:szCs w:val="20"/>
        </w:rPr>
        <w:t>Ruiz-Diez B (2002) Strategies for the transformation of filamentous fungi. J Appl Microbiol 92:189-195</w:t>
      </w:r>
    </w:p>
    <w:p w14:paraId="2649EE18" w14:textId="77777777" w:rsidR="004F16C4" w:rsidRDefault="004F16C4" w:rsidP="004F16C4">
      <w:pPr>
        <w:widowControl/>
        <w:rPr>
          <w:sz w:val="20"/>
          <w:szCs w:val="20"/>
        </w:rPr>
      </w:pPr>
    </w:p>
    <w:p w14:paraId="4710AFCA" w14:textId="5BCC36C9" w:rsidR="00D929EF" w:rsidRDefault="00D929EF" w:rsidP="001A70FE">
      <w:pPr>
        <w:rPr>
          <w:sz w:val="20"/>
          <w:szCs w:val="20"/>
        </w:rPr>
      </w:pPr>
      <w:r w:rsidRPr="009D72DE">
        <w:rPr>
          <w:sz w:val="20"/>
          <w:szCs w:val="20"/>
        </w:rPr>
        <w:t xml:space="preserve">Schuster E, Dunn-Coleman N, Frisvad JC, van Dijck PWM (2002) On the safety of </w:t>
      </w:r>
      <w:r w:rsidRPr="006C1DF3">
        <w:rPr>
          <w:i/>
          <w:sz w:val="20"/>
          <w:szCs w:val="20"/>
        </w:rPr>
        <w:t>Aspergillus niger</w:t>
      </w:r>
      <w:r w:rsidR="006C1DF3">
        <w:rPr>
          <w:sz w:val="20"/>
          <w:szCs w:val="20"/>
        </w:rPr>
        <w:t xml:space="preserve"> </w:t>
      </w:r>
      <w:r w:rsidRPr="009D72DE">
        <w:rPr>
          <w:sz w:val="20"/>
          <w:szCs w:val="20"/>
        </w:rPr>
        <w:t>- a</w:t>
      </w:r>
      <w:r w:rsidRPr="00B640CA">
        <w:rPr>
          <w:sz w:val="20"/>
          <w:szCs w:val="20"/>
        </w:rPr>
        <w:t xml:space="preserve"> review. </w:t>
      </w:r>
      <w:r w:rsidR="006C1DF3" w:rsidRPr="006C1DF3">
        <w:rPr>
          <w:sz w:val="20"/>
          <w:szCs w:val="20"/>
        </w:rPr>
        <w:t xml:space="preserve">Appl Microbiol Biotechnol </w:t>
      </w:r>
      <w:r w:rsidRPr="00B640CA">
        <w:rPr>
          <w:sz w:val="20"/>
          <w:szCs w:val="20"/>
        </w:rPr>
        <w:t>59:426-435</w:t>
      </w:r>
    </w:p>
    <w:p w14:paraId="6634A93A" w14:textId="77777777" w:rsidR="00D929EF" w:rsidRDefault="00D929EF" w:rsidP="001A70FE">
      <w:pPr>
        <w:rPr>
          <w:sz w:val="20"/>
          <w:szCs w:val="20"/>
        </w:rPr>
      </w:pPr>
    </w:p>
    <w:p w14:paraId="6D6862CF" w14:textId="75E9986E" w:rsidR="00D929EF" w:rsidRDefault="00D929EF" w:rsidP="001A70FE">
      <w:pPr>
        <w:rPr>
          <w:sz w:val="20"/>
          <w:szCs w:val="20"/>
        </w:rPr>
      </w:pPr>
      <w:r w:rsidRPr="00B640CA">
        <w:rPr>
          <w:sz w:val="20"/>
          <w:szCs w:val="20"/>
        </w:rPr>
        <w:t xml:space="preserve">Show PL, Oladele KO, Siew QY, Aziz Zakry FA, Lan JC, Ling TC (2015) Overview of citric acid production from </w:t>
      </w:r>
      <w:r w:rsidRPr="006C1DF3">
        <w:rPr>
          <w:i/>
          <w:sz w:val="20"/>
          <w:szCs w:val="20"/>
        </w:rPr>
        <w:t>Aspergillus niger</w:t>
      </w:r>
      <w:r w:rsidRPr="00B640CA">
        <w:rPr>
          <w:sz w:val="20"/>
          <w:szCs w:val="20"/>
        </w:rPr>
        <w:t xml:space="preserve">. </w:t>
      </w:r>
      <w:r w:rsidR="006C1DF3">
        <w:rPr>
          <w:sz w:val="20"/>
          <w:szCs w:val="20"/>
        </w:rPr>
        <w:t>Front Life Sci</w:t>
      </w:r>
      <w:r w:rsidR="006C1DF3" w:rsidRPr="006C1DF3">
        <w:rPr>
          <w:sz w:val="20"/>
          <w:szCs w:val="20"/>
        </w:rPr>
        <w:t xml:space="preserve"> </w:t>
      </w:r>
      <w:r w:rsidRPr="00B640CA">
        <w:rPr>
          <w:sz w:val="20"/>
          <w:szCs w:val="20"/>
        </w:rPr>
        <w:t>8(3):271-283</w:t>
      </w:r>
    </w:p>
    <w:p w14:paraId="691752C7" w14:textId="699488D6" w:rsidR="004C760F" w:rsidRDefault="004C760F" w:rsidP="001A70FE">
      <w:pPr>
        <w:rPr>
          <w:sz w:val="20"/>
          <w:szCs w:val="20"/>
        </w:rPr>
      </w:pPr>
    </w:p>
    <w:p w14:paraId="0252784D" w14:textId="7C3B58E0" w:rsidR="004C760F" w:rsidRDefault="004C760F" w:rsidP="001A70FE">
      <w:pPr>
        <w:rPr>
          <w:sz w:val="20"/>
          <w:szCs w:val="20"/>
        </w:rPr>
      </w:pPr>
      <w:r>
        <w:rPr>
          <w:sz w:val="20"/>
          <w:szCs w:val="20"/>
        </w:rPr>
        <w:t>Swenberg J</w:t>
      </w:r>
      <w:r w:rsidR="00780653">
        <w:rPr>
          <w:sz w:val="20"/>
          <w:szCs w:val="20"/>
        </w:rPr>
        <w:t>A, Short</w:t>
      </w:r>
      <w:r>
        <w:rPr>
          <w:sz w:val="20"/>
          <w:szCs w:val="20"/>
        </w:rPr>
        <w:t xml:space="preserve"> B</w:t>
      </w:r>
      <w:r w:rsidR="00780653">
        <w:rPr>
          <w:sz w:val="20"/>
          <w:szCs w:val="20"/>
        </w:rPr>
        <w:t>, Borghoff</w:t>
      </w:r>
      <w:r>
        <w:rPr>
          <w:sz w:val="20"/>
          <w:szCs w:val="20"/>
        </w:rPr>
        <w:t xml:space="preserve"> S, Strasser J</w:t>
      </w:r>
      <w:r w:rsidR="00780653">
        <w:rPr>
          <w:sz w:val="20"/>
          <w:szCs w:val="20"/>
        </w:rPr>
        <w:t xml:space="preserve"> and Charbonneau</w:t>
      </w:r>
      <w:r>
        <w:rPr>
          <w:sz w:val="20"/>
          <w:szCs w:val="20"/>
        </w:rPr>
        <w:t xml:space="preserve"> M (1989) </w:t>
      </w:r>
      <w:r w:rsidR="007F0D68">
        <w:rPr>
          <w:sz w:val="20"/>
          <w:szCs w:val="20"/>
        </w:rPr>
        <w:t>T</w:t>
      </w:r>
      <w:r>
        <w:rPr>
          <w:sz w:val="20"/>
          <w:szCs w:val="20"/>
        </w:rPr>
        <w:t xml:space="preserve">he comparative pathobiology of </w:t>
      </w:r>
      <w:r>
        <w:rPr>
          <w:rFonts w:cs="Arial"/>
          <w:sz w:val="20"/>
          <w:szCs w:val="20"/>
        </w:rPr>
        <w:t>α</w:t>
      </w:r>
      <w:r>
        <w:rPr>
          <w:sz w:val="20"/>
          <w:szCs w:val="20"/>
          <w:vertAlign w:val="subscript"/>
        </w:rPr>
        <w:t>2</w:t>
      </w:r>
      <w:r>
        <w:rPr>
          <w:rFonts w:cs="Arial"/>
          <w:sz w:val="20"/>
          <w:szCs w:val="20"/>
          <w:vertAlign w:val="subscript"/>
        </w:rPr>
        <w:t>µ</w:t>
      </w:r>
      <w:r>
        <w:rPr>
          <w:sz w:val="20"/>
          <w:szCs w:val="20"/>
        </w:rPr>
        <w:t xml:space="preserve">-globulin nephropathy. Toxicology and Applied Pharmacology Vol 97 </w:t>
      </w:r>
      <w:r w:rsidR="00C525DE">
        <w:rPr>
          <w:sz w:val="20"/>
          <w:szCs w:val="20"/>
        </w:rPr>
        <w:t>p35-46</w:t>
      </w:r>
      <w:r>
        <w:rPr>
          <w:sz w:val="20"/>
          <w:szCs w:val="20"/>
        </w:rPr>
        <w:t xml:space="preserve"> </w:t>
      </w:r>
    </w:p>
    <w:p w14:paraId="6BDE7587" w14:textId="649AE3D5" w:rsidR="004F16C4" w:rsidRPr="009D72DE" w:rsidRDefault="004F16C4" w:rsidP="004F16C4">
      <w:pPr>
        <w:rPr>
          <w:sz w:val="20"/>
          <w:szCs w:val="20"/>
        </w:rPr>
      </w:pPr>
    </w:p>
    <w:p w14:paraId="504FA8C3" w14:textId="77777777" w:rsidR="004F16C4" w:rsidRPr="009D72DE" w:rsidRDefault="004F16C4" w:rsidP="004F16C4">
      <w:pPr>
        <w:rPr>
          <w:sz w:val="20"/>
          <w:szCs w:val="20"/>
        </w:rPr>
      </w:pPr>
      <w:r w:rsidRPr="009D72DE">
        <w:rPr>
          <w:rFonts w:cs="Arial"/>
          <w:sz w:val="20"/>
          <w:szCs w:val="20"/>
        </w:rPr>
        <w:t xml:space="preserve">Toyotome T, Satoh M, Yahiro M, </w:t>
      </w:r>
      <w:r>
        <w:rPr>
          <w:rFonts w:cs="Arial"/>
          <w:sz w:val="20"/>
          <w:szCs w:val="20"/>
        </w:rPr>
        <w:t>W</w:t>
      </w:r>
      <w:r w:rsidRPr="009D72DE">
        <w:rPr>
          <w:rFonts w:cs="Arial"/>
          <w:sz w:val="20"/>
          <w:szCs w:val="20"/>
        </w:rPr>
        <w:t>atanabe A, Nomura F, Kamei K (2014) Glucoamylase is a major allergen of Schizophyllum commune. Clin Exp Allergy 44:450-457</w:t>
      </w:r>
    </w:p>
    <w:p w14:paraId="780F7B19" w14:textId="661444A0" w:rsidR="00D929EF" w:rsidRDefault="00D929EF" w:rsidP="001A70FE">
      <w:pPr>
        <w:rPr>
          <w:sz w:val="20"/>
          <w:szCs w:val="20"/>
        </w:rPr>
      </w:pPr>
    </w:p>
    <w:p w14:paraId="205BBC08" w14:textId="77777777" w:rsidR="00D929EF" w:rsidRDefault="00D929EF" w:rsidP="001A70FE">
      <w:pPr>
        <w:rPr>
          <w:rStyle w:val="Hyperlink"/>
          <w:sz w:val="20"/>
          <w:szCs w:val="20"/>
        </w:rPr>
      </w:pPr>
      <w:r w:rsidRPr="0063675F">
        <w:rPr>
          <w:sz w:val="20"/>
          <w:szCs w:val="20"/>
        </w:rPr>
        <w:t>USPC (2018) Food Chemicals Codex 11</w:t>
      </w:r>
      <w:r w:rsidRPr="0063675F">
        <w:rPr>
          <w:sz w:val="20"/>
          <w:szCs w:val="20"/>
          <w:vertAlign w:val="superscript"/>
        </w:rPr>
        <w:t>th</w:t>
      </w:r>
      <w:r w:rsidRPr="0063675F">
        <w:rPr>
          <w:sz w:val="20"/>
          <w:szCs w:val="20"/>
        </w:rPr>
        <w:t xml:space="preserve"> Edition, United States Pharmacopeial Convention, Rockville, MD. </w:t>
      </w:r>
      <w:hyperlink r:id="rId26" w:history="1">
        <w:r w:rsidRPr="0063675F">
          <w:rPr>
            <w:rStyle w:val="Hyperlink"/>
            <w:sz w:val="20"/>
            <w:szCs w:val="20"/>
          </w:rPr>
          <w:t>http://publications.usp.org/</w:t>
        </w:r>
      </w:hyperlink>
    </w:p>
    <w:p w14:paraId="7AA66270" w14:textId="672CDF72" w:rsidR="00BF446A" w:rsidRDefault="00BF446A" w:rsidP="004F16C4">
      <w:pPr>
        <w:rPr>
          <w:sz w:val="20"/>
          <w:szCs w:val="20"/>
          <w:highlight w:val="yellow"/>
        </w:rPr>
      </w:pPr>
    </w:p>
    <w:p w14:paraId="082BD720" w14:textId="1E489197" w:rsidR="00151CAA" w:rsidRDefault="00151CAA" w:rsidP="003F5429">
      <w:pPr>
        <w:ind w:left="284" w:hanging="284"/>
        <w:rPr>
          <w:rStyle w:val="Hyperlink"/>
          <w:sz w:val="20"/>
          <w:szCs w:val="20"/>
        </w:rPr>
      </w:pPr>
    </w:p>
    <w:p w14:paraId="61060B12" w14:textId="77777777" w:rsidR="00151CAA" w:rsidRPr="00332462" w:rsidRDefault="00151CAA" w:rsidP="003F5429">
      <w:pPr>
        <w:ind w:left="284" w:hanging="284"/>
        <w:rPr>
          <w:rStyle w:val="Hyperlink"/>
          <w:sz w:val="20"/>
          <w:szCs w:val="20"/>
        </w:rPr>
      </w:pPr>
    </w:p>
    <w:sectPr w:rsidR="00151CAA" w:rsidRPr="00332462" w:rsidSect="0054272D">
      <w:footerReference w:type="even" r:id="rId27"/>
      <w:footerReference w:type="default" r:id="rId28"/>
      <w:headerReference w:type="first" r:id="rId29"/>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C14D0" w14:textId="77777777" w:rsidR="00BE7378" w:rsidRDefault="00BE7378">
      <w:r>
        <w:separator/>
      </w:r>
    </w:p>
  </w:endnote>
  <w:endnote w:type="continuationSeparator" w:id="0">
    <w:p w14:paraId="0BF3AB40" w14:textId="77777777" w:rsidR="00BE7378" w:rsidRDefault="00BE7378">
      <w:r>
        <w:continuationSeparator/>
      </w:r>
    </w:p>
  </w:endnote>
  <w:endnote w:type="continuationNotice" w:id="1">
    <w:p w14:paraId="1E71AEDF" w14:textId="77777777" w:rsidR="00BE7378" w:rsidRDefault="00BE7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C050E" w14:textId="3710B194" w:rsidR="00BE7378" w:rsidRDefault="00BE7378" w:rsidP="004977EA">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end"/>
    </w:r>
  </w:p>
  <w:p w14:paraId="2BDACCD8" w14:textId="77777777" w:rsidR="00BE7378" w:rsidRDefault="00BE7378" w:rsidP="00B24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C93F2" w14:textId="6BD75AE0" w:rsidR="00BE7378" w:rsidRDefault="00BE7378"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6513">
      <w:rPr>
        <w:rStyle w:val="PageNumber"/>
        <w:noProof/>
      </w:rPr>
      <w:t>1</w:t>
    </w:r>
    <w:r>
      <w:rPr>
        <w:rStyle w:val="PageNumber"/>
      </w:rPr>
      <w:fldChar w:fldCharType="end"/>
    </w:r>
  </w:p>
  <w:p w14:paraId="3B547F5C" w14:textId="77777777" w:rsidR="00BE7378" w:rsidRDefault="00BE7378" w:rsidP="00B24A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24636" w14:textId="77777777" w:rsidR="00BE7378" w:rsidRDefault="00BE7378">
      <w:r>
        <w:separator/>
      </w:r>
    </w:p>
  </w:footnote>
  <w:footnote w:type="continuationSeparator" w:id="0">
    <w:p w14:paraId="665AFC45" w14:textId="77777777" w:rsidR="00BE7378" w:rsidRDefault="00BE7378">
      <w:r>
        <w:continuationSeparator/>
      </w:r>
    </w:p>
  </w:footnote>
  <w:footnote w:type="continuationNotice" w:id="1">
    <w:p w14:paraId="7293B24D" w14:textId="77777777" w:rsidR="00BE7378" w:rsidRDefault="00BE7378"/>
  </w:footnote>
  <w:footnote w:id="2">
    <w:p w14:paraId="70318331" w14:textId="4FEFF12B" w:rsidR="00BE7378" w:rsidRPr="003F3535" w:rsidRDefault="00BE7378" w:rsidP="001E6A7B">
      <w:pPr>
        <w:pStyle w:val="FootnoteText"/>
        <w:rPr>
          <w:sz w:val="18"/>
          <w:szCs w:val="18"/>
          <w:lang w:val="en-AU"/>
        </w:rPr>
      </w:pPr>
      <w:r w:rsidRPr="003F3535">
        <w:rPr>
          <w:rStyle w:val="FootnoteReference"/>
          <w:sz w:val="18"/>
          <w:szCs w:val="18"/>
        </w:rPr>
        <w:footnoteRef/>
      </w:r>
      <w:r w:rsidRPr="003F3535">
        <w:rPr>
          <w:sz w:val="18"/>
          <w:szCs w:val="18"/>
        </w:rPr>
        <w:t xml:space="preserve"> International Union of Biochemistry and Molecular Biology.</w:t>
      </w:r>
    </w:p>
  </w:footnote>
  <w:footnote w:id="3">
    <w:p w14:paraId="0AF70991" w14:textId="1701B706" w:rsidR="00BE7378" w:rsidRPr="00D2768A" w:rsidRDefault="00BE7378">
      <w:pPr>
        <w:pStyle w:val="FootnoteText"/>
        <w:rPr>
          <w:lang w:val="en-AU"/>
        </w:rPr>
      </w:pPr>
      <w:r w:rsidRPr="003F3535">
        <w:rPr>
          <w:rStyle w:val="FootnoteReference"/>
          <w:sz w:val="18"/>
          <w:szCs w:val="18"/>
        </w:rPr>
        <w:footnoteRef/>
      </w:r>
      <w:r w:rsidRPr="003F3535">
        <w:rPr>
          <w:sz w:val="18"/>
          <w:szCs w:val="18"/>
        </w:rPr>
        <w:t xml:space="preserve"> Although </w:t>
      </w:r>
      <w:r w:rsidRPr="003F3535">
        <w:rPr>
          <w:sz w:val="18"/>
          <w:szCs w:val="18"/>
          <w:lang w:val="en-AU"/>
        </w:rPr>
        <w:t>the accepted IUBMB name is ‘glucan</w:t>
      </w:r>
      <w:r w:rsidRPr="003F3535">
        <w:rPr>
          <w:sz w:val="18"/>
          <w:szCs w:val="18"/>
        </w:rPr>
        <w:t xml:space="preserve"> </w:t>
      </w:r>
      <w:r w:rsidRPr="003F3535">
        <w:rPr>
          <w:sz w:val="18"/>
          <w:szCs w:val="18"/>
          <w:lang w:val="en-AU"/>
        </w:rPr>
        <w:t>1,4-α-glucosidase’, the name used in the application, this document and the Call for Submissions is ‘glucoamylase’. This is the name that will be used in the proposed draft variation to the Code for this enzyme.</w:t>
      </w:r>
    </w:p>
  </w:footnote>
  <w:footnote w:id="4">
    <w:p w14:paraId="3682EACF" w14:textId="2BDB5227" w:rsidR="00BE7378" w:rsidRPr="003F3535" w:rsidRDefault="00BE7378" w:rsidP="001E6A7B">
      <w:pPr>
        <w:pStyle w:val="FootnoteText"/>
        <w:rPr>
          <w:sz w:val="18"/>
          <w:szCs w:val="18"/>
          <w:lang w:val="en-AU"/>
        </w:rPr>
      </w:pPr>
      <w:r w:rsidRPr="003F3535">
        <w:rPr>
          <w:rStyle w:val="FootnoteReference"/>
          <w:sz w:val="18"/>
          <w:szCs w:val="18"/>
        </w:rPr>
        <w:footnoteRef/>
      </w:r>
      <w:r w:rsidRPr="003F3535">
        <w:rPr>
          <w:sz w:val="18"/>
          <w:szCs w:val="18"/>
        </w:rPr>
        <w:t xml:space="preserve"> </w:t>
      </w:r>
      <w:r w:rsidRPr="003F3535">
        <w:rPr>
          <w:sz w:val="18"/>
          <w:szCs w:val="18"/>
          <w:lang w:val="en-AU"/>
        </w:rPr>
        <w:t xml:space="preserve">Chemical Abstracts Service. </w:t>
      </w:r>
    </w:p>
  </w:footnote>
  <w:footnote w:id="5">
    <w:p w14:paraId="6CF4C751" w14:textId="058EEDA5" w:rsidR="00BE7378" w:rsidRPr="003F3535" w:rsidRDefault="00BE7378">
      <w:pPr>
        <w:pStyle w:val="FootnoteText"/>
        <w:rPr>
          <w:sz w:val="18"/>
          <w:szCs w:val="18"/>
          <w:lang w:val="en-AU"/>
        </w:rPr>
      </w:pPr>
      <w:r w:rsidRPr="003F3535">
        <w:rPr>
          <w:rStyle w:val="FootnoteReference"/>
          <w:sz w:val="18"/>
          <w:szCs w:val="18"/>
        </w:rPr>
        <w:footnoteRef/>
      </w:r>
      <w:r w:rsidRPr="003F3535">
        <w:rPr>
          <w:sz w:val="18"/>
          <w:szCs w:val="18"/>
        </w:rPr>
        <w:t xml:space="preserve"> ISO 9001:2015 – International Standard for Quality Management Systems</w:t>
      </w:r>
      <w:r>
        <w:rPr>
          <w:sz w:val="18"/>
          <w:szCs w:val="18"/>
        </w:rPr>
        <w:t>.</w:t>
      </w:r>
      <w:r w:rsidRPr="003F3535">
        <w:rPr>
          <w:sz w:val="18"/>
          <w:szCs w:val="18"/>
        </w:rPr>
        <w:t xml:space="preserve">  </w:t>
      </w:r>
    </w:p>
  </w:footnote>
  <w:footnote w:id="6">
    <w:p w14:paraId="4374D5D9" w14:textId="3E92D99B" w:rsidR="00BE7378" w:rsidRPr="00255277" w:rsidRDefault="00BE7378" w:rsidP="00255277">
      <w:pPr>
        <w:pStyle w:val="FootnoteText"/>
        <w:rPr>
          <w:lang w:val="en-AU"/>
        </w:rPr>
      </w:pPr>
      <w:r w:rsidRPr="003F3535">
        <w:rPr>
          <w:rStyle w:val="FootnoteReference"/>
          <w:sz w:val="18"/>
          <w:szCs w:val="18"/>
        </w:rPr>
        <w:footnoteRef/>
      </w:r>
      <w:r w:rsidRPr="003F3535">
        <w:rPr>
          <w:sz w:val="18"/>
          <w:szCs w:val="18"/>
        </w:rPr>
        <w:t xml:space="preserve"> Regulation (EC) No 852/2004 of the European Parliament and of the Council on the Hygiene of Foodstuffs (of 29 April 2004)</w:t>
      </w:r>
      <w:r>
        <w:rPr>
          <w:sz w:val="18"/>
          <w:szCs w:val="18"/>
        </w:rPr>
        <w:t>.</w:t>
      </w:r>
    </w:p>
  </w:footnote>
  <w:footnote w:id="7">
    <w:p w14:paraId="05A1DC68" w14:textId="77777777" w:rsidR="00BE7378" w:rsidRPr="00B640CA" w:rsidRDefault="00BE7378" w:rsidP="00071BF6">
      <w:pPr>
        <w:pStyle w:val="FootnoteText"/>
        <w:rPr>
          <w:lang w:val="en-AU"/>
        </w:rPr>
      </w:pPr>
      <w:r>
        <w:rPr>
          <w:rStyle w:val="FootnoteReference"/>
        </w:rPr>
        <w:footnoteRef/>
      </w:r>
      <w:r>
        <w:t xml:space="preserve"> </w:t>
      </w:r>
      <w:hyperlink r:id="rId1" w:history="1">
        <w:r w:rsidRPr="007443E5">
          <w:rPr>
            <w:rStyle w:val="Hyperlink"/>
            <w:sz w:val="18"/>
          </w:rPr>
          <w:t>https://www.cdc.gov/biosafety/publications/bmbl5/index.htm</w:t>
        </w:r>
      </w:hyperlink>
    </w:p>
  </w:footnote>
  <w:footnote w:id="8">
    <w:p w14:paraId="707344C7" w14:textId="216550B2" w:rsidR="00BE7378" w:rsidRPr="007443E5" w:rsidRDefault="00BE7378">
      <w:pPr>
        <w:pStyle w:val="FootnoteText"/>
        <w:rPr>
          <w:lang w:val="en-AU"/>
        </w:rPr>
      </w:pPr>
      <w:r>
        <w:rPr>
          <w:rStyle w:val="FootnoteReference"/>
        </w:rPr>
        <w:footnoteRef/>
      </w:r>
      <w:r>
        <w:t xml:space="preserve"> </w:t>
      </w:r>
      <w:hyperlink r:id="rId2" w:history="1">
        <w:r w:rsidRPr="007443E5">
          <w:rPr>
            <w:rStyle w:val="Hyperlink"/>
            <w:sz w:val="18"/>
          </w:rPr>
          <w:t>https://mycocosm.jgi.doe.gov/Traci1/Traci1.home.html</w:t>
        </w:r>
      </w:hyperlink>
      <w:r w:rsidRPr="007443E5">
        <w:rPr>
          <w:sz w:val="18"/>
        </w:rPr>
        <w:t xml:space="preserve"> </w:t>
      </w:r>
    </w:p>
  </w:footnote>
  <w:footnote w:id="9">
    <w:p w14:paraId="35C79390" w14:textId="77777777" w:rsidR="00BE7378" w:rsidRPr="0047616E" w:rsidRDefault="00BE7378" w:rsidP="009732A1">
      <w:pPr>
        <w:pStyle w:val="FootnoteText"/>
        <w:rPr>
          <w:lang w:val="en-AU"/>
        </w:rPr>
      </w:pPr>
      <w:r>
        <w:rPr>
          <w:rStyle w:val="FootnoteReference"/>
        </w:rPr>
        <w:footnoteRef/>
      </w:r>
      <w:r>
        <w:t xml:space="preserve"> </w:t>
      </w:r>
      <w:hyperlink r:id="rId3" w:history="1">
        <w:r w:rsidRPr="003F3535">
          <w:rPr>
            <w:rStyle w:val="Hyperlink"/>
            <w:sz w:val="18"/>
            <w:szCs w:val="18"/>
          </w:rPr>
          <w:t>https://www.uniprot.org/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47D49" w14:textId="36146238" w:rsidR="00BE7378" w:rsidRDefault="00BE7378">
    <w:pPr>
      <w:pStyle w:val="Header"/>
      <w:jc w:val="center"/>
      <w:rPr>
        <w:b/>
        <w:bCs/>
      </w:rPr>
    </w:pPr>
    <w:r>
      <w:rPr>
        <w:b/>
        <w:bCs/>
      </w:rPr>
      <w:t>BOARD-IN-CONFIDENCE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80B7D"/>
    <w:multiLevelType w:val="hybridMultilevel"/>
    <w:tmpl w:val="FBB63852"/>
    <w:lvl w:ilvl="0" w:tplc="9FF4F946">
      <w:numFmt w:val="bullet"/>
      <w:lvlText w:val="•"/>
      <w:lvlJc w:val="left"/>
      <w:pPr>
        <w:ind w:left="930" w:hanging="57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63D77"/>
    <w:multiLevelType w:val="hybridMultilevel"/>
    <w:tmpl w:val="7632DC76"/>
    <w:lvl w:ilvl="0" w:tplc="AB405820">
      <w:start w:val="1"/>
      <w:numFmt w:val="bullet"/>
      <w:pStyle w:val="FSBullet3"/>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6054271"/>
    <w:multiLevelType w:val="hybridMultilevel"/>
    <w:tmpl w:val="7AC0B316"/>
    <w:lvl w:ilvl="0" w:tplc="FDFEA674">
      <w:start w:val="1"/>
      <w:numFmt w:val="bullet"/>
      <w:pStyle w:val="FSBullet1"/>
      <w:lvlText w:val=""/>
      <w:lvlJc w:val="left"/>
      <w:pPr>
        <w:ind w:left="2716" w:hanging="360"/>
      </w:pPr>
      <w:rPr>
        <w:rFonts w:ascii="Symbol" w:hAnsi="Symbol" w:hint="default"/>
      </w:rPr>
    </w:lvl>
    <w:lvl w:ilvl="1" w:tplc="0C090003" w:tentative="1">
      <w:start w:val="1"/>
      <w:numFmt w:val="bullet"/>
      <w:lvlText w:val="o"/>
      <w:lvlJc w:val="left"/>
      <w:pPr>
        <w:ind w:left="3654" w:hanging="360"/>
      </w:pPr>
      <w:rPr>
        <w:rFonts w:ascii="Courier New" w:hAnsi="Courier New" w:cs="Courier New" w:hint="default"/>
      </w:rPr>
    </w:lvl>
    <w:lvl w:ilvl="2" w:tplc="0C090005" w:tentative="1">
      <w:start w:val="1"/>
      <w:numFmt w:val="bullet"/>
      <w:lvlText w:val=""/>
      <w:lvlJc w:val="left"/>
      <w:pPr>
        <w:ind w:left="4374" w:hanging="360"/>
      </w:pPr>
      <w:rPr>
        <w:rFonts w:ascii="Wingdings" w:hAnsi="Wingdings" w:hint="default"/>
      </w:rPr>
    </w:lvl>
    <w:lvl w:ilvl="3" w:tplc="0C090001" w:tentative="1">
      <w:start w:val="1"/>
      <w:numFmt w:val="bullet"/>
      <w:lvlText w:val=""/>
      <w:lvlJc w:val="left"/>
      <w:pPr>
        <w:ind w:left="5094" w:hanging="360"/>
      </w:pPr>
      <w:rPr>
        <w:rFonts w:ascii="Symbol" w:hAnsi="Symbol" w:hint="default"/>
      </w:rPr>
    </w:lvl>
    <w:lvl w:ilvl="4" w:tplc="0C090003" w:tentative="1">
      <w:start w:val="1"/>
      <w:numFmt w:val="bullet"/>
      <w:lvlText w:val="o"/>
      <w:lvlJc w:val="left"/>
      <w:pPr>
        <w:ind w:left="5814" w:hanging="360"/>
      </w:pPr>
      <w:rPr>
        <w:rFonts w:ascii="Courier New" w:hAnsi="Courier New" w:cs="Courier New" w:hint="default"/>
      </w:rPr>
    </w:lvl>
    <w:lvl w:ilvl="5" w:tplc="0C090005" w:tentative="1">
      <w:start w:val="1"/>
      <w:numFmt w:val="bullet"/>
      <w:lvlText w:val=""/>
      <w:lvlJc w:val="left"/>
      <w:pPr>
        <w:ind w:left="6534" w:hanging="360"/>
      </w:pPr>
      <w:rPr>
        <w:rFonts w:ascii="Wingdings" w:hAnsi="Wingdings" w:hint="default"/>
      </w:rPr>
    </w:lvl>
    <w:lvl w:ilvl="6" w:tplc="0C090001" w:tentative="1">
      <w:start w:val="1"/>
      <w:numFmt w:val="bullet"/>
      <w:lvlText w:val=""/>
      <w:lvlJc w:val="left"/>
      <w:pPr>
        <w:ind w:left="7254" w:hanging="360"/>
      </w:pPr>
      <w:rPr>
        <w:rFonts w:ascii="Symbol" w:hAnsi="Symbol" w:hint="default"/>
      </w:rPr>
    </w:lvl>
    <w:lvl w:ilvl="7" w:tplc="0C090003" w:tentative="1">
      <w:start w:val="1"/>
      <w:numFmt w:val="bullet"/>
      <w:lvlText w:val="o"/>
      <w:lvlJc w:val="left"/>
      <w:pPr>
        <w:ind w:left="7974" w:hanging="360"/>
      </w:pPr>
      <w:rPr>
        <w:rFonts w:ascii="Courier New" w:hAnsi="Courier New" w:cs="Courier New" w:hint="default"/>
      </w:rPr>
    </w:lvl>
    <w:lvl w:ilvl="8" w:tplc="0C090005" w:tentative="1">
      <w:start w:val="1"/>
      <w:numFmt w:val="bullet"/>
      <w:lvlText w:val=""/>
      <w:lvlJc w:val="left"/>
      <w:pPr>
        <w:ind w:left="8694" w:hanging="360"/>
      </w:pPr>
      <w:rPr>
        <w:rFonts w:ascii="Wingdings" w:hAnsi="Wingdings" w:hint="default"/>
      </w:rPr>
    </w:lvl>
  </w:abstractNum>
  <w:abstractNum w:abstractNumId="3" w15:restartNumberingAfterBreak="0">
    <w:nsid w:val="2CF5656F"/>
    <w:multiLevelType w:val="hybridMultilevel"/>
    <w:tmpl w:val="5E44CF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AC5DA3"/>
    <w:multiLevelType w:val="hybridMultilevel"/>
    <w:tmpl w:val="C1DEE480"/>
    <w:lvl w:ilvl="0" w:tplc="9FF4F946">
      <w:numFmt w:val="bullet"/>
      <w:lvlText w:val="•"/>
      <w:lvlJc w:val="left"/>
      <w:pPr>
        <w:ind w:left="930" w:hanging="57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E23B5C"/>
    <w:multiLevelType w:val="hybridMultilevel"/>
    <w:tmpl w:val="15E2C8B4"/>
    <w:lvl w:ilvl="0" w:tplc="B234E9C4">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46167957"/>
    <w:multiLevelType w:val="hybridMultilevel"/>
    <w:tmpl w:val="119E5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02318A"/>
    <w:multiLevelType w:val="hybridMultilevel"/>
    <w:tmpl w:val="67A22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B316B9"/>
    <w:multiLevelType w:val="hybridMultilevel"/>
    <w:tmpl w:val="CF0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517D7D"/>
    <w:multiLevelType w:val="multilevel"/>
    <w:tmpl w:val="B0703FDC"/>
    <w:lvl w:ilvl="0">
      <w:start w:val="1"/>
      <w:numFmt w:val="decimal"/>
      <w:lvlText w:val="%1"/>
      <w:lvlJc w:val="left"/>
      <w:pPr>
        <w:ind w:left="570" w:hanging="57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1E530A7"/>
    <w:multiLevelType w:val="hybridMultilevel"/>
    <w:tmpl w:val="86E80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480B75"/>
    <w:multiLevelType w:val="hybridMultilevel"/>
    <w:tmpl w:val="62A0EEA8"/>
    <w:lvl w:ilvl="0" w:tplc="9FF4F9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11"/>
  </w:num>
  <w:num w:numId="6">
    <w:abstractNumId w:val="3"/>
  </w:num>
  <w:num w:numId="7">
    <w:abstractNumId w:val="4"/>
  </w:num>
  <w:num w:numId="8">
    <w:abstractNumId w:val="8"/>
  </w:num>
  <w:num w:numId="9">
    <w:abstractNumId w:val="7"/>
  </w:num>
  <w:num w:numId="10">
    <w:abstractNumId w:val="10"/>
  </w:num>
  <w:num w:numId="11">
    <w:abstractNumId w:val="6"/>
  </w:num>
  <w:num w:numId="12">
    <w:abstractNumId w:val="9"/>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42"/>
    <w:rsid w:val="000018D7"/>
    <w:rsid w:val="00001CC1"/>
    <w:rsid w:val="00001CF2"/>
    <w:rsid w:val="0000247B"/>
    <w:rsid w:val="000035E4"/>
    <w:rsid w:val="0000469B"/>
    <w:rsid w:val="00004776"/>
    <w:rsid w:val="00006D46"/>
    <w:rsid w:val="00010938"/>
    <w:rsid w:val="00011152"/>
    <w:rsid w:val="00012CBF"/>
    <w:rsid w:val="00013737"/>
    <w:rsid w:val="00016F39"/>
    <w:rsid w:val="00017EA0"/>
    <w:rsid w:val="000211B6"/>
    <w:rsid w:val="000234AB"/>
    <w:rsid w:val="00023EF3"/>
    <w:rsid w:val="00025FEA"/>
    <w:rsid w:val="000268A9"/>
    <w:rsid w:val="00027DCA"/>
    <w:rsid w:val="000318BE"/>
    <w:rsid w:val="0003249B"/>
    <w:rsid w:val="00034296"/>
    <w:rsid w:val="00035FF3"/>
    <w:rsid w:val="00041D4F"/>
    <w:rsid w:val="00042B1D"/>
    <w:rsid w:val="000475B5"/>
    <w:rsid w:val="00047870"/>
    <w:rsid w:val="00051021"/>
    <w:rsid w:val="00051ED9"/>
    <w:rsid w:val="000544D6"/>
    <w:rsid w:val="00057181"/>
    <w:rsid w:val="00060D98"/>
    <w:rsid w:val="00060E49"/>
    <w:rsid w:val="0006154B"/>
    <w:rsid w:val="00063D81"/>
    <w:rsid w:val="0006473A"/>
    <w:rsid w:val="0006498B"/>
    <w:rsid w:val="00064B2D"/>
    <w:rsid w:val="00065512"/>
    <w:rsid w:val="00065F1F"/>
    <w:rsid w:val="000666F7"/>
    <w:rsid w:val="00067084"/>
    <w:rsid w:val="00070CD2"/>
    <w:rsid w:val="00071BF6"/>
    <w:rsid w:val="00071E81"/>
    <w:rsid w:val="00072456"/>
    <w:rsid w:val="00075A5F"/>
    <w:rsid w:val="00076D33"/>
    <w:rsid w:val="00077487"/>
    <w:rsid w:val="0008059B"/>
    <w:rsid w:val="000828B1"/>
    <w:rsid w:val="00083320"/>
    <w:rsid w:val="00083454"/>
    <w:rsid w:val="00092CDA"/>
    <w:rsid w:val="00093A1A"/>
    <w:rsid w:val="00094C8C"/>
    <w:rsid w:val="00095A54"/>
    <w:rsid w:val="000967C7"/>
    <w:rsid w:val="000A1686"/>
    <w:rsid w:val="000A27E9"/>
    <w:rsid w:val="000A3D8B"/>
    <w:rsid w:val="000A5DF8"/>
    <w:rsid w:val="000B29C2"/>
    <w:rsid w:val="000B3FDB"/>
    <w:rsid w:val="000B42C8"/>
    <w:rsid w:val="000B577E"/>
    <w:rsid w:val="000B6AF2"/>
    <w:rsid w:val="000C1E18"/>
    <w:rsid w:val="000C1E7A"/>
    <w:rsid w:val="000C384B"/>
    <w:rsid w:val="000C43C7"/>
    <w:rsid w:val="000C4EB9"/>
    <w:rsid w:val="000C50B7"/>
    <w:rsid w:val="000C6117"/>
    <w:rsid w:val="000C787E"/>
    <w:rsid w:val="000D0BA3"/>
    <w:rsid w:val="000D218D"/>
    <w:rsid w:val="000D2824"/>
    <w:rsid w:val="000D41BE"/>
    <w:rsid w:val="000D4417"/>
    <w:rsid w:val="000D4B0D"/>
    <w:rsid w:val="000D5330"/>
    <w:rsid w:val="000D6FAC"/>
    <w:rsid w:val="000D6FD4"/>
    <w:rsid w:val="000D7061"/>
    <w:rsid w:val="000E0AE4"/>
    <w:rsid w:val="000E3A23"/>
    <w:rsid w:val="000E3DBC"/>
    <w:rsid w:val="000E3EDB"/>
    <w:rsid w:val="000E4294"/>
    <w:rsid w:val="000E43C2"/>
    <w:rsid w:val="000E75F6"/>
    <w:rsid w:val="000F0CD3"/>
    <w:rsid w:val="000F16C2"/>
    <w:rsid w:val="000F21E3"/>
    <w:rsid w:val="000F2E81"/>
    <w:rsid w:val="000F45CB"/>
    <w:rsid w:val="000F49EF"/>
    <w:rsid w:val="000F58C5"/>
    <w:rsid w:val="000F5D00"/>
    <w:rsid w:val="000F67B2"/>
    <w:rsid w:val="000F7A75"/>
    <w:rsid w:val="0010316B"/>
    <w:rsid w:val="0010432F"/>
    <w:rsid w:val="00104796"/>
    <w:rsid w:val="00105CFB"/>
    <w:rsid w:val="00106353"/>
    <w:rsid w:val="00113CE3"/>
    <w:rsid w:val="001151F7"/>
    <w:rsid w:val="00117522"/>
    <w:rsid w:val="00120DD5"/>
    <w:rsid w:val="0012110B"/>
    <w:rsid w:val="001238EC"/>
    <w:rsid w:val="00124145"/>
    <w:rsid w:val="001302F6"/>
    <w:rsid w:val="00132699"/>
    <w:rsid w:val="00134F5B"/>
    <w:rsid w:val="00135005"/>
    <w:rsid w:val="00135810"/>
    <w:rsid w:val="001424EE"/>
    <w:rsid w:val="00142C84"/>
    <w:rsid w:val="00144C36"/>
    <w:rsid w:val="00145138"/>
    <w:rsid w:val="00146DFB"/>
    <w:rsid w:val="00147E2A"/>
    <w:rsid w:val="001503AD"/>
    <w:rsid w:val="00150BBE"/>
    <w:rsid w:val="001516A3"/>
    <w:rsid w:val="00151CAA"/>
    <w:rsid w:val="00153CB9"/>
    <w:rsid w:val="001542D8"/>
    <w:rsid w:val="0015518B"/>
    <w:rsid w:val="00156581"/>
    <w:rsid w:val="0015680C"/>
    <w:rsid w:val="0016093B"/>
    <w:rsid w:val="00163D9F"/>
    <w:rsid w:val="00170634"/>
    <w:rsid w:val="00171704"/>
    <w:rsid w:val="00172659"/>
    <w:rsid w:val="00172688"/>
    <w:rsid w:val="00173848"/>
    <w:rsid w:val="00180C41"/>
    <w:rsid w:val="00180E3E"/>
    <w:rsid w:val="00182C4C"/>
    <w:rsid w:val="00183B56"/>
    <w:rsid w:val="00183BF7"/>
    <w:rsid w:val="00190327"/>
    <w:rsid w:val="00190E69"/>
    <w:rsid w:val="001922C5"/>
    <w:rsid w:val="001923DB"/>
    <w:rsid w:val="00193096"/>
    <w:rsid w:val="00197D8D"/>
    <w:rsid w:val="001A1A75"/>
    <w:rsid w:val="001A65FB"/>
    <w:rsid w:val="001A6E5F"/>
    <w:rsid w:val="001A6F37"/>
    <w:rsid w:val="001A70FE"/>
    <w:rsid w:val="001A7E9A"/>
    <w:rsid w:val="001B4F15"/>
    <w:rsid w:val="001B6B6A"/>
    <w:rsid w:val="001B6E2D"/>
    <w:rsid w:val="001C013D"/>
    <w:rsid w:val="001C0E55"/>
    <w:rsid w:val="001C27A3"/>
    <w:rsid w:val="001C2F88"/>
    <w:rsid w:val="001C5015"/>
    <w:rsid w:val="001C5295"/>
    <w:rsid w:val="001C65B0"/>
    <w:rsid w:val="001C6FB6"/>
    <w:rsid w:val="001C758A"/>
    <w:rsid w:val="001D16F6"/>
    <w:rsid w:val="001D2052"/>
    <w:rsid w:val="001D46A2"/>
    <w:rsid w:val="001D7224"/>
    <w:rsid w:val="001D7EE4"/>
    <w:rsid w:val="001E06A0"/>
    <w:rsid w:val="001E09FA"/>
    <w:rsid w:val="001E0FC6"/>
    <w:rsid w:val="001E14AC"/>
    <w:rsid w:val="001E238E"/>
    <w:rsid w:val="001E2809"/>
    <w:rsid w:val="001E4D8F"/>
    <w:rsid w:val="001E5ABB"/>
    <w:rsid w:val="001E5B54"/>
    <w:rsid w:val="001E5CF2"/>
    <w:rsid w:val="001E63FB"/>
    <w:rsid w:val="001E6585"/>
    <w:rsid w:val="001E6A7B"/>
    <w:rsid w:val="001E6D75"/>
    <w:rsid w:val="001F1C12"/>
    <w:rsid w:val="001F2EE1"/>
    <w:rsid w:val="00202642"/>
    <w:rsid w:val="00203540"/>
    <w:rsid w:val="002040DB"/>
    <w:rsid w:val="00204559"/>
    <w:rsid w:val="00205E19"/>
    <w:rsid w:val="00214C1E"/>
    <w:rsid w:val="0021612B"/>
    <w:rsid w:val="00217412"/>
    <w:rsid w:val="0022083A"/>
    <w:rsid w:val="00221D07"/>
    <w:rsid w:val="00221EBD"/>
    <w:rsid w:val="0022211D"/>
    <w:rsid w:val="00223358"/>
    <w:rsid w:val="002253CF"/>
    <w:rsid w:val="00227E4A"/>
    <w:rsid w:val="00231224"/>
    <w:rsid w:val="00232D88"/>
    <w:rsid w:val="00233324"/>
    <w:rsid w:val="0023615C"/>
    <w:rsid w:val="0023654B"/>
    <w:rsid w:val="00240733"/>
    <w:rsid w:val="00240762"/>
    <w:rsid w:val="002430DF"/>
    <w:rsid w:val="002435D3"/>
    <w:rsid w:val="0024360D"/>
    <w:rsid w:val="0024582E"/>
    <w:rsid w:val="00245C56"/>
    <w:rsid w:val="00246157"/>
    <w:rsid w:val="00250BB6"/>
    <w:rsid w:val="00250C93"/>
    <w:rsid w:val="002519C8"/>
    <w:rsid w:val="002533F9"/>
    <w:rsid w:val="00253B1A"/>
    <w:rsid w:val="002540B9"/>
    <w:rsid w:val="00254260"/>
    <w:rsid w:val="002547EF"/>
    <w:rsid w:val="00254C96"/>
    <w:rsid w:val="0025507F"/>
    <w:rsid w:val="00255277"/>
    <w:rsid w:val="00256D65"/>
    <w:rsid w:val="002601FE"/>
    <w:rsid w:val="002606FB"/>
    <w:rsid w:val="0026121B"/>
    <w:rsid w:val="0026179C"/>
    <w:rsid w:val="00261824"/>
    <w:rsid w:val="002618A5"/>
    <w:rsid w:val="002627E7"/>
    <w:rsid w:val="0026283D"/>
    <w:rsid w:val="00263497"/>
    <w:rsid w:val="00263A43"/>
    <w:rsid w:val="002646DF"/>
    <w:rsid w:val="00270729"/>
    <w:rsid w:val="00271815"/>
    <w:rsid w:val="00271F00"/>
    <w:rsid w:val="00273A80"/>
    <w:rsid w:val="002760E7"/>
    <w:rsid w:val="00276366"/>
    <w:rsid w:val="00276933"/>
    <w:rsid w:val="00276FED"/>
    <w:rsid w:val="002812AF"/>
    <w:rsid w:val="002813A3"/>
    <w:rsid w:val="0028146D"/>
    <w:rsid w:val="0028261F"/>
    <w:rsid w:val="0028290C"/>
    <w:rsid w:val="0028325F"/>
    <w:rsid w:val="00284C2F"/>
    <w:rsid w:val="00287366"/>
    <w:rsid w:val="00287CCB"/>
    <w:rsid w:val="00290C1C"/>
    <w:rsid w:val="0029204E"/>
    <w:rsid w:val="00293FAF"/>
    <w:rsid w:val="00294233"/>
    <w:rsid w:val="0029631C"/>
    <w:rsid w:val="00297626"/>
    <w:rsid w:val="002A0194"/>
    <w:rsid w:val="002A10C7"/>
    <w:rsid w:val="002A3314"/>
    <w:rsid w:val="002A5DFB"/>
    <w:rsid w:val="002A5F8B"/>
    <w:rsid w:val="002A6776"/>
    <w:rsid w:val="002A7F6C"/>
    <w:rsid w:val="002B1DC5"/>
    <w:rsid w:val="002B1F96"/>
    <w:rsid w:val="002B4879"/>
    <w:rsid w:val="002B5610"/>
    <w:rsid w:val="002B7292"/>
    <w:rsid w:val="002C67CF"/>
    <w:rsid w:val="002D1917"/>
    <w:rsid w:val="002D2E67"/>
    <w:rsid w:val="002D59C3"/>
    <w:rsid w:val="002D6809"/>
    <w:rsid w:val="002D68AB"/>
    <w:rsid w:val="002D7014"/>
    <w:rsid w:val="002D7055"/>
    <w:rsid w:val="002E0950"/>
    <w:rsid w:val="002E1D9E"/>
    <w:rsid w:val="002E376D"/>
    <w:rsid w:val="002E5283"/>
    <w:rsid w:val="002E5E00"/>
    <w:rsid w:val="002E6048"/>
    <w:rsid w:val="002E740B"/>
    <w:rsid w:val="002F04A4"/>
    <w:rsid w:val="002F0955"/>
    <w:rsid w:val="002F09E6"/>
    <w:rsid w:val="002F1B6C"/>
    <w:rsid w:val="002F1B7A"/>
    <w:rsid w:val="002F23D0"/>
    <w:rsid w:val="002F3228"/>
    <w:rsid w:val="002F3370"/>
    <w:rsid w:val="002F351C"/>
    <w:rsid w:val="002F4CE2"/>
    <w:rsid w:val="002F6488"/>
    <w:rsid w:val="002F7135"/>
    <w:rsid w:val="002F7801"/>
    <w:rsid w:val="003003D1"/>
    <w:rsid w:val="003012BD"/>
    <w:rsid w:val="00303A1A"/>
    <w:rsid w:val="003050EC"/>
    <w:rsid w:val="00306C60"/>
    <w:rsid w:val="0031084A"/>
    <w:rsid w:val="00310BE8"/>
    <w:rsid w:val="00311863"/>
    <w:rsid w:val="00311B11"/>
    <w:rsid w:val="00312259"/>
    <w:rsid w:val="00314310"/>
    <w:rsid w:val="00320839"/>
    <w:rsid w:val="003213F9"/>
    <w:rsid w:val="00323480"/>
    <w:rsid w:val="00323DBF"/>
    <w:rsid w:val="00323F99"/>
    <w:rsid w:val="0032455C"/>
    <w:rsid w:val="003247B8"/>
    <w:rsid w:val="00325155"/>
    <w:rsid w:val="00326D85"/>
    <w:rsid w:val="00326F6E"/>
    <w:rsid w:val="003304EA"/>
    <w:rsid w:val="003309A8"/>
    <w:rsid w:val="00330C6C"/>
    <w:rsid w:val="00332462"/>
    <w:rsid w:val="00332B12"/>
    <w:rsid w:val="00333583"/>
    <w:rsid w:val="00334EC4"/>
    <w:rsid w:val="00340F6F"/>
    <w:rsid w:val="00341F53"/>
    <w:rsid w:val="00345697"/>
    <w:rsid w:val="00345BA6"/>
    <w:rsid w:val="0034618B"/>
    <w:rsid w:val="003475BE"/>
    <w:rsid w:val="0035009F"/>
    <w:rsid w:val="0035149D"/>
    <w:rsid w:val="00351B07"/>
    <w:rsid w:val="00352CF2"/>
    <w:rsid w:val="00352EC2"/>
    <w:rsid w:val="0035398A"/>
    <w:rsid w:val="00356021"/>
    <w:rsid w:val="00357902"/>
    <w:rsid w:val="00357EBF"/>
    <w:rsid w:val="0036039C"/>
    <w:rsid w:val="00364841"/>
    <w:rsid w:val="00364D45"/>
    <w:rsid w:val="00365D6C"/>
    <w:rsid w:val="003661A3"/>
    <w:rsid w:val="003663CE"/>
    <w:rsid w:val="00367F43"/>
    <w:rsid w:val="0037063D"/>
    <w:rsid w:val="003706A7"/>
    <w:rsid w:val="003710DF"/>
    <w:rsid w:val="00371B29"/>
    <w:rsid w:val="00371C54"/>
    <w:rsid w:val="0037240F"/>
    <w:rsid w:val="00373194"/>
    <w:rsid w:val="00374226"/>
    <w:rsid w:val="00375551"/>
    <w:rsid w:val="00375EFC"/>
    <w:rsid w:val="0037656B"/>
    <w:rsid w:val="00380E62"/>
    <w:rsid w:val="00381E23"/>
    <w:rsid w:val="00381FB4"/>
    <w:rsid w:val="00383E8F"/>
    <w:rsid w:val="00383FC6"/>
    <w:rsid w:val="00384B5B"/>
    <w:rsid w:val="00391769"/>
    <w:rsid w:val="00393CE8"/>
    <w:rsid w:val="003953E1"/>
    <w:rsid w:val="003956B3"/>
    <w:rsid w:val="0039649C"/>
    <w:rsid w:val="003A102E"/>
    <w:rsid w:val="003A4234"/>
    <w:rsid w:val="003A4DEF"/>
    <w:rsid w:val="003A5819"/>
    <w:rsid w:val="003A5C2C"/>
    <w:rsid w:val="003A5C2F"/>
    <w:rsid w:val="003A634B"/>
    <w:rsid w:val="003A68BE"/>
    <w:rsid w:val="003A75E2"/>
    <w:rsid w:val="003A7B4E"/>
    <w:rsid w:val="003B1805"/>
    <w:rsid w:val="003B1EC3"/>
    <w:rsid w:val="003B2BD8"/>
    <w:rsid w:val="003B310D"/>
    <w:rsid w:val="003B3C9D"/>
    <w:rsid w:val="003B3E73"/>
    <w:rsid w:val="003B4F6D"/>
    <w:rsid w:val="003B78E0"/>
    <w:rsid w:val="003B78F8"/>
    <w:rsid w:val="003C0F54"/>
    <w:rsid w:val="003C19AB"/>
    <w:rsid w:val="003C2A25"/>
    <w:rsid w:val="003C3AB2"/>
    <w:rsid w:val="003C4969"/>
    <w:rsid w:val="003C4BF6"/>
    <w:rsid w:val="003C5EF4"/>
    <w:rsid w:val="003C65AE"/>
    <w:rsid w:val="003D1FD4"/>
    <w:rsid w:val="003D68C6"/>
    <w:rsid w:val="003E20CC"/>
    <w:rsid w:val="003E2B55"/>
    <w:rsid w:val="003E31B8"/>
    <w:rsid w:val="003E41D5"/>
    <w:rsid w:val="003E4482"/>
    <w:rsid w:val="003E46BA"/>
    <w:rsid w:val="003E494F"/>
    <w:rsid w:val="003E7120"/>
    <w:rsid w:val="003E7D22"/>
    <w:rsid w:val="003F3535"/>
    <w:rsid w:val="003F4DDD"/>
    <w:rsid w:val="003F5429"/>
    <w:rsid w:val="003F601F"/>
    <w:rsid w:val="003F6B88"/>
    <w:rsid w:val="003F74C1"/>
    <w:rsid w:val="004001CE"/>
    <w:rsid w:val="0040053A"/>
    <w:rsid w:val="00402663"/>
    <w:rsid w:val="00403ACA"/>
    <w:rsid w:val="00404BD8"/>
    <w:rsid w:val="004050DC"/>
    <w:rsid w:val="00405838"/>
    <w:rsid w:val="00405B1A"/>
    <w:rsid w:val="00410C76"/>
    <w:rsid w:val="00411753"/>
    <w:rsid w:val="00411907"/>
    <w:rsid w:val="00413AAD"/>
    <w:rsid w:val="00413CA8"/>
    <w:rsid w:val="00413F41"/>
    <w:rsid w:val="004151B6"/>
    <w:rsid w:val="00417EE3"/>
    <w:rsid w:val="004206CE"/>
    <w:rsid w:val="004207EB"/>
    <w:rsid w:val="00422C38"/>
    <w:rsid w:val="004249F4"/>
    <w:rsid w:val="00426F2C"/>
    <w:rsid w:val="0043024B"/>
    <w:rsid w:val="00431328"/>
    <w:rsid w:val="00431388"/>
    <w:rsid w:val="00435328"/>
    <w:rsid w:val="00435466"/>
    <w:rsid w:val="004369E9"/>
    <w:rsid w:val="004370A4"/>
    <w:rsid w:val="00437276"/>
    <w:rsid w:val="004405C9"/>
    <w:rsid w:val="00440962"/>
    <w:rsid w:val="00441682"/>
    <w:rsid w:val="00444AE3"/>
    <w:rsid w:val="00445284"/>
    <w:rsid w:val="004455A7"/>
    <w:rsid w:val="004465AD"/>
    <w:rsid w:val="00446B9B"/>
    <w:rsid w:val="00451D29"/>
    <w:rsid w:val="004560E9"/>
    <w:rsid w:val="00456B54"/>
    <w:rsid w:val="004605F6"/>
    <w:rsid w:val="00460F2A"/>
    <w:rsid w:val="00462E40"/>
    <w:rsid w:val="00464643"/>
    <w:rsid w:val="00464F1C"/>
    <w:rsid w:val="004666BE"/>
    <w:rsid w:val="00466B6F"/>
    <w:rsid w:val="004676D2"/>
    <w:rsid w:val="00467F52"/>
    <w:rsid w:val="004726A3"/>
    <w:rsid w:val="0048315D"/>
    <w:rsid w:val="00484244"/>
    <w:rsid w:val="00485BAC"/>
    <w:rsid w:val="00485E49"/>
    <w:rsid w:val="00486565"/>
    <w:rsid w:val="00486793"/>
    <w:rsid w:val="00490BCD"/>
    <w:rsid w:val="00492E39"/>
    <w:rsid w:val="00493373"/>
    <w:rsid w:val="004936ED"/>
    <w:rsid w:val="00493743"/>
    <w:rsid w:val="004977EA"/>
    <w:rsid w:val="004A2037"/>
    <w:rsid w:val="004B153F"/>
    <w:rsid w:val="004B5682"/>
    <w:rsid w:val="004B7526"/>
    <w:rsid w:val="004B7825"/>
    <w:rsid w:val="004C06B5"/>
    <w:rsid w:val="004C06EE"/>
    <w:rsid w:val="004C0973"/>
    <w:rsid w:val="004C1688"/>
    <w:rsid w:val="004C190B"/>
    <w:rsid w:val="004C2CE7"/>
    <w:rsid w:val="004C36F2"/>
    <w:rsid w:val="004C3F8D"/>
    <w:rsid w:val="004C453C"/>
    <w:rsid w:val="004C52B0"/>
    <w:rsid w:val="004C52FD"/>
    <w:rsid w:val="004C760F"/>
    <w:rsid w:val="004D187A"/>
    <w:rsid w:val="004D2314"/>
    <w:rsid w:val="004D26C3"/>
    <w:rsid w:val="004D5CA4"/>
    <w:rsid w:val="004D668E"/>
    <w:rsid w:val="004D74BA"/>
    <w:rsid w:val="004E0B91"/>
    <w:rsid w:val="004E44B6"/>
    <w:rsid w:val="004E5B7C"/>
    <w:rsid w:val="004F16C4"/>
    <w:rsid w:val="004F2832"/>
    <w:rsid w:val="004F2A4C"/>
    <w:rsid w:val="004F4442"/>
    <w:rsid w:val="004F4F98"/>
    <w:rsid w:val="004F51CF"/>
    <w:rsid w:val="004F69F6"/>
    <w:rsid w:val="004F6E77"/>
    <w:rsid w:val="004F75E3"/>
    <w:rsid w:val="004F79AC"/>
    <w:rsid w:val="005017CF"/>
    <w:rsid w:val="00501957"/>
    <w:rsid w:val="00503A80"/>
    <w:rsid w:val="00503C2B"/>
    <w:rsid w:val="00503FDD"/>
    <w:rsid w:val="0050497E"/>
    <w:rsid w:val="00504BE7"/>
    <w:rsid w:val="00505C4F"/>
    <w:rsid w:val="00507038"/>
    <w:rsid w:val="00507145"/>
    <w:rsid w:val="005071E5"/>
    <w:rsid w:val="00507D23"/>
    <w:rsid w:val="00511E40"/>
    <w:rsid w:val="005124FC"/>
    <w:rsid w:val="00513335"/>
    <w:rsid w:val="0051544E"/>
    <w:rsid w:val="005159E2"/>
    <w:rsid w:val="00515AB1"/>
    <w:rsid w:val="00515F0E"/>
    <w:rsid w:val="005207D8"/>
    <w:rsid w:val="00521FAD"/>
    <w:rsid w:val="00524530"/>
    <w:rsid w:val="005245EE"/>
    <w:rsid w:val="00526B67"/>
    <w:rsid w:val="00526B97"/>
    <w:rsid w:val="005302E1"/>
    <w:rsid w:val="0053464E"/>
    <w:rsid w:val="00541187"/>
    <w:rsid w:val="005422DF"/>
    <w:rsid w:val="005423AC"/>
    <w:rsid w:val="00542449"/>
    <w:rsid w:val="0054272D"/>
    <w:rsid w:val="00542892"/>
    <w:rsid w:val="005466AE"/>
    <w:rsid w:val="005476DB"/>
    <w:rsid w:val="00550E3D"/>
    <w:rsid w:val="00550EEF"/>
    <w:rsid w:val="00552E2B"/>
    <w:rsid w:val="00553E40"/>
    <w:rsid w:val="00554FB8"/>
    <w:rsid w:val="00556513"/>
    <w:rsid w:val="0055775B"/>
    <w:rsid w:val="005600ED"/>
    <w:rsid w:val="00561645"/>
    <w:rsid w:val="00562917"/>
    <w:rsid w:val="00564C89"/>
    <w:rsid w:val="0056541B"/>
    <w:rsid w:val="0056591F"/>
    <w:rsid w:val="00567FE6"/>
    <w:rsid w:val="00570878"/>
    <w:rsid w:val="00574E24"/>
    <w:rsid w:val="0057615C"/>
    <w:rsid w:val="0058045C"/>
    <w:rsid w:val="00583354"/>
    <w:rsid w:val="00586228"/>
    <w:rsid w:val="00586D9C"/>
    <w:rsid w:val="0058779A"/>
    <w:rsid w:val="00591B2B"/>
    <w:rsid w:val="00597140"/>
    <w:rsid w:val="0059773F"/>
    <w:rsid w:val="005A0A02"/>
    <w:rsid w:val="005A1D97"/>
    <w:rsid w:val="005A43CF"/>
    <w:rsid w:val="005A58F3"/>
    <w:rsid w:val="005A6456"/>
    <w:rsid w:val="005A65B9"/>
    <w:rsid w:val="005B2BB4"/>
    <w:rsid w:val="005B6AF4"/>
    <w:rsid w:val="005B7982"/>
    <w:rsid w:val="005B7A73"/>
    <w:rsid w:val="005C04CB"/>
    <w:rsid w:val="005C4BF6"/>
    <w:rsid w:val="005C5F5C"/>
    <w:rsid w:val="005C6E9E"/>
    <w:rsid w:val="005C7964"/>
    <w:rsid w:val="005D0CC3"/>
    <w:rsid w:val="005D15A9"/>
    <w:rsid w:val="005D16AD"/>
    <w:rsid w:val="005D4A5D"/>
    <w:rsid w:val="005D530D"/>
    <w:rsid w:val="005D5AD8"/>
    <w:rsid w:val="005D63C8"/>
    <w:rsid w:val="005D6743"/>
    <w:rsid w:val="005D72E1"/>
    <w:rsid w:val="005E0DC7"/>
    <w:rsid w:val="005E12AB"/>
    <w:rsid w:val="005E150C"/>
    <w:rsid w:val="005E2C43"/>
    <w:rsid w:val="005E3358"/>
    <w:rsid w:val="005E37C4"/>
    <w:rsid w:val="005E6E16"/>
    <w:rsid w:val="005F022B"/>
    <w:rsid w:val="005F034D"/>
    <w:rsid w:val="005F2393"/>
    <w:rsid w:val="005F2933"/>
    <w:rsid w:val="005F2A51"/>
    <w:rsid w:val="005F2BAC"/>
    <w:rsid w:val="005F400E"/>
    <w:rsid w:val="005F5C7D"/>
    <w:rsid w:val="005F707E"/>
    <w:rsid w:val="005F7342"/>
    <w:rsid w:val="005F7E28"/>
    <w:rsid w:val="006009E7"/>
    <w:rsid w:val="00601B5D"/>
    <w:rsid w:val="00601B94"/>
    <w:rsid w:val="00603A08"/>
    <w:rsid w:val="00605F3E"/>
    <w:rsid w:val="00606F73"/>
    <w:rsid w:val="006100F4"/>
    <w:rsid w:val="00610A3C"/>
    <w:rsid w:val="00612503"/>
    <w:rsid w:val="0061585B"/>
    <w:rsid w:val="00615DD1"/>
    <w:rsid w:val="006166A3"/>
    <w:rsid w:val="006167F5"/>
    <w:rsid w:val="00617EC9"/>
    <w:rsid w:val="00620DCF"/>
    <w:rsid w:val="00622D1F"/>
    <w:rsid w:val="00623D79"/>
    <w:rsid w:val="00624371"/>
    <w:rsid w:val="00624E2B"/>
    <w:rsid w:val="00624E45"/>
    <w:rsid w:val="00626BF8"/>
    <w:rsid w:val="00627F48"/>
    <w:rsid w:val="00630C23"/>
    <w:rsid w:val="00632445"/>
    <w:rsid w:val="00632A7A"/>
    <w:rsid w:val="00632CE2"/>
    <w:rsid w:val="006359E9"/>
    <w:rsid w:val="0063675F"/>
    <w:rsid w:val="006431B8"/>
    <w:rsid w:val="006432E9"/>
    <w:rsid w:val="00644880"/>
    <w:rsid w:val="00644A7C"/>
    <w:rsid w:val="00644DA7"/>
    <w:rsid w:val="006459AA"/>
    <w:rsid w:val="006460AB"/>
    <w:rsid w:val="00647302"/>
    <w:rsid w:val="0065097A"/>
    <w:rsid w:val="0065177D"/>
    <w:rsid w:val="00651E87"/>
    <w:rsid w:val="00653177"/>
    <w:rsid w:val="00653592"/>
    <w:rsid w:val="00653E10"/>
    <w:rsid w:val="00656078"/>
    <w:rsid w:val="0065740D"/>
    <w:rsid w:val="00657719"/>
    <w:rsid w:val="00660287"/>
    <w:rsid w:val="00663108"/>
    <w:rsid w:val="006636AA"/>
    <w:rsid w:val="00663FCF"/>
    <w:rsid w:val="006652A2"/>
    <w:rsid w:val="00670F70"/>
    <w:rsid w:val="0067272E"/>
    <w:rsid w:val="00672C1A"/>
    <w:rsid w:val="006754EF"/>
    <w:rsid w:val="00675AC9"/>
    <w:rsid w:val="006818F2"/>
    <w:rsid w:val="00682131"/>
    <w:rsid w:val="0068457F"/>
    <w:rsid w:val="006861D6"/>
    <w:rsid w:val="00687902"/>
    <w:rsid w:val="00687956"/>
    <w:rsid w:val="00690206"/>
    <w:rsid w:val="00692161"/>
    <w:rsid w:val="006937FF"/>
    <w:rsid w:val="0069459A"/>
    <w:rsid w:val="0069502F"/>
    <w:rsid w:val="006963C9"/>
    <w:rsid w:val="00697DF0"/>
    <w:rsid w:val="006A2E22"/>
    <w:rsid w:val="006A377E"/>
    <w:rsid w:val="006A4839"/>
    <w:rsid w:val="006A48A7"/>
    <w:rsid w:val="006A4F86"/>
    <w:rsid w:val="006A506C"/>
    <w:rsid w:val="006A5C9E"/>
    <w:rsid w:val="006A63FF"/>
    <w:rsid w:val="006A75E9"/>
    <w:rsid w:val="006A771C"/>
    <w:rsid w:val="006A7DF3"/>
    <w:rsid w:val="006B08A1"/>
    <w:rsid w:val="006B0F02"/>
    <w:rsid w:val="006B0FDC"/>
    <w:rsid w:val="006B4411"/>
    <w:rsid w:val="006B4BA1"/>
    <w:rsid w:val="006B5EBE"/>
    <w:rsid w:val="006B670F"/>
    <w:rsid w:val="006B6BC1"/>
    <w:rsid w:val="006B7FB9"/>
    <w:rsid w:val="006C1414"/>
    <w:rsid w:val="006C1DF3"/>
    <w:rsid w:val="006C2320"/>
    <w:rsid w:val="006C3F26"/>
    <w:rsid w:val="006C4D7B"/>
    <w:rsid w:val="006C574C"/>
    <w:rsid w:val="006C5CF5"/>
    <w:rsid w:val="006C5F80"/>
    <w:rsid w:val="006C631F"/>
    <w:rsid w:val="006C67FB"/>
    <w:rsid w:val="006D2243"/>
    <w:rsid w:val="006D29D9"/>
    <w:rsid w:val="006D324C"/>
    <w:rsid w:val="006D328D"/>
    <w:rsid w:val="006D70C7"/>
    <w:rsid w:val="006D76CD"/>
    <w:rsid w:val="006E102A"/>
    <w:rsid w:val="006E134F"/>
    <w:rsid w:val="006E3294"/>
    <w:rsid w:val="006E3847"/>
    <w:rsid w:val="006E7C53"/>
    <w:rsid w:val="006F0A8F"/>
    <w:rsid w:val="006F0E4D"/>
    <w:rsid w:val="006F4A82"/>
    <w:rsid w:val="006F5687"/>
    <w:rsid w:val="006F5A19"/>
    <w:rsid w:val="006F78E3"/>
    <w:rsid w:val="006F799F"/>
    <w:rsid w:val="007003CD"/>
    <w:rsid w:val="0070258F"/>
    <w:rsid w:val="007026B5"/>
    <w:rsid w:val="0070373B"/>
    <w:rsid w:val="0070421A"/>
    <w:rsid w:val="00706A9E"/>
    <w:rsid w:val="00707606"/>
    <w:rsid w:val="007100EB"/>
    <w:rsid w:val="00710A2C"/>
    <w:rsid w:val="00714724"/>
    <w:rsid w:val="007159D8"/>
    <w:rsid w:val="00716418"/>
    <w:rsid w:val="0071647E"/>
    <w:rsid w:val="00716DDB"/>
    <w:rsid w:val="0072072D"/>
    <w:rsid w:val="0072301D"/>
    <w:rsid w:val="00724FA4"/>
    <w:rsid w:val="007259A1"/>
    <w:rsid w:val="0072782A"/>
    <w:rsid w:val="00730800"/>
    <w:rsid w:val="00730E11"/>
    <w:rsid w:val="007322A1"/>
    <w:rsid w:val="00732E95"/>
    <w:rsid w:val="0073309B"/>
    <w:rsid w:val="00733420"/>
    <w:rsid w:val="007352B9"/>
    <w:rsid w:val="00735B44"/>
    <w:rsid w:val="00735E6A"/>
    <w:rsid w:val="00736D8A"/>
    <w:rsid w:val="00737447"/>
    <w:rsid w:val="00740601"/>
    <w:rsid w:val="0074123C"/>
    <w:rsid w:val="007437D0"/>
    <w:rsid w:val="007443E5"/>
    <w:rsid w:val="007450E8"/>
    <w:rsid w:val="0074663C"/>
    <w:rsid w:val="00750148"/>
    <w:rsid w:val="007507DE"/>
    <w:rsid w:val="007514AA"/>
    <w:rsid w:val="00753233"/>
    <w:rsid w:val="00753C0A"/>
    <w:rsid w:val="00754AFF"/>
    <w:rsid w:val="00754BCB"/>
    <w:rsid w:val="00756B8F"/>
    <w:rsid w:val="00756C1D"/>
    <w:rsid w:val="007602AA"/>
    <w:rsid w:val="00760F0F"/>
    <w:rsid w:val="007632CB"/>
    <w:rsid w:val="0076408E"/>
    <w:rsid w:val="0076515D"/>
    <w:rsid w:val="007652EF"/>
    <w:rsid w:val="00765C84"/>
    <w:rsid w:val="00766F06"/>
    <w:rsid w:val="007711F5"/>
    <w:rsid w:val="00772BDC"/>
    <w:rsid w:val="00777538"/>
    <w:rsid w:val="00780653"/>
    <w:rsid w:val="00780792"/>
    <w:rsid w:val="00783E18"/>
    <w:rsid w:val="00785016"/>
    <w:rsid w:val="007850BA"/>
    <w:rsid w:val="007853EE"/>
    <w:rsid w:val="007863B6"/>
    <w:rsid w:val="007872CC"/>
    <w:rsid w:val="007873D4"/>
    <w:rsid w:val="00787C01"/>
    <w:rsid w:val="0079144B"/>
    <w:rsid w:val="00793199"/>
    <w:rsid w:val="007933DC"/>
    <w:rsid w:val="00793DCD"/>
    <w:rsid w:val="00796562"/>
    <w:rsid w:val="007A04CF"/>
    <w:rsid w:val="007A44B4"/>
    <w:rsid w:val="007A64B4"/>
    <w:rsid w:val="007A6FE1"/>
    <w:rsid w:val="007A7D3D"/>
    <w:rsid w:val="007B225D"/>
    <w:rsid w:val="007B2B44"/>
    <w:rsid w:val="007B3764"/>
    <w:rsid w:val="007B5418"/>
    <w:rsid w:val="007B70AE"/>
    <w:rsid w:val="007B7270"/>
    <w:rsid w:val="007C131B"/>
    <w:rsid w:val="007C174F"/>
    <w:rsid w:val="007C1C64"/>
    <w:rsid w:val="007C62F4"/>
    <w:rsid w:val="007C6ACD"/>
    <w:rsid w:val="007C7342"/>
    <w:rsid w:val="007C78AC"/>
    <w:rsid w:val="007C7F85"/>
    <w:rsid w:val="007C7FB1"/>
    <w:rsid w:val="007D0169"/>
    <w:rsid w:val="007D03EA"/>
    <w:rsid w:val="007D1390"/>
    <w:rsid w:val="007D1BD5"/>
    <w:rsid w:val="007D2374"/>
    <w:rsid w:val="007D2669"/>
    <w:rsid w:val="007D3F5A"/>
    <w:rsid w:val="007D4010"/>
    <w:rsid w:val="007D4851"/>
    <w:rsid w:val="007D525D"/>
    <w:rsid w:val="007D607D"/>
    <w:rsid w:val="007D6A40"/>
    <w:rsid w:val="007E48BC"/>
    <w:rsid w:val="007E6C91"/>
    <w:rsid w:val="007E79F7"/>
    <w:rsid w:val="007F0D68"/>
    <w:rsid w:val="007F1217"/>
    <w:rsid w:val="007F1832"/>
    <w:rsid w:val="007F2EB7"/>
    <w:rsid w:val="007F3630"/>
    <w:rsid w:val="007F4386"/>
    <w:rsid w:val="007F5F1F"/>
    <w:rsid w:val="007F6947"/>
    <w:rsid w:val="007F7C04"/>
    <w:rsid w:val="00800486"/>
    <w:rsid w:val="00800490"/>
    <w:rsid w:val="0080087C"/>
    <w:rsid w:val="008022E9"/>
    <w:rsid w:val="00803D0C"/>
    <w:rsid w:val="00805EB3"/>
    <w:rsid w:val="00806571"/>
    <w:rsid w:val="00806FAA"/>
    <w:rsid w:val="00807559"/>
    <w:rsid w:val="00807E4D"/>
    <w:rsid w:val="00810C2A"/>
    <w:rsid w:val="00811405"/>
    <w:rsid w:val="0081196C"/>
    <w:rsid w:val="00812BF0"/>
    <w:rsid w:val="00820DBC"/>
    <w:rsid w:val="00821E30"/>
    <w:rsid w:val="00823A0F"/>
    <w:rsid w:val="00824F25"/>
    <w:rsid w:val="008250BE"/>
    <w:rsid w:val="008250F0"/>
    <w:rsid w:val="00825BFE"/>
    <w:rsid w:val="008269C7"/>
    <w:rsid w:val="00833254"/>
    <w:rsid w:val="00835B41"/>
    <w:rsid w:val="00836104"/>
    <w:rsid w:val="008419BD"/>
    <w:rsid w:val="00841CF3"/>
    <w:rsid w:val="00841D12"/>
    <w:rsid w:val="0084305A"/>
    <w:rsid w:val="008450BC"/>
    <w:rsid w:val="00850B02"/>
    <w:rsid w:val="008512E5"/>
    <w:rsid w:val="008527FC"/>
    <w:rsid w:val="0085334B"/>
    <w:rsid w:val="008547C8"/>
    <w:rsid w:val="0085493E"/>
    <w:rsid w:val="00855336"/>
    <w:rsid w:val="00856238"/>
    <w:rsid w:val="00856B73"/>
    <w:rsid w:val="00860CFC"/>
    <w:rsid w:val="0086170D"/>
    <w:rsid w:val="00862706"/>
    <w:rsid w:val="0086342E"/>
    <w:rsid w:val="00867E72"/>
    <w:rsid w:val="00870214"/>
    <w:rsid w:val="00870803"/>
    <w:rsid w:val="0087175E"/>
    <w:rsid w:val="0087192A"/>
    <w:rsid w:val="00871AEA"/>
    <w:rsid w:val="00873A93"/>
    <w:rsid w:val="00877676"/>
    <w:rsid w:val="0088048A"/>
    <w:rsid w:val="00880F81"/>
    <w:rsid w:val="0088168B"/>
    <w:rsid w:val="00881D82"/>
    <w:rsid w:val="00882016"/>
    <w:rsid w:val="00882BD2"/>
    <w:rsid w:val="008844F2"/>
    <w:rsid w:val="00884713"/>
    <w:rsid w:val="00885C51"/>
    <w:rsid w:val="00885EB0"/>
    <w:rsid w:val="00887A28"/>
    <w:rsid w:val="0089034F"/>
    <w:rsid w:val="00890B83"/>
    <w:rsid w:val="00891F4B"/>
    <w:rsid w:val="00892376"/>
    <w:rsid w:val="0089264A"/>
    <w:rsid w:val="00892B55"/>
    <w:rsid w:val="00892E57"/>
    <w:rsid w:val="00892E7A"/>
    <w:rsid w:val="00892EEA"/>
    <w:rsid w:val="00893715"/>
    <w:rsid w:val="008937DD"/>
    <w:rsid w:val="008958EE"/>
    <w:rsid w:val="00896B85"/>
    <w:rsid w:val="008A013C"/>
    <w:rsid w:val="008A18C9"/>
    <w:rsid w:val="008A1FA8"/>
    <w:rsid w:val="008A22BE"/>
    <w:rsid w:val="008A2862"/>
    <w:rsid w:val="008A46D5"/>
    <w:rsid w:val="008A6AB6"/>
    <w:rsid w:val="008A787F"/>
    <w:rsid w:val="008B0CE1"/>
    <w:rsid w:val="008B1CE7"/>
    <w:rsid w:val="008B231D"/>
    <w:rsid w:val="008B59CD"/>
    <w:rsid w:val="008C075E"/>
    <w:rsid w:val="008C1B36"/>
    <w:rsid w:val="008C5502"/>
    <w:rsid w:val="008C62C9"/>
    <w:rsid w:val="008D0084"/>
    <w:rsid w:val="008D06C6"/>
    <w:rsid w:val="008D12A1"/>
    <w:rsid w:val="008D3403"/>
    <w:rsid w:val="008D34C3"/>
    <w:rsid w:val="008D3909"/>
    <w:rsid w:val="008D4C01"/>
    <w:rsid w:val="008D5685"/>
    <w:rsid w:val="008D770F"/>
    <w:rsid w:val="008D7BC2"/>
    <w:rsid w:val="008E19BD"/>
    <w:rsid w:val="008E3AA6"/>
    <w:rsid w:val="008E436B"/>
    <w:rsid w:val="008E6250"/>
    <w:rsid w:val="008E7BAF"/>
    <w:rsid w:val="008F0779"/>
    <w:rsid w:val="008F161D"/>
    <w:rsid w:val="008F3749"/>
    <w:rsid w:val="008F592E"/>
    <w:rsid w:val="008F66A8"/>
    <w:rsid w:val="00902AF6"/>
    <w:rsid w:val="009113B8"/>
    <w:rsid w:val="009147F9"/>
    <w:rsid w:val="009157CA"/>
    <w:rsid w:val="00916680"/>
    <w:rsid w:val="00917D2E"/>
    <w:rsid w:val="00920249"/>
    <w:rsid w:val="0092067E"/>
    <w:rsid w:val="00921398"/>
    <w:rsid w:val="009222A0"/>
    <w:rsid w:val="0092423C"/>
    <w:rsid w:val="00924368"/>
    <w:rsid w:val="00924C80"/>
    <w:rsid w:val="009303AC"/>
    <w:rsid w:val="00930B75"/>
    <w:rsid w:val="009320D6"/>
    <w:rsid w:val="00932137"/>
    <w:rsid w:val="00932F14"/>
    <w:rsid w:val="00933156"/>
    <w:rsid w:val="0093473B"/>
    <w:rsid w:val="00941C18"/>
    <w:rsid w:val="0094247F"/>
    <w:rsid w:val="00942D60"/>
    <w:rsid w:val="00942E4B"/>
    <w:rsid w:val="00943001"/>
    <w:rsid w:val="00946374"/>
    <w:rsid w:val="009471C7"/>
    <w:rsid w:val="00950BFE"/>
    <w:rsid w:val="00951980"/>
    <w:rsid w:val="00956935"/>
    <w:rsid w:val="00957850"/>
    <w:rsid w:val="00957C43"/>
    <w:rsid w:val="0096085E"/>
    <w:rsid w:val="009624BC"/>
    <w:rsid w:val="0096523B"/>
    <w:rsid w:val="00966ACB"/>
    <w:rsid w:val="00966EE3"/>
    <w:rsid w:val="00966FEC"/>
    <w:rsid w:val="009678B4"/>
    <w:rsid w:val="0097061C"/>
    <w:rsid w:val="00970CFA"/>
    <w:rsid w:val="00971A69"/>
    <w:rsid w:val="00972D06"/>
    <w:rsid w:val="009732A1"/>
    <w:rsid w:val="00974B17"/>
    <w:rsid w:val="00975256"/>
    <w:rsid w:val="00975403"/>
    <w:rsid w:val="009757DB"/>
    <w:rsid w:val="00975BCF"/>
    <w:rsid w:val="00976B59"/>
    <w:rsid w:val="00976D11"/>
    <w:rsid w:val="00977A90"/>
    <w:rsid w:val="00981383"/>
    <w:rsid w:val="009818B7"/>
    <w:rsid w:val="009821E5"/>
    <w:rsid w:val="009823B2"/>
    <w:rsid w:val="0098477B"/>
    <w:rsid w:val="0098487D"/>
    <w:rsid w:val="00984DEA"/>
    <w:rsid w:val="00985DD0"/>
    <w:rsid w:val="00986ACF"/>
    <w:rsid w:val="00987E59"/>
    <w:rsid w:val="00990197"/>
    <w:rsid w:val="0099069D"/>
    <w:rsid w:val="009909B3"/>
    <w:rsid w:val="00992EC8"/>
    <w:rsid w:val="00994DC3"/>
    <w:rsid w:val="00996496"/>
    <w:rsid w:val="00997036"/>
    <w:rsid w:val="009A00CD"/>
    <w:rsid w:val="009A05CE"/>
    <w:rsid w:val="009A1A49"/>
    <w:rsid w:val="009A1F7A"/>
    <w:rsid w:val="009A391C"/>
    <w:rsid w:val="009A4CD4"/>
    <w:rsid w:val="009A50F2"/>
    <w:rsid w:val="009A547D"/>
    <w:rsid w:val="009A6679"/>
    <w:rsid w:val="009A7259"/>
    <w:rsid w:val="009B420E"/>
    <w:rsid w:val="009B53C2"/>
    <w:rsid w:val="009B56C1"/>
    <w:rsid w:val="009B7097"/>
    <w:rsid w:val="009B7333"/>
    <w:rsid w:val="009C0F8A"/>
    <w:rsid w:val="009C23BB"/>
    <w:rsid w:val="009C3AF0"/>
    <w:rsid w:val="009C40FA"/>
    <w:rsid w:val="009C4ECD"/>
    <w:rsid w:val="009C7293"/>
    <w:rsid w:val="009C761D"/>
    <w:rsid w:val="009D15CF"/>
    <w:rsid w:val="009D1657"/>
    <w:rsid w:val="009D1E9E"/>
    <w:rsid w:val="009D1F6E"/>
    <w:rsid w:val="009D30A2"/>
    <w:rsid w:val="009D4407"/>
    <w:rsid w:val="009D45A6"/>
    <w:rsid w:val="009D5C1C"/>
    <w:rsid w:val="009D6B5B"/>
    <w:rsid w:val="009D72DE"/>
    <w:rsid w:val="009E0576"/>
    <w:rsid w:val="009E09A0"/>
    <w:rsid w:val="009E0A61"/>
    <w:rsid w:val="009E3010"/>
    <w:rsid w:val="009E3446"/>
    <w:rsid w:val="009E46DF"/>
    <w:rsid w:val="009E51E7"/>
    <w:rsid w:val="009E5564"/>
    <w:rsid w:val="009E6719"/>
    <w:rsid w:val="009E7E2E"/>
    <w:rsid w:val="009F007E"/>
    <w:rsid w:val="009F0B77"/>
    <w:rsid w:val="009F0E82"/>
    <w:rsid w:val="009F1C8D"/>
    <w:rsid w:val="009F288E"/>
    <w:rsid w:val="009F47F1"/>
    <w:rsid w:val="009F4AFD"/>
    <w:rsid w:val="009F4D5B"/>
    <w:rsid w:val="009F4D72"/>
    <w:rsid w:val="009F5D67"/>
    <w:rsid w:val="009F7065"/>
    <w:rsid w:val="009F76B5"/>
    <w:rsid w:val="009F7718"/>
    <w:rsid w:val="009F798E"/>
    <w:rsid w:val="00A00292"/>
    <w:rsid w:val="00A02C48"/>
    <w:rsid w:val="00A02D49"/>
    <w:rsid w:val="00A02E18"/>
    <w:rsid w:val="00A0495D"/>
    <w:rsid w:val="00A059FD"/>
    <w:rsid w:val="00A060B5"/>
    <w:rsid w:val="00A067E4"/>
    <w:rsid w:val="00A07714"/>
    <w:rsid w:val="00A11A34"/>
    <w:rsid w:val="00A11C0D"/>
    <w:rsid w:val="00A13223"/>
    <w:rsid w:val="00A15193"/>
    <w:rsid w:val="00A17E7B"/>
    <w:rsid w:val="00A2070E"/>
    <w:rsid w:val="00A214BC"/>
    <w:rsid w:val="00A237A1"/>
    <w:rsid w:val="00A264C6"/>
    <w:rsid w:val="00A270A6"/>
    <w:rsid w:val="00A27EE6"/>
    <w:rsid w:val="00A30707"/>
    <w:rsid w:val="00A316EA"/>
    <w:rsid w:val="00A32F75"/>
    <w:rsid w:val="00A33EDD"/>
    <w:rsid w:val="00A36083"/>
    <w:rsid w:val="00A4175D"/>
    <w:rsid w:val="00A42CFA"/>
    <w:rsid w:val="00A43FBA"/>
    <w:rsid w:val="00A45E57"/>
    <w:rsid w:val="00A47DE4"/>
    <w:rsid w:val="00A47EEA"/>
    <w:rsid w:val="00A5055F"/>
    <w:rsid w:val="00A52671"/>
    <w:rsid w:val="00A53E0C"/>
    <w:rsid w:val="00A53EE6"/>
    <w:rsid w:val="00A543E9"/>
    <w:rsid w:val="00A5485A"/>
    <w:rsid w:val="00A5686D"/>
    <w:rsid w:val="00A56DC7"/>
    <w:rsid w:val="00A60E18"/>
    <w:rsid w:val="00A61585"/>
    <w:rsid w:val="00A6352E"/>
    <w:rsid w:val="00A63653"/>
    <w:rsid w:val="00A63BFD"/>
    <w:rsid w:val="00A6613B"/>
    <w:rsid w:val="00A66EA8"/>
    <w:rsid w:val="00A7002F"/>
    <w:rsid w:val="00A70759"/>
    <w:rsid w:val="00A710D7"/>
    <w:rsid w:val="00A7119C"/>
    <w:rsid w:val="00A74FD1"/>
    <w:rsid w:val="00A75BA7"/>
    <w:rsid w:val="00A77BFA"/>
    <w:rsid w:val="00A815BC"/>
    <w:rsid w:val="00A829DE"/>
    <w:rsid w:val="00A83537"/>
    <w:rsid w:val="00A84A58"/>
    <w:rsid w:val="00A84E2E"/>
    <w:rsid w:val="00A8617E"/>
    <w:rsid w:val="00A8659C"/>
    <w:rsid w:val="00A8766C"/>
    <w:rsid w:val="00A917F1"/>
    <w:rsid w:val="00A92B32"/>
    <w:rsid w:val="00A95AF0"/>
    <w:rsid w:val="00A9654E"/>
    <w:rsid w:val="00A96DA3"/>
    <w:rsid w:val="00A9718C"/>
    <w:rsid w:val="00A97974"/>
    <w:rsid w:val="00AA0F6D"/>
    <w:rsid w:val="00AA19C3"/>
    <w:rsid w:val="00AA232F"/>
    <w:rsid w:val="00AA305E"/>
    <w:rsid w:val="00AA30FC"/>
    <w:rsid w:val="00AA49F5"/>
    <w:rsid w:val="00AA6116"/>
    <w:rsid w:val="00AA7751"/>
    <w:rsid w:val="00AA78CC"/>
    <w:rsid w:val="00AA7976"/>
    <w:rsid w:val="00AA79F0"/>
    <w:rsid w:val="00AB17FA"/>
    <w:rsid w:val="00AB20EE"/>
    <w:rsid w:val="00AB221C"/>
    <w:rsid w:val="00AB34F1"/>
    <w:rsid w:val="00AB3FCF"/>
    <w:rsid w:val="00AB47E7"/>
    <w:rsid w:val="00AB513D"/>
    <w:rsid w:val="00AB519B"/>
    <w:rsid w:val="00AB5B93"/>
    <w:rsid w:val="00AB7CED"/>
    <w:rsid w:val="00AC0121"/>
    <w:rsid w:val="00AC0DE3"/>
    <w:rsid w:val="00AC3F3C"/>
    <w:rsid w:val="00AC71C7"/>
    <w:rsid w:val="00AD0973"/>
    <w:rsid w:val="00AD2451"/>
    <w:rsid w:val="00AD28CF"/>
    <w:rsid w:val="00AD47D0"/>
    <w:rsid w:val="00AE565E"/>
    <w:rsid w:val="00AE591C"/>
    <w:rsid w:val="00AE7274"/>
    <w:rsid w:val="00AE7FC4"/>
    <w:rsid w:val="00AF0169"/>
    <w:rsid w:val="00AF0509"/>
    <w:rsid w:val="00AF06FC"/>
    <w:rsid w:val="00AF2B14"/>
    <w:rsid w:val="00AF3391"/>
    <w:rsid w:val="00AF339B"/>
    <w:rsid w:val="00AF387F"/>
    <w:rsid w:val="00AF5480"/>
    <w:rsid w:val="00AF59CE"/>
    <w:rsid w:val="00AF723B"/>
    <w:rsid w:val="00B00E7F"/>
    <w:rsid w:val="00B02CEF"/>
    <w:rsid w:val="00B03188"/>
    <w:rsid w:val="00B0502A"/>
    <w:rsid w:val="00B0672A"/>
    <w:rsid w:val="00B07B80"/>
    <w:rsid w:val="00B1045B"/>
    <w:rsid w:val="00B12F1E"/>
    <w:rsid w:val="00B13FF8"/>
    <w:rsid w:val="00B14420"/>
    <w:rsid w:val="00B152E6"/>
    <w:rsid w:val="00B16FA3"/>
    <w:rsid w:val="00B173DA"/>
    <w:rsid w:val="00B216C3"/>
    <w:rsid w:val="00B21DCC"/>
    <w:rsid w:val="00B22C2B"/>
    <w:rsid w:val="00B23833"/>
    <w:rsid w:val="00B24985"/>
    <w:rsid w:val="00B24A46"/>
    <w:rsid w:val="00B24FF4"/>
    <w:rsid w:val="00B25CCB"/>
    <w:rsid w:val="00B25F37"/>
    <w:rsid w:val="00B2724F"/>
    <w:rsid w:val="00B27BCE"/>
    <w:rsid w:val="00B30E51"/>
    <w:rsid w:val="00B31A0A"/>
    <w:rsid w:val="00B37BF0"/>
    <w:rsid w:val="00B4058D"/>
    <w:rsid w:val="00B414E8"/>
    <w:rsid w:val="00B420C0"/>
    <w:rsid w:val="00B440BE"/>
    <w:rsid w:val="00B44422"/>
    <w:rsid w:val="00B4624E"/>
    <w:rsid w:val="00B46EA0"/>
    <w:rsid w:val="00B46F0E"/>
    <w:rsid w:val="00B511CA"/>
    <w:rsid w:val="00B52BB0"/>
    <w:rsid w:val="00B611FF"/>
    <w:rsid w:val="00B622AF"/>
    <w:rsid w:val="00B6291B"/>
    <w:rsid w:val="00B65DB1"/>
    <w:rsid w:val="00B66A92"/>
    <w:rsid w:val="00B67110"/>
    <w:rsid w:val="00B710CD"/>
    <w:rsid w:val="00B7168B"/>
    <w:rsid w:val="00B71F2A"/>
    <w:rsid w:val="00B72F37"/>
    <w:rsid w:val="00B731D3"/>
    <w:rsid w:val="00B732F0"/>
    <w:rsid w:val="00B737B8"/>
    <w:rsid w:val="00B7703C"/>
    <w:rsid w:val="00B77AC2"/>
    <w:rsid w:val="00B80C3D"/>
    <w:rsid w:val="00B82428"/>
    <w:rsid w:val="00B828B9"/>
    <w:rsid w:val="00B839A3"/>
    <w:rsid w:val="00B8451C"/>
    <w:rsid w:val="00B84BB0"/>
    <w:rsid w:val="00B84C26"/>
    <w:rsid w:val="00B853C3"/>
    <w:rsid w:val="00B85B7B"/>
    <w:rsid w:val="00B869CB"/>
    <w:rsid w:val="00B86C79"/>
    <w:rsid w:val="00B87E23"/>
    <w:rsid w:val="00B90086"/>
    <w:rsid w:val="00B902BD"/>
    <w:rsid w:val="00B90B14"/>
    <w:rsid w:val="00B90E4F"/>
    <w:rsid w:val="00B91C91"/>
    <w:rsid w:val="00B928D4"/>
    <w:rsid w:val="00B937C0"/>
    <w:rsid w:val="00B960BA"/>
    <w:rsid w:val="00BA24E2"/>
    <w:rsid w:val="00BA3BBE"/>
    <w:rsid w:val="00BA49E3"/>
    <w:rsid w:val="00BA5651"/>
    <w:rsid w:val="00BA7C09"/>
    <w:rsid w:val="00BB0FED"/>
    <w:rsid w:val="00BB3D62"/>
    <w:rsid w:val="00BB6342"/>
    <w:rsid w:val="00BC0D28"/>
    <w:rsid w:val="00BC0F67"/>
    <w:rsid w:val="00BC4A7E"/>
    <w:rsid w:val="00BC525E"/>
    <w:rsid w:val="00BC552D"/>
    <w:rsid w:val="00BC5EBB"/>
    <w:rsid w:val="00BC5F2D"/>
    <w:rsid w:val="00BD12E2"/>
    <w:rsid w:val="00BD2A39"/>
    <w:rsid w:val="00BD2E80"/>
    <w:rsid w:val="00BD3D5C"/>
    <w:rsid w:val="00BD46FD"/>
    <w:rsid w:val="00BD51E3"/>
    <w:rsid w:val="00BD7894"/>
    <w:rsid w:val="00BE11B8"/>
    <w:rsid w:val="00BE20CB"/>
    <w:rsid w:val="00BE292B"/>
    <w:rsid w:val="00BE539E"/>
    <w:rsid w:val="00BE59A5"/>
    <w:rsid w:val="00BE63CB"/>
    <w:rsid w:val="00BE7378"/>
    <w:rsid w:val="00BF2979"/>
    <w:rsid w:val="00BF31D4"/>
    <w:rsid w:val="00BF3C5D"/>
    <w:rsid w:val="00BF446A"/>
    <w:rsid w:val="00BF57FF"/>
    <w:rsid w:val="00BF6631"/>
    <w:rsid w:val="00BF7FF0"/>
    <w:rsid w:val="00C0297D"/>
    <w:rsid w:val="00C035A4"/>
    <w:rsid w:val="00C04E95"/>
    <w:rsid w:val="00C05332"/>
    <w:rsid w:val="00C057F4"/>
    <w:rsid w:val="00C05AE6"/>
    <w:rsid w:val="00C06675"/>
    <w:rsid w:val="00C10AB1"/>
    <w:rsid w:val="00C10C79"/>
    <w:rsid w:val="00C11B0B"/>
    <w:rsid w:val="00C12502"/>
    <w:rsid w:val="00C1439B"/>
    <w:rsid w:val="00C1489C"/>
    <w:rsid w:val="00C148F5"/>
    <w:rsid w:val="00C15A6C"/>
    <w:rsid w:val="00C1668C"/>
    <w:rsid w:val="00C1733F"/>
    <w:rsid w:val="00C17F01"/>
    <w:rsid w:val="00C22FBC"/>
    <w:rsid w:val="00C23E19"/>
    <w:rsid w:val="00C255D3"/>
    <w:rsid w:val="00C26533"/>
    <w:rsid w:val="00C27D0D"/>
    <w:rsid w:val="00C300DD"/>
    <w:rsid w:val="00C3070D"/>
    <w:rsid w:val="00C30CA1"/>
    <w:rsid w:val="00C30EFF"/>
    <w:rsid w:val="00C32540"/>
    <w:rsid w:val="00C33CE9"/>
    <w:rsid w:val="00C36578"/>
    <w:rsid w:val="00C37D19"/>
    <w:rsid w:val="00C40AA5"/>
    <w:rsid w:val="00C418D5"/>
    <w:rsid w:val="00C42724"/>
    <w:rsid w:val="00C43673"/>
    <w:rsid w:val="00C44053"/>
    <w:rsid w:val="00C458F1"/>
    <w:rsid w:val="00C45C16"/>
    <w:rsid w:val="00C46F70"/>
    <w:rsid w:val="00C47277"/>
    <w:rsid w:val="00C476D0"/>
    <w:rsid w:val="00C504DB"/>
    <w:rsid w:val="00C50617"/>
    <w:rsid w:val="00C523BA"/>
    <w:rsid w:val="00C525DE"/>
    <w:rsid w:val="00C52E56"/>
    <w:rsid w:val="00C53804"/>
    <w:rsid w:val="00C53F13"/>
    <w:rsid w:val="00C57416"/>
    <w:rsid w:val="00C5752B"/>
    <w:rsid w:val="00C57A80"/>
    <w:rsid w:val="00C60138"/>
    <w:rsid w:val="00C609F6"/>
    <w:rsid w:val="00C61AC1"/>
    <w:rsid w:val="00C6238A"/>
    <w:rsid w:val="00C63A16"/>
    <w:rsid w:val="00C654DA"/>
    <w:rsid w:val="00C671A4"/>
    <w:rsid w:val="00C70417"/>
    <w:rsid w:val="00C71D1F"/>
    <w:rsid w:val="00C72B71"/>
    <w:rsid w:val="00C76D44"/>
    <w:rsid w:val="00C7796F"/>
    <w:rsid w:val="00C803B1"/>
    <w:rsid w:val="00C821F5"/>
    <w:rsid w:val="00C836E3"/>
    <w:rsid w:val="00C8480A"/>
    <w:rsid w:val="00C86136"/>
    <w:rsid w:val="00C86577"/>
    <w:rsid w:val="00C86736"/>
    <w:rsid w:val="00C86996"/>
    <w:rsid w:val="00C86D83"/>
    <w:rsid w:val="00C92E07"/>
    <w:rsid w:val="00C93895"/>
    <w:rsid w:val="00C96868"/>
    <w:rsid w:val="00C97D88"/>
    <w:rsid w:val="00CA0416"/>
    <w:rsid w:val="00CA13BA"/>
    <w:rsid w:val="00CA3849"/>
    <w:rsid w:val="00CA3967"/>
    <w:rsid w:val="00CA46E2"/>
    <w:rsid w:val="00CA4DC8"/>
    <w:rsid w:val="00CA51C3"/>
    <w:rsid w:val="00CA641D"/>
    <w:rsid w:val="00CA64B6"/>
    <w:rsid w:val="00CB0CBA"/>
    <w:rsid w:val="00CB2EF1"/>
    <w:rsid w:val="00CB4B9C"/>
    <w:rsid w:val="00CB4F25"/>
    <w:rsid w:val="00CC10BE"/>
    <w:rsid w:val="00CC560B"/>
    <w:rsid w:val="00CC71C8"/>
    <w:rsid w:val="00CC744B"/>
    <w:rsid w:val="00CC75E2"/>
    <w:rsid w:val="00CD0B11"/>
    <w:rsid w:val="00CD46EB"/>
    <w:rsid w:val="00CD4B50"/>
    <w:rsid w:val="00CD4BD7"/>
    <w:rsid w:val="00CD7C1F"/>
    <w:rsid w:val="00CD7EBF"/>
    <w:rsid w:val="00CE339B"/>
    <w:rsid w:val="00CE58F8"/>
    <w:rsid w:val="00CE7D5F"/>
    <w:rsid w:val="00CF010E"/>
    <w:rsid w:val="00CF1AFA"/>
    <w:rsid w:val="00CF2D5B"/>
    <w:rsid w:val="00CF3F16"/>
    <w:rsid w:val="00D00334"/>
    <w:rsid w:val="00D00C2E"/>
    <w:rsid w:val="00D00CA2"/>
    <w:rsid w:val="00D014D5"/>
    <w:rsid w:val="00D02E18"/>
    <w:rsid w:val="00D056F1"/>
    <w:rsid w:val="00D061A3"/>
    <w:rsid w:val="00D07125"/>
    <w:rsid w:val="00D079CB"/>
    <w:rsid w:val="00D07F48"/>
    <w:rsid w:val="00D10877"/>
    <w:rsid w:val="00D11171"/>
    <w:rsid w:val="00D126DA"/>
    <w:rsid w:val="00D13829"/>
    <w:rsid w:val="00D15C0C"/>
    <w:rsid w:val="00D17F31"/>
    <w:rsid w:val="00D20666"/>
    <w:rsid w:val="00D20721"/>
    <w:rsid w:val="00D20F66"/>
    <w:rsid w:val="00D21889"/>
    <w:rsid w:val="00D21DFB"/>
    <w:rsid w:val="00D22F3C"/>
    <w:rsid w:val="00D23357"/>
    <w:rsid w:val="00D23DB6"/>
    <w:rsid w:val="00D25759"/>
    <w:rsid w:val="00D2645E"/>
    <w:rsid w:val="00D27155"/>
    <w:rsid w:val="00D2768A"/>
    <w:rsid w:val="00D3358A"/>
    <w:rsid w:val="00D34412"/>
    <w:rsid w:val="00D355B9"/>
    <w:rsid w:val="00D35A65"/>
    <w:rsid w:val="00D374F7"/>
    <w:rsid w:val="00D37C7B"/>
    <w:rsid w:val="00D4020F"/>
    <w:rsid w:val="00D405FB"/>
    <w:rsid w:val="00D41D66"/>
    <w:rsid w:val="00D4290A"/>
    <w:rsid w:val="00D43625"/>
    <w:rsid w:val="00D43C1A"/>
    <w:rsid w:val="00D43FE6"/>
    <w:rsid w:val="00D444C0"/>
    <w:rsid w:val="00D4456E"/>
    <w:rsid w:val="00D45911"/>
    <w:rsid w:val="00D46CC8"/>
    <w:rsid w:val="00D474E8"/>
    <w:rsid w:val="00D51586"/>
    <w:rsid w:val="00D51A95"/>
    <w:rsid w:val="00D54706"/>
    <w:rsid w:val="00D56049"/>
    <w:rsid w:val="00D5741F"/>
    <w:rsid w:val="00D6032A"/>
    <w:rsid w:val="00D60568"/>
    <w:rsid w:val="00D606D2"/>
    <w:rsid w:val="00D63C01"/>
    <w:rsid w:val="00D7092C"/>
    <w:rsid w:val="00D70C7A"/>
    <w:rsid w:val="00D734E5"/>
    <w:rsid w:val="00D7440B"/>
    <w:rsid w:val="00D74938"/>
    <w:rsid w:val="00D74E00"/>
    <w:rsid w:val="00D75380"/>
    <w:rsid w:val="00D75447"/>
    <w:rsid w:val="00D76F0A"/>
    <w:rsid w:val="00D76F75"/>
    <w:rsid w:val="00D81D38"/>
    <w:rsid w:val="00D838D3"/>
    <w:rsid w:val="00D851CF"/>
    <w:rsid w:val="00D85934"/>
    <w:rsid w:val="00D85DE9"/>
    <w:rsid w:val="00D85F79"/>
    <w:rsid w:val="00D8618A"/>
    <w:rsid w:val="00D87F1D"/>
    <w:rsid w:val="00D90276"/>
    <w:rsid w:val="00D90921"/>
    <w:rsid w:val="00D929EF"/>
    <w:rsid w:val="00D934C6"/>
    <w:rsid w:val="00D940BF"/>
    <w:rsid w:val="00D94395"/>
    <w:rsid w:val="00D94D0E"/>
    <w:rsid w:val="00D95891"/>
    <w:rsid w:val="00D95CCA"/>
    <w:rsid w:val="00D9620E"/>
    <w:rsid w:val="00DA0166"/>
    <w:rsid w:val="00DA10A8"/>
    <w:rsid w:val="00DA262A"/>
    <w:rsid w:val="00DA2DD8"/>
    <w:rsid w:val="00DA360A"/>
    <w:rsid w:val="00DB0540"/>
    <w:rsid w:val="00DB1E08"/>
    <w:rsid w:val="00DB2973"/>
    <w:rsid w:val="00DB4E31"/>
    <w:rsid w:val="00DB6AB7"/>
    <w:rsid w:val="00DB6BBF"/>
    <w:rsid w:val="00DC022A"/>
    <w:rsid w:val="00DC1B56"/>
    <w:rsid w:val="00DC2129"/>
    <w:rsid w:val="00DC6570"/>
    <w:rsid w:val="00DD0698"/>
    <w:rsid w:val="00DD37FE"/>
    <w:rsid w:val="00DD3C5E"/>
    <w:rsid w:val="00DD7CCF"/>
    <w:rsid w:val="00DE516A"/>
    <w:rsid w:val="00DE6ED0"/>
    <w:rsid w:val="00DE7ACB"/>
    <w:rsid w:val="00DF25C3"/>
    <w:rsid w:val="00DF3C85"/>
    <w:rsid w:val="00DF4F33"/>
    <w:rsid w:val="00E009BB"/>
    <w:rsid w:val="00E02D51"/>
    <w:rsid w:val="00E03889"/>
    <w:rsid w:val="00E04062"/>
    <w:rsid w:val="00E041EE"/>
    <w:rsid w:val="00E063C6"/>
    <w:rsid w:val="00E066BA"/>
    <w:rsid w:val="00E06EC7"/>
    <w:rsid w:val="00E128DE"/>
    <w:rsid w:val="00E16901"/>
    <w:rsid w:val="00E2003B"/>
    <w:rsid w:val="00E202D2"/>
    <w:rsid w:val="00E203C2"/>
    <w:rsid w:val="00E23694"/>
    <w:rsid w:val="00E25ADF"/>
    <w:rsid w:val="00E25F7A"/>
    <w:rsid w:val="00E279D8"/>
    <w:rsid w:val="00E313CB"/>
    <w:rsid w:val="00E319B1"/>
    <w:rsid w:val="00E326E4"/>
    <w:rsid w:val="00E358C1"/>
    <w:rsid w:val="00E35930"/>
    <w:rsid w:val="00E36D1A"/>
    <w:rsid w:val="00E36F0E"/>
    <w:rsid w:val="00E3744A"/>
    <w:rsid w:val="00E40A87"/>
    <w:rsid w:val="00E41003"/>
    <w:rsid w:val="00E41D8B"/>
    <w:rsid w:val="00E43EB9"/>
    <w:rsid w:val="00E44688"/>
    <w:rsid w:val="00E44E0D"/>
    <w:rsid w:val="00E50359"/>
    <w:rsid w:val="00E5492F"/>
    <w:rsid w:val="00E5619C"/>
    <w:rsid w:val="00E57D34"/>
    <w:rsid w:val="00E60D1E"/>
    <w:rsid w:val="00E621FA"/>
    <w:rsid w:val="00E62DEF"/>
    <w:rsid w:val="00E66D1D"/>
    <w:rsid w:val="00E7044E"/>
    <w:rsid w:val="00E70A86"/>
    <w:rsid w:val="00E70FF1"/>
    <w:rsid w:val="00E711A5"/>
    <w:rsid w:val="00E71A29"/>
    <w:rsid w:val="00E71E92"/>
    <w:rsid w:val="00E7242E"/>
    <w:rsid w:val="00E72574"/>
    <w:rsid w:val="00E730D2"/>
    <w:rsid w:val="00E75D66"/>
    <w:rsid w:val="00E76C5E"/>
    <w:rsid w:val="00E774A6"/>
    <w:rsid w:val="00E777EC"/>
    <w:rsid w:val="00E80FCD"/>
    <w:rsid w:val="00E81E04"/>
    <w:rsid w:val="00E82061"/>
    <w:rsid w:val="00E83AA2"/>
    <w:rsid w:val="00E840BF"/>
    <w:rsid w:val="00E849BF"/>
    <w:rsid w:val="00E8610A"/>
    <w:rsid w:val="00E863E7"/>
    <w:rsid w:val="00E87279"/>
    <w:rsid w:val="00E91891"/>
    <w:rsid w:val="00E921F4"/>
    <w:rsid w:val="00E9306A"/>
    <w:rsid w:val="00E95FAC"/>
    <w:rsid w:val="00EA3468"/>
    <w:rsid w:val="00EA4773"/>
    <w:rsid w:val="00EA6CBF"/>
    <w:rsid w:val="00EA7F2F"/>
    <w:rsid w:val="00EB1FD4"/>
    <w:rsid w:val="00EB2B3E"/>
    <w:rsid w:val="00EB5CF3"/>
    <w:rsid w:val="00EB781E"/>
    <w:rsid w:val="00EC00DE"/>
    <w:rsid w:val="00EC0AC3"/>
    <w:rsid w:val="00EC171F"/>
    <w:rsid w:val="00EC1EC9"/>
    <w:rsid w:val="00EC2CEE"/>
    <w:rsid w:val="00EC30E1"/>
    <w:rsid w:val="00EC37BB"/>
    <w:rsid w:val="00EC49AE"/>
    <w:rsid w:val="00EC7502"/>
    <w:rsid w:val="00ED172A"/>
    <w:rsid w:val="00ED35C4"/>
    <w:rsid w:val="00ED3F02"/>
    <w:rsid w:val="00ED4A63"/>
    <w:rsid w:val="00ED5ED4"/>
    <w:rsid w:val="00ED5F51"/>
    <w:rsid w:val="00EE098A"/>
    <w:rsid w:val="00EE2B87"/>
    <w:rsid w:val="00EE4FF7"/>
    <w:rsid w:val="00EE5D7A"/>
    <w:rsid w:val="00EE6635"/>
    <w:rsid w:val="00EF03FD"/>
    <w:rsid w:val="00EF5CF8"/>
    <w:rsid w:val="00EF6C34"/>
    <w:rsid w:val="00F003B6"/>
    <w:rsid w:val="00F00458"/>
    <w:rsid w:val="00F01892"/>
    <w:rsid w:val="00F053D3"/>
    <w:rsid w:val="00F06C88"/>
    <w:rsid w:val="00F10F90"/>
    <w:rsid w:val="00F11F6C"/>
    <w:rsid w:val="00F14036"/>
    <w:rsid w:val="00F14BEC"/>
    <w:rsid w:val="00F20A97"/>
    <w:rsid w:val="00F213F2"/>
    <w:rsid w:val="00F22399"/>
    <w:rsid w:val="00F225C5"/>
    <w:rsid w:val="00F22F4D"/>
    <w:rsid w:val="00F234FD"/>
    <w:rsid w:val="00F2384B"/>
    <w:rsid w:val="00F244E7"/>
    <w:rsid w:val="00F24DA4"/>
    <w:rsid w:val="00F2587A"/>
    <w:rsid w:val="00F273E5"/>
    <w:rsid w:val="00F279DD"/>
    <w:rsid w:val="00F27A63"/>
    <w:rsid w:val="00F27D53"/>
    <w:rsid w:val="00F27E21"/>
    <w:rsid w:val="00F301B3"/>
    <w:rsid w:val="00F31749"/>
    <w:rsid w:val="00F33E17"/>
    <w:rsid w:val="00F3420D"/>
    <w:rsid w:val="00F34404"/>
    <w:rsid w:val="00F362ED"/>
    <w:rsid w:val="00F3715D"/>
    <w:rsid w:val="00F412D2"/>
    <w:rsid w:val="00F412E4"/>
    <w:rsid w:val="00F41CAA"/>
    <w:rsid w:val="00F41CDD"/>
    <w:rsid w:val="00F420C8"/>
    <w:rsid w:val="00F424C2"/>
    <w:rsid w:val="00F4271F"/>
    <w:rsid w:val="00F428F2"/>
    <w:rsid w:val="00F42A4C"/>
    <w:rsid w:val="00F43DAD"/>
    <w:rsid w:val="00F44DEC"/>
    <w:rsid w:val="00F45609"/>
    <w:rsid w:val="00F456B8"/>
    <w:rsid w:val="00F45F1B"/>
    <w:rsid w:val="00F462CD"/>
    <w:rsid w:val="00F5043F"/>
    <w:rsid w:val="00F53A7F"/>
    <w:rsid w:val="00F55020"/>
    <w:rsid w:val="00F5538C"/>
    <w:rsid w:val="00F56EF1"/>
    <w:rsid w:val="00F5724F"/>
    <w:rsid w:val="00F577C2"/>
    <w:rsid w:val="00F604DE"/>
    <w:rsid w:val="00F6112A"/>
    <w:rsid w:val="00F6236E"/>
    <w:rsid w:val="00F638D5"/>
    <w:rsid w:val="00F64137"/>
    <w:rsid w:val="00F66FEB"/>
    <w:rsid w:val="00F67BC7"/>
    <w:rsid w:val="00F70A6C"/>
    <w:rsid w:val="00F72A16"/>
    <w:rsid w:val="00F72B54"/>
    <w:rsid w:val="00F737EE"/>
    <w:rsid w:val="00F739B7"/>
    <w:rsid w:val="00F7605C"/>
    <w:rsid w:val="00F769DB"/>
    <w:rsid w:val="00F76C47"/>
    <w:rsid w:val="00F76FA8"/>
    <w:rsid w:val="00F772A8"/>
    <w:rsid w:val="00F8144D"/>
    <w:rsid w:val="00F81B68"/>
    <w:rsid w:val="00F83695"/>
    <w:rsid w:val="00F83CBA"/>
    <w:rsid w:val="00F83E3D"/>
    <w:rsid w:val="00F863AA"/>
    <w:rsid w:val="00F86BD7"/>
    <w:rsid w:val="00F8740D"/>
    <w:rsid w:val="00F92421"/>
    <w:rsid w:val="00F9253C"/>
    <w:rsid w:val="00F93113"/>
    <w:rsid w:val="00F952B6"/>
    <w:rsid w:val="00F95CEB"/>
    <w:rsid w:val="00FA00BC"/>
    <w:rsid w:val="00FA17F2"/>
    <w:rsid w:val="00FA35A1"/>
    <w:rsid w:val="00FA3E24"/>
    <w:rsid w:val="00FA57D5"/>
    <w:rsid w:val="00FA5D5B"/>
    <w:rsid w:val="00FA68D6"/>
    <w:rsid w:val="00FB07C2"/>
    <w:rsid w:val="00FB1D61"/>
    <w:rsid w:val="00FB1E3F"/>
    <w:rsid w:val="00FB54AB"/>
    <w:rsid w:val="00FB7512"/>
    <w:rsid w:val="00FC04DA"/>
    <w:rsid w:val="00FC413E"/>
    <w:rsid w:val="00FC45AB"/>
    <w:rsid w:val="00FC45D8"/>
    <w:rsid w:val="00FC579A"/>
    <w:rsid w:val="00FC6D8D"/>
    <w:rsid w:val="00FC7088"/>
    <w:rsid w:val="00FC7990"/>
    <w:rsid w:val="00FD13CE"/>
    <w:rsid w:val="00FD65C0"/>
    <w:rsid w:val="00FD7139"/>
    <w:rsid w:val="00FD7547"/>
    <w:rsid w:val="00FD793C"/>
    <w:rsid w:val="00FD7C83"/>
    <w:rsid w:val="00FE0093"/>
    <w:rsid w:val="00FE1831"/>
    <w:rsid w:val="00FE204C"/>
    <w:rsid w:val="00FE2C25"/>
    <w:rsid w:val="00FE446D"/>
    <w:rsid w:val="00FE54EB"/>
    <w:rsid w:val="00FE665B"/>
    <w:rsid w:val="00FE6665"/>
    <w:rsid w:val="00FF0218"/>
    <w:rsid w:val="00FF1D70"/>
    <w:rsid w:val="00FF22A4"/>
    <w:rsid w:val="00FF3A82"/>
    <w:rsid w:val="00FF42B6"/>
    <w:rsid w:val="00FF52F9"/>
    <w:rsid w:val="00FF5F5C"/>
    <w:rsid w:val="00FF6481"/>
    <w:rsid w:val="00FF7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1467D172"/>
  <w15:docId w15:val="{AA85D4B3-222B-4567-BF8F-C6FDB3D8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562"/>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9"/>
    <w:qFormat/>
    <w:rsid w:val="00180C41"/>
    <w:pPr>
      <w:keepNext/>
      <w:spacing w:before="240"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E02D51"/>
    <w:pPr>
      <w:keepNext/>
      <w:numPr>
        <w:ilvl w:val="1"/>
        <w:numId w:val="12"/>
      </w:numPr>
      <w:spacing w:before="240" w:after="240"/>
      <w:outlineLvl w:val="1"/>
    </w:pPr>
    <w:rPr>
      <w:rFonts w:cs="Arial"/>
      <w:b/>
      <w:bCs/>
      <w:sz w:val="28"/>
      <w:szCs w:val="22"/>
      <w:lang w:bidi="ar-SA"/>
    </w:rPr>
  </w:style>
  <w:style w:type="paragraph" w:styleId="Heading3">
    <w:name w:val="heading 3"/>
    <w:aliases w:val="FSHeading 3,Subheading 1"/>
    <w:basedOn w:val="Normal"/>
    <w:next w:val="Normal"/>
    <w:link w:val="Heading3Char"/>
    <w:autoRedefine/>
    <w:uiPriority w:val="9"/>
    <w:unhideWhenUsed/>
    <w:qFormat/>
    <w:rsid w:val="00E02D51"/>
    <w:pPr>
      <w:keepNext/>
      <w:spacing w:before="240" w:after="240"/>
      <w:ind w:left="851" w:hanging="851"/>
      <w:outlineLvl w:val="2"/>
    </w:pPr>
    <w:rPr>
      <w:b/>
      <w:bCs/>
      <w:color w:val="000000" w:themeColor="text1"/>
      <w:lang w:eastAsia="en-AU" w:bidi="ar-SA"/>
    </w:rPr>
  </w:style>
  <w:style w:type="paragraph" w:styleId="Heading4">
    <w:name w:val="heading 4"/>
    <w:aliases w:val="FSHeading 4,Subheading 2"/>
    <w:basedOn w:val="Normal"/>
    <w:next w:val="Normal"/>
    <w:link w:val="Heading4Char"/>
    <w:uiPriority w:val="9"/>
    <w:unhideWhenUsed/>
    <w:qFormat/>
    <w:rsid w:val="007C174F"/>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9"/>
    <w:unhideWhenUsed/>
    <w:qFormat/>
    <w:rsid w:val="007C174F"/>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180C41"/>
    <w:rPr>
      <w:rFonts w:ascii="Arial" w:hAnsi="Arial"/>
      <w:b/>
      <w:bCs/>
      <w:sz w:val="36"/>
      <w:szCs w:val="28"/>
      <w:lang w:eastAsia="en-US"/>
    </w:rPr>
  </w:style>
  <w:style w:type="character" w:customStyle="1" w:styleId="Heading2Char">
    <w:name w:val="Heading 2 Char"/>
    <w:aliases w:val="FSHeading 2 Char,Section heading Char"/>
    <w:link w:val="Heading2"/>
    <w:uiPriority w:val="9"/>
    <w:rsid w:val="00E02D51"/>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E02D51"/>
    <w:rPr>
      <w:rFonts w:ascii="Arial" w:hAnsi="Arial"/>
      <w:b/>
      <w:bCs/>
      <w:color w:val="000000" w:themeColor="text1"/>
      <w:sz w:val="22"/>
      <w:szCs w:val="24"/>
      <w:lang w:eastAsia="en-AU"/>
    </w:rPr>
  </w:style>
  <w:style w:type="character" w:customStyle="1" w:styleId="Heading4Char">
    <w:name w:val="Heading 4 Char"/>
    <w:aliases w:val="FSHeading 4 Char,Subheading 2 Char"/>
    <w:link w:val="Heading4"/>
    <w:uiPriority w:val="9"/>
    <w:rsid w:val="007C174F"/>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7C174F"/>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basedOn w:val="Normal"/>
    <w:link w:val="HeaderChar"/>
    <w:rsid w:val="00E777EC"/>
  </w:style>
  <w:style w:type="paragraph" w:customStyle="1" w:styleId="FSTitle">
    <w:name w:val="FS Title"/>
    <w:basedOn w:val="Normal"/>
    <w:qFormat/>
    <w:rsid w:val="00690206"/>
    <w:rPr>
      <w:rFonts w:cs="Tahoma"/>
      <w:bCs/>
      <w:sz w:val="32"/>
    </w:rPr>
  </w:style>
  <w:style w:type="paragraph" w:customStyle="1" w:styleId="FSCbaseheading">
    <w:name w:val="FSC_base_heading"/>
    <w:rsid w:val="00796562"/>
    <w:pPr>
      <w:keepNext/>
      <w:keepLines/>
      <w:spacing w:before="360"/>
      <w:ind w:left="2835" w:hanging="2835"/>
    </w:pPr>
    <w:rPr>
      <w:rFonts w:ascii="Arial" w:hAnsi="Arial" w:cs="Arial"/>
      <w:b/>
      <w:bCs/>
      <w:kern w:val="32"/>
      <w:sz w:val="24"/>
      <w:szCs w:val="32"/>
      <w:lang w:eastAsia="en-AU"/>
    </w:rPr>
  </w:style>
  <w:style w:type="paragraph" w:styleId="TOC1">
    <w:name w:val="toc 1"/>
    <w:basedOn w:val="Normal"/>
    <w:next w:val="Normal"/>
    <w:autoRedefine/>
    <w:uiPriority w:val="39"/>
    <w:rsid w:val="00B25F37"/>
    <w:pPr>
      <w:spacing w:before="120" w:after="120"/>
    </w:pPr>
    <w:rPr>
      <w:rFonts w:asciiTheme="minorHAnsi" w:hAnsi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smallCaps/>
      <w:sz w:val="20"/>
      <w:szCs w:val="20"/>
    </w:rPr>
  </w:style>
  <w:style w:type="paragraph" w:styleId="Footer">
    <w:name w:val="footer"/>
    <w:basedOn w:val="Normal"/>
    <w:rsid w:val="00690206"/>
    <w:pPr>
      <w:tabs>
        <w:tab w:val="center" w:pos="4153"/>
        <w:tab w:val="right" w:pos="8306"/>
      </w:tabs>
    </w:pPr>
    <w:rPr>
      <w:sz w:val="20"/>
    </w:rPr>
  </w:style>
  <w:style w:type="character" w:styleId="PageNumber">
    <w:name w:val="page number"/>
    <w:basedOn w:val="DefaultParagraphFont"/>
    <w:rsid w:val="006A48A7"/>
    <w:rPr>
      <w:rFonts w:ascii="Arial" w:hAnsi="Arial"/>
    </w:rPr>
  </w:style>
  <w:style w:type="paragraph" w:styleId="TOC3">
    <w:name w:val="toc 3"/>
    <w:basedOn w:val="Normal"/>
    <w:next w:val="Normal"/>
    <w:autoRedefine/>
    <w:uiPriority w:val="39"/>
    <w:pPr>
      <w:ind w:left="440"/>
    </w:pPr>
    <w:rPr>
      <w:rFonts w:asciiTheme="minorHAnsi" w:hAnsiTheme="minorHAnsi"/>
      <w:i/>
      <w:iCs/>
      <w:sz w:val="20"/>
      <w:szCs w:val="20"/>
    </w:rPr>
  </w:style>
  <w:style w:type="paragraph" w:styleId="TOC4">
    <w:name w:val="toc 4"/>
    <w:basedOn w:val="Normal"/>
    <w:next w:val="Normal"/>
    <w:autoRedefine/>
    <w:semiHidden/>
    <w:pPr>
      <w:ind w:left="660"/>
    </w:pPr>
    <w:rPr>
      <w:rFonts w:asciiTheme="minorHAnsi" w:hAnsiTheme="minorHAnsi"/>
      <w:sz w:val="18"/>
      <w:szCs w:val="18"/>
    </w:rPr>
  </w:style>
  <w:style w:type="paragraph" w:styleId="TOC5">
    <w:name w:val="toc 5"/>
    <w:basedOn w:val="Normal"/>
    <w:next w:val="Normal"/>
    <w:autoRedefine/>
    <w:semiHidden/>
    <w:pPr>
      <w:ind w:left="880"/>
    </w:pPr>
    <w:rPr>
      <w:rFonts w:asciiTheme="minorHAnsi" w:hAnsi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sz w:val="18"/>
      <w:szCs w:val="18"/>
    </w:rPr>
  </w:style>
  <w:style w:type="paragraph" w:customStyle="1" w:styleId="FSCbasepara">
    <w:name w:val="FSC_base_para"/>
    <w:rsid w:val="00796562"/>
    <w:pPr>
      <w:keepLines/>
      <w:spacing w:before="120"/>
      <w:ind w:left="1701" w:hanging="1701"/>
    </w:pPr>
    <w:rPr>
      <w:rFonts w:ascii="Arial" w:hAnsi="Arial" w:cs="Arial"/>
      <w:iCs/>
      <w:szCs w:val="22"/>
      <w:lang w:eastAsia="en-AU"/>
    </w:rPr>
  </w:style>
  <w:style w:type="paragraph" w:customStyle="1" w:styleId="FSCbasetbl">
    <w:name w:val="FSC_base_tbl"/>
    <w:basedOn w:val="FSCbasepara"/>
    <w:rsid w:val="00796562"/>
    <w:pPr>
      <w:spacing w:before="60" w:after="60"/>
      <w:ind w:left="0" w:firstLine="0"/>
    </w:pPr>
    <w:rPr>
      <w:sz w:val="18"/>
    </w:rPr>
  </w:style>
  <w:style w:type="paragraph" w:customStyle="1" w:styleId="FSCbaseTOC">
    <w:name w:val="FSC_base_TOC"/>
    <w:rsid w:val="00796562"/>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rsid w:val="00796562"/>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796562"/>
    <w:pPr>
      <w:spacing w:before="120" w:after="120"/>
      <w:ind w:left="851" w:hanging="851"/>
    </w:pPr>
    <w:rPr>
      <w:b/>
      <w:sz w:val="20"/>
      <w:szCs w:val="20"/>
      <w:lang w:bidi="ar-SA"/>
    </w:rPr>
  </w:style>
  <w:style w:type="paragraph" w:customStyle="1" w:styleId="FSCfooter">
    <w:name w:val="FSC_footer"/>
    <w:basedOn w:val="Normal"/>
    <w:rsid w:val="00796562"/>
    <w:pPr>
      <w:widowControl/>
      <w:tabs>
        <w:tab w:val="center" w:pos="4536"/>
        <w:tab w:val="right" w:pos="9072"/>
      </w:tabs>
    </w:pPr>
    <w:rPr>
      <w:sz w:val="18"/>
      <w:szCs w:val="20"/>
      <w:lang w:bidi="ar-SA"/>
    </w:rPr>
  </w:style>
  <w:style w:type="paragraph" w:customStyle="1" w:styleId="FSCh1Chap">
    <w:name w:val="FSC_h1_Chap"/>
    <w:basedOn w:val="FSCbaseheading"/>
    <w:next w:val="Normal"/>
    <w:qFormat/>
    <w:rsid w:val="00796562"/>
    <w:pPr>
      <w:spacing w:before="0" w:after="240"/>
      <w:outlineLvl w:val="0"/>
    </w:pPr>
    <w:rPr>
      <w:bCs w:val="0"/>
      <w:sz w:val="40"/>
    </w:rPr>
  </w:style>
  <w:style w:type="paragraph" w:customStyle="1" w:styleId="FSCh2Part">
    <w:name w:val="FSC_h2_Part"/>
    <w:basedOn w:val="FSCbaseheading"/>
    <w:next w:val="Normal"/>
    <w:qFormat/>
    <w:rsid w:val="00796562"/>
    <w:pPr>
      <w:spacing w:before="240" w:after="240"/>
      <w:outlineLvl w:val="1"/>
    </w:pPr>
    <w:rPr>
      <w:bCs w:val="0"/>
      <w:sz w:val="36"/>
      <w:szCs w:val="22"/>
    </w:rPr>
  </w:style>
  <w:style w:type="paragraph" w:customStyle="1" w:styleId="FSCh3Standard">
    <w:name w:val="FSC_h3_Standard"/>
    <w:basedOn w:val="FSCbaseheading"/>
    <w:next w:val="Normal"/>
    <w:qFormat/>
    <w:rsid w:val="00796562"/>
    <w:pPr>
      <w:spacing w:before="0" w:after="240"/>
      <w:outlineLvl w:val="2"/>
    </w:pPr>
    <w:rPr>
      <w:sz w:val="32"/>
    </w:rPr>
  </w:style>
  <w:style w:type="paragraph" w:customStyle="1" w:styleId="FSCh3Contents">
    <w:name w:val="FSC_h3_Contents"/>
    <w:basedOn w:val="FSCh3Standard"/>
    <w:rsid w:val="00796562"/>
    <w:pPr>
      <w:ind w:left="0" w:firstLine="0"/>
      <w:jc w:val="center"/>
    </w:pPr>
  </w:style>
  <w:style w:type="paragraph" w:customStyle="1" w:styleId="FSCh4Div">
    <w:name w:val="FSC_h4_Div"/>
    <w:basedOn w:val="FSCbaseheading"/>
    <w:next w:val="Normal"/>
    <w:qFormat/>
    <w:rsid w:val="00796562"/>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796562"/>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Normal"/>
    <w:qFormat/>
    <w:rsid w:val="00796562"/>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Normal"/>
    <w:qFormat/>
    <w:rsid w:val="00796562"/>
    <w:pPr>
      <w:keepLines w:val="0"/>
      <w:widowControl w:val="0"/>
      <w:spacing w:before="120" w:after="60"/>
      <w:ind w:left="1701" w:firstLine="0"/>
    </w:pPr>
    <w:rPr>
      <w:b w:val="0"/>
      <w:i/>
      <w:sz w:val="20"/>
    </w:rPr>
  </w:style>
  <w:style w:type="paragraph" w:customStyle="1" w:styleId="Footnote">
    <w:name w:val="Footnote"/>
    <w:basedOn w:val="Normal"/>
    <w:pPr>
      <w:tabs>
        <w:tab w:val="left" w:pos="851"/>
      </w:tabs>
    </w:pPr>
    <w:rPr>
      <w:sz w:val="20"/>
      <w:szCs w:val="20"/>
    </w:rPr>
  </w:style>
  <w:style w:type="paragraph" w:styleId="TOC7">
    <w:name w:val="toc 7"/>
    <w:basedOn w:val="Normal"/>
    <w:next w:val="Normal"/>
    <w:autoRedefine/>
    <w:semiHidden/>
    <w:pPr>
      <w:ind w:left="1320"/>
    </w:pPr>
    <w:rPr>
      <w:rFonts w:asciiTheme="minorHAnsi" w:hAnsiTheme="minorHAnsi"/>
      <w:sz w:val="18"/>
      <w:szCs w:val="18"/>
    </w:rPr>
  </w:style>
  <w:style w:type="paragraph" w:styleId="TOC8">
    <w:name w:val="toc 8"/>
    <w:basedOn w:val="Normal"/>
    <w:next w:val="Normal"/>
    <w:autoRedefine/>
    <w:semiHidden/>
    <w:pPr>
      <w:ind w:left="1540"/>
    </w:pPr>
    <w:rPr>
      <w:rFonts w:asciiTheme="minorHAnsi" w:hAnsiTheme="minorHAnsi"/>
      <w:sz w:val="18"/>
      <w:szCs w:val="18"/>
    </w:rPr>
  </w:style>
  <w:style w:type="paragraph" w:styleId="TOC9">
    <w:name w:val="toc 9"/>
    <w:basedOn w:val="Normal"/>
    <w:next w:val="Normal"/>
    <w:autoRedefine/>
    <w:semiHidden/>
    <w:pPr>
      <w:ind w:left="1760"/>
    </w:pPr>
    <w:rPr>
      <w:rFonts w:asciiTheme="minorHAnsi" w:hAnsiTheme="minorHAnsi"/>
      <w:sz w:val="18"/>
      <w:szCs w:val="18"/>
    </w:rPr>
  </w:style>
  <w:style w:type="paragraph" w:styleId="FootnoteText">
    <w:name w:val="footnote text"/>
    <w:aliases w:val="Footnotes Text,FSFootnotes Text"/>
    <w:basedOn w:val="Normal"/>
    <w:link w:val="FootnoteTextChar"/>
    <w:qFormat/>
    <w:rPr>
      <w:sz w:val="20"/>
      <w:szCs w:val="20"/>
    </w:rPr>
  </w:style>
  <w:style w:type="character" w:styleId="FootnoteReference">
    <w:name w:val="footnote reference"/>
    <w:basedOn w:val="DefaultParagraphFont"/>
    <w:rPr>
      <w:vertAlign w:val="superscript"/>
    </w:r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unhideWhenUsed/>
    <w:qFormat/>
    <w:rsid w:val="002A3314"/>
    <w:pPr>
      <w:jc w:val="center"/>
      <w:outlineLvl w:val="9"/>
    </w:pPr>
  </w:style>
  <w:style w:type="paragraph" w:customStyle="1" w:styleId="FSCtMain">
    <w:name w:val="FSC_t_Main"/>
    <w:basedOn w:val="FSCbasepara"/>
    <w:rsid w:val="00796562"/>
    <w:pPr>
      <w:keepLines w:val="0"/>
      <w:widowControl w:val="0"/>
      <w:tabs>
        <w:tab w:val="left" w:pos="1134"/>
      </w:tabs>
      <w:spacing w:after="120"/>
    </w:pPr>
  </w:style>
  <w:style w:type="paragraph" w:customStyle="1" w:styleId="FSCnatHeading">
    <w:name w:val="FSC_n_at_Heading"/>
    <w:basedOn w:val="FSCtMain"/>
    <w:qFormat/>
    <w:rsid w:val="00796562"/>
    <w:pPr>
      <w:ind w:left="851" w:hanging="851"/>
    </w:pPr>
    <w:rPr>
      <w:sz w:val="16"/>
    </w:r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character" w:styleId="CommentReference">
    <w:name w:val="annotation reference"/>
    <w:basedOn w:val="DefaultParagraphFont"/>
    <w:uiPriority w:val="99"/>
    <w:rsid w:val="00AF387F"/>
    <w:rPr>
      <w:sz w:val="16"/>
      <w:szCs w:val="16"/>
    </w:rPr>
  </w:style>
  <w:style w:type="paragraph" w:customStyle="1" w:styleId="FSCtPara">
    <w:name w:val="FSC_t_Para"/>
    <w:basedOn w:val="FSCtMain"/>
    <w:qFormat/>
    <w:rsid w:val="00796562"/>
    <w:pPr>
      <w:tabs>
        <w:tab w:val="clear" w:pos="1134"/>
        <w:tab w:val="left" w:pos="1701"/>
      </w:tabs>
      <w:spacing w:before="60" w:after="60"/>
      <w:ind w:left="2268" w:hanging="2268"/>
    </w:pPr>
  </w:style>
  <w:style w:type="paragraph" w:customStyle="1" w:styleId="FSCnMain">
    <w:name w:val="FSC_n_Main"/>
    <w:basedOn w:val="FSCtPara"/>
    <w:qFormat/>
    <w:rsid w:val="00796562"/>
    <w:rPr>
      <w:iCs w:val="0"/>
      <w:sz w:val="16"/>
      <w:szCs w:val="18"/>
    </w:rPr>
  </w:style>
  <w:style w:type="paragraph" w:customStyle="1" w:styleId="FSCtSubpara">
    <w:name w:val="FSC_t_Subpara"/>
    <w:basedOn w:val="FSCtMain"/>
    <w:qFormat/>
    <w:rsid w:val="00796562"/>
    <w:pPr>
      <w:tabs>
        <w:tab w:val="clear" w:pos="1134"/>
        <w:tab w:val="left" w:pos="2268"/>
      </w:tabs>
      <w:spacing w:before="60" w:after="60"/>
      <w:ind w:left="2835" w:hanging="2835"/>
    </w:pPr>
  </w:style>
  <w:style w:type="paragraph" w:customStyle="1" w:styleId="FSCnPara">
    <w:name w:val="FSC_n_Para"/>
    <w:basedOn w:val="FSCtSubpara"/>
    <w:qFormat/>
    <w:rsid w:val="00796562"/>
    <w:rPr>
      <w:sz w:val="16"/>
    </w:rPr>
  </w:style>
  <w:style w:type="paragraph" w:customStyle="1" w:styleId="FSCtSubsub">
    <w:name w:val="FSC_t_Subsub"/>
    <w:basedOn w:val="FSCtPara"/>
    <w:qFormat/>
    <w:rsid w:val="00796562"/>
    <w:pPr>
      <w:tabs>
        <w:tab w:val="clear" w:pos="1701"/>
        <w:tab w:val="left" w:pos="2835"/>
      </w:tabs>
      <w:ind w:left="3402" w:hanging="3402"/>
    </w:pPr>
  </w:style>
  <w:style w:type="paragraph" w:customStyle="1" w:styleId="FSCnSubpara">
    <w:name w:val="FSC_n_Subpara"/>
    <w:basedOn w:val="FSCtSubsub"/>
    <w:qFormat/>
    <w:rsid w:val="00796562"/>
    <w:rPr>
      <w:sz w:val="16"/>
    </w:rPr>
  </w:style>
  <w:style w:type="paragraph" w:customStyle="1" w:styleId="FSBullet1">
    <w:name w:val="FSBullet 1"/>
    <w:basedOn w:val="Normal"/>
    <w:next w:val="Normal"/>
    <w:link w:val="FSBullet1Char"/>
    <w:qFormat/>
    <w:rsid w:val="0029631C"/>
    <w:pPr>
      <w:widowControl/>
      <w:numPr>
        <w:numId w:val="1"/>
      </w:numPr>
      <w:ind w:left="567" w:hanging="567"/>
    </w:pPr>
    <w:rPr>
      <w:rFonts w:cs="Arial"/>
      <w:lang w:bidi="ar-SA"/>
    </w:rPr>
  </w:style>
  <w:style w:type="character" w:customStyle="1" w:styleId="FSBullet1Char">
    <w:name w:val="FSBullet 1 Char"/>
    <w:link w:val="FSBullet1"/>
    <w:rsid w:val="0029631C"/>
    <w:rPr>
      <w:rFonts w:ascii="Arial" w:hAnsi="Arial" w:cs="Arial"/>
      <w:sz w:val="22"/>
      <w:szCs w:val="24"/>
      <w:lang w:eastAsia="en-US"/>
    </w:rPr>
  </w:style>
  <w:style w:type="paragraph" w:customStyle="1" w:styleId="FSBullet2">
    <w:name w:val="FSBullet 2"/>
    <w:basedOn w:val="Normal"/>
    <w:qFormat/>
    <w:rsid w:val="0029631C"/>
    <w:pPr>
      <w:widowControl/>
      <w:numPr>
        <w:numId w:val="2"/>
      </w:numPr>
      <w:ind w:left="1134" w:hanging="567"/>
    </w:pPr>
    <w:rPr>
      <w:rFonts w:eastAsia="Calibri"/>
      <w:szCs w:val="22"/>
      <w:lang w:bidi="ar-SA"/>
    </w:rPr>
  </w:style>
  <w:style w:type="paragraph" w:customStyle="1" w:styleId="FSBullet3">
    <w:name w:val="FSBullet 3"/>
    <w:basedOn w:val="Normal"/>
    <w:qFormat/>
    <w:rsid w:val="0029631C"/>
    <w:pPr>
      <w:keepNext/>
      <w:widowControl/>
      <w:numPr>
        <w:numId w:val="3"/>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7D03EA"/>
    <w:rPr>
      <w:rFonts w:ascii="Arial" w:hAnsi="Arial"/>
      <w:sz w:val="22"/>
      <w:szCs w:val="24"/>
      <w:lang w:eastAsia="en-US" w:bidi="en-US"/>
    </w:rPr>
  </w:style>
  <w:style w:type="paragraph" w:customStyle="1" w:styleId="FSCnSubsub">
    <w:name w:val="FSC_n_Subsub"/>
    <w:basedOn w:val="FSCnSubpara"/>
    <w:qFormat/>
    <w:rsid w:val="00796562"/>
    <w:pPr>
      <w:tabs>
        <w:tab w:val="clear" w:pos="2835"/>
        <w:tab w:val="left" w:pos="3402"/>
      </w:tabs>
      <w:ind w:left="3969" w:hanging="3969"/>
    </w:pPr>
  </w:style>
  <w:style w:type="paragraph" w:customStyle="1" w:styleId="FSCoContents">
    <w:name w:val="FSC_o_Contents"/>
    <w:basedOn w:val="FSCh2Part"/>
    <w:rsid w:val="00796562"/>
    <w:pPr>
      <w:ind w:left="0" w:firstLine="0"/>
      <w:jc w:val="center"/>
    </w:pPr>
  </w:style>
  <w:style w:type="paragraph" w:customStyle="1" w:styleId="FSCoDraftstrip">
    <w:name w:val="FSC_o_Draft_strip"/>
    <w:basedOn w:val="Normal"/>
    <w:rsid w:val="00796562"/>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796562"/>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796562"/>
    <w:pPr>
      <w:widowControl/>
      <w:spacing w:before="80"/>
    </w:pPr>
    <w:rPr>
      <w:color w:val="7030A0"/>
      <w:lang w:eastAsia="en-AU" w:bidi="ar-SA"/>
    </w:rPr>
  </w:style>
  <w:style w:type="paragraph" w:customStyle="1" w:styleId="FSCoFooter">
    <w:name w:val="FSC_o_Footer"/>
    <w:basedOn w:val="Normal"/>
    <w:rsid w:val="00796562"/>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796562"/>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796562"/>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796562"/>
    <w:rPr>
      <w:rFonts w:ascii="Arial" w:hAnsi="Arial"/>
      <w:b/>
      <w:noProof/>
      <w:szCs w:val="24"/>
      <w:lang w:eastAsia="en-AU"/>
    </w:rPr>
  </w:style>
  <w:style w:type="paragraph" w:customStyle="1" w:styleId="FSCoParaMark">
    <w:name w:val="FSC_o_Para_Mark"/>
    <w:basedOn w:val="Normal"/>
    <w:next w:val="Normal"/>
    <w:qFormat/>
    <w:rsid w:val="00796562"/>
    <w:pPr>
      <w:widowControl/>
    </w:pPr>
    <w:rPr>
      <w:sz w:val="16"/>
      <w:lang w:eastAsia="en-AU" w:bidi="ar-SA"/>
    </w:rPr>
  </w:style>
  <w:style w:type="paragraph" w:customStyle="1" w:styleId="FSCoStandardEnd">
    <w:name w:val="FSC_o_Standard_End"/>
    <w:basedOn w:val="FSCtMain"/>
    <w:qFormat/>
    <w:rsid w:val="00796562"/>
    <w:pPr>
      <w:spacing w:before="240" w:after="0"/>
      <w:jc w:val="center"/>
    </w:pPr>
    <w:rPr>
      <w:iCs w:val="0"/>
    </w:rPr>
  </w:style>
  <w:style w:type="paragraph" w:customStyle="1" w:styleId="FSCoTitleofInstrument">
    <w:name w:val="FSC_o_Title_of_Instrument"/>
    <w:basedOn w:val="Normal"/>
    <w:rsid w:val="00796562"/>
    <w:pPr>
      <w:widowControl/>
      <w:spacing w:before="200"/>
    </w:pPr>
    <w:rPr>
      <w:b/>
      <w:sz w:val="32"/>
      <w:lang w:eastAsia="en-AU" w:bidi="ar-SA"/>
    </w:rPr>
  </w:style>
  <w:style w:type="paragraph" w:customStyle="1" w:styleId="FSCoutChap">
    <w:name w:val="FSC_out_Chap"/>
    <w:basedOn w:val="FSCh4Div"/>
    <w:qFormat/>
    <w:rsid w:val="00796562"/>
    <w:pPr>
      <w:tabs>
        <w:tab w:val="left" w:pos="1701"/>
      </w:tabs>
      <w:spacing w:after="120"/>
      <w:ind w:left="3402" w:hanging="3402"/>
    </w:pPr>
  </w:style>
  <w:style w:type="paragraph" w:customStyle="1" w:styleId="FSCoutPart">
    <w:name w:val="FSC_out_Part"/>
    <w:basedOn w:val="FSCh5Section"/>
    <w:qFormat/>
    <w:rsid w:val="00796562"/>
    <w:pPr>
      <w:keepNext w:val="0"/>
      <w:tabs>
        <w:tab w:val="left" w:pos="1701"/>
      </w:tabs>
      <w:ind w:left="3402" w:hanging="3402"/>
    </w:pPr>
  </w:style>
  <w:style w:type="paragraph" w:customStyle="1" w:styleId="FSCoutStand">
    <w:name w:val="FSC_out_Stand"/>
    <w:basedOn w:val="FSCtMain"/>
    <w:qFormat/>
    <w:rsid w:val="00796562"/>
    <w:pPr>
      <w:tabs>
        <w:tab w:val="clear" w:pos="1134"/>
        <w:tab w:val="left" w:pos="1701"/>
      </w:tabs>
      <w:ind w:left="3402" w:hanging="3402"/>
    </w:pPr>
  </w:style>
  <w:style w:type="paragraph" w:customStyle="1" w:styleId="FSCtDefn">
    <w:name w:val="FSC_t_Defn"/>
    <w:basedOn w:val="FSCtMain"/>
    <w:rsid w:val="00796562"/>
    <w:pPr>
      <w:ind w:firstLine="0"/>
    </w:pPr>
  </w:style>
  <w:style w:type="paragraph" w:customStyle="1" w:styleId="FSCtblAddh1">
    <w:name w:val="FSC_tbl_Add_h1"/>
    <w:basedOn w:val="FSCh4Div"/>
    <w:rsid w:val="00796562"/>
    <w:pPr>
      <w:spacing w:before="120" w:after="120"/>
    </w:pPr>
    <w:rPr>
      <w:rFonts w:eastAsiaTheme="minorHAnsi"/>
      <w:sz w:val="20"/>
      <w:lang w:eastAsia="en-US"/>
    </w:rPr>
  </w:style>
  <w:style w:type="paragraph" w:customStyle="1" w:styleId="FSCtblAddh2">
    <w:name w:val="FSC_tbl_Add_h2"/>
    <w:basedOn w:val="FSCtblAddh1"/>
    <w:rsid w:val="00796562"/>
    <w:pPr>
      <w:spacing w:before="60" w:after="60"/>
    </w:pPr>
    <w:rPr>
      <w:i/>
    </w:rPr>
  </w:style>
  <w:style w:type="paragraph" w:customStyle="1" w:styleId="FSCtblAddh3">
    <w:name w:val="FSC_tbl_Add_h3"/>
    <w:basedOn w:val="Normal"/>
    <w:rsid w:val="00796562"/>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796562"/>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796562"/>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796562"/>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796562"/>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796562"/>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796562"/>
    <w:pPr>
      <w:widowControl/>
      <w:ind w:left="113" w:hanging="113"/>
    </w:pPr>
    <w:rPr>
      <w:bCs/>
      <w:sz w:val="16"/>
      <w:szCs w:val="20"/>
      <w:lang w:bidi="ar-SA"/>
    </w:rPr>
  </w:style>
  <w:style w:type="paragraph" w:customStyle="1" w:styleId="FSCtblh2">
    <w:name w:val="FSC_tbl_h2"/>
    <w:basedOn w:val="Normal"/>
    <w:qFormat/>
    <w:rsid w:val="00796562"/>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796562"/>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796562"/>
    <w:pPr>
      <w:keepNext/>
      <w:keepLines/>
      <w:widowControl/>
      <w:spacing w:before="60" w:after="60"/>
    </w:pPr>
    <w:rPr>
      <w:rFonts w:cs="Arial"/>
      <w:i/>
      <w:sz w:val="18"/>
      <w:szCs w:val="22"/>
      <w:lang w:eastAsia="en-AU" w:bidi="ar-SA"/>
    </w:rPr>
  </w:style>
  <w:style w:type="paragraph" w:customStyle="1" w:styleId="FSCtblMain">
    <w:name w:val="FSC_tbl_Main"/>
    <w:basedOn w:val="Normal"/>
    <w:rsid w:val="00796562"/>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796562"/>
    <w:pPr>
      <w:jc w:val="center"/>
    </w:pPr>
    <w:rPr>
      <w:rFonts w:eastAsiaTheme="minorHAnsi"/>
      <w:lang w:eastAsia="en-US"/>
    </w:rPr>
  </w:style>
  <w:style w:type="paragraph" w:customStyle="1" w:styleId="FSCtblMainRH">
    <w:name w:val="FSC_tbl_Main_RH"/>
    <w:basedOn w:val="FSCtblMain"/>
    <w:qFormat/>
    <w:rsid w:val="00796562"/>
    <w:pPr>
      <w:jc w:val="right"/>
    </w:pPr>
    <w:rPr>
      <w:rFonts w:eastAsiaTheme="minorHAnsi"/>
      <w:lang w:eastAsia="en-US"/>
    </w:rPr>
  </w:style>
  <w:style w:type="paragraph" w:customStyle="1" w:styleId="FSCtblMRL1">
    <w:name w:val="FSC_tbl_MRL1"/>
    <w:basedOn w:val="Normal"/>
    <w:rsid w:val="00796562"/>
    <w:pPr>
      <w:keepLines/>
      <w:widowControl/>
      <w:spacing w:before="20" w:after="20"/>
    </w:pPr>
    <w:rPr>
      <w:rFonts w:cs="Arial"/>
      <w:sz w:val="18"/>
      <w:szCs w:val="20"/>
      <w:lang w:eastAsia="en-AU" w:bidi="ar-SA"/>
    </w:rPr>
  </w:style>
  <w:style w:type="paragraph" w:customStyle="1" w:styleId="FSCtblMRL2">
    <w:name w:val="FSC_tbl_MRL2"/>
    <w:basedOn w:val="FSCtblMRL1"/>
    <w:qFormat/>
    <w:rsid w:val="00796562"/>
    <w:pPr>
      <w:jc w:val="right"/>
    </w:pPr>
    <w:rPr>
      <w:rFonts w:eastAsiaTheme="minorHAnsi"/>
      <w:lang w:eastAsia="en-US"/>
    </w:rPr>
  </w:style>
  <w:style w:type="paragraph" w:customStyle="1" w:styleId="FSCtblPara">
    <w:name w:val="FSC_tbl_Para"/>
    <w:basedOn w:val="Normal"/>
    <w:rsid w:val="00796562"/>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796562"/>
    <w:pPr>
      <w:keepLines/>
      <w:widowControl/>
      <w:spacing w:before="60" w:after="60"/>
      <w:ind w:left="794" w:hanging="397"/>
    </w:pPr>
    <w:rPr>
      <w:rFonts w:cs="Arial"/>
      <w:sz w:val="18"/>
      <w:szCs w:val="22"/>
      <w:lang w:eastAsia="en-AU" w:bidi="ar-SA"/>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Arial" w:hAnsi="Arial"/>
      <w:lang w:eastAsia="en-US" w:bidi="en-US"/>
    </w:rPr>
  </w:style>
  <w:style w:type="paragraph" w:customStyle="1" w:styleId="FSTableFigureHeading">
    <w:name w:val="FSTable/Figure Heading"/>
    <w:basedOn w:val="Normal"/>
    <w:uiPriority w:val="7"/>
    <w:qFormat/>
    <w:locked/>
    <w:rsid w:val="00943001"/>
    <w:pPr>
      <w:widowControl/>
      <w:spacing w:before="120" w:after="120"/>
      <w:ind w:left="1134" w:hanging="1134"/>
    </w:pPr>
    <w:rPr>
      <w:rFonts w:eastAsiaTheme="minorHAnsi" w:cs="Arial"/>
      <w:b/>
      <w:i/>
      <w:color w:val="2E3037"/>
      <w:szCs w:val="22"/>
      <w:lang w:val="en-AU" w:bidi="ar-SA"/>
    </w:rPr>
  </w:style>
  <w:style w:type="table" w:customStyle="1" w:styleId="Table">
    <w:name w:val="Table"/>
    <w:basedOn w:val="TableNormal"/>
    <w:uiPriority w:val="99"/>
    <w:rsid w:val="00943001"/>
    <w:pPr>
      <w:spacing w:before="120" w:after="120"/>
      <w:ind w:left="113"/>
    </w:pPr>
    <w:rPr>
      <w:rFonts w:ascii="Arial" w:eastAsiaTheme="minorHAnsi" w:hAnsi="Arial" w:cstheme="minorBidi"/>
      <w:color w:val="2E3037"/>
      <w:szCs w:val="22"/>
      <w:lang w:val="en-AU" w:eastAsia="en-US"/>
    </w:rPr>
    <w:tblPr>
      <w:tblStyleRowBandSize w:val="1"/>
      <w:tblStyleColBandSize w:val="1"/>
      <w:tblBorders>
        <w:bottom w:val="single" w:sz="4" w:space="0" w:color="F3F3F3"/>
      </w:tblBorders>
    </w:tblPr>
    <w:tblStylePr w:type="firstRow">
      <w:pPr>
        <w:wordWrap/>
        <w:spacing w:beforeLines="0" w:before="120" w:beforeAutospacing="0" w:afterLines="0" w:after="120" w:afterAutospacing="0"/>
        <w:ind w:leftChars="0" w:left="170" w:rightChars="0" w:right="284"/>
        <w:jc w:val="left"/>
      </w:pPr>
      <w:rPr>
        <w:rFonts w:ascii="Arial" w:hAnsi="Arial"/>
        <w:b/>
        <w:color w:val="FFFFFF" w:themeColor="background1"/>
        <w:sz w:val="20"/>
      </w:rPr>
      <w:tblPr/>
      <w:tcPr>
        <w:shd w:val="clear" w:color="auto" w:fill="616571"/>
      </w:tcPr>
    </w:tblStylePr>
    <w:tblStylePr w:type="lastRow">
      <w:rPr>
        <w:rFonts w:ascii="Arial" w:hAnsi="Arial"/>
        <w:b/>
        <w:sz w:val="22"/>
      </w:rPr>
    </w:tblStylePr>
    <w:tblStylePr w:type="band1Horz">
      <w:rPr>
        <w:rFonts w:ascii="Arial" w:hAnsi="Arial"/>
        <w:sz w:val="20"/>
      </w:rPr>
      <w:tblPr/>
      <w:tcPr>
        <w:shd w:val="clear" w:color="auto" w:fill="ECECEC"/>
      </w:tcPr>
    </w:tblStylePr>
    <w:tblStylePr w:type="band2Horz">
      <w:rPr>
        <w:rFonts w:ascii="Arial" w:hAnsi="Arial"/>
        <w:sz w:val="20"/>
      </w:rPr>
    </w:tblStylePr>
  </w:style>
  <w:style w:type="paragraph" w:customStyle="1" w:styleId="131Subitemheading">
    <w:name w:val="1.3.1 Subitem heading"/>
    <w:basedOn w:val="Normal"/>
    <w:next w:val="Normal"/>
    <w:uiPriority w:val="22"/>
    <w:qFormat/>
    <w:rsid w:val="00CA3849"/>
    <w:pPr>
      <w:keepNext/>
      <w:tabs>
        <w:tab w:val="left" w:pos="851"/>
      </w:tabs>
      <w:spacing w:after="120"/>
    </w:pPr>
    <w:rPr>
      <w:b/>
      <w:sz w:val="18"/>
      <w:szCs w:val="20"/>
    </w:rPr>
  </w:style>
  <w:style w:type="character" w:customStyle="1" w:styleId="FootnoteTextChar">
    <w:name w:val="Footnote Text Char"/>
    <w:aliases w:val="Footnotes Text Char,FSFootnotes Text Char"/>
    <w:basedOn w:val="DefaultParagraphFont"/>
    <w:link w:val="FootnoteText"/>
    <w:rsid w:val="00CA3849"/>
    <w:rPr>
      <w:rFonts w:ascii="Arial" w:hAnsi="Arial"/>
      <w:lang w:eastAsia="en-US" w:bidi="en-US"/>
    </w:rPr>
  </w:style>
  <w:style w:type="character" w:styleId="Emphasis">
    <w:name w:val="Emphasis"/>
    <w:basedOn w:val="DefaultParagraphFont"/>
    <w:uiPriority w:val="20"/>
    <w:qFormat/>
    <w:rsid w:val="00CA3849"/>
    <w:rPr>
      <w:i/>
      <w:iCs/>
    </w:rPr>
  </w:style>
  <w:style w:type="character" w:customStyle="1" w:styleId="highwire-citation-authors">
    <w:name w:val="highwire-citation-authors"/>
    <w:basedOn w:val="DefaultParagraphFont"/>
    <w:rsid w:val="00CA3849"/>
  </w:style>
  <w:style w:type="character" w:customStyle="1" w:styleId="highwire-citation-author2">
    <w:name w:val="highwire-citation-author2"/>
    <w:basedOn w:val="DefaultParagraphFont"/>
    <w:rsid w:val="00CA3849"/>
  </w:style>
  <w:style w:type="character" w:customStyle="1" w:styleId="highwire-cite-metadata-volume">
    <w:name w:val="highwire-cite-metadata-volume"/>
    <w:basedOn w:val="DefaultParagraphFont"/>
    <w:rsid w:val="00CA3849"/>
  </w:style>
  <w:style w:type="character" w:customStyle="1" w:styleId="highwire-cite-metadata-issue">
    <w:name w:val="highwire-cite-metadata-issue"/>
    <w:basedOn w:val="DefaultParagraphFont"/>
    <w:rsid w:val="00CA3849"/>
  </w:style>
  <w:style w:type="character" w:customStyle="1" w:styleId="highwire-cite-metadata-pages">
    <w:name w:val="highwire-cite-metadata-pages"/>
    <w:basedOn w:val="DefaultParagraphFont"/>
    <w:rsid w:val="00CA3849"/>
  </w:style>
  <w:style w:type="character" w:customStyle="1" w:styleId="highwire-cite-metadata-doi">
    <w:name w:val="highwire-cite-metadata-doi"/>
    <w:basedOn w:val="DefaultParagraphFont"/>
    <w:rsid w:val="00CA3849"/>
  </w:style>
  <w:style w:type="paragraph" w:customStyle="1" w:styleId="CitaviBibliography">
    <w:name w:val="Citavi Bibliography"/>
    <w:basedOn w:val="Normal"/>
    <w:rsid w:val="00CA3849"/>
    <w:pPr>
      <w:widowControl/>
      <w:spacing w:after="120" w:line="240" w:lineRule="atLeast"/>
    </w:pPr>
    <w:rPr>
      <w:rFonts w:cs="Arial"/>
      <w:szCs w:val="18"/>
      <w:lang w:eastAsia="en-GB" w:bidi="ar-SA"/>
    </w:rPr>
  </w:style>
  <w:style w:type="paragraph" w:styleId="CommentSubject">
    <w:name w:val="annotation subject"/>
    <w:basedOn w:val="CommentText"/>
    <w:next w:val="CommentText"/>
    <w:link w:val="CommentSubjectChar"/>
    <w:semiHidden/>
    <w:unhideWhenUsed/>
    <w:rsid w:val="00A30707"/>
    <w:rPr>
      <w:b/>
      <w:bCs/>
    </w:rPr>
  </w:style>
  <w:style w:type="character" w:customStyle="1" w:styleId="CommentSubjectChar">
    <w:name w:val="Comment Subject Char"/>
    <w:basedOn w:val="CommentTextChar"/>
    <w:link w:val="CommentSubject"/>
    <w:semiHidden/>
    <w:rsid w:val="00A30707"/>
    <w:rPr>
      <w:rFonts w:ascii="Arial" w:hAnsi="Arial"/>
      <w:b/>
      <w:bCs/>
      <w:lang w:eastAsia="en-US" w:bidi="en-US"/>
    </w:rPr>
  </w:style>
  <w:style w:type="paragraph" w:styleId="ListParagraph">
    <w:name w:val="List Paragraph"/>
    <w:basedOn w:val="Normal"/>
    <w:uiPriority w:val="34"/>
    <w:qFormat/>
    <w:rsid w:val="001E6A7B"/>
    <w:pPr>
      <w:widowControl/>
      <w:ind w:left="720"/>
      <w:contextualSpacing/>
    </w:pPr>
    <w:rPr>
      <w:rFonts w:eastAsiaTheme="minorHAnsi" w:cstheme="minorBidi"/>
      <w:szCs w:val="22"/>
      <w:lang w:bidi="ar-SA"/>
    </w:rPr>
  </w:style>
  <w:style w:type="table" w:styleId="TableClassic4">
    <w:name w:val="Table Classic 4"/>
    <w:basedOn w:val="TableNormal"/>
    <w:rsid w:val="001E6A7B"/>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513335"/>
    <w:pPr>
      <w:autoSpaceDE w:val="0"/>
      <w:autoSpaceDN w:val="0"/>
      <w:adjustRightInd w:val="0"/>
    </w:pPr>
    <w:rPr>
      <w:rFonts w:ascii="Segoe UI" w:eastAsiaTheme="minorHAnsi" w:hAnsi="Segoe UI" w:cs="Segoe UI"/>
      <w:color w:val="000000"/>
      <w:sz w:val="24"/>
      <w:szCs w:val="24"/>
      <w:lang w:eastAsia="en-US"/>
    </w:rPr>
  </w:style>
  <w:style w:type="paragraph" w:styleId="Caption">
    <w:name w:val="caption"/>
    <w:basedOn w:val="Normal"/>
    <w:next w:val="Normal"/>
    <w:semiHidden/>
    <w:unhideWhenUsed/>
    <w:rsid w:val="004560E9"/>
    <w:pPr>
      <w:spacing w:after="200"/>
    </w:pPr>
    <w:rPr>
      <w:i/>
      <w:iCs/>
      <w:color w:val="1F497D" w:themeColor="text2"/>
      <w:sz w:val="18"/>
      <w:szCs w:val="18"/>
    </w:rPr>
  </w:style>
  <w:style w:type="paragraph" w:styleId="NormalWeb">
    <w:name w:val="Normal (Web)"/>
    <w:basedOn w:val="Normal"/>
    <w:uiPriority w:val="99"/>
    <w:semiHidden/>
    <w:unhideWhenUsed/>
    <w:rsid w:val="00A6613B"/>
    <w:pPr>
      <w:widowControl/>
      <w:spacing w:before="100" w:beforeAutospacing="1" w:after="96" w:line="360" w:lineRule="atLeast"/>
    </w:pPr>
    <w:rPr>
      <w:rFonts w:ascii="Times New Roman" w:hAnsi="Times New Roman"/>
      <w:sz w:val="24"/>
      <w:lang w:eastAsia="en-GB" w:bidi="ar-SA"/>
    </w:rPr>
  </w:style>
  <w:style w:type="character" w:customStyle="1" w:styleId="anchor-text">
    <w:name w:val="anchor-text"/>
    <w:basedOn w:val="DefaultParagraphFont"/>
    <w:rsid w:val="00A6613B"/>
  </w:style>
  <w:style w:type="paragraph" w:styleId="Revision">
    <w:name w:val="Revision"/>
    <w:hidden/>
    <w:uiPriority w:val="99"/>
    <w:semiHidden/>
    <w:rsid w:val="00D76F75"/>
    <w:rPr>
      <w:rFonts w:ascii="Arial" w:hAnsi="Arial"/>
      <w:sz w:val="22"/>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34473">
      <w:bodyDiv w:val="1"/>
      <w:marLeft w:val="0"/>
      <w:marRight w:val="0"/>
      <w:marTop w:val="0"/>
      <w:marBottom w:val="0"/>
      <w:divBdr>
        <w:top w:val="none" w:sz="0" w:space="0" w:color="auto"/>
        <w:left w:val="none" w:sz="0" w:space="0" w:color="auto"/>
        <w:bottom w:val="none" w:sz="0" w:space="0" w:color="auto"/>
        <w:right w:val="none" w:sz="0" w:space="0" w:color="auto"/>
      </w:divBdr>
    </w:div>
    <w:div w:id="165098645">
      <w:bodyDiv w:val="1"/>
      <w:marLeft w:val="0"/>
      <w:marRight w:val="0"/>
      <w:marTop w:val="0"/>
      <w:marBottom w:val="0"/>
      <w:divBdr>
        <w:top w:val="none" w:sz="0" w:space="0" w:color="auto"/>
        <w:left w:val="none" w:sz="0" w:space="0" w:color="auto"/>
        <w:bottom w:val="none" w:sz="0" w:space="0" w:color="auto"/>
        <w:right w:val="none" w:sz="0" w:space="0" w:color="auto"/>
      </w:divBdr>
    </w:div>
    <w:div w:id="179665918">
      <w:bodyDiv w:val="1"/>
      <w:marLeft w:val="0"/>
      <w:marRight w:val="0"/>
      <w:marTop w:val="0"/>
      <w:marBottom w:val="0"/>
      <w:divBdr>
        <w:top w:val="none" w:sz="0" w:space="0" w:color="auto"/>
        <w:left w:val="none" w:sz="0" w:space="0" w:color="auto"/>
        <w:bottom w:val="none" w:sz="0" w:space="0" w:color="auto"/>
        <w:right w:val="none" w:sz="0" w:space="0" w:color="auto"/>
      </w:divBdr>
    </w:div>
    <w:div w:id="553547289">
      <w:bodyDiv w:val="1"/>
      <w:marLeft w:val="0"/>
      <w:marRight w:val="0"/>
      <w:marTop w:val="0"/>
      <w:marBottom w:val="0"/>
      <w:divBdr>
        <w:top w:val="none" w:sz="0" w:space="0" w:color="auto"/>
        <w:left w:val="none" w:sz="0" w:space="0" w:color="auto"/>
        <w:bottom w:val="none" w:sz="0" w:space="0" w:color="auto"/>
        <w:right w:val="none" w:sz="0" w:space="0" w:color="auto"/>
      </w:divBdr>
    </w:div>
    <w:div w:id="1602296212">
      <w:bodyDiv w:val="1"/>
      <w:marLeft w:val="0"/>
      <w:marRight w:val="0"/>
      <w:marTop w:val="0"/>
      <w:marBottom w:val="0"/>
      <w:divBdr>
        <w:top w:val="none" w:sz="0" w:space="0" w:color="auto"/>
        <w:left w:val="none" w:sz="0" w:space="0" w:color="auto"/>
        <w:bottom w:val="none" w:sz="0" w:space="0" w:color="auto"/>
        <w:right w:val="none" w:sz="0" w:space="0" w:color="auto"/>
      </w:divBdr>
    </w:div>
    <w:div w:id="1607957882">
      <w:bodyDiv w:val="1"/>
      <w:marLeft w:val="0"/>
      <w:marRight w:val="0"/>
      <w:marTop w:val="0"/>
      <w:marBottom w:val="0"/>
      <w:divBdr>
        <w:top w:val="none" w:sz="0" w:space="0" w:color="auto"/>
        <w:left w:val="none" w:sz="0" w:space="0" w:color="auto"/>
        <w:bottom w:val="none" w:sz="0" w:space="0" w:color="auto"/>
        <w:right w:val="none" w:sz="0" w:space="0" w:color="auto"/>
      </w:divBdr>
    </w:div>
    <w:div w:id="1697583176">
      <w:bodyDiv w:val="1"/>
      <w:marLeft w:val="0"/>
      <w:marRight w:val="0"/>
      <w:marTop w:val="0"/>
      <w:marBottom w:val="0"/>
      <w:divBdr>
        <w:top w:val="none" w:sz="0" w:space="0" w:color="auto"/>
        <w:left w:val="none" w:sz="0" w:space="0" w:color="auto"/>
        <w:bottom w:val="none" w:sz="0" w:space="0" w:color="auto"/>
        <w:right w:val="none" w:sz="0" w:space="0" w:color="auto"/>
      </w:divBdr>
    </w:div>
    <w:div w:id="2052882141">
      <w:bodyDiv w:val="1"/>
      <w:marLeft w:val="0"/>
      <w:marRight w:val="0"/>
      <w:marTop w:val="0"/>
      <w:marBottom w:val="0"/>
      <w:divBdr>
        <w:top w:val="none" w:sz="0" w:space="0" w:color="auto"/>
        <w:left w:val="none" w:sz="0" w:space="0" w:color="auto"/>
        <w:bottom w:val="none" w:sz="0" w:space="0" w:color="auto"/>
        <w:right w:val="none" w:sz="0" w:space="0" w:color="auto"/>
      </w:divBdr>
      <w:divsChild>
        <w:div w:id="641156918">
          <w:marLeft w:val="0"/>
          <w:marRight w:val="0"/>
          <w:marTop w:val="0"/>
          <w:marBottom w:val="0"/>
          <w:divBdr>
            <w:top w:val="none" w:sz="0" w:space="0" w:color="auto"/>
            <w:left w:val="none" w:sz="0" w:space="0" w:color="auto"/>
            <w:bottom w:val="none" w:sz="0" w:space="0" w:color="auto"/>
            <w:right w:val="none" w:sz="0" w:space="0" w:color="auto"/>
          </w:divBdr>
          <w:divsChild>
            <w:div w:id="169563266">
              <w:marLeft w:val="0"/>
              <w:marRight w:val="0"/>
              <w:marTop w:val="0"/>
              <w:marBottom w:val="0"/>
              <w:divBdr>
                <w:top w:val="none" w:sz="0" w:space="0" w:color="auto"/>
                <w:left w:val="none" w:sz="0" w:space="0" w:color="auto"/>
                <w:bottom w:val="none" w:sz="0" w:space="0" w:color="auto"/>
                <w:right w:val="none" w:sz="0" w:space="0" w:color="auto"/>
              </w:divBdr>
              <w:divsChild>
                <w:div w:id="1905262625">
                  <w:marLeft w:val="0"/>
                  <w:marRight w:val="0"/>
                  <w:marTop w:val="0"/>
                  <w:marBottom w:val="0"/>
                  <w:divBdr>
                    <w:top w:val="none" w:sz="0" w:space="0" w:color="auto"/>
                    <w:left w:val="none" w:sz="0" w:space="0" w:color="auto"/>
                    <w:bottom w:val="none" w:sz="0" w:space="0" w:color="auto"/>
                    <w:right w:val="none" w:sz="0" w:space="0" w:color="auto"/>
                  </w:divBdr>
                  <w:divsChild>
                    <w:div w:id="1216694070">
                      <w:marLeft w:val="0"/>
                      <w:marRight w:val="0"/>
                      <w:marTop w:val="0"/>
                      <w:marBottom w:val="0"/>
                      <w:divBdr>
                        <w:top w:val="none" w:sz="0" w:space="0" w:color="auto"/>
                        <w:left w:val="none" w:sz="0" w:space="0" w:color="auto"/>
                        <w:bottom w:val="none" w:sz="0" w:space="0" w:color="auto"/>
                        <w:right w:val="none" w:sz="0" w:space="0" w:color="auto"/>
                      </w:divBdr>
                      <w:divsChild>
                        <w:div w:id="32775786">
                          <w:marLeft w:val="0"/>
                          <w:marRight w:val="0"/>
                          <w:marTop w:val="0"/>
                          <w:marBottom w:val="0"/>
                          <w:divBdr>
                            <w:top w:val="none" w:sz="0" w:space="0" w:color="auto"/>
                            <w:left w:val="none" w:sz="0" w:space="0" w:color="auto"/>
                            <w:bottom w:val="none" w:sz="0" w:space="0" w:color="auto"/>
                            <w:right w:val="none" w:sz="0" w:space="0" w:color="auto"/>
                          </w:divBdr>
                          <w:divsChild>
                            <w:div w:id="4304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mycocosm.jgi.doe.gov/Traci1/Traci1.home.html" TargetMode="External"/><Relationship Id="rId26" Type="http://schemas.openxmlformats.org/officeDocument/2006/relationships/hyperlink" Target="http://publications.usp.org/" TargetMode="External"/><Relationship Id="rId3" Type="http://schemas.openxmlformats.org/officeDocument/2006/relationships/customXml" Target="../customXml/item3.xml"/><Relationship Id="rId21" Type="http://schemas.openxmlformats.org/officeDocument/2006/relationships/hyperlink" Target="http://www.allergen.org"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cdc.gov/biosafety/publications/bmbl5/index.htm" TargetMode="External"/><Relationship Id="rId25" Type="http://schemas.openxmlformats.org/officeDocument/2006/relationships/hyperlink" Target="https://journals.sagepub.com/doi/full/10.1177/0192623311413788" TargetMode="External"/><Relationship Id="rId2" Type="http://schemas.openxmlformats.org/officeDocument/2006/relationships/customXml" Target="../customXml/item2.xml"/><Relationship Id="rId16" Type="http://schemas.openxmlformats.org/officeDocument/2006/relationships/hyperlink" Target="https://www.brenda-enzymes.org/enzyme.php?ecno=3.2.1.3" TargetMode="External"/><Relationship Id="rId20" Type="http://schemas.openxmlformats.org/officeDocument/2006/relationships/hyperlink" Target="http://www.allergenonline.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fao.org/docrep/009/a0691e/A0691E03.htm" TargetMode="External"/><Relationship Id="rId28" Type="http://schemas.openxmlformats.org/officeDocument/2006/relationships/footer" Target="footer2.xml"/><Relationship Id="rId15" Type="http://schemas.openxmlformats.org/officeDocument/2006/relationships/image" Target="media/image2.png"/><Relationship Id="rId23" Type="http://schemas.openxmlformats.org/officeDocument/2006/relationships/hyperlink" Target="https://www.qmul.ac.uk/sbcs/iubmb/enzyme/EC3/2/1/3.html" TargetMode="External"/><Relationship Id="rId10" Type="http://schemas.openxmlformats.org/officeDocument/2006/relationships/settings" Target="settings.xml"/><Relationship Id="rId19" Type="http://schemas.openxmlformats.org/officeDocument/2006/relationships/hyperlink" Target="https://www.uniprot.org/" TargetMode="External"/><Relationship Id="rId31" Type="http://schemas.openxmlformats.org/officeDocument/2006/relationships/theme" Target="theme/theme1.xml"/><Relationship Id="rId30" Type="http://schemas.openxmlformats.org/officeDocument/2006/relationships/fontTable" Target="fontTable.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link.springer.com/article/10.1186/s40959-019-0040-y"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uniprot.org/" TargetMode="External"/><Relationship Id="rId2" Type="http://schemas.openxmlformats.org/officeDocument/2006/relationships/hyperlink" Target="https://mycocosm.jgi.doe.gov/Traci1/Traci1.home.html" TargetMode="External"/><Relationship Id="rId1" Type="http://schemas.openxmlformats.org/officeDocument/2006/relationships/hyperlink" Target="https://www.cdc.gov/biosafety/publications/bmbl5/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1" ma:contentTypeDescription="FSANZ Record" ma:contentTypeScope="" ma:versionID="2106a279e59a986bdbd0bc9d0c33cfaa">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fdaa662cee8a9efe40cdbb90472b8083"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959f586-1386-49a0-8f25-29490ba8c513" ContentTypeId="0x01010004C4C934AD08B647A78FCADD498BE31902"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CB2FFA9FD6109347A9495CD5860AFAE6" ma:contentTypeVersion="4" ma:contentTypeDescription="Create a new document." ma:contentTypeScope="" ma:versionID="d855f31f1184c2f9c5330b102a35b1e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7f7f394222715943dc44d7de31b8d340"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ECBC7-14F9-4085-8636-F7809B739C4B}"/>
</file>

<file path=customXml/itemProps2.xml><?xml version="1.0" encoding="utf-8"?>
<ds:datastoreItem xmlns:ds="http://schemas.openxmlformats.org/officeDocument/2006/customXml" ds:itemID="{22007E98-E3D6-4449-8F5D-92A4FA080364}"/>
</file>

<file path=customXml/itemProps3.xml><?xml version="1.0" encoding="utf-8"?>
<ds:datastoreItem xmlns:ds="http://schemas.openxmlformats.org/officeDocument/2006/customXml" ds:itemID="{C882F2B3-974F-4315-9ED9-0369F9C6D66C}"/>
</file>

<file path=customXml/itemProps4.xml><?xml version="1.0" encoding="utf-8"?>
<ds:datastoreItem xmlns:ds="http://schemas.openxmlformats.org/officeDocument/2006/customXml" ds:itemID="{8669A8E9-B88B-477D-87CC-941FE5687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E5464E-6E43-4A94-9E9A-DC1D7A506B71}">
  <ds:schemaRefs>
    <ds:schemaRef ds:uri="Microsoft.SharePoint.Taxonomy.ContentTypeSync"/>
  </ds:schemaRefs>
</ds:datastoreItem>
</file>

<file path=customXml/itemProps6.xml><?xml version="1.0" encoding="utf-8"?>
<ds:datastoreItem xmlns:ds="http://schemas.openxmlformats.org/officeDocument/2006/customXml" ds:itemID="{5C8D3FF0-56C8-43E3-B5DD-78CFCCD6CE13}"/>
</file>

<file path=customXml/itemProps7.xml><?xml version="1.0" encoding="utf-8"?>
<ds:datastoreItem xmlns:ds="http://schemas.openxmlformats.org/officeDocument/2006/customXml" ds:itemID="{7C3FD064-379A-4BC9-9ED3-4B5B75FFBF48}"/>
</file>

<file path=docProps/app.xml><?xml version="1.0" encoding="utf-8"?>
<Properties xmlns="http://schemas.openxmlformats.org/officeDocument/2006/extended-properties" xmlns:vt="http://schemas.openxmlformats.org/officeDocument/2006/docPropsVTypes">
  <Template>Normal</Template>
  <TotalTime>1</TotalTime>
  <Pages>18</Pages>
  <Words>8375</Words>
  <Characters>47744</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56007</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trevil</dc:creator>
  <cp:keywords/>
  <dc:description/>
  <cp:lastModifiedBy>CoughC</cp:lastModifiedBy>
  <cp:revision>3</cp:revision>
  <cp:lastPrinted>2020-01-15T23:57:00Z</cp:lastPrinted>
  <dcterms:created xsi:type="dcterms:W3CDTF">2020-02-05T22:41:00Z</dcterms:created>
  <dcterms:modified xsi:type="dcterms:W3CDTF">2020-02-06T03:45:00Z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5bfaa3bd-adb6-4235-9866-4a111d49a0db</vt:lpwstr>
  </property>
  <property fmtid="{D5CDD505-2E9C-101B-9397-08002B2CF9AE}" pid="3" name="bjSaver">
    <vt:lpwstr>mhrlfEW7b9k68ds2IFR69UD4CsNiGzlo</vt:lpwstr>
  </property>
  <property fmtid="{D5CDD505-2E9C-101B-9397-08002B2CF9AE}" pid="4" name="ContentTypeId">
    <vt:lpwstr>0x010100CB2FFA9FD6109347A9495CD5860AFAE6</vt:lpwstr>
  </property>
  <property fmtid="{D5CDD505-2E9C-101B-9397-08002B2CF9AE}" pid="5" name="DisposalClass">
    <vt:lpwstr/>
  </property>
  <property fmtid="{D5CDD505-2E9C-101B-9397-08002B2CF9AE}" pid="6" name="BCS_">
    <vt:lpwstr>40;#FOOD STANDARDS:Evaluation|43bd8487-b9f6-4055-946c-a118d364275d</vt:lpwstr>
  </property>
  <property fmtid="{D5CDD505-2E9C-101B-9397-08002B2CF9AE}" pid="7" name="_dlc_DocIdItemGuid">
    <vt:lpwstr>23b82435-80b5-435a-8280-1a14772b1933</vt:lpwstr>
  </property>
  <property fmtid="{D5CDD505-2E9C-101B-9397-08002B2CF9AE}" pid="8" name="RecordPoint_WorkflowType">
    <vt:lpwstr>ActiveSubmitStub</vt:lpwstr>
  </property>
  <property fmtid="{D5CDD505-2E9C-101B-9397-08002B2CF9AE}" pid="9" name="RecordPoint_ActiveItemUniqueId">
    <vt:lpwstr>{34c1a783-8cad-4b1a-a944-6fe30df9733d}</vt:lpwstr>
  </property>
  <property fmtid="{D5CDD505-2E9C-101B-9397-08002B2CF9AE}" pid="10" name="RecordPoint_SubmissionCompleted">
    <vt:lpwstr>2019-12-12T18:10:21.2148945+11:00</vt:lpwstr>
  </property>
  <property fmtid="{D5CDD505-2E9C-101B-9397-08002B2CF9AE}" pid="11" name="RecordPoint_RecordNumberSubmitted">
    <vt:lpwstr>R0000118338</vt:lpwstr>
  </property>
  <property fmtid="{D5CDD505-2E9C-101B-9397-08002B2CF9AE}" pid="12" name="RecordPoint_ActiveItemWebId">
    <vt:lpwstr>{83f74ec0-7c69-41fd-ae1b-2b6e517e347e}</vt:lpwstr>
  </property>
  <property fmtid="{D5CDD505-2E9C-101B-9397-08002B2CF9AE}" pid="13" name="RecordPoint_ActiveItemSiteId">
    <vt:lpwstr>{dd95a578-5c6a-4f11-92f7-f95884d628d6}</vt:lpwstr>
  </property>
  <property fmtid="{D5CDD505-2E9C-101B-9397-08002B2CF9AE}" pid="14" name="RecordPoint_ActiveItemListId">
    <vt:lpwstr>{c792206f-3c65-4bf2-a09b-e14740f2ae9c}</vt:lpwstr>
  </property>
  <property fmtid="{D5CDD505-2E9C-101B-9397-08002B2CF9AE}" pid="15" name="RecordPoint_SubmissionDate">
    <vt:lpwstr/>
  </property>
  <property fmtid="{D5CDD505-2E9C-101B-9397-08002B2CF9AE}" pid="16" name="RecordPoint_ActiveItemMoved">
    <vt:lpwstr/>
  </property>
  <property fmtid="{D5CDD505-2E9C-101B-9397-08002B2CF9AE}" pid="17" name="RecordPoint_RecordFormat">
    <vt:lpwstr/>
  </property>
  <property fmtid="{D5CDD505-2E9C-101B-9397-08002B2CF9AE}" pid="18"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19" name="bjDocumentLabelXML-0">
    <vt:lpwstr>ames.com/2008/01/sie/internal/label"&gt;&lt;element uid="66ddac19-06c4-4e63-b4dd-d8240d87a23f" value="" /&gt;&lt;/sisl&gt;</vt:lpwstr>
  </property>
  <property fmtid="{D5CDD505-2E9C-101B-9397-08002B2CF9AE}" pid="20" name="bjDocumentSecurityLabel">
    <vt:lpwstr>NO SECURITY CLASSIFICATION REQUIRED</vt:lpwstr>
  </property>
</Properties>
</file>