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5770E" w14:textId="414E8CB0" w:rsidR="00E203C2" w:rsidRDefault="00E203C2" w:rsidP="00E203C2">
      <w:bookmarkStart w:id="0" w:name="_GoBack"/>
      <w:bookmarkEnd w:id="0"/>
      <w:r>
        <w:rPr>
          <w:noProof/>
          <w:lang w:eastAsia="en-GB" w:bidi="ar-SA"/>
        </w:rPr>
        <w:drawing>
          <wp:inline distT="0" distB="0" distL="0" distR="0" wp14:anchorId="2271C7B1" wp14:editId="5EC4C2DD">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757E2B5E" w14:textId="50BB35B4" w:rsidR="0006405D" w:rsidRDefault="0006405D" w:rsidP="0006405D">
      <w:pPr>
        <w:rPr>
          <w:b/>
          <w:color w:val="FF0000"/>
          <w:sz w:val="28"/>
          <w:szCs w:val="28"/>
        </w:rPr>
      </w:pPr>
    </w:p>
    <w:p w14:paraId="2B5214C3" w14:textId="0EAD27E3" w:rsidR="0006405D" w:rsidRPr="007325B0" w:rsidRDefault="007325B0" w:rsidP="0006405D">
      <w:pPr>
        <w:rPr>
          <w:b/>
          <w:sz w:val="28"/>
          <w:szCs w:val="28"/>
        </w:rPr>
      </w:pPr>
      <w:r w:rsidRPr="007325B0">
        <w:rPr>
          <w:b/>
          <w:sz w:val="28"/>
          <w:szCs w:val="28"/>
        </w:rPr>
        <w:t>22 July 2019</w:t>
      </w:r>
    </w:p>
    <w:p w14:paraId="06F3441A" w14:textId="53ADCF4C" w:rsidR="0006405D" w:rsidRPr="007325B0" w:rsidRDefault="007325B0" w:rsidP="0006405D">
      <w:pPr>
        <w:rPr>
          <w:b/>
          <w:sz w:val="28"/>
          <w:szCs w:val="28"/>
        </w:rPr>
      </w:pPr>
      <w:r w:rsidRPr="007325B0">
        <w:rPr>
          <w:b/>
          <w:sz w:val="28"/>
          <w:szCs w:val="28"/>
        </w:rPr>
        <w:t>[86</w:t>
      </w:r>
      <w:r w:rsidR="0006405D" w:rsidRPr="007325B0">
        <w:rPr>
          <w:b/>
          <w:sz w:val="28"/>
          <w:szCs w:val="28"/>
        </w:rPr>
        <w:t>–1</w:t>
      </w:r>
      <w:r w:rsidRPr="007325B0">
        <w:rPr>
          <w:b/>
          <w:sz w:val="28"/>
          <w:szCs w:val="28"/>
        </w:rPr>
        <w:t>9</w:t>
      </w:r>
      <w:r w:rsidR="0006405D" w:rsidRPr="007325B0">
        <w:rPr>
          <w:b/>
          <w:sz w:val="28"/>
          <w:szCs w:val="28"/>
        </w:rPr>
        <w:t>]</w:t>
      </w:r>
    </w:p>
    <w:p w14:paraId="7662D0D2" w14:textId="77777777" w:rsidR="00BA24E2" w:rsidRDefault="00BA24E2" w:rsidP="00E203C2"/>
    <w:p w14:paraId="47F20040" w14:textId="3EBA7CAD" w:rsidR="00D056F1" w:rsidRPr="007F4644" w:rsidRDefault="00004F71" w:rsidP="002432EE">
      <w:pPr>
        <w:pStyle w:val="FSTitle"/>
        <w:rPr>
          <w:b/>
        </w:rPr>
      </w:pPr>
      <w:r>
        <w:rPr>
          <w:b/>
        </w:rPr>
        <w:t>2</w:t>
      </w:r>
      <w:r w:rsidRPr="0006405D">
        <w:rPr>
          <w:b/>
          <w:vertAlign w:val="superscript"/>
        </w:rPr>
        <w:t>nd</w:t>
      </w:r>
      <w:r w:rsidR="009841B8">
        <w:rPr>
          <w:b/>
        </w:rPr>
        <w:t xml:space="preserve"> </w:t>
      </w:r>
      <w:r w:rsidR="000427B2" w:rsidRPr="00351927">
        <w:rPr>
          <w:b/>
        </w:rPr>
        <w:t>C</w:t>
      </w:r>
      <w:r w:rsidR="00D8470F" w:rsidRPr="00351927">
        <w:rPr>
          <w:b/>
        </w:rPr>
        <w:t>all</w:t>
      </w:r>
      <w:r w:rsidR="000427B2" w:rsidRPr="00351927">
        <w:rPr>
          <w:b/>
        </w:rPr>
        <w:t xml:space="preserve"> </w:t>
      </w:r>
      <w:r w:rsidR="00D8470F" w:rsidRPr="00351927">
        <w:rPr>
          <w:b/>
        </w:rPr>
        <w:t>for</w:t>
      </w:r>
      <w:r w:rsidR="000427B2" w:rsidRPr="00351927">
        <w:rPr>
          <w:b/>
        </w:rPr>
        <w:t xml:space="preserve"> </w:t>
      </w:r>
      <w:r w:rsidR="00D8470F" w:rsidRPr="00351927">
        <w:rPr>
          <w:b/>
        </w:rPr>
        <w:t>submissions</w:t>
      </w:r>
      <w:r w:rsidR="000427B2" w:rsidRPr="00351927">
        <w:rPr>
          <w:b/>
        </w:rPr>
        <w:t xml:space="preserve"> – </w:t>
      </w:r>
      <w:r w:rsidR="00D056F1" w:rsidRPr="007F4644">
        <w:rPr>
          <w:b/>
        </w:rPr>
        <w:t>A</w:t>
      </w:r>
      <w:r w:rsidR="00A91DF1" w:rsidRPr="007F4644">
        <w:rPr>
          <w:b/>
        </w:rPr>
        <w:t>pplication</w:t>
      </w:r>
      <w:r w:rsidR="007F4644" w:rsidRPr="007F4644">
        <w:rPr>
          <w:b/>
        </w:rPr>
        <w:t xml:space="preserve"> A1155</w:t>
      </w:r>
    </w:p>
    <w:p w14:paraId="0DBB4BDE" w14:textId="77777777" w:rsidR="00AD00C8" w:rsidRDefault="00AD00C8" w:rsidP="002432EE">
      <w:pPr>
        <w:pStyle w:val="FSTitle"/>
      </w:pPr>
    </w:p>
    <w:p w14:paraId="6CE59DB3" w14:textId="4DF59BAB" w:rsidR="00D056F1" w:rsidRPr="007F4644" w:rsidRDefault="007F4644" w:rsidP="002432EE">
      <w:pPr>
        <w:pStyle w:val="FSTitle"/>
      </w:pPr>
      <w:r w:rsidRPr="007F4644">
        <w:t>2</w:t>
      </w:r>
      <w:r w:rsidR="00567609">
        <w:t>′</w:t>
      </w:r>
      <w:r w:rsidRPr="007F4644">
        <w:t>-FL and LNnT in infant formula and other products</w:t>
      </w:r>
    </w:p>
    <w:p w14:paraId="3FDFC9A6" w14:textId="77777777" w:rsidR="00E203C2" w:rsidRPr="00E81F6E" w:rsidRDefault="00E203C2" w:rsidP="00E203C2">
      <w:pPr>
        <w:pBdr>
          <w:bottom w:val="single" w:sz="12" w:space="1" w:color="auto"/>
        </w:pBdr>
        <w:spacing w:line="280" w:lineRule="exact"/>
        <w:rPr>
          <w:rFonts w:cs="Arial"/>
          <w:bCs/>
        </w:rPr>
      </w:pPr>
    </w:p>
    <w:p w14:paraId="74003232" w14:textId="77777777" w:rsidR="00413CA8" w:rsidRDefault="00413CA8" w:rsidP="00413CA8">
      <w:pPr>
        <w:rPr>
          <w:color w:val="FF0000"/>
          <w:sz w:val="20"/>
          <w:szCs w:val="20"/>
        </w:rPr>
      </w:pPr>
    </w:p>
    <w:p w14:paraId="232928F4" w14:textId="7C9C5586" w:rsidR="00270D38" w:rsidRPr="00EF7A0D" w:rsidRDefault="00EF7A0D" w:rsidP="00EF7A0D">
      <w:pPr>
        <w:rPr>
          <w:sz w:val="20"/>
          <w:szCs w:val="20"/>
        </w:rPr>
      </w:pPr>
      <w:r w:rsidRPr="00B57142">
        <w:rPr>
          <w:sz w:val="20"/>
          <w:szCs w:val="20"/>
        </w:rPr>
        <w:t xml:space="preserve">Pursuant to section 31 of the </w:t>
      </w:r>
      <w:r w:rsidRPr="00B57142">
        <w:rPr>
          <w:i/>
          <w:sz w:val="20"/>
          <w:szCs w:val="20"/>
        </w:rPr>
        <w:t xml:space="preserve">Food Standards Australia New Zealand Act 1991 </w:t>
      </w:r>
      <w:r w:rsidRPr="00B57142">
        <w:rPr>
          <w:sz w:val="20"/>
          <w:szCs w:val="20"/>
        </w:rPr>
        <w:t xml:space="preserve">(FSANZ Act), FSANZ now calls for submissions to assist FSANZ’s consideration of the draft food regulatory measure it has prepared arising from an application made by </w:t>
      </w:r>
      <w:r w:rsidR="005C7BE5" w:rsidRPr="00B57142">
        <w:rPr>
          <w:sz w:val="20"/>
          <w:szCs w:val="20"/>
        </w:rPr>
        <w:t>Glycom A/S</w:t>
      </w:r>
      <w:r w:rsidR="00276026" w:rsidRPr="00B57142">
        <w:rPr>
          <w:sz w:val="20"/>
          <w:szCs w:val="20"/>
        </w:rPr>
        <w:t xml:space="preserve"> </w:t>
      </w:r>
      <w:r w:rsidR="00BA24E2" w:rsidRPr="00B57142">
        <w:rPr>
          <w:sz w:val="20"/>
          <w:szCs w:val="20"/>
        </w:rPr>
        <w:t xml:space="preserve">to </w:t>
      </w:r>
      <w:r w:rsidR="00925FD7" w:rsidRPr="00B57142">
        <w:rPr>
          <w:sz w:val="20"/>
          <w:szCs w:val="20"/>
        </w:rPr>
        <w:t>permit the voluntary addition</w:t>
      </w:r>
      <w:r w:rsidR="00AF22B0" w:rsidRPr="00B57142">
        <w:rPr>
          <w:sz w:val="20"/>
          <w:szCs w:val="20"/>
        </w:rPr>
        <w:t xml:space="preserve"> </w:t>
      </w:r>
      <w:r w:rsidR="003D10A1" w:rsidRPr="00B57142">
        <w:rPr>
          <w:sz w:val="20"/>
          <w:szCs w:val="20"/>
        </w:rPr>
        <w:t>of 2</w:t>
      </w:r>
      <w:r w:rsidR="00567609" w:rsidRPr="00B57142">
        <w:rPr>
          <w:sz w:val="20"/>
          <w:szCs w:val="20"/>
        </w:rPr>
        <w:t>′</w:t>
      </w:r>
      <w:r w:rsidR="003D10A1" w:rsidRPr="00B57142">
        <w:rPr>
          <w:sz w:val="20"/>
          <w:szCs w:val="20"/>
        </w:rPr>
        <w:t>-O-</w:t>
      </w:r>
      <w:r w:rsidR="00831AA1" w:rsidRPr="00B57142">
        <w:rPr>
          <w:sz w:val="20"/>
          <w:szCs w:val="20"/>
        </w:rPr>
        <w:t>f</w:t>
      </w:r>
      <w:r w:rsidR="003D10A1" w:rsidRPr="00B57142">
        <w:rPr>
          <w:sz w:val="20"/>
          <w:szCs w:val="20"/>
        </w:rPr>
        <w:t>ucosyllactose (2</w:t>
      </w:r>
      <w:r w:rsidR="00567609" w:rsidRPr="00B57142">
        <w:rPr>
          <w:sz w:val="20"/>
          <w:szCs w:val="20"/>
        </w:rPr>
        <w:t>′</w:t>
      </w:r>
      <w:r w:rsidR="003D10A1" w:rsidRPr="00B57142">
        <w:rPr>
          <w:sz w:val="20"/>
          <w:szCs w:val="20"/>
        </w:rPr>
        <w:t xml:space="preserve">-FL) </w:t>
      </w:r>
      <w:r w:rsidR="005C7BE5" w:rsidRPr="00B57142">
        <w:rPr>
          <w:sz w:val="20"/>
          <w:szCs w:val="20"/>
        </w:rPr>
        <w:t>alone</w:t>
      </w:r>
      <w:r w:rsidR="00BD5507" w:rsidRPr="00B57142">
        <w:rPr>
          <w:sz w:val="20"/>
          <w:szCs w:val="20"/>
        </w:rPr>
        <w:t xml:space="preserve"> </w:t>
      </w:r>
      <w:r w:rsidR="005C7BE5" w:rsidRPr="00B57142">
        <w:rPr>
          <w:sz w:val="20"/>
          <w:szCs w:val="20"/>
        </w:rPr>
        <w:t xml:space="preserve">or in combination with Lacto-N-neotetraose (LNnT), </w:t>
      </w:r>
      <w:r w:rsidR="00AB74D2" w:rsidRPr="00B57142">
        <w:rPr>
          <w:sz w:val="20"/>
          <w:szCs w:val="20"/>
        </w:rPr>
        <w:t xml:space="preserve">produced by </w:t>
      </w:r>
      <w:r w:rsidR="002D74D4" w:rsidRPr="00B57142">
        <w:rPr>
          <w:sz w:val="20"/>
          <w:szCs w:val="20"/>
        </w:rPr>
        <w:t xml:space="preserve">microbial </w:t>
      </w:r>
      <w:r w:rsidR="00AB74D2" w:rsidRPr="00B57142">
        <w:rPr>
          <w:sz w:val="20"/>
          <w:szCs w:val="20"/>
        </w:rPr>
        <w:t xml:space="preserve">fermentation, </w:t>
      </w:r>
      <w:r w:rsidR="005C7BE5" w:rsidRPr="00B57142">
        <w:rPr>
          <w:sz w:val="20"/>
          <w:szCs w:val="20"/>
        </w:rPr>
        <w:t xml:space="preserve">in infant formula </w:t>
      </w:r>
      <w:r w:rsidR="002F458B" w:rsidRPr="00B57142">
        <w:rPr>
          <w:sz w:val="20"/>
          <w:szCs w:val="20"/>
        </w:rPr>
        <w:t>products</w:t>
      </w:r>
      <w:r w:rsidR="005C7BE5" w:rsidRPr="00B57142">
        <w:rPr>
          <w:sz w:val="20"/>
          <w:szCs w:val="20"/>
        </w:rPr>
        <w:t xml:space="preserve"> and formulated supplementary </w:t>
      </w:r>
      <w:r w:rsidR="002F458B" w:rsidRPr="00B57142">
        <w:rPr>
          <w:sz w:val="20"/>
          <w:szCs w:val="20"/>
        </w:rPr>
        <w:t>foods for young children</w:t>
      </w:r>
      <w:r w:rsidR="00BA24E2" w:rsidRPr="00B57142">
        <w:rPr>
          <w:sz w:val="20"/>
          <w:szCs w:val="20"/>
        </w:rPr>
        <w:t>.</w:t>
      </w:r>
      <w:r w:rsidR="00BA24E2" w:rsidRPr="005C7BE5">
        <w:rPr>
          <w:sz w:val="20"/>
          <w:szCs w:val="20"/>
        </w:rPr>
        <w:t xml:space="preserve"> </w:t>
      </w:r>
    </w:p>
    <w:p w14:paraId="46F4892A" w14:textId="77777777" w:rsidR="00413CA8" w:rsidRPr="007C174F" w:rsidRDefault="00413CA8" w:rsidP="00E203C2">
      <w:pPr>
        <w:rPr>
          <w:sz w:val="20"/>
          <w:szCs w:val="20"/>
        </w:rPr>
      </w:pPr>
    </w:p>
    <w:p w14:paraId="2E3EDEDC" w14:textId="77777777" w:rsidR="00351B07" w:rsidRDefault="00A91DF1" w:rsidP="00E203C2">
      <w:pPr>
        <w:rPr>
          <w:sz w:val="20"/>
          <w:szCs w:val="20"/>
        </w:rPr>
      </w:pPr>
      <w:r>
        <w:rPr>
          <w:sz w:val="20"/>
          <w:szCs w:val="20"/>
        </w:rPr>
        <w:t>Fo</w:t>
      </w:r>
      <w:r w:rsidR="00AD22F9">
        <w:rPr>
          <w:sz w:val="20"/>
          <w:szCs w:val="20"/>
        </w:rPr>
        <w:t>r</w:t>
      </w:r>
      <w:r>
        <w:rPr>
          <w:sz w:val="20"/>
          <w:szCs w:val="20"/>
        </w:rPr>
        <w:t xml:space="preserve"> </w:t>
      </w:r>
      <w:r w:rsidR="00091CC2">
        <w:rPr>
          <w:sz w:val="20"/>
          <w:szCs w:val="20"/>
        </w:rPr>
        <w:t xml:space="preserve">information about </w:t>
      </w:r>
      <w:r w:rsidR="00BA24E2">
        <w:rPr>
          <w:sz w:val="20"/>
          <w:szCs w:val="20"/>
        </w:rPr>
        <w:t>making a</w:t>
      </w:r>
      <w:r w:rsidR="00351B07" w:rsidRPr="007C174F">
        <w:rPr>
          <w:sz w:val="20"/>
          <w:szCs w:val="20"/>
        </w:rPr>
        <w:t xml:space="preserve"> submission</w:t>
      </w:r>
      <w:r>
        <w:rPr>
          <w:sz w:val="20"/>
          <w:szCs w:val="20"/>
        </w:rPr>
        <w:t>, visit</w:t>
      </w:r>
      <w:r w:rsidR="00351B07" w:rsidRPr="007C174F">
        <w:rPr>
          <w:sz w:val="20"/>
          <w:szCs w:val="20"/>
        </w:rPr>
        <w:t xml:space="preserve"> the FSANZ website at</w:t>
      </w:r>
      <w:r w:rsidR="00AD22F9">
        <w:rPr>
          <w:sz w:val="20"/>
          <w:szCs w:val="20"/>
        </w:rPr>
        <w:t xml:space="preserve"> </w:t>
      </w:r>
      <w:hyperlink r:id="rId15" w:history="1">
        <w:r w:rsidR="00C56F71">
          <w:rPr>
            <w:rStyle w:val="Hyperlink"/>
            <w:sz w:val="20"/>
            <w:szCs w:val="20"/>
            <w:lang w:val="en-AU"/>
          </w:rPr>
          <w:t>information for submitters</w:t>
        </w:r>
      </w:hyperlink>
      <w:r w:rsidR="00351B07" w:rsidRPr="007C174F">
        <w:rPr>
          <w:sz w:val="20"/>
          <w:szCs w:val="20"/>
        </w:rPr>
        <w:t>.</w:t>
      </w:r>
    </w:p>
    <w:p w14:paraId="3CF86627" w14:textId="77777777" w:rsidR="00D81D38" w:rsidRPr="00276026" w:rsidRDefault="00D81D38" w:rsidP="00276026">
      <w:pPr>
        <w:rPr>
          <w:sz w:val="20"/>
          <w:szCs w:val="20"/>
        </w:rPr>
      </w:pPr>
    </w:p>
    <w:p w14:paraId="2073C3E8" w14:textId="4F3F76A8" w:rsidR="00276026" w:rsidRPr="00276026" w:rsidRDefault="00276026" w:rsidP="00AC74CB">
      <w:pPr>
        <w:ind w:right="-428"/>
        <w:rPr>
          <w:sz w:val="20"/>
          <w:szCs w:val="20"/>
        </w:rPr>
      </w:pPr>
      <w:r w:rsidRPr="00276026">
        <w:rPr>
          <w:sz w:val="20"/>
          <w:szCs w:val="20"/>
        </w:rPr>
        <w:t xml:space="preserve">All submissions on applications and proposals will be published on our website. We will not publish material that </w:t>
      </w:r>
      <w:r w:rsidR="00901EF6">
        <w:rPr>
          <w:sz w:val="20"/>
          <w:szCs w:val="20"/>
        </w:rPr>
        <w:t>we accept as confidential</w:t>
      </w:r>
      <w:r w:rsidRPr="00276026">
        <w:rPr>
          <w:sz w:val="20"/>
          <w:szCs w:val="20"/>
        </w:rPr>
        <w:t xml:space="preserve">, but will record that such information is held. In-confidence submissions may be subject to release under the provisions of the </w:t>
      </w:r>
      <w:r w:rsidRPr="00276026">
        <w:rPr>
          <w:i/>
          <w:iCs/>
          <w:sz w:val="20"/>
          <w:szCs w:val="20"/>
        </w:rPr>
        <w:t>Freedom of Information Act 1991</w:t>
      </w:r>
      <w:r w:rsidRPr="00276026">
        <w:rPr>
          <w:sz w:val="20"/>
          <w:szCs w:val="20"/>
        </w:rPr>
        <w:t>.</w:t>
      </w:r>
      <w:r>
        <w:rPr>
          <w:sz w:val="20"/>
          <w:szCs w:val="20"/>
        </w:rPr>
        <w:t xml:space="preserve"> </w:t>
      </w:r>
      <w:r w:rsidRPr="00276026">
        <w:rPr>
          <w:sz w:val="20"/>
          <w:szCs w:val="20"/>
        </w:rPr>
        <w:t>Submissions will be published as soon as possible after the end of the public comment period. Where large numbers of documents are involved, FSANZ will make these available on CD, rather than on the website.</w:t>
      </w:r>
    </w:p>
    <w:p w14:paraId="142F57AD" w14:textId="77777777" w:rsidR="00876515" w:rsidRPr="00276026" w:rsidRDefault="00876515" w:rsidP="00276026">
      <w:pPr>
        <w:rPr>
          <w:color w:val="000000"/>
          <w:sz w:val="20"/>
          <w:szCs w:val="20"/>
          <w:lang w:val="en-AU"/>
        </w:rPr>
      </w:pPr>
    </w:p>
    <w:p w14:paraId="77434AC1" w14:textId="77777777" w:rsidR="00E203C2" w:rsidRPr="007C174F" w:rsidRDefault="00AD22F9" w:rsidP="00E203C2">
      <w:pPr>
        <w:rPr>
          <w:color w:val="000000"/>
          <w:sz w:val="20"/>
          <w:szCs w:val="20"/>
          <w:lang w:val="en-AU"/>
        </w:rPr>
      </w:pPr>
      <w:r>
        <w:rPr>
          <w:color w:val="000000"/>
          <w:sz w:val="20"/>
          <w:szCs w:val="20"/>
          <w:lang w:val="en-AU"/>
        </w:rPr>
        <w:t>Under s</w:t>
      </w:r>
      <w:r w:rsidR="00351B07" w:rsidRPr="007C174F">
        <w:rPr>
          <w:color w:val="000000"/>
          <w:sz w:val="20"/>
          <w:szCs w:val="20"/>
          <w:lang w:val="en-AU"/>
        </w:rPr>
        <w:t xml:space="preserve">ection 114 </w:t>
      </w:r>
      <w:r w:rsidR="00FB1533">
        <w:rPr>
          <w:color w:val="000000"/>
          <w:sz w:val="20"/>
          <w:szCs w:val="20"/>
          <w:lang w:val="en-AU"/>
        </w:rPr>
        <w:t xml:space="preserve">of the FSANZ Act, </w:t>
      </w:r>
      <w:r>
        <w:rPr>
          <w:color w:val="000000"/>
          <w:sz w:val="20"/>
          <w:szCs w:val="20"/>
          <w:lang w:val="en-AU"/>
        </w:rPr>
        <w:t>some information provided to FSANZ cannot be disclosed. More</w:t>
      </w:r>
      <w:r w:rsidR="00351B07" w:rsidRPr="007C174F">
        <w:rPr>
          <w:color w:val="000000"/>
          <w:sz w:val="20"/>
          <w:szCs w:val="20"/>
          <w:lang w:val="en-AU"/>
        </w:rPr>
        <w:t xml:space="preserve"> information about the disclosure of confidential commercial information is available on the FSANZ website at</w:t>
      </w:r>
      <w:r w:rsidR="004A3685">
        <w:rPr>
          <w:color w:val="000000"/>
          <w:sz w:val="20"/>
          <w:szCs w:val="20"/>
          <w:lang w:val="en-AU"/>
        </w:rPr>
        <w:t xml:space="preserve"> </w:t>
      </w:r>
      <w:hyperlink r:id="rId16" w:history="1">
        <w:r w:rsidR="004A3685">
          <w:rPr>
            <w:rStyle w:val="Hyperlink"/>
            <w:sz w:val="20"/>
            <w:szCs w:val="20"/>
            <w:lang w:val="en-AU"/>
          </w:rPr>
          <w:t>information for submitters</w:t>
        </w:r>
      </w:hyperlink>
      <w:r w:rsidR="004A3685">
        <w:rPr>
          <w:color w:val="000000"/>
          <w:sz w:val="20"/>
          <w:szCs w:val="20"/>
          <w:lang w:val="en-AU"/>
        </w:rPr>
        <w:t>.</w:t>
      </w:r>
    </w:p>
    <w:p w14:paraId="6B97D62E" w14:textId="77777777" w:rsidR="00E203C2" w:rsidRPr="007C174F" w:rsidRDefault="00E203C2" w:rsidP="00E203C2">
      <w:pPr>
        <w:rPr>
          <w:color w:val="000000"/>
          <w:sz w:val="20"/>
          <w:szCs w:val="20"/>
          <w:lang w:val="en-AU"/>
        </w:rPr>
      </w:pPr>
    </w:p>
    <w:p w14:paraId="3B009D85" w14:textId="77777777" w:rsidR="00351B07" w:rsidRPr="007C174F" w:rsidRDefault="00E063C6" w:rsidP="00E203C2">
      <w:pPr>
        <w:rPr>
          <w:color w:val="000000"/>
          <w:sz w:val="20"/>
          <w:szCs w:val="20"/>
          <w:lang w:val="en-AU"/>
        </w:rPr>
      </w:pPr>
      <w:r w:rsidRPr="007C174F">
        <w:rPr>
          <w:color w:val="000000"/>
          <w:sz w:val="20"/>
          <w:szCs w:val="20"/>
          <w:lang w:val="en-AU"/>
        </w:rPr>
        <w:t xml:space="preserve">Submissions </w:t>
      </w:r>
      <w:r w:rsidR="00351B07" w:rsidRPr="007C174F">
        <w:rPr>
          <w:color w:val="000000"/>
          <w:sz w:val="20"/>
          <w:szCs w:val="20"/>
          <w:lang w:val="en-AU"/>
        </w:rPr>
        <w:t>should</w:t>
      </w:r>
      <w:r w:rsidRPr="007C174F">
        <w:rPr>
          <w:color w:val="000000"/>
          <w:sz w:val="20"/>
          <w:szCs w:val="20"/>
          <w:lang w:val="en-AU"/>
        </w:rPr>
        <w:t xml:space="preserve"> be made in writing</w:t>
      </w:r>
      <w:r w:rsidR="00351B07" w:rsidRPr="007C174F">
        <w:rPr>
          <w:color w:val="000000"/>
          <w:sz w:val="20"/>
          <w:szCs w:val="20"/>
          <w:lang w:val="en-AU"/>
        </w:rPr>
        <w:t>;</w:t>
      </w:r>
      <w:r w:rsidRPr="007C174F">
        <w:rPr>
          <w:color w:val="000000"/>
          <w:sz w:val="20"/>
          <w:szCs w:val="20"/>
          <w:lang w:val="en-AU"/>
        </w:rPr>
        <w:t xml:space="preserve"> be marked </w:t>
      </w:r>
      <w:r w:rsidR="00351B07" w:rsidRPr="007C174F">
        <w:rPr>
          <w:color w:val="000000"/>
          <w:sz w:val="20"/>
          <w:szCs w:val="20"/>
          <w:lang w:val="en-AU"/>
        </w:rPr>
        <w:t xml:space="preserve">clearly </w:t>
      </w:r>
      <w:r w:rsidRPr="007C174F">
        <w:rPr>
          <w:color w:val="000000"/>
          <w:sz w:val="20"/>
          <w:szCs w:val="20"/>
          <w:lang w:val="en-AU"/>
        </w:rPr>
        <w:t>with the word ‘Submission’ and quote the correct project number and name</w:t>
      </w:r>
      <w:r w:rsidR="003309A8">
        <w:rPr>
          <w:color w:val="000000"/>
          <w:sz w:val="20"/>
          <w:szCs w:val="20"/>
          <w:lang w:val="en-AU"/>
        </w:rPr>
        <w:t xml:space="preserve">. </w:t>
      </w:r>
      <w:r w:rsidRPr="007C174F">
        <w:rPr>
          <w:color w:val="000000"/>
          <w:sz w:val="20"/>
          <w:szCs w:val="20"/>
          <w:lang w:val="en-AU"/>
        </w:rPr>
        <w:t xml:space="preserve">While FSANZ accepts submissions in hard copy to our offices, it is more convenient to receive submissions electronically through the FSANZ website </w:t>
      </w:r>
      <w:r w:rsidR="0037520F">
        <w:rPr>
          <w:color w:val="000000"/>
          <w:sz w:val="20"/>
          <w:szCs w:val="20"/>
          <w:lang w:val="en-AU"/>
        </w:rPr>
        <w:t>via the link</w:t>
      </w:r>
      <w:r w:rsidR="0037520F" w:rsidRPr="008C0E7A">
        <w:rPr>
          <w:color w:val="000000"/>
          <w:sz w:val="20"/>
          <w:szCs w:val="20"/>
          <w:lang w:val="en-AU"/>
        </w:rPr>
        <w:t xml:space="preserve"> on </w:t>
      </w:r>
      <w:hyperlink r:id="rId17" w:history="1">
        <w:r w:rsidR="008C0E7A" w:rsidRPr="008C0E7A">
          <w:rPr>
            <w:rStyle w:val="Hyperlink"/>
            <w:sz w:val="20"/>
            <w:szCs w:val="20"/>
          </w:rPr>
          <w:t>documents for public comment</w:t>
        </w:r>
      </w:hyperlink>
      <w:r w:rsidR="003309A8">
        <w:rPr>
          <w:color w:val="000000"/>
          <w:sz w:val="20"/>
          <w:szCs w:val="20"/>
          <w:lang w:val="en-AU"/>
        </w:rPr>
        <w:t>.</w:t>
      </w:r>
      <w:r w:rsidR="008C0E7A">
        <w:rPr>
          <w:color w:val="000000"/>
          <w:sz w:val="20"/>
          <w:szCs w:val="20"/>
          <w:lang w:val="en-AU"/>
        </w:rPr>
        <w:t xml:space="preserve"> </w:t>
      </w:r>
      <w:r w:rsidR="0037520F">
        <w:rPr>
          <w:color w:val="000000"/>
          <w:sz w:val="20"/>
          <w:szCs w:val="20"/>
          <w:lang w:val="en-AU"/>
        </w:rPr>
        <w:t>You can also</w:t>
      </w:r>
      <w:r w:rsidRPr="007C174F">
        <w:rPr>
          <w:color w:val="000000"/>
          <w:sz w:val="20"/>
          <w:szCs w:val="20"/>
          <w:lang w:val="en-AU"/>
        </w:rPr>
        <w:t xml:space="preserve"> email your submission directly to </w:t>
      </w:r>
      <w:hyperlink r:id="rId18" w:history="1">
        <w:r w:rsidRPr="007C174F">
          <w:rPr>
            <w:rStyle w:val="Hyperlink"/>
            <w:rFonts w:cs="Arial"/>
            <w:sz w:val="20"/>
            <w:szCs w:val="20"/>
            <w:lang w:val="en-AU"/>
          </w:rPr>
          <w:t>submissions@foodstandards.gov.au</w:t>
        </w:r>
      </w:hyperlink>
      <w:r w:rsidR="003309A8">
        <w:rPr>
          <w:color w:val="000000"/>
          <w:sz w:val="20"/>
          <w:szCs w:val="20"/>
          <w:lang w:val="en-AU"/>
        </w:rPr>
        <w:t xml:space="preserve">. </w:t>
      </w:r>
    </w:p>
    <w:p w14:paraId="21A7C611" w14:textId="77777777" w:rsidR="00E203C2" w:rsidRPr="007C174F" w:rsidRDefault="00E203C2" w:rsidP="00E203C2">
      <w:pPr>
        <w:rPr>
          <w:color w:val="000000"/>
          <w:sz w:val="20"/>
          <w:szCs w:val="20"/>
          <w:lang w:val="en-AU"/>
        </w:rPr>
      </w:pPr>
    </w:p>
    <w:p w14:paraId="3C665058" w14:textId="77777777" w:rsidR="00E063C6" w:rsidRPr="007C174F" w:rsidRDefault="00E063C6" w:rsidP="00E203C2">
      <w:pPr>
        <w:rPr>
          <w:color w:val="000000"/>
          <w:sz w:val="20"/>
          <w:szCs w:val="20"/>
          <w:lang w:val="en-AU"/>
        </w:rPr>
      </w:pPr>
      <w:r w:rsidRPr="007C174F">
        <w:rPr>
          <w:color w:val="000000"/>
          <w:sz w:val="20"/>
          <w:szCs w:val="20"/>
          <w:lang w:val="en-AU"/>
        </w:rPr>
        <w:t xml:space="preserve">There is no need to send a hard copy of your submission if you have submitted it by email or </w:t>
      </w:r>
      <w:r w:rsidR="0037520F">
        <w:rPr>
          <w:color w:val="000000"/>
          <w:sz w:val="20"/>
          <w:szCs w:val="20"/>
          <w:lang w:val="en-AU"/>
        </w:rPr>
        <w:t xml:space="preserve">via </w:t>
      </w:r>
      <w:r w:rsidRPr="007C174F">
        <w:rPr>
          <w:color w:val="000000"/>
          <w:sz w:val="20"/>
          <w:szCs w:val="20"/>
          <w:lang w:val="en-AU"/>
        </w:rPr>
        <w:t>the FSANZ website</w:t>
      </w:r>
      <w:r w:rsidR="003309A8">
        <w:rPr>
          <w:color w:val="000000"/>
          <w:sz w:val="20"/>
          <w:szCs w:val="20"/>
          <w:lang w:val="en-AU"/>
        </w:rPr>
        <w:t xml:space="preserve">. </w:t>
      </w:r>
      <w:r w:rsidRPr="007C174F">
        <w:rPr>
          <w:color w:val="000000"/>
          <w:sz w:val="20"/>
          <w:szCs w:val="20"/>
          <w:lang w:val="en-AU"/>
        </w:rPr>
        <w:t>FSANZ endeavours to formally acknowledge receipt of submissions within 3 business days.</w:t>
      </w:r>
    </w:p>
    <w:p w14:paraId="3C251576" w14:textId="77777777" w:rsidR="00E203C2" w:rsidRPr="00181ECC" w:rsidRDefault="00E203C2" w:rsidP="00E203C2">
      <w:pPr>
        <w:rPr>
          <w:sz w:val="20"/>
          <w:lang w:val="en-AU"/>
        </w:rPr>
      </w:pPr>
    </w:p>
    <w:p w14:paraId="06FC5405" w14:textId="29E4014D" w:rsidR="00F2094E" w:rsidRPr="00181ECC" w:rsidRDefault="00E063C6" w:rsidP="00F2094E">
      <w:pPr>
        <w:tabs>
          <w:tab w:val="left" w:pos="7920"/>
        </w:tabs>
        <w:autoSpaceDE w:val="0"/>
        <w:autoSpaceDN w:val="0"/>
        <w:adjustRightInd w:val="0"/>
        <w:jc w:val="center"/>
        <w:rPr>
          <w:rFonts w:cs="Arial"/>
          <w:b/>
          <w:bCs/>
          <w:sz w:val="24"/>
        </w:rPr>
      </w:pPr>
      <w:r w:rsidRPr="00181ECC">
        <w:rPr>
          <w:rFonts w:cs="Arial"/>
          <w:b/>
          <w:bCs/>
          <w:sz w:val="24"/>
        </w:rPr>
        <w:t>DEADLINE FOR SUBMISSIONS</w:t>
      </w:r>
      <w:r w:rsidRPr="00181ECC">
        <w:rPr>
          <w:rFonts w:cs="Arial"/>
          <w:b/>
          <w:sz w:val="24"/>
        </w:rPr>
        <w:t xml:space="preserve">:  </w:t>
      </w:r>
      <w:r w:rsidR="00F2094E" w:rsidRPr="00181ECC">
        <w:rPr>
          <w:rFonts w:cs="Arial"/>
          <w:b/>
          <w:bCs/>
          <w:sz w:val="24"/>
        </w:rPr>
        <w:t xml:space="preserve">6pm (Canberra time) </w:t>
      </w:r>
      <w:r w:rsidR="00181ECC" w:rsidRPr="00181ECC">
        <w:rPr>
          <w:rFonts w:cs="Arial"/>
          <w:b/>
          <w:bCs/>
          <w:sz w:val="24"/>
        </w:rPr>
        <w:t>2 September 2019</w:t>
      </w:r>
    </w:p>
    <w:p w14:paraId="75B5335E" w14:textId="639FC2BA" w:rsidR="00E063C6" w:rsidRPr="000B7B09" w:rsidRDefault="00E063C6" w:rsidP="00413CA8">
      <w:pPr>
        <w:tabs>
          <w:tab w:val="left" w:pos="7920"/>
        </w:tabs>
        <w:autoSpaceDE w:val="0"/>
        <w:autoSpaceDN w:val="0"/>
        <w:adjustRightInd w:val="0"/>
        <w:jc w:val="center"/>
        <w:rPr>
          <w:rFonts w:cs="Arial"/>
          <w:b/>
          <w:bCs/>
          <w:sz w:val="24"/>
        </w:rPr>
      </w:pPr>
    </w:p>
    <w:p w14:paraId="100B40F5" w14:textId="7365D913" w:rsidR="00AB74D2" w:rsidRDefault="00E063C6" w:rsidP="00E203C2">
      <w:pPr>
        <w:rPr>
          <w:sz w:val="20"/>
          <w:szCs w:val="20"/>
          <w:lang w:val="en-AU"/>
        </w:rPr>
      </w:pPr>
      <w:r w:rsidRPr="007C174F">
        <w:rPr>
          <w:sz w:val="20"/>
          <w:szCs w:val="20"/>
          <w:lang w:val="en-AU"/>
        </w:rPr>
        <w:t xml:space="preserve">Submissions received after this date will </w:t>
      </w:r>
      <w:r w:rsidR="00351B07" w:rsidRPr="007C174F">
        <w:rPr>
          <w:sz w:val="20"/>
          <w:szCs w:val="20"/>
          <w:lang w:val="en-AU"/>
        </w:rPr>
        <w:t>not</w:t>
      </w:r>
      <w:r w:rsidRPr="007C174F">
        <w:rPr>
          <w:sz w:val="20"/>
          <w:szCs w:val="20"/>
          <w:lang w:val="en-AU"/>
        </w:rPr>
        <w:t xml:space="preserve"> be considered </w:t>
      </w:r>
      <w:r w:rsidR="00351B07" w:rsidRPr="007C174F">
        <w:rPr>
          <w:sz w:val="20"/>
          <w:szCs w:val="20"/>
          <w:lang w:val="en-AU"/>
        </w:rPr>
        <w:t>unless</w:t>
      </w:r>
      <w:r w:rsidRPr="007C174F">
        <w:rPr>
          <w:sz w:val="20"/>
          <w:szCs w:val="20"/>
          <w:lang w:val="en-AU"/>
        </w:rPr>
        <w:t xml:space="preserve"> an extension ha</w:t>
      </w:r>
      <w:r w:rsidR="00D22F3C" w:rsidRPr="007C174F">
        <w:rPr>
          <w:sz w:val="20"/>
          <w:szCs w:val="20"/>
          <w:lang w:val="en-AU"/>
        </w:rPr>
        <w:t>d</w:t>
      </w:r>
      <w:r w:rsidRPr="007C174F">
        <w:rPr>
          <w:sz w:val="20"/>
          <w:szCs w:val="20"/>
          <w:lang w:val="en-AU"/>
        </w:rPr>
        <w:t xml:space="preserve"> been given </w:t>
      </w:r>
      <w:r w:rsidR="0037520F">
        <w:rPr>
          <w:sz w:val="20"/>
          <w:szCs w:val="20"/>
          <w:lang w:val="en-AU"/>
        </w:rPr>
        <w:t xml:space="preserve">before </w:t>
      </w:r>
      <w:r w:rsidRPr="007C174F">
        <w:rPr>
          <w:sz w:val="20"/>
          <w:szCs w:val="20"/>
          <w:lang w:val="en-AU"/>
        </w:rPr>
        <w:t>th</w:t>
      </w:r>
      <w:r w:rsidR="00351B07" w:rsidRPr="007C174F">
        <w:rPr>
          <w:sz w:val="20"/>
          <w:szCs w:val="20"/>
          <w:lang w:val="en-AU"/>
        </w:rPr>
        <w:t>e</w:t>
      </w:r>
      <w:r w:rsidRPr="007C174F">
        <w:rPr>
          <w:sz w:val="20"/>
          <w:szCs w:val="20"/>
          <w:lang w:val="en-AU"/>
        </w:rPr>
        <w:t xml:space="preserve"> closing date</w:t>
      </w:r>
      <w:r w:rsidR="003309A8">
        <w:rPr>
          <w:sz w:val="20"/>
          <w:szCs w:val="20"/>
          <w:lang w:val="en-AU"/>
        </w:rPr>
        <w:t xml:space="preserve">. </w:t>
      </w:r>
      <w:r w:rsidR="0037520F">
        <w:rPr>
          <w:sz w:val="20"/>
          <w:szCs w:val="20"/>
          <w:lang w:val="en-AU"/>
        </w:rPr>
        <w:t xml:space="preserve">Extensions will only be granted due to </w:t>
      </w:r>
      <w:r w:rsidRPr="00AD7A3D">
        <w:rPr>
          <w:sz w:val="20"/>
          <w:szCs w:val="20"/>
          <w:lang w:val="en-AU"/>
        </w:rPr>
        <w:t>extraordinary</w:t>
      </w:r>
      <w:r w:rsidRPr="007C174F">
        <w:rPr>
          <w:sz w:val="20"/>
          <w:szCs w:val="20"/>
          <w:lang w:val="en-AU"/>
        </w:rPr>
        <w:t xml:space="preserve"> circumstances </w:t>
      </w:r>
      <w:r w:rsidR="0037520F">
        <w:rPr>
          <w:sz w:val="20"/>
          <w:szCs w:val="20"/>
          <w:lang w:val="en-AU"/>
        </w:rPr>
        <w:t xml:space="preserve">during the </w:t>
      </w:r>
      <w:r w:rsidRPr="007C174F">
        <w:rPr>
          <w:sz w:val="20"/>
          <w:szCs w:val="20"/>
          <w:lang w:val="en-AU"/>
        </w:rPr>
        <w:t>submission period</w:t>
      </w:r>
      <w:r w:rsidR="003309A8">
        <w:rPr>
          <w:sz w:val="20"/>
          <w:szCs w:val="20"/>
          <w:lang w:val="en-AU"/>
        </w:rPr>
        <w:t xml:space="preserve">. </w:t>
      </w:r>
      <w:r w:rsidRPr="007C174F">
        <w:rPr>
          <w:sz w:val="20"/>
          <w:szCs w:val="20"/>
          <w:lang w:val="en-AU"/>
        </w:rPr>
        <w:t>Any agreed extension will be notified on the FSANZ website and will apply to all submitters.</w:t>
      </w:r>
    </w:p>
    <w:p w14:paraId="01A8B3DB" w14:textId="77777777" w:rsidR="00AB74D2" w:rsidRDefault="00AB74D2" w:rsidP="00E203C2">
      <w:pPr>
        <w:rPr>
          <w:sz w:val="20"/>
          <w:szCs w:val="20"/>
          <w:lang w:val="en-AU"/>
        </w:rPr>
      </w:pPr>
    </w:p>
    <w:p w14:paraId="6B761EF5" w14:textId="44440CB7" w:rsidR="00E063C6" w:rsidRPr="00AB74D2" w:rsidRDefault="0037520F" w:rsidP="00E203C2">
      <w:pPr>
        <w:rPr>
          <w:sz w:val="20"/>
          <w:szCs w:val="20"/>
          <w:lang w:val="en-AU"/>
        </w:rPr>
      </w:pPr>
      <w:r>
        <w:rPr>
          <w:sz w:val="20"/>
          <w:szCs w:val="20"/>
          <w:lang w:val="en-AU"/>
        </w:rPr>
        <w:t>Questions about</w:t>
      </w:r>
      <w:r w:rsidR="00E063C6" w:rsidRPr="007C174F">
        <w:rPr>
          <w:sz w:val="20"/>
          <w:szCs w:val="20"/>
          <w:lang w:val="en-AU"/>
        </w:rPr>
        <w:t xml:space="preserve"> making submissions or the application process can be </w:t>
      </w:r>
      <w:r>
        <w:rPr>
          <w:sz w:val="20"/>
          <w:szCs w:val="20"/>
          <w:lang w:val="en-AU"/>
        </w:rPr>
        <w:t>sent to</w:t>
      </w:r>
      <w:r w:rsidR="00E063C6" w:rsidRPr="007C174F">
        <w:rPr>
          <w:sz w:val="20"/>
          <w:szCs w:val="20"/>
          <w:lang w:val="en-AU"/>
        </w:rPr>
        <w:t xml:space="preserve"> </w:t>
      </w:r>
      <w:hyperlink r:id="rId19" w:history="1">
        <w:r w:rsidR="00E063C6" w:rsidRPr="007C174F">
          <w:rPr>
            <w:rStyle w:val="Hyperlink"/>
            <w:rFonts w:cs="Arial"/>
            <w:sz w:val="20"/>
            <w:szCs w:val="20"/>
            <w:lang w:val="en-AU"/>
          </w:rPr>
          <w:t>standards.management@foodstandards.gov.au</w:t>
        </w:r>
      </w:hyperlink>
      <w:r w:rsidR="00E063C6" w:rsidRPr="007C174F">
        <w:rPr>
          <w:sz w:val="20"/>
          <w:szCs w:val="20"/>
          <w:lang w:val="en-AU"/>
        </w:rPr>
        <w:t xml:space="preserve">. </w:t>
      </w:r>
    </w:p>
    <w:p w14:paraId="2D8E84B5" w14:textId="77777777" w:rsidR="00E203C2" w:rsidRPr="003A7725" w:rsidRDefault="00E203C2" w:rsidP="003A7725">
      <w:pPr>
        <w:rPr>
          <w:sz w:val="20"/>
          <w:lang w:val="en-AU"/>
        </w:rPr>
      </w:pPr>
    </w:p>
    <w:p w14:paraId="67925993" w14:textId="77777777" w:rsidR="00AD00C8" w:rsidRDefault="00AD00C8">
      <w:pPr>
        <w:widowControl/>
        <w:rPr>
          <w:sz w:val="20"/>
          <w:szCs w:val="20"/>
          <w:lang w:val="en-AU"/>
        </w:rPr>
      </w:pPr>
      <w:r>
        <w:rPr>
          <w:sz w:val="20"/>
          <w:szCs w:val="20"/>
          <w:lang w:val="en-AU"/>
        </w:rPr>
        <w:br w:type="page"/>
      </w:r>
    </w:p>
    <w:p w14:paraId="4F85D637" w14:textId="13E587AB" w:rsidR="00E063C6" w:rsidRPr="007C174F" w:rsidRDefault="00351B07" w:rsidP="00E203C2">
      <w:pPr>
        <w:rPr>
          <w:sz w:val="20"/>
          <w:szCs w:val="20"/>
          <w:lang w:val="en-AU"/>
        </w:rPr>
      </w:pPr>
      <w:r w:rsidRPr="007C174F">
        <w:rPr>
          <w:sz w:val="20"/>
          <w:szCs w:val="20"/>
          <w:lang w:val="en-AU"/>
        </w:rPr>
        <w:lastRenderedPageBreak/>
        <w:t>Hard</w:t>
      </w:r>
      <w:r w:rsidR="00E063C6" w:rsidRPr="007C174F">
        <w:rPr>
          <w:sz w:val="20"/>
          <w:szCs w:val="20"/>
          <w:lang w:val="en-AU"/>
        </w:rPr>
        <w:t xml:space="preserve"> copy submissions may be sent to one of the following addresses:</w:t>
      </w:r>
    </w:p>
    <w:p w14:paraId="5C77DA3D" w14:textId="77777777" w:rsidR="00E203C2" w:rsidRPr="007C174F" w:rsidRDefault="00E203C2" w:rsidP="00E203C2">
      <w:pPr>
        <w:rPr>
          <w:sz w:val="20"/>
          <w:szCs w:val="20"/>
          <w:lang w:val="en-AU"/>
        </w:rPr>
      </w:pPr>
    </w:p>
    <w:p w14:paraId="7CFC4354" w14:textId="77777777" w:rsidR="00E203C2" w:rsidRPr="007C174F" w:rsidRDefault="00E063C6" w:rsidP="00E203C2">
      <w:pPr>
        <w:tabs>
          <w:tab w:val="left" w:pos="4536"/>
        </w:tabs>
        <w:rPr>
          <w:sz w:val="20"/>
          <w:szCs w:val="20"/>
        </w:rPr>
      </w:pPr>
      <w:r w:rsidRPr="007C174F">
        <w:rPr>
          <w:sz w:val="20"/>
          <w:szCs w:val="20"/>
        </w:rPr>
        <w:t>Food Standards Australia New Zealand</w:t>
      </w:r>
      <w:r w:rsidRPr="007C174F">
        <w:rPr>
          <w:sz w:val="20"/>
          <w:szCs w:val="20"/>
        </w:rPr>
        <w:tab/>
      </w:r>
      <w:r w:rsidRPr="007C174F">
        <w:rPr>
          <w:sz w:val="20"/>
          <w:szCs w:val="20"/>
        </w:rPr>
        <w:tab/>
        <w:t>Food Standards Australia New Zealand</w:t>
      </w:r>
    </w:p>
    <w:p w14:paraId="74AFE04E" w14:textId="77777777" w:rsidR="00E203C2" w:rsidRPr="007C174F" w:rsidRDefault="00E063C6" w:rsidP="00E203C2">
      <w:pPr>
        <w:tabs>
          <w:tab w:val="left" w:pos="4536"/>
        </w:tabs>
        <w:rPr>
          <w:sz w:val="20"/>
          <w:szCs w:val="20"/>
        </w:rPr>
      </w:pPr>
      <w:r w:rsidRPr="007C174F">
        <w:rPr>
          <w:sz w:val="20"/>
          <w:szCs w:val="20"/>
        </w:rPr>
        <w:t xml:space="preserve">PO Box </w:t>
      </w:r>
      <w:r w:rsidR="00685269">
        <w:rPr>
          <w:sz w:val="20"/>
          <w:szCs w:val="20"/>
        </w:rPr>
        <w:t>5423</w:t>
      </w:r>
      <w:r w:rsidRPr="007C174F">
        <w:rPr>
          <w:sz w:val="20"/>
          <w:szCs w:val="20"/>
        </w:rPr>
        <w:tab/>
      </w:r>
      <w:r w:rsidRPr="007C174F">
        <w:rPr>
          <w:sz w:val="20"/>
          <w:szCs w:val="20"/>
        </w:rPr>
        <w:tab/>
        <w:t>PO Box 10559</w:t>
      </w:r>
    </w:p>
    <w:p w14:paraId="1A3CF4AB" w14:textId="77777777" w:rsidR="00E203C2" w:rsidRPr="007C174F" w:rsidRDefault="00685269" w:rsidP="00E203C2">
      <w:pPr>
        <w:tabs>
          <w:tab w:val="left" w:pos="4536"/>
        </w:tabs>
        <w:rPr>
          <w:sz w:val="20"/>
          <w:szCs w:val="20"/>
        </w:rPr>
      </w:pPr>
      <w:r>
        <w:rPr>
          <w:sz w:val="20"/>
          <w:szCs w:val="20"/>
        </w:rPr>
        <w:t>KINGSTON</w:t>
      </w:r>
      <w:r w:rsidR="00E063C6" w:rsidRPr="007C174F">
        <w:rPr>
          <w:sz w:val="20"/>
          <w:szCs w:val="20"/>
        </w:rPr>
        <w:t xml:space="preserve"> </w:t>
      </w:r>
      <w:r w:rsidR="0037520F">
        <w:rPr>
          <w:sz w:val="20"/>
          <w:szCs w:val="20"/>
        </w:rPr>
        <w:t xml:space="preserve"> </w:t>
      </w:r>
      <w:r w:rsidR="00E063C6" w:rsidRPr="007C174F">
        <w:rPr>
          <w:sz w:val="20"/>
          <w:szCs w:val="20"/>
        </w:rPr>
        <w:t>ACT</w:t>
      </w:r>
      <w:r w:rsidR="0037520F">
        <w:rPr>
          <w:sz w:val="20"/>
          <w:szCs w:val="20"/>
        </w:rPr>
        <w:t xml:space="preserve"> </w:t>
      </w:r>
      <w:r w:rsidR="00E063C6" w:rsidRPr="007C174F">
        <w:rPr>
          <w:sz w:val="20"/>
          <w:szCs w:val="20"/>
        </w:rPr>
        <w:t xml:space="preserve"> 2</w:t>
      </w:r>
      <w:r>
        <w:rPr>
          <w:sz w:val="20"/>
          <w:szCs w:val="20"/>
        </w:rPr>
        <w:t>604</w:t>
      </w:r>
      <w:r w:rsidR="00E063C6" w:rsidRPr="007C174F">
        <w:rPr>
          <w:sz w:val="20"/>
          <w:szCs w:val="20"/>
        </w:rPr>
        <w:tab/>
      </w:r>
      <w:r w:rsidR="00E063C6" w:rsidRPr="007C174F">
        <w:rPr>
          <w:sz w:val="20"/>
          <w:szCs w:val="20"/>
        </w:rPr>
        <w:tab/>
        <w:t>The Terrace WELLINGTON 6143</w:t>
      </w:r>
    </w:p>
    <w:p w14:paraId="2F82FFFD" w14:textId="77777777" w:rsidR="00E063C6" w:rsidRPr="007C174F" w:rsidRDefault="00E063C6" w:rsidP="00E203C2">
      <w:pPr>
        <w:tabs>
          <w:tab w:val="left" w:pos="4536"/>
        </w:tabs>
        <w:rPr>
          <w:sz w:val="20"/>
          <w:szCs w:val="20"/>
        </w:rPr>
      </w:pPr>
      <w:r w:rsidRPr="007C174F">
        <w:rPr>
          <w:sz w:val="20"/>
          <w:szCs w:val="20"/>
        </w:rPr>
        <w:t>AUSTRALIA</w:t>
      </w:r>
      <w:r w:rsidRPr="007C174F">
        <w:rPr>
          <w:sz w:val="20"/>
          <w:szCs w:val="20"/>
        </w:rPr>
        <w:tab/>
      </w:r>
      <w:r w:rsidRPr="007C174F">
        <w:rPr>
          <w:sz w:val="20"/>
          <w:szCs w:val="20"/>
        </w:rPr>
        <w:tab/>
        <w:t>NEW ZEALAND</w:t>
      </w:r>
    </w:p>
    <w:p w14:paraId="4B6A3CC2" w14:textId="0E29365A" w:rsidR="00D22F3C" w:rsidRPr="007C174F" w:rsidRDefault="00E063C6" w:rsidP="00203540">
      <w:pPr>
        <w:tabs>
          <w:tab w:val="left" w:pos="4536"/>
        </w:tabs>
        <w:rPr>
          <w:rFonts w:cs="Arial"/>
          <w:bCs/>
          <w:color w:val="FF0000"/>
          <w:sz w:val="20"/>
          <w:szCs w:val="20"/>
        </w:rPr>
      </w:pPr>
      <w:r w:rsidRPr="007C174F">
        <w:rPr>
          <w:sz w:val="20"/>
          <w:szCs w:val="20"/>
        </w:rPr>
        <w:t xml:space="preserve">Tel </w:t>
      </w:r>
      <w:r w:rsidR="00DD3C5E">
        <w:rPr>
          <w:sz w:val="20"/>
          <w:szCs w:val="20"/>
        </w:rPr>
        <w:t>+61 2</w:t>
      </w:r>
      <w:r w:rsidRPr="007C174F">
        <w:rPr>
          <w:sz w:val="20"/>
          <w:szCs w:val="20"/>
        </w:rPr>
        <w:t xml:space="preserve"> 6271 2222</w:t>
      </w:r>
      <w:r w:rsidRPr="007C174F">
        <w:rPr>
          <w:sz w:val="20"/>
          <w:szCs w:val="20"/>
        </w:rPr>
        <w:tab/>
      </w:r>
      <w:r w:rsidRPr="007C174F">
        <w:rPr>
          <w:sz w:val="20"/>
          <w:szCs w:val="20"/>
        </w:rPr>
        <w:tab/>
        <w:t xml:space="preserve">Tel </w:t>
      </w:r>
      <w:r w:rsidR="00DD3C5E">
        <w:rPr>
          <w:sz w:val="20"/>
          <w:szCs w:val="20"/>
        </w:rPr>
        <w:t>+64 4</w:t>
      </w:r>
      <w:r w:rsidR="0037520F">
        <w:rPr>
          <w:sz w:val="20"/>
          <w:szCs w:val="20"/>
        </w:rPr>
        <w:t xml:space="preserve"> 978 5630</w:t>
      </w:r>
    </w:p>
    <w:p w14:paraId="45A9B04C" w14:textId="77777777" w:rsidR="00413CA8" w:rsidRDefault="00413CA8" w:rsidP="00E203C2">
      <w:pPr>
        <w:spacing w:line="280" w:lineRule="exact"/>
        <w:jc w:val="center"/>
        <w:rPr>
          <w:rFonts w:cs="Arial"/>
          <w:bCs/>
          <w:sz w:val="28"/>
          <w:szCs w:val="28"/>
        </w:rPr>
        <w:sectPr w:rsidR="00413CA8" w:rsidSect="00B9694C">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134" w:left="1418" w:header="709" w:footer="709" w:gutter="0"/>
          <w:pgNumType w:fmt="lowerRoman" w:start="1"/>
          <w:cols w:space="708"/>
          <w:docGrid w:linePitch="360"/>
        </w:sectPr>
      </w:pPr>
    </w:p>
    <w:p w14:paraId="19DD3AF0" w14:textId="77777777" w:rsidR="00562917" w:rsidRPr="00646FDD" w:rsidRDefault="00562917" w:rsidP="00E40ED4">
      <w:pPr>
        <w:jc w:val="center"/>
        <w:rPr>
          <w:sz w:val="28"/>
          <w:szCs w:val="28"/>
        </w:rPr>
      </w:pPr>
      <w:r w:rsidRPr="00646FDD">
        <w:rPr>
          <w:sz w:val="28"/>
          <w:szCs w:val="28"/>
        </w:rPr>
        <w:t xml:space="preserve">Table of </w:t>
      </w:r>
      <w:r w:rsidR="000C412C">
        <w:rPr>
          <w:sz w:val="28"/>
          <w:szCs w:val="28"/>
        </w:rPr>
        <w:t>c</w:t>
      </w:r>
      <w:r w:rsidRPr="00646FDD">
        <w:rPr>
          <w:sz w:val="28"/>
          <w:szCs w:val="28"/>
        </w:rPr>
        <w:t>ontents</w:t>
      </w:r>
    </w:p>
    <w:p w14:paraId="572ACF2B" w14:textId="77777777" w:rsidR="00562917" w:rsidRPr="00AE766D" w:rsidRDefault="00562917" w:rsidP="00051ED9">
      <w:pPr>
        <w:rPr>
          <w:rFonts w:cs="Arial"/>
        </w:rPr>
      </w:pPr>
    </w:p>
    <w:p w14:paraId="3A654123" w14:textId="107C91A8" w:rsidR="00CA376B" w:rsidRDefault="00051ED9">
      <w:pPr>
        <w:pStyle w:val="TOC1"/>
        <w:tabs>
          <w:tab w:val="right" w:leader="dot" w:pos="9060"/>
        </w:tabs>
        <w:rPr>
          <w:rFonts w:eastAsiaTheme="minorEastAsia" w:cstheme="minorBidi"/>
          <w:b w:val="0"/>
          <w:bCs w:val="0"/>
          <w:caps w:val="0"/>
          <w:noProof/>
          <w:sz w:val="22"/>
          <w:szCs w:val="22"/>
          <w:lang w:eastAsia="en-GB" w:bidi="ar-SA"/>
        </w:rPr>
      </w:pPr>
      <w:r w:rsidRPr="002C4A91">
        <w:rPr>
          <w:rFonts w:ascii="Arial" w:hAnsi="Arial" w:cs="Arial"/>
        </w:rPr>
        <w:fldChar w:fldCharType="begin"/>
      </w:r>
      <w:r w:rsidRPr="002C4A91">
        <w:rPr>
          <w:rFonts w:ascii="Arial" w:hAnsi="Arial" w:cs="Arial"/>
        </w:rPr>
        <w:instrText xml:space="preserve"> TOC \o "1-3" \h \z \u </w:instrText>
      </w:r>
      <w:r w:rsidRPr="002C4A91">
        <w:rPr>
          <w:rFonts w:ascii="Arial" w:hAnsi="Arial" w:cs="Arial"/>
        </w:rPr>
        <w:fldChar w:fldCharType="separate"/>
      </w:r>
      <w:hyperlink w:anchor="_Toc14427183" w:history="1">
        <w:r w:rsidR="00CA376B" w:rsidRPr="00C51C59">
          <w:rPr>
            <w:rStyle w:val="Hyperlink"/>
            <w:noProof/>
          </w:rPr>
          <w:t>Executive summary</w:t>
        </w:r>
        <w:r w:rsidR="00CA376B">
          <w:rPr>
            <w:noProof/>
            <w:webHidden/>
          </w:rPr>
          <w:tab/>
        </w:r>
        <w:r w:rsidR="00CA376B">
          <w:rPr>
            <w:noProof/>
            <w:webHidden/>
          </w:rPr>
          <w:fldChar w:fldCharType="begin"/>
        </w:r>
        <w:r w:rsidR="00CA376B">
          <w:rPr>
            <w:noProof/>
            <w:webHidden/>
          </w:rPr>
          <w:instrText xml:space="preserve"> PAGEREF _Toc14427183 \h </w:instrText>
        </w:r>
        <w:r w:rsidR="00CA376B">
          <w:rPr>
            <w:noProof/>
            <w:webHidden/>
          </w:rPr>
        </w:r>
        <w:r w:rsidR="00CA376B">
          <w:rPr>
            <w:noProof/>
            <w:webHidden/>
          </w:rPr>
          <w:fldChar w:fldCharType="separate"/>
        </w:r>
        <w:r w:rsidR="004F448D">
          <w:rPr>
            <w:noProof/>
            <w:webHidden/>
          </w:rPr>
          <w:t>2</w:t>
        </w:r>
        <w:r w:rsidR="00CA376B">
          <w:rPr>
            <w:noProof/>
            <w:webHidden/>
          </w:rPr>
          <w:fldChar w:fldCharType="end"/>
        </w:r>
      </w:hyperlink>
    </w:p>
    <w:p w14:paraId="5980B8D9" w14:textId="2E1D4FFD" w:rsidR="00CA376B" w:rsidRDefault="00987B64">
      <w:pPr>
        <w:pStyle w:val="TOC1"/>
        <w:tabs>
          <w:tab w:val="left" w:pos="440"/>
          <w:tab w:val="right" w:leader="dot" w:pos="9060"/>
        </w:tabs>
        <w:rPr>
          <w:rFonts w:eastAsiaTheme="minorEastAsia" w:cstheme="minorBidi"/>
          <w:b w:val="0"/>
          <w:bCs w:val="0"/>
          <w:caps w:val="0"/>
          <w:noProof/>
          <w:sz w:val="22"/>
          <w:szCs w:val="22"/>
          <w:lang w:eastAsia="en-GB" w:bidi="ar-SA"/>
        </w:rPr>
      </w:pPr>
      <w:hyperlink w:anchor="_Toc14427184" w:history="1">
        <w:r w:rsidR="00CA376B" w:rsidRPr="00C51C59">
          <w:rPr>
            <w:rStyle w:val="Hyperlink"/>
            <w:noProof/>
          </w:rPr>
          <w:t>1</w:t>
        </w:r>
        <w:r w:rsidR="00CA376B">
          <w:rPr>
            <w:rFonts w:eastAsiaTheme="minorEastAsia" w:cstheme="minorBidi"/>
            <w:b w:val="0"/>
            <w:bCs w:val="0"/>
            <w:caps w:val="0"/>
            <w:noProof/>
            <w:sz w:val="22"/>
            <w:szCs w:val="22"/>
            <w:lang w:eastAsia="en-GB" w:bidi="ar-SA"/>
          </w:rPr>
          <w:tab/>
        </w:r>
        <w:r w:rsidR="00CA376B" w:rsidRPr="00C51C59">
          <w:rPr>
            <w:rStyle w:val="Hyperlink"/>
            <w:noProof/>
          </w:rPr>
          <w:t>Introduction</w:t>
        </w:r>
        <w:r w:rsidR="00CA376B">
          <w:rPr>
            <w:noProof/>
            <w:webHidden/>
          </w:rPr>
          <w:tab/>
        </w:r>
        <w:r w:rsidR="00CA376B">
          <w:rPr>
            <w:noProof/>
            <w:webHidden/>
          </w:rPr>
          <w:fldChar w:fldCharType="begin"/>
        </w:r>
        <w:r w:rsidR="00CA376B">
          <w:rPr>
            <w:noProof/>
            <w:webHidden/>
          </w:rPr>
          <w:instrText xml:space="preserve"> PAGEREF _Toc14427184 \h </w:instrText>
        </w:r>
        <w:r w:rsidR="00CA376B">
          <w:rPr>
            <w:noProof/>
            <w:webHidden/>
          </w:rPr>
        </w:r>
        <w:r w:rsidR="00CA376B">
          <w:rPr>
            <w:noProof/>
            <w:webHidden/>
          </w:rPr>
          <w:fldChar w:fldCharType="separate"/>
        </w:r>
        <w:r w:rsidR="004F448D">
          <w:rPr>
            <w:noProof/>
            <w:webHidden/>
          </w:rPr>
          <w:t>4</w:t>
        </w:r>
        <w:r w:rsidR="00CA376B">
          <w:rPr>
            <w:noProof/>
            <w:webHidden/>
          </w:rPr>
          <w:fldChar w:fldCharType="end"/>
        </w:r>
      </w:hyperlink>
    </w:p>
    <w:p w14:paraId="3A405491" w14:textId="4B3F1F53"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185" w:history="1">
        <w:r w:rsidR="00CA376B" w:rsidRPr="00C51C59">
          <w:rPr>
            <w:rStyle w:val="Hyperlink"/>
            <w:noProof/>
          </w:rPr>
          <w:t>1.1</w:t>
        </w:r>
        <w:r w:rsidR="00CA376B">
          <w:rPr>
            <w:rFonts w:eastAsiaTheme="minorEastAsia" w:cstheme="minorBidi"/>
            <w:smallCaps w:val="0"/>
            <w:noProof/>
            <w:sz w:val="22"/>
            <w:szCs w:val="22"/>
            <w:lang w:eastAsia="en-GB" w:bidi="ar-SA"/>
          </w:rPr>
          <w:tab/>
        </w:r>
        <w:r w:rsidR="00CA376B" w:rsidRPr="00C51C59">
          <w:rPr>
            <w:rStyle w:val="Hyperlink"/>
            <w:noProof/>
          </w:rPr>
          <w:t>The applicant</w:t>
        </w:r>
        <w:r w:rsidR="00CA376B">
          <w:rPr>
            <w:noProof/>
            <w:webHidden/>
          </w:rPr>
          <w:tab/>
        </w:r>
        <w:r w:rsidR="00CA376B">
          <w:rPr>
            <w:noProof/>
            <w:webHidden/>
          </w:rPr>
          <w:fldChar w:fldCharType="begin"/>
        </w:r>
        <w:r w:rsidR="00CA376B">
          <w:rPr>
            <w:noProof/>
            <w:webHidden/>
          </w:rPr>
          <w:instrText xml:space="preserve"> PAGEREF _Toc14427185 \h </w:instrText>
        </w:r>
        <w:r w:rsidR="00CA376B">
          <w:rPr>
            <w:noProof/>
            <w:webHidden/>
          </w:rPr>
        </w:r>
        <w:r w:rsidR="00CA376B">
          <w:rPr>
            <w:noProof/>
            <w:webHidden/>
          </w:rPr>
          <w:fldChar w:fldCharType="separate"/>
        </w:r>
        <w:r w:rsidR="004F448D">
          <w:rPr>
            <w:noProof/>
            <w:webHidden/>
          </w:rPr>
          <w:t>4</w:t>
        </w:r>
        <w:r w:rsidR="00CA376B">
          <w:rPr>
            <w:noProof/>
            <w:webHidden/>
          </w:rPr>
          <w:fldChar w:fldCharType="end"/>
        </w:r>
      </w:hyperlink>
    </w:p>
    <w:p w14:paraId="50F9228E" w14:textId="027A0BA8"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186" w:history="1">
        <w:r w:rsidR="00CA376B" w:rsidRPr="00C51C59">
          <w:rPr>
            <w:rStyle w:val="Hyperlink"/>
            <w:noProof/>
          </w:rPr>
          <w:t>1.2</w:t>
        </w:r>
        <w:r w:rsidR="00CA376B">
          <w:rPr>
            <w:rFonts w:eastAsiaTheme="minorEastAsia" w:cstheme="minorBidi"/>
            <w:smallCaps w:val="0"/>
            <w:noProof/>
            <w:sz w:val="22"/>
            <w:szCs w:val="22"/>
            <w:lang w:eastAsia="en-GB" w:bidi="ar-SA"/>
          </w:rPr>
          <w:tab/>
        </w:r>
        <w:r w:rsidR="00CA376B" w:rsidRPr="00C51C59">
          <w:rPr>
            <w:rStyle w:val="Hyperlink"/>
            <w:noProof/>
          </w:rPr>
          <w:t>The application</w:t>
        </w:r>
        <w:r w:rsidR="00CA376B">
          <w:rPr>
            <w:noProof/>
            <w:webHidden/>
          </w:rPr>
          <w:tab/>
        </w:r>
        <w:r w:rsidR="00CA376B">
          <w:rPr>
            <w:noProof/>
            <w:webHidden/>
          </w:rPr>
          <w:fldChar w:fldCharType="begin"/>
        </w:r>
        <w:r w:rsidR="00CA376B">
          <w:rPr>
            <w:noProof/>
            <w:webHidden/>
          </w:rPr>
          <w:instrText xml:space="preserve"> PAGEREF _Toc14427186 \h </w:instrText>
        </w:r>
        <w:r w:rsidR="00CA376B">
          <w:rPr>
            <w:noProof/>
            <w:webHidden/>
          </w:rPr>
        </w:r>
        <w:r w:rsidR="00CA376B">
          <w:rPr>
            <w:noProof/>
            <w:webHidden/>
          </w:rPr>
          <w:fldChar w:fldCharType="separate"/>
        </w:r>
        <w:r w:rsidR="004F448D">
          <w:rPr>
            <w:noProof/>
            <w:webHidden/>
          </w:rPr>
          <w:t>4</w:t>
        </w:r>
        <w:r w:rsidR="00CA376B">
          <w:rPr>
            <w:noProof/>
            <w:webHidden/>
          </w:rPr>
          <w:fldChar w:fldCharType="end"/>
        </w:r>
      </w:hyperlink>
    </w:p>
    <w:p w14:paraId="00AF804D" w14:textId="5A3C3712"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187" w:history="1">
        <w:r w:rsidR="00CA376B" w:rsidRPr="00C51C59">
          <w:rPr>
            <w:rStyle w:val="Hyperlink"/>
            <w:noProof/>
          </w:rPr>
          <w:t>1.3</w:t>
        </w:r>
        <w:r w:rsidR="00CA376B">
          <w:rPr>
            <w:rFonts w:eastAsiaTheme="minorEastAsia" w:cstheme="minorBidi"/>
            <w:smallCaps w:val="0"/>
            <w:noProof/>
            <w:sz w:val="22"/>
            <w:szCs w:val="22"/>
            <w:lang w:eastAsia="en-GB" w:bidi="ar-SA"/>
          </w:rPr>
          <w:tab/>
        </w:r>
        <w:r w:rsidR="00CA376B" w:rsidRPr="00C51C59">
          <w:rPr>
            <w:rStyle w:val="Hyperlink"/>
            <w:noProof/>
          </w:rPr>
          <w:t>The current standards</w:t>
        </w:r>
        <w:r w:rsidR="00CA376B">
          <w:rPr>
            <w:noProof/>
            <w:webHidden/>
          </w:rPr>
          <w:tab/>
        </w:r>
        <w:r w:rsidR="00CA376B">
          <w:rPr>
            <w:noProof/>
            <w:webHidden/>
          </w:rPr>
          <w:fldChar w:fldCharType="begin"/>
        </w:r>
        <w:r w:rsidR="00CA376B">
          <w:rPr>
            <w:noProof/>
            <w:webHidden/>
          </w:rPr>
          <w:instrText xml:space="preserve"> PAGEREF _Toc14427187 \h </w:instrText>
        </w:r>
        <w:r w:rsidR="00CA376B">
          <w:rPr>
            <w:noProof/>
            <w:webHidden/>
          </w:rPr>
        </w:r>
        <w:r w:rsidR="00CA376B">
          <w:rPr>
            <w:noProof/>
            <w:webHidden/>
          </w:rPr>
          <w:fldChar w:fldCharType="separate"/>
        </w:r>
        <w:r w:rsidR="004F448D">
          <w:rPr>
            <w:noProof/>
            <w:webHidden/>
          </w:rPr>
          <w:t>4</w:t>
        </w:r>
        <w:r w:rsidR="00CA376B">
          <w:rPr>
            <w:noProof/>
            <w:webHidden/>
          </w:rPr>
          <w:fldChar w:fldCharType="end"/>
        </w:r>
      </w:hyperlink>
    </w:p>
    <w:p w14:paraId="67D9ADDC" w14:textId="1534C85F"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188" w:history="1">
        <w:r w:rsidR="00CA376B" w:rsidRPr="00C51C59">
          <w:rPr>
            <w:rStyle w:val="Hyperlink"/>
            <w:noProof/>
          </w:rPr>
          <w:t>1.3.1</w:t>
        </w:r>
        <w:r w:rsidR="00CA376B">
          <w:rPr>
            <w:rFonts w:eastAsiaTheme="minorEastAsia" w:cstheme="minorBidi"/>
            <w:i w:val="0"/>
            <w:iCs w:val="0"/>
            <w:noProof/>
            <w:sz w:val="22"/>
            <w:szCs w:val="22"/>
            <w:lang w:eastAsia="en-GB" w:bidi="ar-SA"/>
          </w:rPr>
          <w:tab/>
        </w:r>
        <w:r w:rsidR="00CA376B" w:rsidRPr="00C51C59">
          <w:rPr>
            <w:rStyle w:val="Hyperlink"/>
            <w:noProof/>
          </w:rPr>
          <w:t>Australia and New Zealand</w:t>
        </w:r>
        <w:r w:rsidR="00CA376B">
          <w:rPr>
            <w:noProof/>
            <w:webHidden/>
          </w:rPr>
          <w:tab/>
        </w:r>
        <w:r w:rsidR="00CA376B">
          <w:rPr>
            <w:noProof/>
            <w:webHidden/>
          </w:rPr>
          <w:fldChar w:fldCharType="begin"/>
        </w:r>
        <w:r w:rsidR="00CA376B">
          <w:rPr>
            <w:noProof/>
            <w:webHidden/>
          </w:rPr>
          <w:instrText xml:space="preserve"> PAGEREF _Toc14427188 \h </w:instrText>
        </w:r>
        <w:r w:rsidR="00CA376B">
          <w:rPr>
            <w:noProof/>
            <w:webHidden/>
          </w:rPr>
        </w:r>
        <w:r w:rsidR="00CA376B">
          <w:rPr>
            <w:noProof/>
            <w:webHidden/>
          </w:rPr>
          <w:fldChar w:fldCharType="separate"/>
        </w:r>
        <w:r w:rsidR="004F448D">
          <w:rPr>
            <w:noProof/>
            <w:webHidden/>
          </w:rPr>
          <w:t>4</w:t>
        </w:r>
        <w:r w:rsidR="00CA376B">
          <w:rPr>
            <w:noProof/>
            <w:webHidden/>
          </w:rPr>
          <w:fldChar w:fldCharType="end"/>
        </w:r>
      </w:hyperlink>
    </w:p>
    <w:p w14:paraId="24EFD15A" w14:textId="49B9B4A4"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189" w:history="1">
        <w:r w:rsidR="00CA376B" w:rsidRPr="00C51C59">
          <w:rPr>
            <w:rStyle w:val="Hyperlink"/>
            <w:noProof/>
          </w:rPr>
          <w:t>1.3.2</w:t>
        </w:r>
        <w:r w:rsidR="00CA376B">
          <w:rPr>
            <w:rFonts w:eastAsiaTheme="minorEastAsia" w:cstheme="minorBidi"/>
            <w:i w:val="0"/>
            <w:iCs w:val="0"/>
            <w:noProof/>
            <w:sz w:val="22"/>
            <w:szCs w:val="22"/>
            <w:lang w:eastAsia="en-GB" w:bidi="ar-SA"/>
          </w:rPr>
          <w:tab/>
        </w:r>
        <w:r w:rsidR="00CA376B" w:rsidRPr="00C51C59">
          <w:rPr>
            <w:rStyle w:val="Hyperlink"/>
            <w:noProof/>
          </w:rPr>
          <w:t>International regulations</w:t>
        </w:r>
        <w:r w:rsidR="00CA376B">
          <w:rPr>
            <w:noProof/>
            <w:webHidden/>
          </w:rPr>
          <w:tab/>
        </w:r>
        <w:r w:rsidR="00CA376B">
          <w:rPr>
            <w:noProof/>
            <w:webHidden/>
          </w:rPr>
          <w:fldChar w:fldCharType="begin"/>
        </w:r>
        <w:r w:rsidR="00CA376B">
          <w:rPr>
            <w:noProof/>
            <w:webHidden/>
          </w:rPr>
          <w:instrText xml:space="preserve"> PAGEREF _Toc14427189 \h </w:instrText>
        </w:r>
        <w:r w:rsidR="00CA376B">
          <w:rPr>
            <w:noProof/>
            <w:webHidden/>
          </w:rPr>
        </w:r>
        <w:r w:rsidR="00CA376B">
          <w:rPr>
            <w:noProof/>
            <w:webHidden/>
          </w:rPr>
          <w:fldChar w:fldCharType="separate"/>
        </w:r>
        <w:r w:rsidR="004F448D">
          <w:rPr>
            <w:noProof/>
            <w:webHidden/>
          </w:rPr>
          <w:t>6</w:t>
        </w:r>
        <w:r w:rsidR="00CA376B">
          <w:rPr>
            <w:noProof/>
            <w:webHidden/>
          </w:rPr>
          <w:fldChar w:fldCharType="end"/>
        </w:r>
      </w:hyperlink>
    </w:p>
    <w:p w14:paraId="1F3F3560" w14:textId="50C08E95"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190" w:history="1">
        <w:r w:rsidR="00CA376B" w:rsidRPr="00C51C59">
          <w:rPr>
            <w:rStyle w:val="Hyperlink"/>
            <w:noProof/>
            <w:u w:color="FFFF00"/>
          </w:rPr>
          <w:t>1.4</w:t>
        </w:r>
        <w:r w:rsidR="00CA376B">
          <w:rPr>
            <w:rFonts w:eastAsiaTheme="minorEastAsia" w:cstheme="minorBidi"/>
            <w:smallCaps w:val="0"/>
            <w:noProof/>
            <w:sz w:val="22"/>
            <w:szCs w:val="22"/>
            <w:lang w:eastAsia="en-GB" w:bidi="ar-SA"/>
          </w:rPr>
          <w:tab/>
        </w:r>
        <w:r w:rsidR="00CA376B" w:rsidRPr="00C51C59">
          <w:rPr>
            <w:rStyle w:val="Hyperlink"/>
            <w:noProof/>
            <w:u w:color="FFFF00"/>
          </w:rPr>
          <w:t>Reasons for accepting application</w:t>
        </w:r>
        <w:r w:rsidR="00CA376B">
          <w:rPr>
            <w:noProof/>
            <w:webHidden/>
          </w:rPr>
          <w:tab/>
        </w:r>
        <w:r w:rsidR="00CA376B">
          <w:rPr>
            <w:noProof/>
            <w:webHidden/>
          </w:rPr>
          <w:fldChar w:fldCharType="begin"/>
        </w:r>
        <w:r w:rsidR="00CA376B">
          <w:rPr>
            <w:noProof/>
            <w:webHidden/>
          </w:rPr>
          <w:instrText xml:space="preserve"> PAGEREF _Toc14427190 \h </w:instrText>
        </w:r>
        <w:r w:rsidR="00CA376B">
          <w:rPr>
            <w:noProof/>
            <w:webHidden/>
          </w:rPr>
        </w:r>
        <w:r w:rsidR="00CA376B">
          <w:rPr>
            <w:noProof/>
            <w:webHidden/>
          </w:rPr>
          <w:fldChar w:fldCharType="separate"/>
        </w:r>
        <w:r w:rsidR="004F448D">
          <w:rPr>
            <w:noProof/>
            <w:webHidden/>
          </w:rPr>
          <w:t>8</w:t>
        </w:r>
        <w:r w:rsidR="00CA376B">
          <w:rPr>
            <w:noProof/>
            <w:webHidden/>
          </w:rPr>
          <w:fldChar w:fldCharType="end"/>
        </w:r>
      </w:hyperlink>
    </w:p>
    <w:p w14:paraId="56EF68E2" w14:textId="332841B2"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191" w:history="1">
        <w:r w:rsidR="00CA376B" w:rsidRPr="00C51C59">
          <w:rPr>
            <w:rStyle w:val="Hyperlink"/>
            <w:noProof/>
          </w:rPr>
          <w:t>1.5</w:t>
        </w:r>
        <w:r w:rsidR="00CA376B">
          <w:rPr>
            <w:rFonts w:eastAsiaTheme="minorEastAsia" w:cstheme="minorBidi"/>
            <w:smallCaps w:val="0"/>
            <w:noProof/>
            <w:sz w:val="22"/>
            <w:szCs w:val="22"/>
            <w:lang w:eastAsia="en-GB" w:bidi="ar-SA"/>
          </w:rPr>
          <w:tab/>
        </w:r>
        <w:r w:rsidR="00CA376B" w:rsidRPr="00C51C59">
          <w:rPr>
            <w:rStyle w:val="Hyperlink"/>
            <w:noProof/>
          </w:rPr>
          <w:t>Procedure for assessment</w:t>
        </w:r>
        <w:r w:rsidR="00CA376B">
          <w:rPr>
            <w:noProof/>
            <w:webHidden/>
          </w:rPr>
          <w:tab/>
        </w:r>
        <w:r w:rsidR="00CA376B">
          <w:rPr>
            <w:noProof/>
            <w:webHidden/>
          </w:rPr>
          <w:fldChar w:fldCharType="begin"/>
        </w:r>
        <w:r w:rsidR="00CA376B">
          <w:rPr>
            <w:noProof/>
            <w:webHidden/>
          </w:rPr>
          <w:instrText xml:space="preserve"> PAGEREF _Toc14427191 \h </w:instrText>
        </w:r>
        <w:r w:rsidR="00CA376B">
          <w:rPr>
            <w:noProof/>
            <w:webHidden/>
          </w:rPr>
        </w:r>
        <w:r w:rsidR="00CA376B">
          <w:rPr>
            <w:noProof/>
            <w:webHidden/>
          </w:rPr>
          <w:fldChar w:fldCharType="separate"/>
        </w:r>
        <w:r w:rsidR="004F448D">
          <w:rPr>
            <w:noProof/>
            <w:webHidden/>
          </w:rPr>
          <w:t>8</w:t>
        </w:r>
        <w:r w:rsidR="00CA376B">
          <w:rPr>
            <w:noProof/>
            <w:webHidden/>
          </w:rPr>
          <w:fldChar w:fldCharType="end"/>
        </w:r>
      </w:hyperlink>
    </w:p>
    <w:p w14:paraId="39978B1B" w14:textId="36DE2A36" w:rsidR="00CA376B" w:rsidRDefault="00987B64">
      <w:pPr>
        <w:pStyle w:val="TOC1"/>
        <w:tabs>
          <w:tab w:val="left" w:pos="440"/>
          <w:tab w:val="right" w:leader="dot" w:pos="9060"/>
        </w:tabs>
        <w:rPr>
          <w:rFonts w:eastAsiaTheme="minorEastAsia" w:cstheme="minorBidi"/>
          <w:b w:val="0"/>
          <w:bCs w:val="0"/>
          <w:caps w:val="0"/>
          <w:noProof/>
          <w:sz w:val="22"/>
          <w:szCs w:val="22"/>
          <w:lang w:eastAsia="en-GB" w:bidi="ar-SA"/>
        </w:rPr>
      </w:pPr>
      <w:hyperlink w:anchor="_Toc14427192" w:history="1">
        <w:r w:rsidR="00CA376B" w:rsidRPr="00C51C59">
          <w:rPr>
            <w:rStyle w:val="Hyperlink"/>
            <w:noProof/>
          </w:rPr>
          <w:t>2</w:t>
        </w:r>
        <w:r w:rsidR="00CA376B">
          <w:rPr>
            <w:rFonts w:eastAsiaTheme="minorEastAsia" w:cstheme="minorBidi"/>
            <w:b w:val="0"/>
            <w:bCs w:val="0"/>
            <w:caps w:val="0"/>
            <w:noProof/>
            <w:sz w:val="22"/>
            <w:szCs w:val="22"/>
            <w:lang w:eastAsia="en-GB" w:bidi="ar-SA"/>
          </w:rPr>
          <w:tab/>
        </w:r>
        <w:r w:rsidR="00CA376B" w:rsidRPr="00C51C59">
          <w:rPr>
            <w:rStyle w:val="Hyperlink"/>
            <w:noProof/>
          </w:rPr>
          <w:t>Summary of the assessment</w:t>
        </w:r>
        <w:r w:rsidR="00CA376B">
          <w:rPr>
            <w:noProof/>
            <w:webHidden/>
          </w:rPr>
          <w:tab/>
        </w:r>
        <w:r w:rsidR="00CA376B">
          <w:rPr>
            <w:noProof/>
            <w:webHidden/>
          </w:rPr>
          <w:fldChar w:fldCharType="begin"/>
        </w:r>
        <w:r w:rsidR="00CA376B">
          <w:rPr>
            <w:noProof/>
            <w:webHidden/>
          </w:rPr>
          <w:instrText xml:space="preserve"> PAGEREF _Toc14427192 \h </w:instrText>
        </w:r>
        <w:r w:rsidR="00CA376B">
          <w:rPr>
            <w:noProof/>
            <w:webHidden/>
          </w:rPr>
        </w:r>
        <w:r w:rsidR="00CA376B">
          <w:rPr>
            <w:noProof/>
            <w:webHidden/>
          </w:rPr>
          <w:fldChar w:fldCharType="separate"/>
        </w:r>
        <w:r w:rsidR="004F448D">
          <w:rPr>
            <w:noProof/>
            <w:webHidden/>
          </w:rPr>
          <w:t>8</w:t>
        </w:r>
        <w:r w:rsidR="00CA376B">
          <w:rPr>
            <w:noProof/>
            <w:webHidden/>
          </w:rPr>
          <w:fldChar w:fldCharType="end"/>
        </w:r>
      </w:hyperlink>
    </w:p>
    <w:p w14:paraId="05C05EF5" w14:textId="7A28013F"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193" w:history="1">
        <w:r w:rsidR="00CA376B" w:rsidRPr="00C51C59">
          <w:rPr>
            <w:rStyle w:val="Hyperlink"/>
            <w:noProof/>
          </w:rPr>
          <w:t>2.1</w:t>
        </w:r>
        <w:r w:rsidR="00CA376B">
          <w:rPr>
            <w:rFonts w:eastAsiaTheme="minorEastAsia" w:cstheme="minorBidi"/>
            <w:smallCaps w:val="0"/>
            <w:noProof/>
            <w:sz w:val="22"/>
            <w:szCs w:val="22"/>
            <w:lang w:eastAsia="en-GB" w:bidi="ar-SA"/>
          </w:rPr>
          <w:tab/>
        </w:r>
        <w:r w:rsidR="00CA376B" w:rsidRPr="00C51C59">
          <w:rPr>
            <w:rStyle w:val="Hyperlink"/>
            <w:noProof/>
          </w:rPr>
          <w:t>Summary of issues raised in submissions</w:t>
        </w:r>
        <w:r w:rsidR="00CA376B">
          <w:rPr>
            <w:noProof/>
            <w:webHidden/>
          </w:rPr>
          <w:tab/>
        </w:r>
        <w:r w:rsidR="00CA376B">
          <w:rPr>
            <w:noProof/>
            <w:webHidden/>
          </w:rPr>
          <w:fldChar w:fldCharType="begin"/>
        </w:r>
        <w:r w:rsidR="00CA376B">
          <w:rPr>
            <w:noProof/>
            <w:webHidden/>
          </w:rPr>
          <w:instrText xml:space="preserve"> PAGEREF _Toc14427193 \h </w:instrText>
        </w:r>
        <w:r w:rsidR="00CA376B">
          <w:rPr>
            <w:noProof/>
            <w:webHidden/>
          </w:rPr>
        </w:r>
        <w:r w:rsidR="00CA376B">
          <w:rPr>
            <w:noProof/>
            <w:webHidden/>
          </w:rPr>
          <w:fldChar w:fldCharType="separate"/>
        </w:r>
        <w:r w:rsidR="004F448D">
          <w:rPr>
            <w:noProof/>
            <w:webHidden/>
          </w:rPr>
          <w:t>8</w:t>
        </w:r>
        <w:r w:rsidR="00CA376B">
          <w:rPr>
            <w:noProof/>
            <w:webHidden/>
          </w:rPr>
          <w:fldChar w:fldCharType="end"/>
        </w:r>
      </w:hyperlink>
    </w:p>
    <w:p w14:paraId="40078FCE" w14:textId="7600F2AC"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194" w:history="1">
        <w:r w:rsidR="00CA376B" w:rsidRPr="00C51C59">
          <w:rPr>
            <w:rStyle w:val="Hyperlink"/>
            <w:noProof/>
          </w:rPr>
          <w:t>2.2</w:t>
        </w:r>
        <w:r w:rsidR="00CA376B">
          <w:rPr>
            <w:rFonts w:eastAsiaTheme="minorEastAsia" w:cstheme="minorBidi"/>
            <w:smallCaps w:val="0"/>
            <w:noProof/>
            <w:sz w:val="22"/>
            <w:szCs w:val="22"/>
            <w:lang w:eastAsia="en-GB" w:bidi="ar-SA"/>
          </w:rPr>
          <w:tab/>
        </w:r>
        <w:r w:rsidR="00CA376B" w:rsidRPr="00C51C59">
          <w:rPr>
            <w:rStyle w:val="Hyperlink"/>
            <w:noProof/>
          </w:rPr>
          <w:t>Safety, technical and health effects assessment</w:t>
        </w:r>
        <w:r w:rsidR="00CA376B">
          <w:rPr>
            <w:noProof/>
            <w:webHidden/>
          </w:rPr>
          <w:tab/>
        </w:r>
        <w:r w:rsidR="00CA376B">
          <w:rPr>
            <w:noProof/>
            <w:webHidden/>
          </w:rPr>
          <w:fldChar w:fldCharType="begin"/>
        </w:r>
        <w:r w:rsidR="00CA376B">
          <w:rPr>
            <w:noProof/>
            <w:webHidden/>
          </w:rPr>
          <w:instrText xml:space="preserve"> PAGEREF _Toc14427194 \h </w:instrText>
        </w:r>
        <w:r w:rsidR="00CA376B">
          <w:rPr>
            <w:noProof/>
            <w:webHidden/>
          </w:rPr>
        </w:r>
        <w:r w:rsidR="00CA376B">
          <w:rPr>
            <w:noProof/>
            <w:webHidden/>
          </w:rPr>
          <w:fldChar w:fldCharType="separate"/>
        </w:r>
        <w:r w:rsidR="004F448D">
          <w:rPr>
            <w:noProof/>
            <w:webHidden/>
          </w:rPr>
          <w:t>22</w:t>
        </w:r>
        <w:r w:rsidR="00CA376B">
          <w:rPr>
            <w:noProof/>
            <w:webHidden/>
          </w:rPr>
          <w:fldChar w:fldCharType="end"/>
        </w:r>
      </w:hyperlink>
    </w:p>
    <w:p w14:paraId="7D24B184" w14:textId="1EA1FD5D"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195" w:history="1">
        <w:r w:rsidR="00CA376B" w:rsidRPr="00C51C59">
          <w:rPr>
            <w:rStyle w:val="Hyperlink"/>
            <w:noProof/>
          </w:rPr>
          <w:t>2.2.1</w:t>
        </w:r>
        <w:r w:rsidR="00CA376B">
          <w:rPr>
            <w:rFonts w:eastAsiaTheme="minorEastAsia" w:cstheme="minorBidi"/>
            <w:i w:val="0"/>
            <w:iCs w:val="0"/>
            <w:noProof/>
            <w:sz w:val="22"/>
            <w:szCs w:val="22"/>
            <w:lang w:eastAsia="en-GB" w:bidi="ar-SA"/>
          </w:rPr>
          <w:tab/>
        </w:r>
        <w:r w:rsidR="00CA376B" w:rsidRPr="00C51C59">
          <w:rPr>
            <w:rStyle w:val="Hyperlink"/>
            <w:noProof/>
          </w:rPr>
          <w:t>Safety and technical assessment</w:t>
        </w:r>
        <w:r w:rsidR="00CA376B">
          <w:rPr>
            <w:noProof/>
            <w:webHidden/>
          </w:rPr>
          <w:tab/>
        </w:r>
        <w:r w:rsidR="00CA376B">
          <w:rPr>
            <w:noProof/>
            <w:webHidden/>
          </w:rPr>
          <w:fldChar w:fldCharType="begin"/>
        </w:r>
        <w:r w:rsidR="00CA376B">
          <w:rPr>
            <w:noProof/>
            <w:webHidden/>
          </w:rPr>
          <w:instrText xml:space="preserve"> PAGEREF _Toc14427195 \h </w:instrText>
        </w:r>
        <w:r w:rsidR="00CA376B">
          <w:rPr>
            <w:noProof/>
            <w:webHidden/>
          </w:rPr>
        </w:r>
        <w:r w:rsidR="00CA376B">
          <w:rPr>
            <w:noProof/>
            <w:webHidden/>
          </w:rPr>
          <w:fldChar w:fldCharType="separate"/>
        </w:r>
        <w:r w:rsidR="004F448D">
          <w:rPr>
            <w:noProof/>
            <w:webHidden/>
          </w:rPr>
          <w:t>22</w:t>
        </w:r>
        <w:r w:rsidR="00CA376B">
          <w:rPr>
            <w:noProof/>
            <w:webHidden/>
          </w:rPr>
          <w:fldChar w:fldCharType="end"/>
        </w:r>
      </w:hyperlink>
    </w:p>
    <w:p w14:paraId="03BB1370" w14:textId="50D78D89"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196" w:history="1">
        <w:r w:rsidR="00CA376B" w:rsidRPr="00C51C59">
          <w:rPr>
            <w:rStyle w:val="Hyperlink"/>
            <w:noProof/>
          </w:rPr>
          <w:t>2.2.2</w:t>
        </w:r>
        <w:r w:rsidR="00CA376B">
          <w:rPr>
            <w:rFonts w:eastAsiaTheme="minorEastAsia" w:cstheme="minorBidi"/>
            <w:i w:val="0"/>
            <w:iCs w:val="0"/>
            <w:noProof/>
            <w:sz w:val="22"/>
            <w:szCs w:val="22"/>
            <w:lang w:eastAsia="en-GB" w:bidi="ar-SA"/>
          </w:rPr>
          <w:tab/>
        </w:r>
        <w:r w:rsidR="00CA376B" w:rsidRPr="00C51C59">
          <w:rPr>
            <w:rStyle w:val="Hyperlink"/>
            <w:noProof/>
          </w:rPr>
          <w:t>Health effects assessment</w:t>
        </w:r>
        <w:r w:rsidR="00CA376B">
          <w:rPr>
            <w:noProof/>
            <w:webHidden/>
          </w:rPr>
          <w:tab/>
        </w:r>
        <w:r w:rsidR="00CA376B">
          <w:rPr>
            <w:noProof/>
            <w:webHidden/>
          </w:rPr>
          <w:fldChar w:fldCharType="begin"/>
        </w:r>
        <w:r w:rsidR="00CA376B">
          <w:rPr>
            <w:noProof/>
            <w:webHidden/>
          </w:rPr>
          <w:instrText xml:space="preserve"> PAGEREF _Toc14427196 \h </w:instrText>
        </w:r>
        <w:r w:rsidR="00CA376B">
          <w:rPr>
            <w:noProof/>
            <w:webHidden/>
          </w:rPr>
        </w:r>
        <w:r w:rsidR="00CA376B">
          <w:rPr>
            <w:noProof/>
            <w:webHidden/>
          </w:rPr>
          <w:fldChar w:fldCharType="separate"/>
        </w:r>
        <w:r w:rsidR="004F448D">
          <w:rPr>
            <w:noProof/>
            <w:webHidden/>
          </w:rPr>
          <w:t>23</w:t>
        </w:r>
        <w:r w:rsidR="00CA376B">
          <w:rPr>
            <w:noProof/>
            <w:webHidden/>
          </w:rPr>
          <w:fldChar w:fldCharType="end"/>
        </w:r>
      </w:hyperlink>
    </w:p>
    <w:p w14:paraId="3AE5542E" w14:textId="3BA7B155"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197" w:history="1">
        <w:r w:rsidR="00CA376B" w:rsidRPr="00C51C59">
          <w:rPr>
            <w:rStyle w:val="Hyperlink"/>
            <w:noProof/>
          </w:rPr>
          <w:t>2.3</w:t>
        </w:r>
        <w:r w:rsidR="00CA376B">
          <w:rPr>
            <w:rFonts w:eastAsiaTheme="minorEastAsia" w:cstheme="minorBidi"/>
            <w:smallCaps w:val="0"/>
            <w:noProof/>
            <w:sz w:val="22"/>
            <w:szCs w:val="22"/>
            <w:lang w:eastAsia="en-GB" w:bidi="ar-SA"/>
          </w:rPr>
          <w:tab/>
        </w:r>
        <w:r w:rsidR="00CA376B" w:rsidRPr="00C51C59">
          <w:rPr>
            <w:rStyle w:val="Hyperlink"/>
            <w:noProof/>
          </w:rPr>
          <w:t>Risk management</w:t>
        </w:r>
        <w:r w:rsidR="00CA376B">
          <w:rPr>
            <w:noProof/>
            <w:webHidden/>
          </w:rPr>
          <w:tab/>
        </w:r>
        <w:r w:rsidR="00CA376B">
          <w:rPr>
            <w:noProof/>
            <w:webHidden/>
          </w:rPr>
          <w:fldChar w:fldCharType="begin"/>
        </w:r>
        <w:r w:rsidR="00CA376B">
          <w:rPr>
            <w:noProof/>
            <w:webHidden/>
          </w:rPr>
          <w:instrText xml:space="preserve"> PAGEREF _Toc14427197 \h </w:instrText>
        </w:r>
        <w:r w:rsidR="00CA376B">
          <w:rPr>
            <w:noProof/>
            <w:webHidden/>
          </w:rPr>
        </w:r>
        <w:r w:rsidR="00CA376B">
          <w:rPr>
            <w:noProof/>
            <w:webHidden/>
          </w:rPr>
          <w:fldChar w:fldCharType="separate"/>
        </w:r>
        <w:r w:rsidR="004F448D">
          <w:rPr>
            <w:noProof/>
            <w:webHidden/>
          </w:rPr>
          <w:t>24</w:t>
        </w:r>
        <w:r w:rsidR="00CA376B">
          <w:rPr>
            <w:noProof/>
            <w:webHidden/>
          </w:rPr>
          <w:fldChar w:fldCharType="end"/>
        </w:r>
      </w:hyperlink>
    </w:p>
    <w:p w14:paraId="0ADB2DCC" w14:textId="74340E52"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198" w:history="1">
        <w:r w:rsidR="00CA376B" w:rsidRPr="00C51C59">
          <w:rPr>
            <w:rStyle w:val="Hyperlink"/>
            <w:noProof/>
          </w:rPr>
          <w:t>2.3.1</w:t>
        </w:r>
        <w:r w:rsidR="00CA376B">
          <w:rPr>
            <w:rFonts w:eastAsiaTheme="minorEastAsia" w:cstheme="minorBidi"/>
            <w:i w:val="0"/>
            <w:iCs w:val="0"/>
            <w:noProof/>
            <w:sz w:val="22"/>
            <w:szCs w:val="22"/>
            <w:lang w:eastAsia="en-GB" w:bidi="ar-SA"/>
          </w:rPr>
          <w:tab/>
        </w:r>
        <w:r w:rsidR="00CA376B" w:rsidRPr="00C51C59">
          <w:rPr>
            <w:rStyle w:val="Hyperlink"/>
            <w:noProof/>
          </w:rPr>
          <w:t>Health effects</w:t>
        </w:r>
        <w:r w:rsidR="00CA376B">
          <w:rPr>
            <w:noProof/>
            <w:webHidden/>
          </w:rPr>
          <w:tab/>
        </w:r>
        <w:r w:rsidR="00CA376B">
          <w:rPr>
            <w:noProof/>
            <w:webHidden/>
          </w:rPr>
          <w:fldChar w:fldCharType="begin"/>
        </w:r>
        <w:r w:rsidR="00CA376B">
          <w:rPr>
            <w:noProof/>
            <w:webHidden/>
          </w:rPr>
          <w:instrText xml:space="preserve"> PAGEREF _Toc14427198 \h </w:instrText>
        </w:r>
        <w:r w:rsidR="00CA376B">
          <w:rPr>
            <w:noProof/>
            <w:webHidden/>
          </w:rPr>
        </w:r>
        <w:r w:rsidR="00CA376B">
          <w:rPr>
            <w:noProof/>
            <w:webHidden/>
          </w:rPr>
          <w:fldChar w:fldCharType="separate"/>
        </w:r>
        <w:r w:rsidR="004F448D">
          <w:rPr>
            <w:noProof/>
            <w:webHidden/>
          </w:rPr>
          <w:t>25</w:t>
        </w:r>
        <w:r w:rsidR="00CA376B">
          <w:rPr>
            <w:noProof/>
            <w:webHidden/>
          </w:rPr>
          <w:fldChar w:fldCharType="end"/>
        </w:r>
      </w:hyperlink>
    </w:p>
    <w:p w14:paraId="1578B0B8" w14:textId="519B62F3"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199" w:history="1">
        <w:r w:rsidR="00CA376B" w:rsidRPr="00C51C59">
          <w:rPr>
            <w:rStyle w:val="Hyperlink"/>
            <w:noProof/>
          </w:rPr>
          <w:t>2.3.2</w:t>
        </w:r>
        <w:r w:rsidR="00CA376B">
          <w:rPr>
            <w:rFonts w:eastAsiaTheme="minorEastAsia" w:cstheme="minorBidi"/>
            <w:i w:val="0"/>
            <w:iCs w:val="0"/>
            <w:noProof/>
            <w:sz w:val="22"/>
            <w:szCs w:val="22"/>
            <w:lang w:eastAsia="en-GB" w:bidi="ar-SA"/>
          </w:rPr>
          <w:tab/>
        </w:r>
        <w:r w:rsidR="00CA376B" w:rsidRPr="00C51C59">
          <w:rPr>
            <w:rStyle w:val="Hyperlink"/>
            <w:noProof/>
          </w:rPr>
          <w:t>Permitted use</w:t>
        </w:r>
        <w:r w:rsidR="00CA376B">
          <w:rPr>
            <w:noProof/>
            <w:webHidden/>
          </w:rPr>
          <w:tab/>
        </w:r>
        <w:r w:rsidR="00CA376B">
          <w:rPr>
            <w:noProof/>
            <w:webHidden/>
          </w:rPr>
          <w:fldChar w:fldCharType="begin"/>
        </w:r>
        <w:r w:rsidR="00CA376B">
          <w:rPr>
            <w:noProof/>
            <w:webHidden/>
          </w:rPr>
          <w:instrText xml:space="preserve"> PAGEREF _Toc14427199 \h </w:instrText>
        </w:r>
        <w:r w:rsidR="00CA376B">
          <w:rPr>
            <w:noProof/>
            <w:webHidden/>
          </w:rPr>
        </w:r>
        <w:r w:rsidR="00CA376B">
          <w:rPr>
            <w:noProof/>
            <w:webHidden/>
          </w:rPr>
          <w:fldChar w:fldCharType="separate"/>
        </w:r>
        <w:r w:rsidR="004F448D">
          <w:rPr>
            <w:noProof/>
            <w:webHidden/>
          </w:rPr>
          <w:t>26</w:t>
        </w:r>
        <w:r w:rsidR="00CA376B">
          <w:rPr>
            <w:noProof/>
            <w:webHidden/>
          </w:rPr>
          <w:fldChar w:fldCharType="end"/>
        </w:r>
      </w:hyperlink>
    </w:p>
    <w:p w14:paraId="522052DE" w14:textId="3700F8B2"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00" w:history="1">
        <w:r w:rsidR="00CA376B" w:rsidRPr="00C51C59">
          <w:rPr>
            <w:rStyle w:val="Hyperlink"/>
            <w:noProof/>
          </w:rPr>
          <w:t>2.3.3</w:t>
        </w:r>
        <w:r w:rsidR="00CA376B">
          <w:rPr>
            <w:rFonts w:eastAsiaTheme="minorEastAsia" w:cstheme="minorBidi"/>
            <w:i w:val="0"/>
            <w:iCs w:val="0"/>
            <w:noProof/>
            <w:sz w:val="22"/>
            <w:szCs w:val="22"/>
            <w:lang w:eastAsia="en-GB" w:bidi="ar-SA"/>
          </w:rPr>
          <w:tab/>
        </w:r>
        <w:r w:rsidR="00CA376B" w:rsidRPr="00C51C59">
          <w:rPr>
            <w:rStyle w:val="Hyperlink"/>
            <w:noProof/>
          </w:rPr>
          <w:t>Maximum use levels and units expression</w:t>
        </w:r>
        <w:r w:rsidR="00CA376B">
          <w:rPr>
            <w:noProof/>
            <w:webHidden/>
          </w:rPr>
          <w:tab/>
        </w:r>
        <w:r w:rsidR="00CA376B">
          <w:rPr>
            <w:noProof/>
            <w:webHidden/>
          </w:rPr>
          <w:fldChar w:fldCharType="begin"/>
        </w:r>
        <w:r w:rsidR="00CA376B">
          <w:rPr>
            <w:noProof/>
            <w:webHidden/>
          </w:rPr>
          <w:instrText xml:space="preserve"> PAGEREF _Toc14427200 \h </w:instrText>
        </w:r>
        <w:r w:rsidR="00CA376B">
          <w:rPr>
            <w:noProof/>
            <w:webHidden/>
          </w:rPr>
        </w:r>
        <w:r w:rsidR="00CA376B">
          <w:rPr>
            <w:noProof/>
            <w:webHidden/>
          </w:rPr>
          <w:fldChar w:fldCharType="separate"/>
        </w:r>
        <w:r w:rsidR="004F448D">
          <w:rPr>
            <w:noProof/>
            <w:webHidden/>
          </w:rPr>
          <w:t>27</w:t>
        </w:r>
        <w:r w:rsidR="00CA376B">
          <w:rPr>
            <w:noProof/>
            <w:webHidden/>
          </w:rPr>
          <w:fldChar w:fldCharType="end"/>
        </w:r>
      </w:hyperlink>
    </w:p>
    <w:p w14:paraId="3D17E830" w14:textId="463A6106"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01" w:history="1">
        <w:r w:rsidR="00CA376B" w:rsidRPr="00C51C59">
          <w:rPr>
            <w:rStyle w:val="Hyperlink"/>
            <w:noProof/>
          </w:rPr>
          <w:t>2.3.4</w:t>
        </w:r>
        <w:r w:rsidR="00CA376B">
          <w:rPr>
            <w:rFonts w:eastAsiaTheme="minorEastAsia" w:cstheme="minorBidi"/>
            <w:i w:val="0"/>
            <w:iCs w:val="0"/>
            <w:noProof/>
            <w:sz w:val="22"/>
            <w:szCs w:val="22"/>
            <w:lang w:eastAsia="en-GB" w:bidi="ar-SA"/>
          </w:rPr>
          <w:tab/>
        </w:r>
        <w:r w:rsidR="00CA376B" w:rsidRPr="00C51C59">
          <w:rPr>
            <w:rStyle w:val="Hyperlink"/>
            <w:noProof/>
          </w:rPr>
          <w:t>Prohibition of use with existing oligosaccharide permissions</w:t>
        </w:r>
        <w:r w:rsidR="00CA376B">
          <w:rPr>
            <w:noProof/>
            <w:webHidden/>
          </w:rPr>
          <w:tab/>
        </w:r>
        <w:r w:rsidR="00CA376B">
          <w:rPr>
            <w:noProof/>
            <w:webHidden/>
          </w:rPr>
          <w:fldChar w:fldCharType="begin"/>
        </w:r>
        <w:r w:rsidR="00CA376B">
          <w:rPr>
            <w:noProof/>
            <w:webHidden/>
          </w:rPr>
          <w:instrText xml:space="preserve"> PAGEREF _Toc14427201 \h </w:instrText>
        </w:r>
        <w:r w:rsidR="00CA376B">
          <w:rPr>
            <w:noProof/>
            <w:webHidden/>
          </w:rPr>
        </w:r>
        <w:r w:rsidR="00CA376B">
          <w:rPr>
            <w:noProof/>
            <w:webHidden/>
          </w:rPr>
          <w:fldChar w:fldCharType="separate"/>
        </w:r>
        <w:r w:rsidR="004F448D">
          <w:rPr>
            <w:noProof/>
            <w:webHidden/>
          </w:rPr>
          <w:t>29</w:t>
        </w:r>
        <w:r w:rsidR="00CA376B">
          <w:rPr>
            <w:noProof/>
            <w:webHidden/>
          </w:rPr>
          <w:fldChar w:fldCharType="end"/>
        </w:r>
      </w:hyperlink>
    </w:p>
    <w:p w14:paraId="59335599" w14:textId="1874FE2B"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02" w:history="1">
        <w:r w:rsidR="00CA376B" w:rsidRPr="00C51C59">
          <w:rPr>
            <w:rStyle w:val="Hyperlink"/>
            <w:noProof/>
          </w:rPr>
          <w:t>2.3.5</w:t>
        </w:r>
        <w:r w:rsidR="00CA376B">
          <w:rPr>
            <w:rFonts w:eastAsiaTheme="minorEastAsia" w:cstheme="minorBidi"/>
            <w:i w:val="0"/>
            <w:iCs w:val="0"/>
            <w:noProof/>
            <w:sz w:val="22"/>
            <w:szCs w:val="22"/>
            <w:lang w:eastAsia="en-GB" w:bidi="ar-SA"/>
          </w:rPr>
          <w:tab/>
        </w:r>
        <w:r w:rsidR="00CA376B" w:rsidRPr="00C51C59">
          <w:rPr>
            <w:rStyle w:val="Hyperlink"/>
            <w:noProof/>
          </w:rPr>
          <w:t>Labelling</w:t>
        </w:r>
        <w:r w:rsidR="00CA376B">
          <w:rPr>
            <w:noProof/>
            <w:webHidden/>
          </w:rPr>
          <w:tab/>
        </w:r>
        <w:r w:rsidR="00CA376B">
          <w:rPr>
            <w:noProof/>
            <w:webHidden/>
          </w:rPr>
          <w:fldChar w:fldCharType="begin"/>
        </w:r>
        <w:r w:rsidR="00CA376B">
          <w:rPr>
            <w:noProof/>
            <w:webHidden/>
          </w:rPr>
          <w:instrText xml:space="preserve"> PAGEREF _Toc14427202 \h </w:instrText>
        </w:r>
        <w:r w:rsidR="00CA376B">
          <w:rPr>
            <w:noProof/>
            <w:webHidden/>
          </w:rPr>
        </w:r>
        <w:r w:rsidR="00CA376B">
          <w:rPr>
            <w:noProof/>
            <w:webHidden/>
          </w:rPr>
          <w:fldChar w:fldCharType="separate"/>
        </w:r>
        <w:r w:rsidR="004F448D">
          <w:rPr>
            <w:noProof/>
            <w:webHidden/>
          </w:rPr>
          <w:t>30</w:t>
        </w:r>
        <w:r w:rsidR="00CA376B">
          <w:rPr>
            <w:noProof/>
            <w:webHidden/>
          </w:rPr>
          <w:fldChar w:fldCharType="end"/>
        </w:r>
      </w:hyperlink>
    </w:p>
    <w:p w14:paraId="2167B875" w14:textId="608DB11A"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03" w:history="1">
        <w:r w:rsidR="00CA376B" w:rsidRPr="00C51C59">
          <w:rPr>
            <w:rStyle w:val="Hyperlink"/>
            <w:noProof/>
          </w:rPr>
          <w:t>2.3.6</w:t>
        </w:r>
        <w:r w:rsidR="00CA376B">
          <w:rPr>
            <w:rFonts w:eastAsiaTheme="minorEastAsia" w:cstheme="minorBidi"/>
            <w:i w:val="0"/>
            <w:iCs w:val="0"/>
            <w:noProof/>
            <w:sz w:val="22"/>
            <w:szCs w:val="22"/>
            <w:lang w:eastAsia="en-GB" w:bidi="ar-SA"/>
          </w:rPr>
          <w:tab/>
        </w:r>
        <w:r w:rsidR="00CA376B" w:rsidRPr="00C51C59">
          <w:rPr>
            <w:rStyle w:val="Hyperlink"/>
            <w:noProof/>
          </w:rPr>
          <w:t>Specifications for 2′-FL and LNnT</w:t>
        </w:r>
        <w:r w:rsidR="00CA376B">
          <w:rPr>
            <w:noProof/>
            <w:webHidden/>
          </w:rPr>
          <w:tab/>
        </w:r>
        <w:r w:rsidR="00CA376B">
          <w:rPr>
            <w:noProof/>
            <w:webHidden/>
          </w:rPr>
          <w:fldChar w:fldCharType="begin"/>
        </w:r>
        <w:r w:rsidR="00CA376B">
          <w:rPr>
            <w:noProof/>
            <w:webHidden/>
          </w:rPr>
          <w:instrText xml:space="preserve"> PAGEREF _Toc14427203 \h </w:instrText>
        </w:r>
        <w:r w:rsidR="00CA376B">
          <w:rPr>
            <w:noProof/>
            <w:webHidden/>
          </w:rPr>
        </w:r>
        <w:r w:rsidR="00CA376B">
          <w:rPr>
            <w:noProof/>
            <w:webHidden/>
          </w:rPr>
          <w:fldChar w:fldCharType="separate"/>
        </w:r>
        <w:r w:rsidR="004F448D">
          <w:rPr>
            <w:noProof/>
            <w:webHidden/>
          </w:rPr>
          <w:t>34</w:t>
        </w:r>
        <w:r w:rsidR="00CA376B">
          <w:rPr>
            <w:noProof/>
            <w:webHidden/>
          </w:rPr>
          <w:fldChar w:fldCharType="end"/>
        </w:r>
      </w:hyperlink>
    </w:p>
    <w:p w14:paraId="231C2D3C" w14:textId="697F1B24"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04" w:history="1">
        <w:r w:rsidR="00CA376B" w:rsidRPr="00C51C59">
          <w:rPr>
            <w:rStyle w:val="Hyperlink"/>
            <w:noProof/>
          </w:rPr>
          <w:t>2.3.7</w:t>
        </w:r>
        <w:r w:rsidR="00CA376B">
          <w:rPr>
            <w:rFonts w:eastAsiaTheme="minorEastAsia" w:cstheme="minorBidi"/>
            <w:i w:val="0"/>
            <w:iCs w:val="0"/>
            <w:noProof/>
            <w:sz w:val="22"/>
            <w:szCs w:val="22"/>
            <w:lang w:eastAsia="en-GB" w:bidi="ar-SA"/>
          </w:rPr>
          <w:tab/>
        </w:r>
        <w:r w:rsidR="00CA376B" w:rsidRPr="00C51C59">
          <w:rPr>
            <w:rStyle w:val="Hyperlink"/>
            <w:noProof/>
          </w:rPr>
          <w:t>Exclusivity</w:t>
        </w:r>
        <w:r w:rsidR="00CA376B">
          <w:rPr>
            <w:noProof/>
            <w:webHidden/>
          </w:rPr>
          <w:tab/>
        </w:r>
        <w:r w:rsidR="00CA376B">
          <w:rPr>
            <w:noProof/>
            <w:webHidden/>
          </w:rPr>
          <w:fldChar w:fldCharType="begin"/>
        </w:r>
        <w:r w:rsidR="00CA376B">
          <w:rPr>
            <w:noProof/>
            <w:webHidden/>
          </w:rPr>
          <w:instrText xml:space="preserve"> PAGEREF _Toc14427204 \h </w:instrText>
        </w:r>
        <w:r w:rsidR="00CA376B">
          <w:rPr>
            <w:noProof/>
            <w:webHidden/>
          </w:rPr>
        </w:r>
        <w:r w:rsidR="00CA376B">
          <w:rPr>
            <w:noProof/>
            <w:webHidden/>
          </w:rPr>
          <w:fldChar w:fldCharType="separate"/>
        </w:r>
        <w:r w:rsidR="004F448D">
          <w:rPr>
            <w:noProof/>
            <w:webHidden/>
          </w:rPr>
          <w:t>34</w:t>
        </w:r>
        <w:r w:rsidR="00CA376B">
          <w:rPr>
            <w:noProof/>
            <w:webHidden/>
          </w:rPr>
          <w:fldChar w:fldCharType="end"/>
        </w:r>
      </w:hyperlink>
    </w:p>
    <w:p w14:paraId="0B000A47" w14:textId="7BCA67F9"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05" w:history="1">
        <w:r w:rsidR="00CA376B" w:rsidRPr="00C51C59">
          <w:rPr>
            <w:rStyle w:val="Hyperlink"/>
            <w:noProof/>
          </w:rPr>
          <w:t>2.3.8</w:t>
        </w:r>
        <w:r w:rsidR="00CA376B">
          <w:rPr>
            <w:rFonts w:eastAsiaTheme="minorEastAsia" w:cstheme="minorBidi"/>
            <w:i w:val="0"/>
            <w:iCs w:val="0"/>
            <w:noProof/>
            <w:sz w:val="22"/>
            <w:szCs w:val="22"/>
            <w:lang w:eastAsia="en-GB" w:bidi="ar-SA"/>
          </w:rPr>
          <w:tab/>
        </w:r>
        <w:r w:rsidR="00CA376B" w:rsidRPr="00C51C59">
          <w:rPr>
            <w:rStyle w:val="Hyperlink"/>
            <w:noProof/>
          </w:rPr>
          <w:t>Risk management conclusion</w:t>
        </w:r>
        <w:r w:rsidR="00CA376B">
          <w:rPr>
            <w:noProof/>
            <w:webHidden/>
          </w:rPr>
          <w:tab/>
        </w:r>
        <w:r w:rsidR="00CA376B">
          <w:rPr>
            <w:noProof/>
            <w:webHidden/>
          </w:rPr>
          <w:fldChar w:fldCharType="begin"/>
        </w:r>
        <w:r w:rsidR="00CA376B">
          <w:rPr>
            <w:noProof/>
            <w:webHidden/>
          </w:rPr>
          <w:instrText xml:space="preserve"> PAGEREF _Toc14427205 \h </w:instrText>
        </w:r>
        <w:r w:rsidR="00CA376B">
          <w:rPr>
            <w:noProof/>
            <w:webHidden/>
          </w:rPr>
        </w:r>
        <w:r w:rsidR="00CA376B">
          <w:rPr>
            <w:noProof/>
            <w:webHidden/>
          </w:rPr>
          <w:fldChar w:fldCharType="separate"/>
        </w:r>
        <w:r w:rsidR="004F448D">
          <w:rPr>
            <w:noProof/>
            <w:webHidden/>
          </w:rPr>
          <w:t>34</w:t>
        </w:r>
        <w:r w:rsidR="00CA376B">
          <w:rPr>
            <w:noProof/>
            <w:webHidden/>
          </w:rPr>
          <w:fldChar w:fldCharType="end"/>
        </w:r>
      </w:hyperlink>
    </w:p>
    <w:p w14:paraId="1B96F11B" w14:textId="6BDBC461"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206" w:history="1">
        <w:r w:rsidR="00CA376B" w:rsidRPr="00C51C59">
          <w:rPr>
            <w:rStyle w:val="Hyperlink"/>
            <w:noProof/>
          </w:rPr>
          <w:t>2.4</w:t>
        </w:r>
        <w:r w:rsidR="00CA376B">
          <w:rPr>
            <w:rFonts w:eastAsiaTheme="minorEastAsia" w:cstheme="minorBidi"/>
            <w:smallCaps w:val="0"/>
            <w:noProof/>
            <w:sz w:val="22"/>
            <w:szCs w:val="22"/>
            <w:lang w:eastAsia="en-GB" w:bidi="ar-SA"/>
          </w:rPr>
          <w:tab/>
        </w:r>
        <w:r w:rsidR="00CA376B" w:rsidRPr="00C51C59">
          <w:rPr>
            <w:rStyle w:val="Hyperlink"/>
            <w:noProof/>
          </w:rPr>
          <w:t>Risk communication</w:t>
        </w:r>
        <w:r w:rsidR="00CA376B">
          <w:rPr>
            <w:noProof/>
            <w:webHidden/>
          </w:rPr>
          <w:tab/>
        </w:r>
        <w:r w:rsidR="00CA376B">
          <w:rPr>
            <w:noProof/>
            <w:webHidden/>
          </w:rPr>
          <w:fldChar w:fldCharType="begin"/>
        </w:r>
        <w:r w:rsidR="00CA376B">
          <w:rPr>
            <w:noProof/>
            <w:webHidden/>
          </w:rPr>
          <w:instrText xml:space="preserve"> PAGEREF _Toc14427206 \h </w:instrText>
        </w:r>
        <w:r w:rsidR="00CA376B">
          <w:rPr>
            <w:noProof/>
            <w:webHidden/>
          </w:rPr>
        </w:r>
        <w:r w:rsidR="00CA376B">
          <w:rPr>
            <w:noProof/>
            <w:webHidden/>
          </w:rPr>
          <w:fldChar w:fldCharType="separate"/>
        </w:r>
        <w:r w:rsidR="004F448D">
          <w:rPr>
            <w:noProof/>
            <w:webHidden/>
          </w:rPr>
          <w:t>35</w:t>
        </w:r>
        <w:r w:rsidR="00CA376B">
          <w:rPr>
            <w:noProof/>
            <w:webHidden/>
          </w:rPr>
          <w:fldChar w:fldCharType="end"/>
        </w:r>
      </w:hyperlink>
    </w:p>
    <w:p w14:paraId="08AC4BD7" w14:textId="3470987D"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07" w:history="1">
        <w:r w:rsidR="00CA376B" w:rsidRPr="00C51C59">
          <w:rPr>
            <w:rStyle w:val="Hyperlink"/>
            <w:noProof/>
          </w:rPr>
          <w:t>2.4.1</w:t>
        </w:r>
        <w:r w:rsidR="00CA376B">
          <w:rPr>
            <w:rFonts w:eastAsiaTheme="minorEastAsia" w:cstheme="minorBidi"/>
            <w:i w:val="0"/>
            <w:iCs w:val="0"/>
            <w:noProof/>
            <w:sz w:val="22"/>
            <w:szCs w:val="22"/>
            <w:lang w:eastAsia="en-GB" w:bidi="ar-SA"/>
          </w:rPr>
          <w:tab/>
        </w:r>
        <w:r w:rsidR="00CA376B" w:rsidRPr="00C51C59">
          <w:rPr>
            <w:rStyle w:val="Hyperlink"/>
            <w:noProof/>
          </w:rPr>
          <w:t>Consultation</w:t>
        </w:r>
        <w:r w:rsidR="00CA376B">
          <w:rPr>
            <w:noProof/>
            <w:webHidden/>
          </w:rPr>
          <w:tab/>
        </w:r>
        <w:r w:rsidR="00CA376B">
          <w:rPr>
            <w:noProof/>
            <w:webHidden/>
          </w:rPr>
          <w:fldChar w:fldCharType="begin"/>
        </w:r>
        <w:r w:rsidR="00CA376B">
          <w:rPr>
            <w:noProof/>
            <w:webHidden/>
          </w:rPr>
          <w:instrText xml:space="preserve"> PAGEREF _Toc14427207 \h </w:instrText>
        </w:r>
        <w:r w:rsidR="00CA376B">
          <w:rPr>
            <w:noProof/>
            <w:webHidden/>
          </w:rPr>
        </w:r>
        <w:r w:rsidR="00CA376B">
          <w:rPr>
            <w:noProof/>
            <w:webHidden/>
          </w:rPr>
          <w:fldChar w:fldCharType="separate"/>
        </w:r>
        <w:r w:rsidR="004F448D">
          <w:rPr>
            <w:noProof/>
            <w:webHidden/>
          </w:rPr>
          <w:t>35</w:t>
        </w:r>
        <w:r w:rsidR="00CA376B">
          <w:rPr>
            <w:noProof/>
            <w:webHidden/>
          </w:rPr>
          <w:fldChar w:fldCharType="end"/>
        </w:r>
      </w:hyperlink>
    </w:p>
    <w:p w14:paraId="54E61EF7" w14:textId="575EA3AD"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08" w:history="1">
        <w:r w:rsidR="00CA376B" w:rsidRPr="00C51C59">
          <w:rPr>
            <w:rStyle w:val="Hyperlink"/>
            <w:noProof/>
          </w:rPr>
          <w:t>2.4.2</w:t>
        </w:r>
        <w:r w:rsidR="00CA376B">
          <w:rPr>
            <w:rFonts w:eastAsiaTheme="minorEastAsia" w:cstheme="minorBidi"/>
            <w:i w:val="0"/>
            <w:iCs w:val="0"/>
            <w:noProof/>
            <w:sz w:val="22"/>
            <w:szCs w:val="22"/>
            <w:lang w:eastAsia="en-GB" w:bidi="ar-SA"/>
          </w:rPr>
          <w:tab/>
        </w:r>
        <w:r w:rsidR="00CA376B" w:rsidRPr="00C51C59">
          <w:rPr>
            <w:rStyle w:val="Hyperlink"/>
            <w:noProof/>
          </w:rPr>
          <w:t>World Trade Organization (WTO)</w:t>
        </w:r>
        <w:r w:rsidR="00CA376B">
          <w:rPr>
            <w:noProof/>
            <w:webHidden/>
          </w:rPr>
          <w:tab/>
        </w:r>
        <w:r w:rsidR="00CA376B">
          <w:rPr>
            <w:noProof/>
            <w:webHidden/>
          </w:rPr>
          <w:fldChar w:fldCharType="begin"/>
        </w:r>
        <w:r w:rsidR="00CA376B">
          <w:rPr>
            <w:noProof/>
            <w:webHidden/>
          </w:rPr>
          <w:instrText xml:space="preserve"> PAGEREF _Toc14427208 \h </w:instrText>
        </w:r>
        <w:r w:rsidR="00CA376B">
          <w:rPr>
            <w:noProof/>
            <w:webHidden/>
          </w:rPr>
        </w:r>
        <w:r w:rsidR="00CA376B">
          <w:rPr>
            <w:noProof/>
            <w:webHidden/>
          </w:rPr>
          <w:fldChar w:fldCharType="separate"/>
        </w:r>
        <w:r w:rsidR="004F448D">
          <w:rPr>
            <w:noProof/>
            <w:webHidden/>
          </w:rPr>
          <w:t>36</w:t>
        </w:r>
        <w:r w:rsidR="00CA376B">
          <w:rPr>
            <w:noProof/>
            <w:webHidden/>
          </w:rPr>
          <w:fldChar w:fldCharType="end"/>
        </w:r>
      </w:hyperlink>
    </w:p>
    <w:p w14:paraId="1B3EDBD9" w14:textId="4E6B78ED" w:rsidR="00CA376B" w:rsidRDefault="00987B64">
      <w:pPr>
        <w:pStyle w:val="TOC2"/>
        <w:tabs>
          <w:tab w:val="left" w:pos="880"/>
          <w:tab w:val="right" w:leader="dot" w:pos="9060"/>
        </w:tabs>
        <w:rPr>
          <w:rFonts w:eastAsiaTheme="minorEastAsia" w:cstheme="minorBidi"/>
          <w:smallCaps w:val="0"/>
          <w:noProof/>
          <w:sz w:val="22"/>
          <w:szCs w:val="22"/>
          <w:lang w:eastAsia="en-GB" w:bidi="ar-SA"/>
        </w:rPr>
      </w:pPr>
      <w:hyperlink w:anchor="_Toc14427209" w:history="1">
        <w:r w:rsidR="00CA376B" w:rsidRPr="00C51C59">
          <w:rPr>
            <w:rStyle w:val="Hyperlink"/>
            <w:noProof/>
          </w:rPr>
          <w:t>2.5</w:t>
        </w:r>
        <w:r w:rsidR="00CA376B">
          <w:rPr>
            <w:rFonts w:eastAsiaTheme="minorEastAsia" w:cstheme="minorBidi"/>
            <w:smallCaps w:val="0"/>
            <w:noProof/>
            <w:sz w:val="22"/>
            <w:szCs w:val="22"/>
            <w:lang w:eastAsia="en-GB" w:bidi="ar-SA"/>
          </w:rPr>
          <w:tab/>
        </w:r>
        <w:r w:rsidR="00CA376B" w:rsidRPr="00C51C59">
          <w:rPr>
            <w:rStyle w:val="Hyperlink"/>
            <w:noProof/>
          </w:rPr>
          <w:t>FSANZ Act assessment requirements</w:t>
        </w:r>
        <w:r w:rsidR="00CA376B">
          <w:rPr>
            <w:noProof/>
            <w:webHidden/>
          </w:rPr>
          <w:tab/>
        </w:r>
        <w:r w:rsidR="00CA376B">
          <w:rPr>
            <w:noProof/>
            <w:webHidden/>
          </w:rPr>
          <w:fldChar w:fldCharType="begin"/>
        </w:r>
        <w:r w:rsidR="00CA376B">
          <w:rPr>
            <w:noProof/>
            <w:webHidden/>
          </w:rPr>
          <w:instrText xml:space="preserve"> PAGEREF _Toc14427209 \h </w:instrText>
        </w:r>
        <w:r w:rsidR="00CA376B">
          <w:rPr>
            <w:noProof/>
            <w:webHidden/>
          </w:rPr>
        </w:r>
        <w:r w:rsidR="00CA376B">
          <w:rPr>
            <w:noProof/>
            <w:webHidden/>
          </w:rPr>
          <w:fldChar w:fldCharType="separate"/>
        </w:r>
        <w:r w:rsidR="004F448D">
          <w:rPr>
            <w:noProof/>
            <w:webHidden/>
          </w:rPr>
          <w:t>36</w:t>
        </w:r>
        <w:r w:rsidR="00CA376B">
          <w:rPr>
            <w:noProof/>
            <w:webHidden/>
          </w:rPr>
          <w:fldChar w:fldCharType="end"/>
        </w:r>
      </w:hyperlink>
    </w:p>
    <w:p w14:paraId="5584DFCF" w14:textId="1EF0C2AD"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10" w:history="1">
        <w:r w:rsidR="00CA376B" w:rsidRPr="00C51C59">
          <w:rPr>
            <w:rStyle w:val="Hyperlink"/>
            <w:noProof/>
          </w:rPr>
          <w:t>2.5.1</w:t>
        </w:r>
        <w:r w:rsidR="00CA376B">
          <w:rPr>
            <w:rFonts w:eastAsiaTheme="minorEastAsia" w:cstheme="minorBidi"/>
            <w:i w:val="0"/>
            <w:iCs w:val="0"/>
            <w:noProof/>
            <w:sz w:val="22"/>
            <w:szCs w:val="22"/>
            <w:lang w:eastAsia="en-GB" w:bidi="ar-SA"/>
          </w:rPr>
          <w:tab/>
        </w:r>
        <w:r w:rsidR="00CA376B" w:rsidRPr="00C51C59">
          <w:rPr>
            <w:rStyle w:val="Hyperlink"/>
            <w:noProof/>
          </w:rPr>
          <w:t>Section 29</w:t>
        </w:r>
        <w:r w:rsidR="00CA376B">
          <w:rPr>
            <w:noProof/>
            <w:webHidden/>
          </w:rPr>
          <w:tab/>
        </w:r>
        <w:r w:rsidR="00CA376B">
          <w:rPr>
            <w:noProof/>
            <w:webHidden/>
          </w:rPr>
          <w:fldChar w:fldCharType="begin"/>
        </w:r>
        <w:r w:rsidR="00CA376B">
          <w:rPr>
            <w:noProof/>
            <w:webHidden/>
          </w:rPr>
          <w:instrText xml:space="preserve"> PAGEREF _Toc14427210 \h </w:instrText>
        </w:r>
        <w:r w:rsidR="00CA376B">
          <w:rPr>
            <w:noProof/>
            <w:webHidden/>
          </w:rPr>
        </w:r>
        <w:r w:rsidR="00CA376B">
          <w:rPr>
            <w:noProof/>
            <w:webHidden/>
          </w:rPr>
          <w:fldChar w:fldCharType="separate"/>
        </w:r>
        <w:r w:rsidR="004F448D">
          <w:rPr>
            <w:noProof/>
            <w:webHidden/>
          </w:rPr>
          <w:t>36</w:t>
        </w:r>
        <w:r w:rsidR="00CA376B">
          <w:rPr>
            <w:noProof/>
            <w:webHidden/>
          </w:rPr>
          <w:fldChar w:fldCharType="end"/>
        </w:r>
      </w:hyperlink>
    </w:p>
    <w:p w14:paraId="658AE914" w14:textId="7EAA76B9"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11" w:history="1">
        <w:r w:rsidR="00CA376B" w:rsidRPr="00C51C59">
          <w:rPr>
            <w:rStyle w:val="Hyperlink"/>
            <w:noProof/>
          </w:rPr>
          <w:t>2.5.2</w:t>
        </w:r>
        <w:r w:rsidR="00CA376B">
          <w:rPr>
            <w:rFonts w:eastAsiaTheme="minorEastAsia" w:cstheme="minorBidi"/>
            <w:i w:val="0"/>
            <w:iCs w:val="0"/>
            <w:noProof/>
            <w:sz w:val="22"/>
            <w:szCs w:val="22"/>
            <w:lang w:eastAsia="en-GB" w:bidi="ar-SA"/>
          </w:rPr>
          <w:tab/>
        </w:r>
        <w:r w:rsidR="00CA376B" w:rsidRPr="00C51C59">
          <w:rPr>
            <w:rStyle w:val="Hyperlink"/>
            <w:noProof/>
          </w:rPr>
          <w:t>Subsection 18(1)</w:t>
        </w:r>
        <w:r w:rsidR="00CA376B">
          <w:rPr>
            <w:noProof/>
            <w:webHidden/>
          </w:rPr>
          <w:tab/>
        </w:r>
        <w:r w:rsidR="00CA376B">
          <w:rPr>
            <w:noProof/>
            <w:webHidden/>
          </w:rPr>
          <w:fldChar w:fldCharType="begin"/>
        </w:r>
        <w:r w:rsidR="00CA376B">
          <w:rPr>
            <w:noProof/>
            <w:webHidden/>
          </w:rPr>
          <w:instrText xml:space="preserve"> PAGEREF _Toc14427211 \h </w:instrText>
        </w:r>
        <w:r w:rsidR="00CA376B">
          <w:rPr>
            <w:noProof/>
            <w:webHidden/>
          </w:rPr>
        </w:r>
        <w:r w:rsidR="00CA376B">
          <w:rPr>
            <w:noProof/>
            <w:webHidden/>
          </w:rPr>
          <w:fldChar w:fldCharType="separate"/>
        </w:r>
        <w:r w:rsidR="004F448D">
          <w:rPr>
            <w:noProof/>
            <w:webHidden/>
          </w:rPr>
          <w:t>38</w:t>
        </w:r>
        <w:r w:rsidR="00CA376B">
          <w:rPr>
            <w:noProof/>
            <w:webHidden/>
          </w:rPr>
          <w:fldChar w:fldCharType="end"/>
        </w:r>
      </w:hyperlink>
    </w:p>
    <w:p w14:paraId="1D1C9F27" w14:textId="5A4714FE" w:rsidR="00CA376B" w:rsidRDefault="00987B64">
      <w:pPr>
        <w:pStyle w:val="TOC3"/>
        <w:tabs>
          <w:tab w:val="left" w:pos="1100"/>
          <w:tab w:val="right" w:leader="dot" w:pos="9060"/>
        </w:tabs>
        <w:rPr>
          <w:rFonts w:eastAsiaTheme="minorEastAsia" w:cstheme="minorBidi"/>
          <w:i w:val="0"/>
          <w:iCs w:val="0"/>
          <w:noProof/>
          <w:sz w:val="22"/>
          <w:szCs w:val="22"/>
          <w:lang w:eastAsia="en-GB" w:bidi="ar-SA"/>
        </w:rPr>
      </w:pPr>
      <w:hyperlink w:anchor="_Toc14427212" w:history="1">
        <w:r w:rsidR="00CA376B" w:rsidRPr="00C51C59">
          <w:rPr>
            <w:rStyle w:val="Hyperlink"/>
            <w:noProof/>
          </w:rPr>
          <w:t>2.5.3</w:t>
        </w:r>
        <w:r w:rsidR="00CA376B">
          <w:rPr>
            <w:rFonts w:eastAsiaTheme="minorEastAsia" w:cstheme="minorBidi"/>
            <w:i w:val="0"/>
            <w:iCs w:val="0"/>
            <w:noProof/>
            <w:sz w:val="22"/>
            <w:szCs w:val="22"/>
            <w:lang w:eastAsia="en-GB" w:bidi="ar-SA"/>
          </w:rPr>
          <w:tab/>
        </w:r>
        <w:r w:rsidR="00CA376B" w:rsidRPr="00C51C59">
          <w:rPr>
            <w:rStyle w:val="Hyperlink"/>
            <w:noProof/>
          </w:rPr>
          <w:t>Subsection 18(2) considerations</w:t>
        </w:r>
        <w:r w:rsidR="00CA376B">
          <w:rPr>
            <w:noProof/>
            <w:webHidden/>
          </w:rPr>
          <w:tab/>
        </w:r>
        <w:r w:rsidR="00CA376B">
          <w:rPr>
            <w:noProof/>
            <w:webHidden/>
          </w:rPr>
          <w:fldChar w:fldCharType="begin"/>
        </w:r>
        <w:r w:rsidR="00CA376B">
          <w:rPr>
            <w:noProof/>
            <w:webHidden/>
          </w:rPr>
          <w:instrText xml:space="preserve"> PAGEREF _Toc14427212 \h </w:instrText>
        </w:r>
        <w:r w:rsidR="00CA376B">
          <w:rPr>
            <w:noProof/>
            <w:webHidden/>
          </w:rPr>
        </w:r>
        <w:r w:rsidR="00CA376B">
          <w:rPr>
            <w:noProof/>
            <w:webHidden/>
          </w:rPr>
          <w:fldChar w:fldCharType="separate"/>
        </w:r>
        <w:r w:rsidR="004F448D">
          <w:rPr>
            <w:noProof/>
            <w:webHidden/>
          </w:rPr>
          <w:t>38</w:t>
        </w:r>
        <w:r w:rsidR="00CA376B">
          <w:rPr>
            <w:noProof/>
            <w:webHidden/>
          </w:rPr>
          <w:fldChar w:fldCharType="end"/>
        </w:r>
      </w:hyperlink>
    </w:p>
    <w:p w14:paraId="6E124A72" w14:textId="54D8C972" w:rsidR="00CA376B" w:rsidRDefault="00987B64">
      <w:pPr>
        <w:pStyle w:val="TOC1"/>
        <w:tabs>
          <w:tab w:val="left" w:pos="440"/>
          <w:tab w:val="right" w:leader="dot" w:pos="9060"/>
        </w:tabs>
        <w:rPr>
          <w:rFonts w:eastAsiaTheme="minorEastAsia" w:cstheme="minorBidi"/>
          <w:b w:val="0"/>
          <w:bCs w:val="0"/>
          <w:caps w:val="0"/>
          <w:noProof/>
          <w:sz w:val="22"/>
          <w:szCs w:val="22"/>
          <w:lang w:eastAsia="en-GB" w:bidi="ar-SA"/>
        </w:rPr>
      </w:pPr>
      <w:hyperlink w:anchor="_Toc14427213" w:history="1">
        <w:r w:rsidR="00CA376B" w:rsidRPr="00C51C59">
          <w:rPr>
            <w:rStyle w:val="Hyperlink"/>
            <w:noProof/>
          </w:rPr>
          <w:t>3</w:t>
        </w:r>
        <w:r w:rsidR="00CA376B">
          <w:rPr>
            <w:rFonts w:eastAsiaTheme="minorEastAsia" w:cstheme="minorBidi"/>
            <w:b w:val="0"/>
            <w:bCs w:val="0"/>
            <w:caps w:val="0"/>
            <w:noProof/>
            <w:sz w:val="22"/>
            <w:szCs w:val="22"/>
            <w:lang w:eastAsia="en-GB" w:bidi="ar-SA"/>
          </w:rPr>
          <w:tab/>
        </w:r>
        <w:r w:rsidR="00CA376B" w:rsidRPr="00C51C59">
          <w:rPr>
            <w:rStyle w:val="Hyperlink"/>
            <w:noProof/>
          </w:rPr>
          <w:t>Draft variation</w:t>
        </w:r>
        <w:r w:rsidR="00CA376B">
          <w:rPr>
            <w:noProof/>
            <w:webHidden/>
          </w:rPr>
          <w:tab/>
        </w:r>
        <w:r w:rsidR="00CA376B">
          <w:rPr>
            <w:noProof/>
            <w:webHidden/>
          </w:rPr>
          <w:fldChar w:fldCharType="begin"/>
        </w:r>
        <w:r w:rsidR="00CA376B">
          <w:rPr>
            <w:noProof/>
            <w:webHidden/>
          </w:rPr>
          <w:instrText xml:space="preserve"> PAGEREF _Toc14427213 \h </w:instrText>
        </w:r>
        <w:r w:rsidR="00CA376B">
          <w:rPr>
            <w:noProof/>
            <w:webHidden/>
          </w:rPr>
        </w:r>
        <w:r w:rsidR="00CA376B">
          <w:rPr>
            <w:noProof/>
            <w:webHidden/>
          </w:rPr>
          <w:fldChar w:fldCharType="separate"/>
        </w:r>
        <w:r w:rsidR="004F448D">
          <w:rPr>
            <w:noProof/>
            <w:webHidden/>
          </w:rPr>
          <w:t>39</w:t>
        </w:r>
        <w:r w:rsidR="00CA376B">
          <w:rPr>
            <w:noProof/>
            <w:webHidden/>
          </w:rPr>
          <w:fldChar w:fldCharType="end"/>
        </w:r>
      </w:hyperlink>
    </w:p>
    <w:p w14:paraId="4EBEE8DB" w14:textId="0889AD99" w:rsidR="00CA376B" w:rsidRDefault="00987B64">
      <w:pPr>
        <w:pStyle w:val="TOC1"/>
        <w:tabs>
          <w:tab w:val="left" w:pos="440"/>
          <w:tab w:val="right" w:leader="dot" w:pos="9060"/>
        </w:tabs>
        <w:rPr>
          <w:rFonts w:eastAsiaTheme="minorEastAsia" w:cstheme="minorBidi"/>
          <w:b w:val="0"/>
          <w:bCs w:val="0"/>
          <w:caps w:val="0"/>
          <w:noProof/>
          <w:sz w:val="22"/>
          <w:szCs w:val="22"/>
          <w:lang w:eastAsia="en-GB" w:bidi="ar-SA"/>
        </w:rPr>
      </w:pPr>
      <w:hyperlink w:anchor="_Toc14427214" w:history="1">
        <w:r w:rsidR="00CA376B" w:rsidRPr="00C51C59">
          <w:rPr>
            <w:rStyle w:val="Hyperlink"/>
            <w:noProof/>
          </w:rPr>
          <w:t>4</w:t>
        </w:r>
        <w:r w:rsidR="00CA376B">
          <w:rPr>
            <w:rFonts w:eastAsiaTheme="minorEastAsia" w:cstheme="minorBidi"/>
            <w:b w:val="0"/>
            <w:bCs w:val="0"/>
            <w:caps w:val="0"/>
            <w:noProof/>
            <w:sz w:val="22"/>
            <w:szCs w:val="22"/>
            <w:lang w:eastAsia="en-GB" w:bidi="ar-SA"/>
          </w:rPr>
          <w:tab/>
        </w:r>
        <w:r w:rsidR="00CA376B" w:rsidRPr="00C51C59">
          <w:rPr>
            <w:rStyle w:val="Hyperlink"/>
            <w:noProof/>
          </w:rPr>
          <w:t>References</w:t>
        </w:r>
        <w:r w:rsidR="00CA376B">
          <w:rPr>
            <w:noProof/>
            <w:webHidden/>
          </w:rPr>
          <w:tab/>
        </w:r>
        <w:r w:rsidR="00CA376B">
          <w:rPr>
            <w:noProof/>
            <w:webHidden/>
          </w:rPr>
          <w:fldChar w:fldCharType="begin"/>
        </w:r>
        <w:r w:rsidR="00CA376B">
          <w:rPr>
            <w:noProof/>
            <w:webHidden/>
          </w:rPr>
          <w:instrText xml:space="preserve"> PAGEREF _Toc14427214 \h </w:instrText>
        </w:r>
        <w:r w:rsidR="00CA376B">
          <w:rPr>
            <w:noProof/>
            <w:webHidden/>
          </w:rPr>
        </w:r>
        <w:r w:rsidR="00CA376B">
          <w:rPr>
            <w:noProof/>
            <w:webHidden/>
          </w:rPr>
          <w:fldChar w:fldCharType="separate"/>
        </w:r>
        <w:r w:rsidR="004F448D">
          <w:rPr>
            <w:noProof/>
            <w:webHidden/>
          </w:rPr>
          <w:t>39</w:t>
        </w:r>
        <w:r w:rsidR="00CA376B">
          <w:rPr>
            <w:noProof/>
            <w:webHidden/>
          </w:rPr>
          <w:fldChar w:fldCharType="end"/>
        </w:r>
      </w:hyperlink>
    </w:p>
    <w:p w14:paraId="0CF7F3B3" w14:textId="2E3991CB" w:rsidR="00CA376B" w:rsidRDefault="00987B64">
      <w:pPr>
        <w:pStyle w:val="TOC2"/>
        <w:tabs>
          <w:tab w:val="right" w:leader="dot" w:pos="9060"/>
        </w:tabs>
        <w:rPr>
          <w:rFonts w:eastAsiaTheme="minorEastAsia" w:cstheme="minorBidi"/>
          <w:smallCaps w:val="0"/>
          <w:noProof/>
          <w:sz w:val="22"/>
          <w:szCs w:val="22"/>
          <w:lang w:eastAsia="en-GB" w:bidi="ar-SA"/>
        </w:rPr>
      </w:pPr>
      <w:hyperlink w:anchor="_Toc14427215" w:history="1">
        <w:r w:rsidR="00CA376B" w:rsidRPr="00C51C59">
          <w:rPr>
            <w:rStyle w:val="Hyperlink"/>
            <w:noProof/>
          </w:rPr>
          <w:t xml:space="preserve">Attachment A – Draft variation to the </w:t>
        </w:r>
        <w:r w:rsidR="00CA376B" w:rsidRPr="00C51C59">
          <w:rPr>
            <w:rStyle w:val="Hyperlink"/>
            <w:i/>
            <w:noProof/>
          </w:rPr>
          <w:t>Australia New Zealand Food Standards Code</w:t>
        </w:r>
        <w:r w:rsidR="00CA376B">
          <w:rPr>
            <w:noProof/>
            <w:webHidden/>
          </w:rPr>
          <w:tab/>
        </w:r>
        <w:r w:rsidR="00CA376B">
          <w:rPr>
            <w:noProof/>
            <w:webHidden/>
          </w:rPr>
          <w:fldChar w:fldCharType="begin"/>
        </w:r>
        <w:r w:rsidR="00CA376B">
          <w:rPr>
            <w:noProof/>
            <w:webHidden/>
          </w:rPr>
          <w:instrText xml:space="preserve"> PAGEREF _Toc14427215 \h </w:instrText>
        </w:r>
        <w:r w:rsidR="00CA376B">
          <w:rPr>
            <w:noProof/>
            <w:webHidden/>
          </w:rPr>
        </w:r>
        <w:r w:rsidR="00CA376B">
          <w:rPr>
            <w:noProof/>
            <w:webHidden/>
          </w:rPr>
          <w:fldChar w:fldCharType="separate"/>
        </w:r>
        <w:r w:rsidR="004F448D">
          <w:rPr>
            <w:noProof/>
            <w:webHidden/>
          </w:rPr>
          <w:t>42</w:t>
        </w:r>
        <w:r w:rsidR="00CA376B">
          <w:rPr>
            <w:noProof/>
            <w:webHidden/>
          </w:rPr>
          <w:fldChar w:fldCharType="end"/>
        </w:r>
      </w:hyperlink>
    </w:p>
    <w:p w14:paraId="1F4CE136" w14:textId="5E035110" w:rsidR="00CA376B" w:rsidRDefault="00987B64">
      <w:pPr>
        <w:pStyle w:val="TOC2"/>
        <w:tabs>
          <w:tab w:val="right" w:leader="dot" w:pos="9060"/>
        </w:tabs>
        <w:rPr>
          <w:rFonts w:eastAsiaTheme="minorEastAsia" w:cstheme="minorBidi"/>
          <w:smallCaps w:val="0"/>
          <w:noProof/>
          <w:sz w:val="22"/>
          <w:szCs w:val="22"/>
          <w:lang w:eastAsia="en-GB" w:bidi="ar-SA"/>
        </w:rPr>
      </w:pPr>
      <w:hyperlink w:anchor="_Toc14427216" w:history="1">
        <w:r w:rsidR="00CA376B" w:rsidRPr="00C51C59">
          <w:rPr>
            <w:rStyle w:val="Hyperlink"/>
            <w:noProof/>
          </w:rPr>
          <w:t>Attachment B – Draft Explanatory Statement</w:t>
        </w:r>
        <w:r w:rsidR="00CA376B">
          <w:rPr>
            <w:noProof/>
            <w:webHidden/>
          </w:rPr>
          <w:tab/>
        </w:r>
        <w:r w:rsidR="00CA376B">
          <w:rPr>
            <w:noProof/>
            <w:webHidden/>
          </w:rPr>
          <w:fldChar w:fldCharType="begin"/>
        </w:r>
        <w:r w:rsidR="00CA376B">
          <w:rPr>
            <w:noProof/>
            <w:webHidden/>
          </w:rPr>
          <w:instrText xml:space="preserve"> PAGEREF _Toc14427216 \h </w:instrText>
        </w:r>
        <w:r w:rsidR="00CA376B">
          <w:rPr>
            <w:noProof/>
            <w:webHidden/>
          </w:rPr>
        </w:r>
        <w:r w:rsidR="00CA376B">
          <w:rPr>
            <w:noProof/>
            <w:webHidden/>
          </w:rPr>
          <w:fldChar w:fldCharType="separate"/>
        </w:r>
        <w:r w:rsidR="004F448D">
          <w:rPr>
            <w:noProof/>
            <w:webHidden/>
          </w:rPr>
          <w:t>48</w:t>
        </w:r>
        <w:r w:rsidR="00CA376B">
          <w:rPr>
            <w:noProof/>
            <w:webHidden/>
          </w:rPr>
          <w:fldChar w:fldCharType="end"/>
        </w:r>
      </w:hyperlink>
    </w:p>
    <w:p w14:paraId="63689D85" w14:textId="675FBE18" w:rsidR="00CA376B" w:rsidRDefault="00987B64">
      <w:pPr>
        <w:pStyle w:val="TOC2"/>
        <w:tabs>
          <w:tab w:val="right" w:leader="dot" w:pos="9060"/>
        </w:tabs>
        <w:rPr>
          <w:rFonts w:eastAsiaTheme="minorEastAsia" w:cstheme="minorBidi"/>
          <w:smallCaps w:val="0"/>
          <w:noProof/>
          <w:sz w:val="22"/>
          <w:szCs w:val="22"/>
          <w:lang w:eastAsia="en-GB" w:bidi="ar-SA"/>
        </w:rPr>
      </w:pPr>
      <w:hyperlink w:anchor="_Toc14427217" w:history="1">
        <w:r w:rsidR="00CA376B" w:rsidRPr="00C51C59">
          <w:rPr>
            <w:rStyle w:val="Hyperlink"/>
            <w:noProof/>
          </w:rPr>
          <w:t>Attachment C – Units basis for expressing maximum permitted amounts</w:t>
        </w:r>
        <w:r w:rsidR="00CA376B">
          <w:rPr>
            <w:noProof/>
            <w:webHidden/>
          </w:rPr>
          <w:tab/>
        </w:r>
        <w:r w:rsidR="00CA376B">
          <w:rPr>
            <w:noProof/>
            <w:webHidden/>
          </w:rPr>
          <w:fldChar w:fldCharType="begin"/>
        </w:r>
        <w:r w:rsidR="00CA376B">
          <w:rPr>
            <w:noProof/>
            <w:webHidden/>
          </w:rPr>
          <w:instrText xml:space="preserve"> PAGEREF _Toc14427217 \h </w:instrText>
        </w:r>
        <w:r w:rsidR="00CA376B">
          <w:rPr>
            <w:noProof/>
            <w:webHidden/>
          </w:rPr>
        </w:r>
        <w:r w:rsidR="00CA376B">
          <w:rPr>
            <w:noProof/>
            <w:webHidden/>
          </w:rPr>
          <w:fldChar w:fldCharType="separate"/>
        </w:r>
        <w:r w:rsidR="004F448D">
          <w:rPr>
            <w:noProof/>
            <w:webHidden/>
          </w:rPr>
          <w:t>52</w:t>
        </w:r>
        <w:r w:rsidR="00CA376B">
          <w:rPr>
            <w:noProof/>
            <w:webHidden/>
          </w:rPr>
          <w:fldChar w:fldCharType="end"/>
        </w:r>
      </w:hyperlink>
    </w:p>
    <w:p w14:paraId="3ED9A441" w14:textId="7C5094B1" w:rsidR="00051ED9" w:rsidRPr="0059227F" w:rsidRDefault="00051ED9" w:rsidP="00051ED9">
      <w:pPr>
        <w:rPr>
          <w:rFonts w:cs="Arial"/>
        </w:rPr>
      </w:pPr>
      <w:r w:rsidRPr="002C4A91">
        <w:rPr>
          <w:rFonts w:cs="Arial"/>
          <w:sz w:val="20"/>
          <w:szCs w:val="20"/>
        </w:rPr>
        <w:fldChar w:fldCharType="end"/>
      </w:r>
    </w:p>
    <w:p w14:paraId="3E7F1B45" w14:textId="77777777" w:rsidR="00D73931" w:rsidRPr="00E203C2" w:rsidRDefault="00D73931" w:rsidP="00051ED9"/>
    <w:p w14:paraId="2D45EEC0" w14:textId="77777777" w:rsidR="0037520F" w:rsidRPr="008F366C" w:rsidRDefault="0037520F" w:rsidP="0037520F">
      <w:pPr>
        <w:rPr>
          <w:b/>
          <w:szCs w:val="22"/>
        </w:rPr>
      </w:pPr>
      <w:r w:rsidRPr="008844E4">
        <w:rPr>
          <w:b/>
          <w:szCs w:val="22"/>
        </w:rPr>
        <w:t xml:space="preserve">Supporting </w:t>
      </w:r>
      <w:r w:rsidRPr="008F366C">
        <w:rPr>
          <w:b/>
          <w:szCs w:val="22"/>
        </w:rPr>
        <w:t>documents</w:t>
      </w:r>
    </w:p>
    <w:p w14:paraId="6EE4F691" w14:textId="77777777" w:rsidR="0037520F" w:rsidRPr="0089264A" w:rsidRDefault="0037520F" w:rsidP="0037520F">
      <w:pPr>
        <w:rPr>
          <w:szCs w:val="22"/>
        </w:rPr>
      </w:pPr>
    </w:p>
    <w:p w14:paraId="60D40911" w14:textId="2DCB6431" w:rsidR="0037520F" w:rsidRPr="0089264A" w:rsidRDefault="0037520F" w:rsidP="0037520F">
      <w:pPr>
        <w:rPr>
          <w:color w:val="FF0000"/>
          <w:szCs w:val="22"/>
        </w:rPr>
      </w:pPr>
      <w:r w:rsidRPr="0089264A">
        <w:rPr>
          <w:szCs w:val="22"/>
        </w:rPr>
        <w:t xml:space="preserve">The </w:t>
      </w:r>
      <w:hyperlink r:id="rId26" w:history="1">
        <w:r w:rsidRPr="002F2717">
          <w:rPr>
            <w:rStyle w:val="Hyperlink"/>
            <w:szCs w:val="22"/>
          </w:rPr>
          <w:t>following documents</w:t>
        </w:r>
      </w:hyperlink>
      <w:r w:rsidR="00C11D92">
        <w:rPr>
          <w:rStyle w:val="FootnoteReference"/>
          <w:szCs w:val="22"/>
        </w:rPr>
        <w:footnoteReference w:id="2"/>
      </w:r>
      <w:r w:rsidRPr="008F366C">
        <w:rPr>
          <w:szCs w:val="22"/>
        </w:rPr>
        <w:t xml:space="preserve"> </w:t>
      </w:r>
      <w:r w:rsidR="00681754">
        <w:rPr>
          <w:szCs w:val="22"/>
        </w:rPr>
        <w:t xml:space="preserve">which informed the assessment of this </w:t>
      </w:r>
      <w:r w:rsidR="00B7184C" w:rsidRPr="00B7184C">
        <w:rPr>
          <w:szCs w:val="22"/>
        </w:rPr>
        <w:t>Application</w:t>
      </w:r>
      <w:r>
        <w:rPr>
          <w:szCs w:val="22"/>
        </w:rPr>
        <w:t xml:space="preserve"> are</w:t>
      </w:r>
      <w:r w:rsidRPr="0089264A">
        <w:rPr>
          <w:szCs w:val="22"/>
        </w:rPr>
        <w:t xml:space="preserve"> available on the FSANZ website</w:t>
      </w:r>
      <w:r w:rsidR="00820535">
        <w:rPr>
          <w:szCs w:val="22"/>
        </w:rPr>
        <w:t>:</w:t>
      </w:r>
    </w:p>
    <w:p w14:paraId="416CBCB3" w14:textId="77777777" w:rsidR="0089264A" w:rsidRPr="0089264A" w:rsidRDefault="0089264A" w:rsidP="0089264A">
      <w:pPr>
        <w:rPr>
          <w:szCs w:val="22"/>
        </w:rPr>
      </w:pPr>
    </w:p>
    <w:p w14:paraId="038FEB9C" w14:textId="04CCA645" w:rsidR="0089264A" w:rsidRPr="00131A00" w:rsidRDefault="0089264A" w:rsidP="003A7725">
      <w:pPr>
        <w:ind w:left="1134" w:hanging="1134"/>
      </w:pPr>
      <w:r w:rsidRPr="00131A00">
        <w:t>SD1</w:t>
      </w:r>
      <w:r w:rsidRPr="00131A00">
        <w:tab/>
      </w:r>
      <w:r w:rsidR="00E424C9" w:rsidRPr="00131A00">
        <w:t>Safety, t</w:t>
      </w:r>
      <w:r w:rsidR="00230ED4" w:rsidRPr="00131A00">
        <w:t>echnical</w:t>
      </w:r>
      <w:r w:rsidR="00E424C9" w:rsidRPr="00131A00">
        <w:t xml:space="preserve"> and health effects a</w:t>
      </w:r>
      <w:r w:rsidR="00230ED4" w:rsidRPr="00131A00">
        <w:t>ssessment</w:t>
      </w:r>
    </w:p>
    <w:p w14:paraId="67D55B04" w14:textId="27533AAA" w:rsidR="00230ED4" w:rsidRPr="00131A00" w:rsidRDefault="00230ED4" w:rsidP="003A7725">
      <w:pPr>
        <w:ind w:left="1134" w:hanging="1134"/>
      </w:pPr>
      <w:r w:rsidRPr="00131A00">
        <w:t>SD2</w:t>
      </w:r>
      <w:r w:rsidRPr="00131A00">
        <w:tab/>
        <w:t>A</w:t>
      </w:r>
      <w:r w:rsidR="00DA746E" w:rsidRPr="00131A00">
        <w:t>ssessment a</w:t>
      </w:r>
      <w:r w:rsidRPr="00131A00">
        <w:t xml:space="preserve">gainst </w:t>
      </w:r>
      <w:r w:rsidR="008F366C">
        <w:t xml:space="preserve">Ministerial </w:t>
      </w:r>
      <w:r w:rsidR="002D74D4">
        <w:t>Policy G</w:t>
      </w:r>
      <w:r w:rsidRPr="00131A00">
        <w:t>uidelines</w:t>
      </w:r>
    </w:p>
    <w:p w14:paraId="434E6536" w14:textId="77777777" w:rsidR="00051ED9" w:rsidRDefault="00562917" w:rsidP="00772BDC">
      <w:r w:rsidRPr="00E203C2">
        <w:br w:type="page"/>
      </w:r>
    </w:p>
    <w:p w14:paraId="55EE1DF8" w14:textId="50354202" w:rsidR="000D12DB" w:rsidRDefault="00F33BB8" w:rsidP="000D12DB">
      <w:pPr>
        <w:pStyle w:val="Heading1"/>
      </w:pPr>
      <w:bookmarkStart w:id="1" w:name="_Toc286391001"/>
      <w:bookmarkStart w:id="2" w:name="_Toc300933414"/>
      <w:bookmarkStart w:id="3" w:name="_Toc525729978"/>
      <w:bookmarkStart w:id="4" w:name="_Toc527018223"/>
      <w:bookmarkStart w:id="5" w:name="_Toc11247889"/>
      <w:bookmarkStart w:id="6" w:name="_Toc14427183"/>
      <w:bookmarkStart w:id="7" w:name="_Toc11735627"/>
      <w:bookmarkStart w:id="8" w:name="_Toc29883110"/>
      <w:bookmarkStart w:id="9" w:name="_Toc41906797"/>
      <w:bookmarkStart w:id="10" w:name="_Toc41907544"/>
      <w:bookmarkStart w:id="11" w:name="_Toc120358575"/>
      <w:r w:rsidRPr="000D12DB">
        <w:t>E</w:t>
      </w:r>
      <w:r w:rsidR="0037520F" w:rsidRPr="000D12DB">
        <w:t>xecutive s</w:t>
      </w:r>
      <w:r w:rsidR="00E063C6" w:rsidRPr="000D12DB">
        <w:t>ummary</w:t>
      </w:r>
      <w:bookmarkEnd w:id="1"/>
      <w:bookmarkEnd w:id="2"/>
      <w:bookmarkEnd w:id="3"/>
      <w:bookmarkEnd w:id="4"/>
      <w:bookmarkEnd w:id="5"/>
      <w:bookmarkEnd w:id="6"/>
    </w:p>
    <w:p w14:paraId="3D695C5E" w14:textId="166C1280" w:rsidR="008A7040" w:rsidRDefault="003D16B6" w:rsidP="000D12DB">
      <w:r>
        <w:rPr>
          <w:lang w:bidi="ar-SA"/>
        </w:rPr>
        <w:t xml:space="preserve">FSANZ has assessed an application from </w:t>
      </w:r>
      <w:r w:rsidR="00AD00C8">
        <w:rPr>
          <w:lang w:bidi="ar-SA"/>
        </w:rPr>
        <w:t xml:space="preserve">Glycom A/S </w:t>
      </w:r>
      <w:r w:rsidR="008F1AE2">
        <w:rPr>
          <w:lang w:bidi="ar-SA"/>
        </w:rPr>
        <w:t xml:space="preserve">to amend </w:t>
      </w:r>
      <w:r w:rsidR="00AD00C8">
        <w:t>the</w:t>
      </w:r>
      <w:r w:rsidR="00AD00C8" w:rsidRPr="00AD00C8">
        <w:rPr>
          <w:i/>
        </w:rPr>
        <w:t xml:space="preserve"> </w:t>
      </w:r>
      <w:r w:rsidR="00AD00C8" w:rsidRPr="00E1609C">
        <w:t>Australia New Zealand Food Standards Code</w:t>
      </w:r>
      <w:r w:rsidR="00AD00C8">
        <w:t xml:space="preserve"> (the Code) </w:t>
      </w:r>
      <w:r w:rsidR="008F1AE2">
        <w:t xml:space="preserve">to permit </w:t>
      </w:r>
      <w:r w:rsidR="00297BBF">
        <w:rPr>
          <w:lang w:bidi="ar-SA"/>
        </w:rPr>
        <w:t xml:space="preserve">the voluntary addition of </w:t>
      </w:r>
      <w:r w:rsidR="00297BBF">
        <w:t>2</w:t>
      </w:r>
      <w:r w:rsidR="00567609">
        <w:t>′</w:t>
      </w:r>
      <w:r w:rsidR="00297BBF">
        <w:t>-</w:t>
      </w:r>
      <w:r w:rsidR="00297BBF" w:rsidRPr="00831AA1">
        <w:t>O</w:t>
      </w:r>
      <w:r w:rsidR="00297BBF">
        <w:t>-</w:t>
      </w:r>
      <w:r w:rsidR="00831AA1">
        <w:t>f</w:t>
      </w:r>
      <w:r w:rsidR="00297BBF">
        <w:t>ucosyllactose (2</w:t>
      </w:r>
      <w:r w:rsidR="00567609">
        <w:t>′</w:t>
      </w:r>
      <w:r w:rsidR="00297BBF">
        <w:t>-FL</w:t>
      </w:r>
      <w:r w:rsidR="000F2DFB">
        <w:t>), either a</w:t>
      </w:r>
      <w:r w:rsidR="00297BBF">
        <w:t>lone or in combination with Lacto-</w:t>
      </w:r>
      <w:r w:rsidR="00297BBF" w:rsidRPr="00831AA1">
        <w:t>N</w:t>
      </w:r>
      <w:r w:rsidR="006D6D37">
        <w:t>-neotetraose (LNnT),</w:t>
      </w:r>
      <w:r w:rsidR="009A406B">
        <w:t xml:space="preserve"> </w:t>
      </w:r>
      <w:r w:rsidR="00FA2D37">
        <w:t>to</w:t>
      </w:r>
      <w:r w:rsidR="00297BBF">
        <w:t xml:space="preserve"> infant formula products and formulated supplementary foods for young children (FSFYC). </w:t>
      </w:r>
      <w:r w:rsidR="00F97B39">
        <w:t>Permission is sought for the</w:t>
      </w:r>
      <w:r w:rsidR="00D84D14">
        <w:t xml:space="preserve"> addition of </w:t>
      </w:r>
      <w:r w:rsidR="00F97B39">
        <w:t>1.2 g/L</w:t>
      </w:r>
      <w:r w:rsidR="00A405F5">
        <w:t xml:space="preserve"> of</w:t>
      </w:r>
      <w:r w:rsidR="00F97B39">
        <w:t xml:space="preserve"> 2</w:t>
      </w:r>
      <w:r w:rsidR="000A17BB">
        <w:rPr>
          <w:rFonts w:cs="Arial"/>
        </w:rPr>
        <w:t>′</w:t>
      </w:r>
      <w:r w:rsidR="00F97B39">
        <w:t>-FL alone, or with an additional 0.6 g/L of LNnT (i.e. totalling 1.8 g/L)</w:t>
      </w:r>
      <w:r>
        <w:t>; and for exclusive use of this permission for 15 months after gazettal.</w:t>
      </w:r>
      <w:r w:rsidR="00F97B39">
        <w:t xml:space="preserve"> </w:t>
      </w:r>
    </w:p>
    <w:p w14:paraId="71386668" w14:textId="77777777" w:rsidR="008A7040" w:rsidRDefault="008A7040" w:rsidP="000D12DB"/>
    <w:p w14:paraId="3C7FAA1A" w14:textId="15D0EA5D" w:rsidR="00BA37F3" w:rsidRDefault="00947881" w:rsidP="00735E4B">
      <w:r>
        <w:t>2</w:t>
      </w:r>
      <w:r w:rsidR="000A17BB">
        <w:rPr>
          <w:rFonts w:cs="Arial"/>
        </w:rPr>
        <w:t>′</w:t>
      </w:r>
      <w:r>
        <w:t xml:space="preserve">-FL and LNnT </w:t>
      </w:r>
      <w:r w:rsidR="00BD245B">
        <w:rPr>
          <w:szCs w:val="22"/>
        </w:rPr>
        <w:t xml:space="preserve">are non-digestible oligosaccharides found naturally </w:t>
      </w:r>
      <w:r w:rsidR="0013608C">
        <w:rPr>
          <w:szCs w:val="22"/>
        </w:rPr>
        <w:t>in</w:t>
      </w:r>
      <w:r w:rsidR="00BD245B">
        <w:rPr>
          <w:szCs w:val="22"/>
        </w:rPr>
        <w:t xml:space="preserve"> human milk</w:t>
      </w:r>
      <w:r w:rsidR="001E4E5E">
        <w:rPr>
          <w:szCs w:val="22"/>
        </w:rPr>
        <w:t>.</w:t>
      </w:r>
      <w:r w:rsidR="00F45812">
        <w:t xml:space="preserve"> The applicant’s 2</w:t>
      </w:r>
      <w:r w:rsidR="000A17BB">
        <w:rPr>
          <w:rFonts w:cs="Arial"/>
        </w:rPr>
        <w:t>′</w:t>
      </w:r>
      <w:r w:rsidR="00F45812">
        <w:t xml:space="preserve">-FL and LNnT </w:t>
      </w:r>
      <w:r w:rsidR="00624F06">
        <w:t xml:space="preserve">are </w:t>
      </w:r>
      <w:r w:rsidR="00C07DC1">
        <w:t>prod</w:t>
      </w:r>
      <w:r w:rsidR="00624F06">
        <w:t xml:space="preserve">uced by microbial fermentation </w:t>
      </w:r>
      <w:r w:rsidR="00C07DC1">
        <w:t>using genetically m</w:t>
      </w:r>
      <w:r w:rsidR="00624F06">
        <w:t>odified (GM) production strains. These oligosaccharides</w:t>
      </w:r>
      <w:r w:rsidR="00C07DC1">
        <w:t xml:space="preserve"> </w:t>
      </w:r>
      <w:r w:rsidR="00F45812">
        <w:t xml:space="preserve">are </w:t>
      </w:r>
      <w:r w:rsidR="003448F8">
        <w:t>chemically and structurally identical to those in human milk.</w:t>
      </w:r>
    </w:p>
    <w:p w14:paraId="6751C593" w14:textId="77777777" w:rsidR="009A1272" w:rsidRDefault="009A1272" w:rsidP="00735E4B">
      <w:pPr>
        <w:rPr>
          <w:szCs w:val="22"/>
        </w:rPr>
      </w:pPr>
    </w:p>
    <w:p w14:paraId="6CFD098D" w14:textId="6E53FA1A" w:rsidR="00B16FE4" w:rsidRPr="00B16FE4" w:rsidRDefault="00653EE8" w:rsidP="0043418D">
      <w:r w:rsidRPr="00E125C7">
        <w:t xml:space="preserve">FSANZ </w:t>
      </w:r>
      <w:r>
        <w:t xml:space="preserve">has assessed whether the </w:t>
      </w:r>
      <w:r w:rsidR="007C300C">
        <w:t>proposed addition</w:t>
      </w:r>
      <w:r w:rsidRPr="00E125C7">
        <w:t xml:space="preserve"> mee</w:t>
      </w:r>
      <w:r w:rsidR="00FC04F8">
        <w:t xml:space="preserve">ts its objectives under section </w:t>
      </w:r>
      <w:r w:rsidRPr="00E125C7">
        <w:t>18 of</w:t>
      </w:r>
      <w:r w:rsidR="0043418D">
        <w:t xml:space="preserve"> </w:t>
      </w:r>
      <w:r w:rsidRPr="00E125C7">
        <w:t>the</w:t>
      </w:r>
      <w:r w:rsidR="001C4E6E">
        <w:t xml:space="preserve"> FSANZ Act</w:t>
      </w:r>
      <w:r w:rsidR="00D2740B">
        <w:t>. In</w:t>
      </w:r>
      <w:r>
        <w:t xml:space="preserve"> doing </w:t>
      </w:r>
      <w:r w:rsidR="00D2740B">
        <w:t>so, we have</w:t>
      </w:r>
      <w:r w:rsidR="007C300C">
        <w:t xml:space="preserve"> given regard to relevant </w:t>
      </w:r>
      <w:r w:rsidRPr="00E125C7">
        <w:t>Ministerial Policy Guideline</w:t>
      </w:r>
      <w:r w:rsidR="007C300C">
        <w:t>s</w:t>
      </w:r>
      <w:r w:rsidR="00D2740B">
        <w:t>.</w:t>
      </w:r>
    </w:p>
    <w:p w14:paraId="123DCA7F" w14:textId="77777777" w:rsidR="00653EE8" w:rsidRDefault="00653EE8" w:rsidP="007F2C17">
      <w:pPr>
        <w:rPr>
          <w:szCs w:val="22"/>
        </w:rPr>
      </w:pPr>
    </w:p>
    <w:p w14:paraId="5005A62E" w14:textId="4423B7D7" w:rsidR="001C2E42" w:rsidRDefault="0010363B" w:rsidP="007F2C17">
      <w:pPr>
        <w:rPr>
          <w:lang w:val="en-AU"/>
        </w:rPr>
      </w:pPr>
      <w:r>
        <w:rPr>
          <w:szCs w:val="22"/>
        </w:rPr>
        <w:t>FSANZ</w:t>
      </w:r>
      <w:r w:rsidR="00AA238C">
        <w:rPr>
          <w:szCs w:val="22"/>
        </w:rPr>
        <w:t xml:space="preserve">’s </w:t>
      </w:r>
      <w:r w:rsidR="004F2462">
        <w:rPr>
          <w:szCs w:val="22"/>
        </w:rPr>
        <w:t xml:space="preserve">safety and technical </w:t>
      </w:r>
      <w:r w:rsidR="00AA238C">
        <w:rPr>
          <w:szCs w:val="22"/>
        </w:rPr>
        <w:t xml:space="preserve">assessment </w:t>
      </w:r>
      <w:r w:rsidR="008F366C">
        <w:rPr>
          <w:lang w:val="en-AU"/>
        </w:rPr>
        <w:t>concluded</w:t>
      </w:r>
      <w:r w:rsidR="007F2C17">
        <w:rPr>
          <w:lang w:val="en-AU"/>
        </w:rPr>
        <w:t xml:space="preserve"> that </w:t>
      </w:r>
      <w:r w:rsidR="00F33B52">
        <w:rPr>
          <w:lang w:val="en-AU"/>
        </w:rPr>
        <w:t>the</w:t>
      </w:r>
      <w:r w:rsidR="00F2567A">
        <w:rPr>
          <w:lang w:val="en-AU"/>
        </w:rPr>
        <w:t xml:space="preserve">re are no public health and safety </w:t>
      </w:r>
      <w:r w:rsidR="004B39D3">
        <w:rPr>
          <w:lang w:val="en-AU"/>
        </w:rPr>
        <w:t xml:space="preserve">concerns associated with </w:t>
      </w:r>
      <w:r w:rsidR="00A06E37">
        <w:rPr>
          <w:lang w:val="en-AU"/>
        </w:rPr>
        <w:t>adding</w:t>
      </w:r>
      <w:r w:rsidR="008A7040">
        <w:rPr>
          <w:lang w:val="en-AU"/>
        </w:rPr>
        <w:t xml:space="preserve"> </w:t>
      </w:r>
      <w:r w:rsidR="00A94ED8">
        <w:rPr>
          <w:lang w:val="en-AU"/>
        </w:rPr>
        <w:t xml:space="preserve">the applicant’s </w:t>
      </w:r>
      <w:r w:rsidR="004B39D3">
        <w:rPr>
          <w:lang w:val="en-AU"/>
        </w:rPr>
        <w:t>2</w:t>
      </w:r>
      <w:r w:rsidR="000A17BB">
        <w:rPr>
          <w:lang w:val="en-AU"/>
        </w:rPr>
        <w:t>′</w:t>
      </w:r>
      <w:r w:rsidR="004B39D3">
        <w:rPr>
          <w:lang w:val="en-AU"/>
        </w:rPr>
        <w:t xml:space="preserve">-FL and LNnT </w:t>
      </w:r>
      <w:r w:rsidR="00F83102">
        <w:rPr>
          <w:lang w:val="en-AU"/>
        </w:rPr>
        <w:t>to</w:t>
      </w:r>
      <w:r w:rsidR="008F1AE2" w:rsidRPr="006457EA">
        <w:rPr>
          <w:lang w:val="en-AU"/>
        </w:rPr>
        <w:t xml:space="preserve"> infant formula</w:t>
      </w:r>
      <w:r w:rsidR="008F1AE2">
        <w:rPr>
          <w:lang w:val="en-AU"/>
        </w:rPr>
        <w:t xml:space="preserve"> products </w:t>
      </w:r>
      <w:r w:rsidR="008F1AE2" w:rsidRPr="006457EA">
        <w:rPr>
          <w:lang w:val="en-AU"/>
        </w:rPr>
        <w:t xml:space="preserve">and </w:t>
      </w:r>
      <w:r w:rsidR="008F1AE2">
        <w:rPr>
          <w:lang w:val="en-AU"/>
        </w:rPr>
        <w:t xml:space="preserve">FSFYC </w:t>
      </w:r>
      <w:r w:rsidR="0082147A">
        <w:rPr>
          <w:lang w:val="en-AU"/>
        </w:rPr>
        <w:t xml:space="preserve">at the levels </w:t>
      </w:r>
      <w:r w:rsidR="008F1AE2" w:rsidRPr="00332CC6">
        <w:rPr>
          <w:lang w:val="en-AU"/>
        </w:rPr>
        <w:t>requested</w:t>
      </w:r>
      <w:r w:rsidR="008F1AE2">
        <w:rPr>
          <w:lang w:val="en-AU"/>
        </w:rPr>
        <w:t>,</w:t>
      </w:r>
      <w:r w:rsidR="008F1AE2" w:rsidRPr="00332CC6">
        <w:rPr>
          <w:lang w:val="en-AU"/>
        </w:rPr>
        <w:t xml:space="preserve"> or </w:t>
      </w:r>
      <w:r w:rsidR="0089191D">
        <w:rPr>
          <w:lang w:val="en-AU"/>
        </w:rPr>
        <w:t xml:space="preserve">at </w:t>
      </w:r>
      <w:r w:rsidR="005D331F">
        <w:rPr>
          <w:lang w:val="en-AU"/>
        </w:rPr>
        <w:t xml:space="preserve">higher </w:t>
      </w:r>
      <w:r w:rsidR="003448F8">
        <w:rPr>
          <w:lang w:val="en-AU"/>
        </w:rPr>
        <w:t xml:space="preserve">levels </w:t>
      </w:r>
      <w:r w:rsidR="00AD267F">
        <w:rPr>
          <w:lang w:val="en-AU"/>
        </w:rPr>
        <w:t xml:space="preserve">of 2′-FL </w:t>
      </w:r>
      <w:r w:rsidR="003448F8">
        <w:rPr>
          <w:lang w:val="en-AU"/>
        </w:rPr>
        <w:t xml:space="preserve">consistent with </w:t>
      </w:r>
      <w:r w:rsidR="00FA44CC">
        <w:rPr>
          <w:lang w:val="en-AU"/>
        </w:rPr>
        <w:t xml:space="preserve">average </w:t>
      </w:r>
      <w:r w:rsidR="003448F8">
        <w:rPr>
          <w:lang w:val="en-AU"/>
        </w:rPr>
        <w:t xml:space="preserve">levels in </w:t>
      </w:r>
      <w:r w:rsidR="00055015">
        <w:rPr>
          <w:lang w:val="en-AU"/>
        </w:rPr>
        <w:t xml:space="preserve">mature </w:t>
      </w:r>
      <w:r w:rsidR="003448F8">
        <w:rPr>
          <w:lang w:val="en-AU"/>
        </w:rPr>
        <w:t>human milk</w:t>
      </w:r>
      <w:r w:rsidR="00A0397E">
        <w:rPr>
          <w:lang w:val="en-AU"/>
        </w:rPr>
        <w:t>.</w:t>
      </w:r>
    </w:p>
    <w:p w14:paraId="4FF176B5" w14:textId="77777777" w:rsidR="008A7040" w:rsidRDefault="008A7040" w:rsidP="00C00E7C"/>
    <w:p w14:paraId="405F49FD" w14:textId="23FDD2EF" w:rsidR="004E4885" w:rsidRDefault="00630B18" w:rsidP="00630B18">
      <w:pPr>
        <w:rPr>
          <w:lang w:val="en-AU" w:bidi="ar-SA"/>
        </w:rPr>
      </w:pPr>
      <w:r>
        <w:t xml:space="preserve">FSANZ </w:t>
      </w:r>
      <w:r w:rsidR="008B7124">
        <w:t xml:space="preserve">also assessed evidence </w:t>
      </w:r>
      <w:r w:rsidR="00A06E37">
        <w:t>o</w:t>
      </w:r>
      <w:r w:rsidR="003278DD">
        <w:t>f</w:t>
      </w:r>
      <w:r w:rsidR="00A06E37">
        <w:t xml:space="preserve"> </w:t>
      </w:r>
      <w:r w:rsidR="00D92581">
        <w:t xml:space="preserve">the </w:t>
      </w:r>
      <w:r w:rsidR="008B7124">
        <w:t>favourable health effects</w:t>
      </w:r>
      <w:r>
        <w:t xml:space="preserve"> </w:t>
      </w:r>
      <w:r w:rsidR="009A23AA">
        <w:t>stated</w:t>
      </w:r>
      <w:r>
        <w:t xml:space="preserve"> </w:t>
      </w:r>
      <w:r w:rsidR="008B7124">
        <w:t>in the application</w:t>
      </w:r>
      <w:r w:rsidR="00972B4E">
        <w:t>,</w:t>
      </w:r>
      <w:r>
        <w:t xml:space="preserve"> for the purpose of the proposed compositional permission.</w:t>
      </w:r>
      <w:r>
        <w:rPr>
          <w:lang w:val="en-AU"/>
        </w:rPr>
        <w:t xml:space="preserve"> </w:t>
      </w:r>
      <w:r w:rsidR="007A16AE">
        <w:rPr>
          <w:lang w:val="en-AU"/>
        </w:rPr>
        <w:t>FSANZ</w:t>
      </w:r>
      <w:r w:rsidR="0003204C">
        <w:rPr>
          <w:lang w:val="en-AU"/>
        </w:rPr>
        <w:t xml:space="preserve"> </w:t>
      </w:r>
      <w:r w:rsidR="00114D33">
        <w:rPr>
          <w:lang w:val="en-AU"/>
        </w:rPr>
        <w:t>conclude</w:t>
      </w:r>
      <w:r w:rsidR="008A7040">
        <w:rPr>
          <w:lang w:val="en-AU"/>
        </w:rPr>
        <w:t>d</w:t>
      </w:r>
      <w:r w:rsidR="00114D33">
        <w:rPr>
          <w:lang w:val="en-AU"/>
        </w:rPr>
        <w:t xml:space="preserve"> </w:t>
      </w:r>
      <w:r w:rsidR="00C9291A">
        <w:rPr>
          <w:lang w:val="en-AU"/>
        </w:rPr>
        <w:t>that</w:t>
      </w:r>
      <w:r w:rsidR="001A79F7">
        <w:rPr>
          <w:lang w:val="en-AU"/>
        </w:rPr>
        <w:t xml:space="preserve"> the </w:t>
      </w:r>
      <w:r w:rsidR="00504D09">
        <w:rPr>
          <w:lang w:val="en-AU"/>
        </w:rPr>
        <w:t xml:space="preserve">requested </w:t>
      </w:r>
      <w:r w:rsidR="001A79F7">
        <w:rPr>
          <w:lang w:val="en-AU"/>
        </w:rPr>
        <w:t>addition of 2</w:t>
      </w:r>
      <w:r w:rsidR="000A17BB">
        <w:rPr>
          <w:lang w:val="en-AU"/>
        </w:rPr>
        <w:t>′</w:t>
      </w:r>
      <w:r w:rsidR="001A79F7">
        <w:rPr>
          <w:lang w:val="en-AU"/>
        </w:rPr>
        <w:t xml:space="preserve">-FL </w:t>
      </w:r>
      <w:r w:rsidR="008B62CC">
        <w:rPr>
          <w:lang w:val="en-AU"/>
        </w:rPr>
        <w:t>alone or with</w:t>
      </w:r>
      <w:r w:rsidR="001A79F7">
        <w:rPr>
          <w:lang w:val="en-AU"/>
        </w:rPr>
        <w:t xml:space="preserve"> LNnT </w:t>
      </w:r>
      <w:r w:rsidR="001A1B54">
        <w:rPr>
          <w:lang w:val="en-AU"/>
        </w:rPr>
        <w:t xml:space="preserve">has the potential to confer </w:t>
      </w:r>
      <w:r w:rsidR="001A79F7">
        <w:rPr>
          <w:lang w:val="en-AU"/>
        </w:rPr>
        <w:t>beneficial health</w:t>
      </w:r>
      <w:r w:rsidR="00353300">
        <w:rPr>
          <w:lang w:val="en-AU"/>
        </w:rPr>
        <w:t xml:space="preserve"> </w:t>
      </w:r>
      <w:r w:rsidR="001A79F7">
        <w:rPr>
          <w:lang w:val="en-AU"/>
        </w:rPr>
        <w:t xml:space="preserve">outcomes in </w:t>
      </w:r>
      <w:r w:rsidR="00C9291A">
        <w:rPr>
          <w:lang w:val="en-AU"/>
        </w:rPr>
        <w:t>infants</w:t>
      </w:r>
      <w:r w:rsidR="00C42168">
        <w:rPr>
          <w:lang w:val="en-AU"/>
        </w:rPr>
        <w:t xml:space="preserve"> and young children</w:t>
      </w:r>
      <w:r w:rsidR="00CC0480">
        <w:rPr>
          <w:lang w:val="en-AU"/>
        </w:rPr>
        <w:t xml:space="preserve">. </w:t>
      </w:r>
      <w:r w:rsidR="004563F7">
        <w:rPr>
          <w:lang w:val="en-AU"/>
        </w:rPr>
        <w:t xml:space="preserve">The </w:t>
      </w:r>
      <w:r w:rsidR="003D16B6">
        <w:rPr>
          <w:lang w:val="en-AU"/>
        </w:rPr>
        <w:t xml:space="preserve">available </w:t>
      </w:r>
      <w:r w:rsidR="004563F7">
        <w:rPr>
          <w:lang w:val="en-AU"/>
        </w:rPr>
        <w:t xml:space="preserve">evidence supports the </w:t>
      </w:r>
      <w:r w:rsidR="00970472" w:rsidRPr="008A6993">
        <w:rPr>
          <w:lang w:val="en-AU"/>
        </w:rPr>
        <w:t>biological and mechanistic</w:t>
      </w:r>
      <w:r w:rsidR="00970472">
        <w:rPr>
          <w:lang w:val="en-AU"/>
        </w:rPr>
        <w:t xml:space="preserve"> </w:t>
      </w:r>
      <w:r w:rsidR="004563F7">
        <w:rPr>
          <w:lang w:val="en-AU"/>
        </w:rPr>
        <w:t xml:space="preserve">plausibility of an anti-infective </w:t>
      </w:r>
      <w:r w:rsidR="004563F7">
        <w:t xml:space="preserve">effect against </w:t>
      </w:r>
      <w:r w:rsidR="002938D4" w:rsidRPr="00B347F6">
        <w:t xml:space="preserve">invasive </w:t>
      </w:r>
      <w:r w:rsidR="002938D4" w:rsidRPr="00B347F6">
        <w:rPr>
          <w:i/>
        </w:rPr>
        <w:t>C</w:t>
      </w:r>
      <w:r w:rsidR="005B2FA8">
        <w:rPr>
          <w:i/>
        </w:rPr>
        <w:t>ampylobacter</w:t>
      </w:r>
      <w:r w:rsidR="002938D4" w:rsidRPr="00B347F6">
        <w:rPr>
          <w:i/>
        </w:rPr>
        <w:t xml:space="preserve"> jejuni</w:t>
      </w:r>
      <w:r w:rsidR="002938D4" w:rsidRPr="00B347F6">
        <w:t xml:space="preserve"> infection</w:t>
      </w:r>
      <w:r w:rsidR="002938D4">
        <w:t xml:space="preserve"> </w:t>
      </w:r>
      <w:r w:rsidR="004563F7">
        <w:rPr>
          <w:lang w:val="en-AU"/>
        </w:rPr>
        <w:t>and a bifidogenic effect</w:t>
      </w:r>
      <w:r w:rsidR="008A7040">
        <w:rPr>
          <w:lang w:val="en-AU"/>
        </w:rPr>
        <w:t xml:space="preserve"> (</w:t>
      </w:r>
      <w:r w:rsidR="00364DF4">
        <w:rPr>
          <w:lang w:val="en-AU"/>
        </w:rPr>
        <w:t>an increase</w:t>
      </w:r>
      <w:r w:rsidR="00397C79">
        <w:rPr>
          <w:lang w:val="en-AU"/>
        </w:rPr>
        <w:t xml:space="preserve"> </w:t>
      </w:r>
      <w:r w:rsidR="00364DF4">
        <w:rPr>
          <w:lang w:val="en-AU"/>
        </w:rPr>
        <w:t xml:space="preserve">in the relative </w:t>
      </w:r>
      <w:r w:rsidR="00B84E09">
        <w:rPr>
          <w:lang w:val="en-AU"/>
        </w:rPr>
        <w:t>abundance of bifidobacteria in the intestinal microflora</w:t>
      </w:r>
      <w:r w:rsidR="008A7040">
        <w:rPr>
          <w:rStyle w:val="ilfuvd"/>
          <w:color w:val="222222"/>
          <w:lang w:val="en-AU"/>
        </w:rPr>
        <w:t xml:space="preserve">). </w:t>
      </w:r>
      <w:r w:rsidR="00114D33">
        <w:t>Other less direct e</w:t>
      </w:r>
      <w:r w:rsidR="00443262">
        <w:t xml:space="preserve">vidence indicates </w:t>
      </w:r>
      <w:r w:rsidR="00AE684E">
        <w:t xml:space="preserve">these </w:t>
      </w:r>
      <w:r w:rsidR="00443262">
        <w:t>health effects</w:t>
      </w:r>
      <w:r w:rsidR="00443262" w:rsidDel="00D81C78">
        <w:t xml:space="preserve"> </w:t>
      </w:r>
      <w:r w:rsidR="00443262">
        <w:t>may be enhanced as concentrations of 2</w:t>
      </w:r>
      <w:r w:rsidR="000A17BB">
        <w:t>′</w:t>
      </w:r>
      <w:r w:rsidR="00443262">
        <w:t xml:space="preserve">-FL </w:t>
      </w:r>
      <w:r w:rsidR="00C269B2" w:rsidDel="00443262">
        <w:t>are increased</w:t>
      </w:r>
      <w:r w:rsidR="003776E3">
        <w:t>.</w:t>
      </w:r>
      <w:r w:rsidR="00B84E09">
        <w:t xml:space="preserve"> </w:t>
      </w:r>
    </w:p>
    <w:p w14:paraId="4661F0CF" w14:textId="77777777" w:rsidR="00180DDF" w:rsidRDefault="00180DDF">
      <w:pPr>
        <w:rPr>
          <w:lang w:val="en-AU" w:bidi="ar-SA"/>
        </w:rPr>
      </w:pPr>
    </w:p>
    <w:p w14:paraId="65BD3A02" w14:textId="7090BEBC" w:rsidR="005F3B24" w:rsidRDefault="005F3B24" w:rsidP="005F3B24">
      <w:pPr>
        <w:rPr>
          <w:lang w:val="en-AU" w:bidi="ar-SA"/>
        </w:rPr>
      </w:pPr>
      <w:r>
        <w:rPr>
          <w:lang w:val="en-AU" w:bidi="ar-SA"/>
        </w:rPr>
        <w:t xml:space="preserve">On 22 November 2018, FSANZ sought submissions </w:t>
      </w:r>
      <w:r w:rsidR="005E2344">
        <w:rPr>
          <w:lang w:val="en-AU" w:bidi="ar-SA"/>
        </w:rPr>
        <w:t>on</w:t>
      </w:r>
      <w:r>
        <w:rPr>
          <w:lang w:val="en-AU" w:bidi="ar-SA"/>
        </w:rPr>
        <w:t xml:space="preserve"> </w:t>
      </w:r>
      <w:r w:rsidR="00771AD3">
        <w:rPr>
          <w:lang w:val="en-AU" w:bidi="ar-SA"/>
        </w:rPr>
        <w:t>its preliminary position in the</w:t>
      </w:r>
      <w:r>
        <w:rPr>
          <w:lang w:val="en-AU" w:bidi="ar-SA"/>
        </w:rPr>
        <w:t xml:space="preserve"> 1</w:t>
      </w:r>
      <w:r w:rsidRPr="00F0010C">
        <w:rPr>
          <w:vertAlign w:val="superscript"/>
          <w:lang w:val="en-AU" w:bidi="ar-SA"/>
        </w:rPr>
        <w:t>st</w:t>
      </w:r>
      <w:r w:rsidR="00771AD3">
        <w:rPr>
          <w:lang w:val="en-AU" w:bidi="ar-SA"/>
        </w:rPr>
        <w:t xml:space="preserve"> Call for Submissions (CFS)</w:t>
      </w:r>
      <w:r w:rsidR="00A06E37">
        <w:rPr>
          <w:lang w:val="en-AU" w:bidi="ar-SA"/>
        </w:rPr>
        <w:t xml:space="preserve"> report</w:t>
      </w:r>
      <w:r>
        <w:rPr>
          <w:lang w:val="en-AU" w:bidi="ar-SA"/>
        </w:rPr>
        <w:t xml:space="preserve">. Twelve submissions were received. FSANZ also </w:t>
      </w:r>
      <w:r w:rsidR="00790801">
        <w:rPr>
          <w:lang w:val="en-AU" w:bidi="ar-SA"/>
        </w:rPr>
        <w:t xml:space="preserve">subsequently </w:t>
      </w:r>
      <w:r>
        <w:rPr>
          <w:lang w:val="en-AU" w:bidi="ar-SA"/>
        </w:rPr>
        <w:t>conducted targeted consultation with jurisdictions and the applicant</w:t>
      </w:r>
      <w:r w:rsidRPr="00432EE0">
        <w:rPr>
          <w:lang w:val="en-AU" w:bidi="ar-SA"/>
        </w:rPr>
        <w:t xml:space="preserve"> </w:t>
      </w:r>
      <w:r>
        <w:rPr>
          <w:lang w:val="en-AU" w:bidi="ar-SA"/>
        </w:rPr>
        <w:t>to discuss issues raised in submissions.</w:t>
      </w:r>
    </w:p>
    <w:p w14:paraId="20AAB4DE" w14:textId="18B34044" w:rsidR="005F3B24" w:rsidRDefault="005F3B24" w:rsidP="005F3B24">
      <w:pPr>
        <w:rPr>
          <w:lang w:val="en-AU" w:bidi="ar-SA"/>
        </w:rPr>
      </w:pPr>
    </w:p>
    <w:p w14:paraId="096F7D4C" w14:textId="3B12C5ED" w:rsidR="00633353" w:rsidRDefault="00662D26" w:rsidP="00633353">
      <w:r>
        <w:rPr>
          <w:lang w:val="en-AU"/>
        </w:rPr>
        <w:t xml:space="preserve">After assessing the application, and </w:t>
      </w:r>
      <w:r w:rsidR="005E2344">
        <w:rPr>
          <w:lang w:val="en-AU"/>
        </w:rPr>
        <w:t xml:space="preserve">considering </w:t>
      </w:r>
      <w:r>
        <w:rPr>
          <w:lang w:val="en-AU"/>
        </w:rPr>
        <w:t xml:space="preserve">comments </w:t>
      </w:r>
      <w:r w:rsidR="005E2344">
        <w:rPr>
          <w:lang w:val="en-AU"/>
        </w:rPr>
        <w:t>on</w:t>
      </w:r>
      <w:r w:rsidR="006D4542">
        <w:rPr>
          <w:lang w:val="en-AU"/>
        </w:rPr>
        <w:t xml:space="preserve"> </w:t>
      </w:r>
      <w:r>
        <w:rPr>
          <w:lang w:val="en-AU"/>
        </w:rPr>
        <w:t xml:space="preserve">the 1st CFS and targeted consultation, FSANZ has prepared a draft variation </w:t>
      </w:r>
      <w:r>
        <w:t xml:space="preserve">to permit the </w:t>
      </w:r>
      <w:r w:rsidR="009A7DE3">
        <w:t xml:space="preserve">voluntary </w:t>
      </w:r>
      <w:r>
        <w:t>addition of 2′-FL alone or combined with LNnT to infant formula products and FSFYC. FSANZ now seeks comments on the draft variation.</w:t>
      </w:r>
    </w:p>
    <w:p w14:paraId="0D05188D" w14:textId="77777777" w:rsidR="00633353" w:rsidRDefault="00633353" w:rsidP="00633353"/>
    <w:p w14:paraId="3561FA06" w14:textId="372FF8CC" w:rsidR="00633353" w:rsidRDefault="00EC01CD" w:rsidP="00633353">
      <w:r>
        <w:t xml:space="preserve">The draft variation is based on the </w:t>
      </w:r>
      <w:r w:rsidR="00790D29">
        <w:t>regulatory approaches</w:t>
      </w:r>
      <w:r>
        <w:t xml:space="preserve"> s</w:t>
      </w:r>
      <w:r w:rsidR="00E84404">
        <w:t>ummarised in the following list</w:t>
      </w:r>
      <w:r w:rsidR="00633353">
        <w:t>. S</w:t>
      </w:r>
      <w:r w:rsidR="00790D29">
        <w:t>ome of the approaches have been amended</w:t>
      </w:r>
      <w:r w:rsidR="00633353">
        <w:t xml:space="preserve"> since the 1</w:t>
      </w:r>
      <w:r w:rsidR="00633353" w:rsidRPr="00633353">
        <w:rPr>
          <w:vertAlign w:val="superscript"/>
        </w:rPr>
        <w:t>st</w:t>
      </w:r>
      <w:r w:rsidR="00633353">
        <w:t xml:space="preserve"> CFS </w:t>
      </w:r>
      <w:r w:rsidR="00790D29">
        <w:t xml:space="preserve">(where indicated) </w:t>
      </w:r>
      <w:r w:rsidR="00633353">
        <w:t>following consideration o</w:t>
      </w:r>
      <w:r w:rsidR="00790D29">
        <w:t>f submissions</w:t>
      </w:r>
      <w:r w:rsidR="00633353">
        <w:t>:</w:t>
      </w:r>
    </w:p>
    <w:p w14:paraId="6E9EA911" w14:textId="77777777" w:rsidR="009A7DE3" w:rsidRDefault="009A7DE3" w:rsidP="006624E3"/>
    <w:p w14:paraId="23E7C659" w14:textId="75B0C935" w:rsidR="00EC01CD" w:rsidRDefault="00633353" w:rsidP="00790801">
      <w:pPr>
        <w:pStyle w:val="FSBullet1"/>
        <w:spacing w:after="120"/>
      </w:pPr>
      <w:r>
        <w:t>Permit a</w:t>
      </w:r>
      <w:r w:rsidR="00EC01CD">
        <w:t xml:space="preserve"> </w:t>
      </w:r>
      <w:r w:rsidR="00EC01CD" w:rsidRPr="00B777C1">
        <w:t>maximum</w:t>
      </w:r>
      <w:r w:rsidR="00EC01CD" w:rsidRPr="00CD1B41">
        <w:t xml:space="preserve"> level </w:t>
      </w:r>
      <w:r w:rsidR="00EC01CD">
        <w:t>of</w:t>
      </w:r>
      <w:r w:rsidR="00EC01CD" w:rsidRPr="00CD1B41">
        <w:t xml:space="preserve"> 2.4 g/L for </w:t>
      </w:r>
      <w:r w:rsidR="00B51870">
        <w:t>2′</w:t>
      </w:r>
      <w:r w:rsidR="00EC01CD" w:rsidRPr="00CD1B41">
        <w:t>-FL alone</w:t>
      </w:r>
      <w:r w:rsidR="00EC01CD">
        <w:t xml:space="preserve">; </w:t>
      </w:r>
      <w:r w:rsidR="00FA44CC">
        <w:t>or</w:t>
      </w:r>
      <w:r w:rsidR="00EC01CD" w:rsidRPr="00CD1B41">
        <w:t xml:space="preserve"> </w:t>
      </w:r>
      <w:r w:rsidR="00B51870">
        <w:t>2′</w:t>
      </w:r>
      <w:r w:rsidR="00EC01CD">
        <w:t xml:space="preserve">-FL and LNnT combined </w:t>
      </w:r>
      <w:r w:rsidR="00EC01CD" w:rsidRPr="000417FA">
        <w:t>(with a</w:t>
      </w:r>
      <w:r w:rsidR="00EC01CD" w:rsidRPr="00BE5487">
        <w:t xml:space="preserve"> maximum of 0.6 g/L LNnT</w:t>
      </w:r>
      <w:r w:rsidR="00EC01CD" w:rsidRPr="00455537">
        <w:t>)</w:t>
      </w:r>
      <w:r w:rsidR="00EC01CD">
        <w:t xml:space="preserve">. For consistency with existing permissions in the Code, these levels are expressed in mg/100 kJ </w:t>
      </w:r>
      <w:r w:rsidR="00FA44CC">
        <w:t>or</w:t>
      </w:r>
      <w:r w:rsidR="00790801">
        <w:t xml:space="preserve"> g/serving</w:t>
      </w:r>
      <w:r w:rsidR="00EC01CD">
        <w:t xml:space="preserve"> as listed below</w:t>
      </w:r>
      <w:r w:rsidR="00EC01CD" w:rsidRPr="00B777C1">
        <w:t>.</w:t>
      </w:r>
      <w:r w:rsidR="00EC01CD">
        <w:t xml:space="preserve"> FSANZ has made a slight correction since the 1</w:t>
      </w:r>
      <w:r w:rsidR="00EC01CD" w:rsidRPr="005F3B24">
        <w:rPr>
          <w:vertAlign w:val="superscript"/>
        </w:rPr>
        <w:t>st</w:t>
      </w:r>
      <w:r w:rsidR="00EC01CD">
        <w:t xml:space="preserve"> CFS to the converted level for </w:t>
      </w:r>
      <w:r w:rsidR="00B51870">
        <w:t>2′</w:t>
      </w:r>
      <w:r w:rsidR="00EC01CD">
        <w:t xml:space="preserve">-FL alone and </w:t>
      </w:r>
      <w:r w:rsidR="00B51870">
        <w:t>2′</w:t>
      </w:r>
      <w:r w:rsidR="00EC01CD">
        <w:t>-FL and LNnT combined</w:t>
      </w:r>
      <w:r w:rsidR="00EC01CD" w:rsidRPr="00B777C1">
        <w:t xml:space="preserve"> </w:t>
      </w:r>
      <w:r w:rsidR="00EC01CD">
        <w:t>for FSFYC (from 0.56 to 0.55 g/serving).</w:t>
      </w:r>
    </w:p>
    <w:p w14:paraId="0DB11BA0" w14:textId="77777777" w:rsidR="00EC01CD" w:rsidRPr="009772F4" w:rsidRDefault="00EC01CD" w:rsidP="00EC01CD">
      <w:pPr>
        <w:ind w:firstLine="567"/>
      </w:pPr>
      <w:r>
        <w:t>Infant formula products:</w:t>
      </w:r>
    </w:p>
    <w:p w14:paraId="5E7D940D" w14:textId="1ACE242D" w:rsidR="00EC01CD" w:rsidRDefault="00B51870" w:rsidP="00EC01CD">
      <w:pPr>
        <w:pStyle w:val="FSBullet2"/>
      </w:pPr>
      <w:r>
        <w:t>2′</w:t>
      </w:r>
      <w:r w:rsidR="00EC01CD">
        <w:t>-FL alone – maximum of 96 mg/100 kJ</w:t>
      </w:r>
    </w:p>
    <w:p w14:paraId="12A5A924" w14:textId="431BFC37" w:rsidR="00EC01CD" w:rsidRDefault="00B51870" w:rsidP="00EC01CD">
      <w:pPr>
        <w:pStyle w:val="FSBullet2"/>
        <w:spacing w:after="120"/>
      </w:pPr>
      <w:r>
        <w:t>2′</w:t>
      </w:r>
      <w:r w:rsidR="00EC01CD">
        <w:t xml:space="preserve">-FL and LNnT combined – maximum of 96 mg/100 kJ of </w:t>
      </w:r>
      <w:r>
        <w:t>2′</w:t>
      </w:r>
      <w:r w:rsidR="00EC01CD">
        <w:t>-FL and LNnT combined which contains not more than 24 mg/100 kJ of LNnT</w:t>
      </w:r>
    </w:p>
    <w:p w14:paraId="78568B90" w14:textId="6616E3DA" w:rsidR="00EC01CD" w:rsidRDefault="00EC01CD" w:rsidP="00EC01CD">
      <w:pPr>
        <w:ind w:firstLine="567"/>
      </w:pPr>
      <w:r>
        <w:t>FSFYC:</w:t>
      </w:r>
    </w:p>
    <w:p w14:paraId="2B350A13" w14:textId="5B0F09B1" w:rsidR="00EC01CD" w:rsidRDefault="00B51870" w:rsidP="00EC01CD">
      <w:pPr>
        <w:pStyle w:val="FSBullet2"/>
      </w:pPr>
      <w:r>
        <w:t>2′</w:t>
      </w:r>
      <w:r w:rsidR="00EC01CD">
        <w:t>-FL alone – maximum of 0.55 g/serving</w:t>
      </w:r>
    </w:p>
    <w:p w14:paraId="2CD050FF" w14:textId="0C77793F" w:rsidR="00EC01CD" w:rsidRDefault="00B51870" w:rsidP="00EC01CD">
      <w:pPr>
        <w:pStyle w:val="FSBullet2"/>
        <w:spacing w:after="120"/>
      </w:pPr>
      <w:r>
        <w:t>2′</w:t>
      </w:r>
      <w:r w:rsidR="00EC01CD">
        <w:t xml:space="preserve">-FL and LNnT combined – maximum of 0.55 g/serving of </w:t>
      </w:r>
      <w:r>
        <w:t>2′</w:t>
      </w:r>
      <w:r w:rsidR="00EC01CD">
        <w:t xml:space="preserve">-FL and LNnT combined which contains not more than 0.14 g/serving of LNnT </w:t>
      </w:r>
    </w:p>
    <w:p w14:paraId="6B05CE38" w14:textId="4930F611" w:rsidR="00B57142" w:rsidRPr="00790801" w:rsidRDefault="00EC01CD" w:rsidP="00790801">
      <w:pPr>
        <w:pStyle w:val="FSBullet1"/>
        <w:spacing w:after="120"/>
        <w:rPr>
          <w:rFonts w:eastAsia="Calibri"/>
        </w:rPr>
      </w:pPr>
      <w:r>
        <w:t xml:space="preserve">Prohibit the use of </w:t>
      </w:r>
      <w:r w:rsidR="00B51870">
        <w:t>2′</w:t>
      </w:r>
      <w:r>
        <w:t xml:space="preserve">-FL alone or with LNnT with </w:t>
      </w:r>
      <w:r w:rsidR="00A06E37">
        <w:t xml:space="preserve">already permitted </w:t>
      </w:r>
      <w:r w:rsidRPr="00B777C1">
        <w:rPr>
          <w:rFonts w:eastAsia="Calibri"/>
        </w:rPr>
        <w:t>galacto-oligosaccharides (GOS) and inulin-type fructans (ITF).</w:t>
      </w:r>
    </w:p>
    <w:p w14:paraId="08796736" w14:textId="0A492E1C" w:rsidR="00B57142" w:rsidRPr="00B57142" w:rsidRDefault="00633353" w:rsidP="00662D26">
      <w:pPr>
        <w:spacing w:after="120"/>
      </w:pPr>
      <w:r>
        <w:rPr>
          <w:i/>
        </w:rPr>
        <w:t>Proposed amended regulatory measures since the</w:t>
      </w:r>
      <w:r w:rsidR="00B57142" w:rsidRPr="00B57142">
        <w:rPr>
          <w:i/>
        </w:rPr>
        <w:t xml:space="preserve"> 1</w:t>
      </w:r>
      <w:r w:rsidR="00B57142" w:rsidRPr="00B57142">
        <w:rPr>
          <w:i/>
          <w:vertAlign w:val="superscript"/>
        </w:rPr>
        <w:t>st</w:t>
      </w:r>
      <w:r w:rsidR="00B57142" w:rsidRPr="00B57142">
        <w:rPr>
          <w:i/>
        </w:rPr>
        <w:t xml:space="preserve"> CFS</w:t>
      </w:r>
      <w:r w:rsidR="00B57142">
        <w:t>:</w:t>
      </w:r>
    </w:p>
    <w:p w14:paraId="28C5EAB1" w14:textId="69302358" w:rsidR="00E84404" w:rsidRPr="0091535D" w:rsidRDefault="00E84404" w:rsidP="00790801">
      <w:pPr>
        <w:pStyle w:val="FSBullet1"/>
        <w:spacing w:after="120"/>
      </w:pPr>
      <w:r>
        <w:t>Prohibit terms</w:t>
      </w:r>
      <w:r w:rsidRPr="0091535D">
        <w:t xml:space="preserve"> such as ‘human milk identical oligosaccharide’ or ‘HiMO’ (or similar words or abbreviations) on infant formula products and FSFYC. This </w:t>
      </w:r>
      <w:r w:rsidR="00790D29">
        <w:t xml:space="preserve">new </w:t>
      </w:r>
      <w:r w:rsidRPr="0091535D">
        <w:t xml:space="preserve">approach </w:t>
      </w:r>
      <w:r w:rsidR="001A6A90">
        <w:t>is consistent</w:t>
      </w:r>
      <w:r w:rsidR="000F7FA4">
        <w:t xml:space="preserve"> with</w:t>
      </w:r>
      <w:r w:rsidRPr="0091535D">
        <w:t xml:space="preserve"> the </w:t>
      </w:r>
      <w:r>
        <w:t>policy guideline</w:t>
      </w:r>
      <w:r w:rsidRPr="0091535D">
        <w:t xml:space="preserve"> for </w:t>
      </w:r>
      <w:r>
        <w:t xml:space="preserve">infant formula products </w:t>
      </w:r>
      <w:r w:rsidR="00790D29">
        <w:t>and</w:t>
      </w:r>
      <w:r>
        <w:t xml:space="preserve"> </w:t>
      </w:r>
      <w:r w:rsidRPr="0091535D">
        <w:t>prevent</w:t>
      </w:r>
      <w:r w:rsidR="00790D29">
        <w:t>s</w:t>
      </w:r>
      <w:r w:rsidRPr="0091535D">
        <w:t xml:space="preserve"> consumers being misled </w:t>
      </w:r>
      <w:r>
        <w:t xml:space="preserve">or confused </w:t>
      </w:r>
      <w:r w:rsidRPr="0091535D">
        <w:t xml:space="preserve">about the use of such terminology on FSFYC. </w:t>
      </w:r>
    </w:p>
    <w:p w14:paraId="4BC9479D" w14:textId="48832390" w:rsidR="00E84404" w:rsidRPr="0091535D" w:rsidRDefault="00E84404" w:rsidP="00790801">
      <w:pPr>
        <w:pStyle w:val="FSBullet1"/>
        <w:spacing w:after="120"/>
      </w:pPr>
      <w:r>
        <w:t>Apply g</w:t>
      </w:r>
      <w:r w:rsidRPr="0091535D">
        <w:t>eneric ingredient labelling requirements</w:t>
      </w:r>
      <w:r>
        <w:t xml:space="preserve">, rather than prescribed ingredient names previously proposed, consistent with the general approach in the Code. </w:t>
      </w:r>
    </w:p>
    <w:p w14:paraId="03CD3E89" w14:textId="129B9A3C" w:rsidR="00E84404" w:rsidRPr="0091535D" w:rsidRDefault="00E84404" w:rsidP="00790801">
      <w:pPr>
        <w:pStyle w:val="FSBullet1"/>
        <w:spacing w:after="120"/>
      </w:pPr>
      <w:r>
        <w:t xml:space="preserve">Permit </w:t>
      </w:r>
      <w:r w:rsidR="00B51870">
        <w:t>2′</w:t>
      </w:r>
      <w:r w:rsidRPr="0091535D">
        <w:t xml:space="preserve">-FL and LNnT to be </w:t>
      </w:r>
      <w:r w:rsidRPr="00A961C3">
        <w:rPr>
          <w:i/>
        </w:rPr>
        <w:t>used as a nutritive substance</w:t>
      </w:r>
      <w:r w:rsidRPr="0091535D">
        <w:t xml:space="preserve"> and as </w:t>
      </w:r>
      <w:r w:rsidRPr="0002164F">
        <w:rPr>
          <w:i/>
        </w:rPr>
        <w:t>food produced using gene technology</w:t>
      </w:r>
      <w:r w:rsidRPr="0091535D">
        <w:t xml:space="preserve"> </w:t>
      </w:r>
      <w:r>
        <w:t xml:space="preserve">as previously proposed, however, permission </w:t>
      </w:r>
      <w:r w:rsidRPr="0091535D">
        <w:t xml:space="preserve">is now linked to the </w:t>
      </w:r>
      <w:r>
        <w:t xml:space="preserve">specific </w:t>
      </w:r>
      <w:r w:rsidRPr="0091535D">
        <w:t xml:space="preserve">gene-gene donor information </w:t>
      </w:r>
      <w:r>
        <w:t>rather than the final GM production strains</w:t>
      </w:r>
      <w:r w:rsidRPr="0091535D">
        <w:t xml:space="preserve">. </w:t>
      </w:r>
    </w:p>
    <w:p w14:paraId="73E4C1D8" w14:textId="38370EDC" w:rsidR="00E84404" w:rsidRDefault="00E84404" w:rsidP="00790801">
      <w:pPr>
        <w:pStyle w:val="FSBullet1"/>
        <w:spacing w:after="120"/>
      </w:pPr>
      <w:r>
        <w:t>Apply e</w:t>
      </w:r>
      <w:r w:rsidRPr="0091535D">
        <w:t>xclusive permission for a period of 15 months</w:t>
      </w:r>
      <w:r>
        <w:t>, linked t</w:t>
      </w:r>
      <w:r w:rsidR="00790801">
        <w:t xml:space="preserve">o the applicant’s brand name, </w:t>
      </w:r>
      <w:r w:rsidRPr="0091535D">
        <w:t>commencing on the date of gazettal of the variation</w:t>
      </w:r>
      <w:r>
        <w:t>.</w:t>
      </w:r>
    </w:p>
    <w:p w14:paraId="29ED5E87" w14:textId="3299AC8E" w:rsidR="00E84404" w:rsidRPr="00D12A42" w:rsidRDefault="00E84404" w:rsidP="00E84404">
      <w:pPr>
        <w:pStyle w:val="FSBullet1"/>
      </w:pPr>
      <w:r>
        <w:t xml:space="preserve">Prescribe specifications for </w:t>
      </w:r>
      <w:r w:rsidR="00B51870">
        <w:t>2′</w:t>
      </w:r>
      <w:r>
        <w:t xml:space="preserve">-FL and LNnT as previously proposed, </w:t>
      </w:r>
      <w:r w:rsidR="00790D29">
        <w:t>but without</w:t>
      </w:r>
      <w:r>
        <w:t xml:space="preserve"> the applicant’s specific method</w:t>
      </w:r>
      <w:r w:rsidR="00D9364C">
        <w:t>s</w:t>
      </w:r>
      <w:r>
        <w:t xml:space="preserve"> of analysis.</w:t>
      </w:r>
    </w:p>
    <w:p w14:paraId="16171F4D" w14:textId="77777777" w:rsidR="00771AD3" w:rsidRDefault="00771AD3" w:rsidP="00A10EA7">
      <w:pPr>
        <w:widowControl/>
        <w:rPr>
          <w:lang w:val="en-AU" w:bidi="ar-SA"/>
        </w:rPr>
      </w:pPr>
    </w:p>
    <w:p w14:paraId="017F6DFB" w14:textId="62B58AA7" w:rsidR="00A13C3A" w:rsidRDefault="00590E47" w:rsidP="006624E3">
      <w:pPr>
        <w:widowControl/>
        <w:rPr>
          <w:lang w:val="en-AU" w:bidi="ar-SA"/>
        </w:rPr>
      </w:pPr>
      <w:r>
        <w:rPr>
          <w:lang w:val="en-AU" w:bidi="ar-SA"/>
        </w:rPr>
        <w:t>FSANZ</w:t>
      </w:r>
      <w:r w:rsidR="0003038D">
        <w:rPr>
          <w:lang w:val="en-AU" w:bidi="ar-SA"/>
        </w:rPr>
        <w:t xml:space="preserve"> considers </w:t>
      </w:r>
      <w:r w:rsidR="007C5840">
        <w:rPr>
          <w:lang w:val="en-AU" w:bidi="ar-SA"/>
        </w:rPr>
        <w:t>t</w:t>
      </w:r>
      <w:r w:rsidR="004B39D3" w:rsidDel="00B42AA4">
        <w:rPr>
          <w:lang w:val="en-AU" w:bidi="ar-SA"/>
        </w:rPr>
        <w:t xml:space="preserve">he </w:t>
      </w:r>
      <w:r w:rsidR="004B39D3">
        <w:rPr>
          <w:lang w:val="en-AU" w:bidi="ar-SA"/>
        </w:rPr>
        <w:t xml:space="preserve">relevant </w:t>
      </w:r>
      <w:r w:rsidR="008A7040" w:rsidDel="00B42AA4">
        <w:rPr>
          <w:lang w:val="en-AU" w:bidi="ar-SA"/>
        </w:rPr>
        <w:t xml:space="preserve">ministerial </w:t>
      </w:r>
      <w:r w:rsidR="004B39D3" w:rsidDel="00B42AA4">
        <w:rPr>
          <w:lang w:val="en-AU" w:bidi="ar-SA"/>
        </w:rPr>
        <w:t>policy guideline</w:t>
      </w:r>
      <w:r w:rsidR="00D92581" w:rsidRPr="00D92581">
        <w:rPr>
          <w:lang w:val="en-AU" w:bidi="ar-SA"/>
        </w:rPr>
        <w:t xml:space="preserve"> </w:t>
      </w:r>
      <w:r w:rsidR="00AA3CF3">
        <w:rPr>
          <w:lang w:val="en-AU" w:bidi="ar-SA"/>
        </w:rPr>
        <w:t xml:space="preserve">for infant formula products, </w:t>
      </w:r>
      <w:r w:rsidR="00C060A7">
        <w:rPr>
          <w:lang w:val="en-AU" w:bidi="ar-SA"/>
        </w:rPr>
        <w:t xml:space="preserve">which refers to the need to </w:t>
      </w:r>
      <w:r w:rsidR="00DC3CB9">
        <w:rPr>
          <w:lang w:val="en-AU" w:bidi="ar-SA"/>
        </w:rPr>
        <w:t xml:space="preserve">link health effects to specific </w:t>
      </w:r>
      <w:r w:rsidR="00C060A7">
        <w:rPr>
          <w:lang w:val="en-AU" w:bidi="ar-SA"/>
        </w:rPr>
        <w:t xml:space="preserve">health outcomes with appropriate </w:t>
      </w:r>
      <w:r w:rsidR="00FB5FE2">
        <w:rPr>
          <w:lang w:val="en-AU" w:bidi="ar-SA"/>
        </w:rPr>
        <w:t>evidence</w:t>
      </w:r>
      <w:r w:rsidR="00AA3CF3">
        <w:rPr>
          <w:lang w:val="en-AU" w:bidi="ar-SA"/>
        </w:rPr>
        <w:t>, has been adequately addressed</w:t>
      </w:r>
      <w:r w:rsidR="001B334A">
        <w:rPr>
          <w:lang w:val="en-AU" w:bidi="ar-SA"/>
        </w:rPr>
        <w:t>. FSANZ has appli</w:t>
      </w:r>
      <w:r w:rsidR="00CD6042">
        <w:rPr>
          <w:lang w:val="en-AU" w:bidi="ar-SA"/>
        </w:rPr>
        <w:t>ed particular caution in this assessment (as referred to</w:t>
      </w:r>
      <w:r w:rsidR="001B334A">
        <w:rPr>
          <w:lang w:val="en-AU" w:bidi="ar-SA"/>
        </w:rPr>
        <w:t xml:space="preserve"> in the policy guideline</w:t>
      </w:r>
      <w:r w:rsidR="00CD6042">
        <w:rPr>
          <w:lang w:val="en-AU" w:bidi="ar-SA"/>
        </w:rPr>
        <w:t>)</w:t>
      </w:r>
      <w:r w:rsidR="001B334A">
        <w:rPr>
          <w:lang w:val="en-AU" w:bidi="ar-SA"/>
        </w:rPr>
        <w:t>, noting:</w:t>
      </w:r>
    </w:p>
    <w:p w14:paraId="0C416BFD" w14:textId="77777777" w:rsidR="006624E3" w:rsidRDefault="006624E3" w:rsidP="006624E3">
      <w:pPr>
        <w:widowControl/>
        <w:rPr>
          <w:lang w:val="en-AU" w:bidi="ar-SA"/>
        </w:rPr>
      </w:pPr>
    </w:p>
    <w:p w14:paraId="5ED7E7DE" w14:textId="7EC9AB29" w:rsidR="001B334A" w:rsidRPr="00CC7058" w:rsidRDefault="001B334A" w:rsidP="00265A2E">
      <w:pPr>
        <w:pStyle w:val="FSBullet1"/>
        <w:rPr>
          <w:lang w:val="en-AU"/>
        </w:rPr>
      </w:pPr>
      <w:r w:rsidRPr="00CC7058">
        <w:rPr>
          <w:lang w:val="en-AU"/>
        </w:rPr>
        <w:t>The proposed addition is safe.</w:t>
      </w:r>
    </w:p>
    <w:p w14:paraId="3DA7822B" w14:textId="6E2CB5F3" w:rsidR="00CD6042" w:rsidRPr="0091535D" w:rsidRDefault="00B51870" w:rsidP="00B57142">
      <w:pPr>
        <w:pStyle w:val="FSBullet1"/>
      </w:pPr>
      <w:r>
        <w:t>2′</w:t>
      </w:r>
      <w:r w:rsidR="00D47439" w:rsidRPr="0091535D">
        <w:t>-FL and LNnT</w:t>
      </w:r>
      <w:r w:rsidR="00CD6042" w:rsidRPr="0091535D">
        <w:t xml:space="preserve"> are present</w:t>
      </w:r>
      <w:r w:rsidR="00265A2E">
        <w:t xml:space="preserve"> </w:t>
      </w:r>
      <w:r w:rsidR="00CD6042" w:rsidRPr="0091535D">
        <w:t>in human milk</w:t>
      </w:r>
      <w:r w:rsidR="00790801">
        <w:t xml:space="preserve"> at the levels proposed. This accords with the policy to use breastmilk</w:t>
      </w:r>
      <w:r w:rsidR="00D47439" w:rsidRPr="0091535D">
        <w:t xml:space="preserve"> as</w:t>
      </w:r>
      <w:r w:rsidR="00CD6042" w:rsidRPr="0091535D">
        <w:t xml:space="preserve"> the primary reference for the composition of infant formula </w:t>
      </w:r>
      <w:r w:rsidR="0071014B" w:rsidRPr="0091535D">
        <w:t>and follow-on formula</w:t>
      </w:r>
      <w:r w:rsidR="00CD6042" w:rsidRPr="0091535D">
        <w:t xml:space="preserve">. </w:t>
      </w:r>
    </w:p>
    <w:p w14:paraId="30BAB742" w14:textId="73257238" w:rsidR="00CD6042" w:rsidRPr="0091535D" w:rsidRDefault="00CD6042" w:rsidP="001A7C76">
      <w:pPr>
        <w:pStyle w:val="FSBullet1"/>
      </w:pPr>
      <w:r w:rsidRPr="0091535D">
        <w:t>The p</w:t>
      </w:r>
      <w:r w:rsidR="004454BF" w:rsidRPr="0091535D">
        <w:t xml:space="preserve">olicy </w:t>
      </w:r>
      <w:r w:rsidRPr="0091535D">
        <w:t xml:space="preserve">leaves open the interpretation of the level of </w:t>
      </w:r>
      <w:r w:rsidR="00D92581">
        <w:t xml:space="preserve">appropriate </w:t>
      </w:r>
      <w:r w:rsidRPr="0091535D">
        <w:t xml:space="preserve">evidence required to demonstrate </w:t>
      </w:r>
      <w:r w:rsidR="00DC3CB9">
        <w:t xml:space="preserve">specific </w:t>
      </w:r>
      <w:r w:rsidRPr="0091535D">
        <w:t>health outcomes.</w:t>
      </w:r>
    </w:p>
    <w:p w14:paraId="4FE9E3B0" w14:textId="0442517B" w:rsidR="0071014B" w:rsidRDefault="007F3BD4" w:rsidP="001A7C76">
      <w:pPr>
        <w:pStyle w:val="FSBullet1"/>
      </w:pPr>
      <w:r w:rsidRPr="0091535D">
        <w:t xml:space="preserve">Evidence </w:t>
      </w:r>
      <w:r w:rsidR="00427DB2">
        <w:t>demonstrated biological and mechanistic</w:t>
      </w:r>
      <w:r w:rsidR="00427DB2" w:rsidRPr="0056498B">
        <w:t xml:space="preserve"> plausibi</w:t>
      </w:r>
      <w:r w:rsidR="00427DB2">
        <w:t>lity of the</w:t>
      </w:r>
      <w:r w:rsidR="00427DB2" w:rsidRPr="0056498B">
        <w:t xml:space="preserve"> health effects and </w:t>
      </w:r>
      <w:r w:rsidR="00427DB2">
        <w:t xml:space="preserve">supported a link to </w:t>
      </w:r>
      <w:r w:rsidR="00427DB2" w:rsidRPr="0056498B">
        <w:t>potential beneficial health outcomes</w:t>
      </w:r>
      <w:r w:rsidR="00427DB2">
        <w:t>.</w:t>
      </w:r>
      <w:r w:rsidR="00843230">
        <w:t xml:space="preserve"> </w:t>
      </w:r>
      <w:r w:rsidR="00CD6042" w:rsidRPr="0091535D">
        <w:t xml:space="preserve">FSANZ considers </w:t>
      </w:r>
      <w:r w:rsidR="00134388" w:rsidRPr="0091535D">
        <w:t xml:space="preserve">the </w:t>
      </w:r>
      <w:r w:rsidR="0071014B" w:rsidRPr="0091535D">
        <w:t xml:space="preserve">available </w:t>
      </w:r>
      <w:r w:rsidR="00CD6042" w:rsidRPr="0091535D">
        <w:t xml:space="preserve">evidence is </w:t>
      </w:r>
      <w:r w:rsidR="00134388" w:rsidRPr="0091535D">
        <w:t>appropriate</w:t>
      </w:r>
      <w:r w:rsidR="00CD6042" w:rsidRPr="0091535D">
        <w:t xml:space="preserve"> for the </w:t>
      </w:r>
      <w:r w:rsidR="00716C0E">
        <w:t>purpose of</w:t>
      </w:r>
      <w:r w:rsidR="00CD6042" w:rsidRPr="0091535D">
        <w:t xml:space="preserve"> compositional permission</w:t>
      </w:r>
      <w:r w:rsidR="00D2740B" w:rsidRPr="0091535D">
        <w:t>, noting the addition is safe and comparable to human milk</w:t>
      </w:r>
      <w:r w:rsidR="00CD6042">
        <w:t>.</w:t>
      </w:r>
    </w:p>
    <w:p w14:paraId="2B23FC27" w14:textId="0B830BD2" w:rsidR="00277D0B" w:rsidRDefault="001A08BD" w:rsidP="00D938DB">
      <w:pPr>
        <w:pStyle w:val="FSBullet1"/>
      </w:pPr>
      <w:r>
        <w:t xml:space="preserve">Although suggested by some submitters, </w:t>
      </w:r>
      <w:r w:rsidR="00716C0E">
        <w:t xml:space="preserve">FSANZ has </w:t>
      </w:r>
      <w:r w:rsidR="00D140EA" w:rsidRPr="001D61B0">
        <w:t xml:space="preserve">not </w:t>
      </w:r>
      <w:r w:rsidR="001D61B0" w:rsidRPr="001D61B0">
        <w:t>applied the health claims substantiation framework for the purpose of</w:t>
      </w:r>
      <w:r w:rsidR="00FD42B0">
        <w:t xml:space="preserve"> assessing</w:t>
      </w:r>
      <w:r w:rsidR="001D61B0" w:rsidRPr="001D61B0">
        <w:t xml:space="preserve"> </w:t>
      </w:r>
      <w:r w:rsidR="00D541DA">
        <w:t xml:space="preserve">the proposed </w:t>
      </w:r>
      <w:r w:rsidR="001D61B0" w:rsidRPr="001D61B0">
        <w:t>compositional permission.</w:t>
      </w:r>
      <w:r w:rsidR="00D541DA">
        <w:t xml:space="preserve"> </w:t>
      </w:r>
      <w:r w:rsidR="00716C0E" w:rsidRPr="00B77206">
        <w:t>The applica</w:t>
      </w:r>
      <w:r w:rsidR="00EB61C0">
        <w:t>nt</w:t>
      </w:r>
      <w:r w:rsidR="00716C0E" w:rsidRPr="00B77206">
        <w:t xml:space="preserve"> h</w:t>
      </w:r>
      <w:r w:rsidR="00716C0E">
        <w:t>as not applied</w:t>
      </w:r>
      <w:r w:rsidR="00633353">
        <w:t xml:space="preserve"> for </w:t>
      </w:r>
      <w:r w:rsidR="00765036">
        <w:t xml:space="preserve">a </w:t>
      </w:r>
      <w:r w:rsidR="00D938DB">
        <w:t xml:space="preserve">permitted </w:t>
      </w:r>
      <w:r w:rsidR="00716C0E">
        <w:t>health claim for FSFYC in the Code and</w:t>
      </w:r>
      <w:r w:rsidR="00D938DB">
        <w:t xml:space="preserve"> infant formula products</w:t>
      </w:r>
      <w:r w:rsidR="00716C0E">
        <w:t xml:space="preserve"> are prohibited from making claims.</w:t>
      </w:r>
      <w:r w:rsidR="005902D3" w:rsidRPr="005902D3">
        <w:t xml:space="preserve"> </w:t>
      </w:r>
      <w:r w:rsidR="00FB5FE2">
        <w:t>H</w:t>
      </w:r>
      <w:r w:rsidR="005902D3">
        <w:t xml:space="preserve">ealth claims made on FSFYC </w:t>
      </w:r>
      <w:r w:rsidR="00441028">
        <w:t>must</w:t>
      </w:r>
      <w:r w:rsidR="005902D3">
        <w:t xml:space="preserve"> comply with the requirements in Standard 1.2.7 which are intended to </w:t>
      </w:r>
      <w:r w:rsidR="005902D3" w:rsidRPr="00B77206">
        <w:t>prevent misleading or deceptive claims on food labels.</w:t>
      </w:r>
    </w:p>
    <w:p w14:paraId="0234EF06" w14:textId="77777777" w:rsidR="0043418D" w:rsidRPr="0043418D" w:rsidRDefault="0043418D" w:rsidP="0043418D"/>
    <w:p w14:paraId="608C10F9" w14:textId="272C2CF0" w:rsidR="00FC04F8" w:rsidRDefault="0003038D" w:rsidP="004B39D3">
      <w:pPr>
        <w:widowControl/>
      </w:pPr>
      <w:r>
        <w:rPr>
          <w:lang w:val="en-AU" w:bidi="ar-SA"/>
        </w:rPr>
        <w:t xml:space="preserve">FSANZ </w:t>
      </w:r>
      <w:r w:rsidR="00D92581">
        <w:rPr>
          <w:lang w:val="en-AU" w:bidi="ar-SA"/>
        </w:rPr>
        <w:t xml:space="preserve">recognises </w:t>
      </w:r>
      <w:r w:rsidR="004B39D3" w:rsidDel="00B42AA4">
        <w:t xml:space="preserve">the proposed addition </w:t>
      </w:r>
      <w:r w:rsidR="00FC04F8">
        <w:t xml:space="preserve">to FSFYC </w:t>
      </w:r>
      <w:r w:rsidR="004B39D3" w:rsidDel="00B42AA4">
        <w:t xml:space="preserve">may not </w:t>
      </w:r>
      <w:r w:rsidR="003364D5" w:rsidDel="00B42AA4">
        <w:t>strongly align</w:t>
      </w:r>
      <w:r w:rsidR="00202202" w:rsidDel="00B42AA4">
        <w:t xml:space="preserve"> with the </w:t>
      </w:r>
      <w:r w:rsidR="00A13C3A">
        <w:t>intended purpose</w:t>
      </w:r>
      <w:r w:rsidR="00202202" w:rsidDel="00B42AA4">
        <w:t xml:space="preserve"> of th</w:t>
      </w:r>
      <w:r w:rsidR="00A13C3A">
        <w:t>is</w:t>
      </w:r>
      <w:r w:rsidR="00202202" w:rsidDel="00B42AA4">
        <w:t xml:space="preserve"> food category</w:t>
      </w:r>
      <w:r w:rsidR="00A13C3A">
        <w:t xml:space="preserve"> as </w:t>
      </w:r>
      <w:r w:rsidR="00645E02">
        <w:t xml:space="preserve">referred to </w:t>
      </w:r>
      <w:r w:rsidR="00A13C3A">
        <w:t xml:space="preserve">in the </w:t>
      </w:r>
      <w:r w:rsidR="0083426F" w:rsidDel="00B42AA4">
        <w:rPr>
          <w:lang w:val="en-AU" w:bidi="ar-SA"/>
        </w:rPr>
        <w:t>relevant policy guideline</w:t>
      </w:r>
      <w:r w:rsidR="00FC04F8">
        <w:rPr>
          <w:lang w:val="en-AU" w:bidi="ar-SA"/>
        </w:rPr>
        <w:t xml:space="preserve"> </w:t>
      </w:r>
      <w:r w:rsidR="00790801">
        <w:rPr>
          <w:lang w:val="en-AU" w:bidi="ar-SA"/>
        </w:rPr>
        <w:t>for s</w:t>
      </w:r>
      <w:r w:rsidR="00FC04F8">
        <w:rPr>
          <w:lang w:val="en-AU" w:bidi="ar-SA"/>
        </w:rPr>
        <w:t xml:space="preserve">pecial </w:t>
      </w:r>
      <w:r w:rsidR="00790801">
        <w:rPr>
          <w:lang w:val="en-AU" w:bidi="ar-SA"/>
        </w:rPr>
        <w:t>p</w:t>
      </w:r>
      <w:r w:rsidR="00FC04F8">
        <w:rPr>
          <w:lang w:val="en-AU" w:bidi="ar-SA"/>
        </w:rPr>
        <w:t xml:space="preserve">urpose </w:t>
      </w:r>
      <w:r w:rsidR="00790801">
        <w:rPr>
          <w:lang w:val="en-AU" w:bidi="ar-SA"/>
        </w:rPr>
        <w:t>f</w:t>
      </w:r>
      <w:r w:rsidR="00FC04F8">
        <w:rPr>
          <w:lang w:val="en-AU" w:bidi="ar-SA"/>
        </w:rPr>
        <w:t>oods</w:t>
      </w:r>
      <w:r w:rsidR="00D84581" w:rsidDel="00B42AA4">
        <w:t>. However</w:t>
      </w:r>
      <w:r w:rsidR="00645E02">
        <w:t>,</w:t>
      </w:r>
      <w:r w:rsidR="004B39D3" w:rsidDel="00B42AA4">
        <w:t xml:space="preserve"> </w:t>
      </w:r>
      <w:r w:rsidR="00FE3B81" w:rsidDel="00B42AA4">
        <w:t>the</w:t>
      </w:r>
      <w:r w:rsidR="00645E02">
        <w:t xml:space="preserve"> proposed</w:t>
      </w:r>
      <w:r w:rsidR="00FE3B81" w:rsidDel="00B42AA4">
        <w:t xml:space="preserve"> addition is</w:t>
      </w:r>
      <w:r w:rsidR="004B39D3" w:rsidDel="00B42AA4">
        <w:t xml:space="preserve"> safe</w:t>
      </w:r>
      <w:r w:rsidR="00690AE8">
        <w:t xml:space="preserve"> and</w:t>
      </w:r>
      <w:r w:rsidR="004B39D3" w:rsidDel="00B42AA4">
        <w:t xml:space="preserve"> provides potential beneficial health outcomes in toddlers</w:t>
      </w:r>
      <w:r w:rsidR="007A41D8">
        <w:t xml:space="preserve">. </w:t>
      </w:r>
    </w:p>
    <w:p w14:paraId="7FAF6E49" w14:textId="77777777" w:rsidR="00FC04F8" w:rsidRDefault="00FC04F8" w:rsidP="004B39D3">
      <w:pPr>
        <w:widowControl/>
      </w:pPr>
    </w:p>
    <w:p w14:paraId="3B8AE5A1" w14:textId="1CA97906" w:rsidR="0053464E" w:rsidRDefault="00790801" w:rsidP="00A56E34">
      <w:r>
        <w:rPr>
          <w:lang w:val="en-AU"/>
        </w:rPr>
        <w:t>The</w:t>
      </w:r>
      <w:r w:rsidR="00690AE8">
        <w:rPr>
          <w:lang w:val="en-AU"/>
        </w:rPr>
        <w:t xml:space="preserve"> proposed permission</w:t>
      </w:r>
      <w:r>
        <w:rPr>
          <w:lang w:val="en-AU"/>
        </w:rPr>
        <w:t xml:space="preserve"> </w:t>
      </w:r>
      <w:r w:rsidR="00993DA4">
        <w:rPr>
          <w:lang w:val="en-AU"/>
        </w:rPr>
        <w:t>supports</w:t>
      </w:r>
      <w:r w:rsidR="00AD1663">
        <w:rPr>
          <w:lang w:val="en-AU"/>
        </w:rPr>
        <w:t xml:space="preserve"> international consistency and </w:t>
      </w:r>
      <w:r w:rsidR="00184B59">
        <w:rPr>
          <w:lang w:val="en-AU"/>
        </w:rPr>
        <w:t>trade opportunities</w:t>
      </w:r>
      <w:r>
        <w:rPr>
          <w:lang w:val="en-AU"/>
        </w:rPr>
        <w:t>,</w:t>
      </w:r>
      <w:r w:rsidR="00241017">
        <w:rPr>
          <w:lang w:val="en-AU"/>
        </w:rPr>
        <w:t xml:space="preserve"> as </w:t>
      </w:r>
      <w:r w:rsidR="00B51870">
        <w:rPr>
          <w:lang w:val="en-AU"/>
        </w:rPr>
        <w:t>2′</w:t>
      </w:r>
      <w:r w:rsidR="00241017">
        <w:rPr>
          <w:lang w:val="en-AU"/>
        </w:rPr>
        <w:t xml:space="preserve">-FL and LNnT are permitted for use in </w:t>
      </w:r>
      <w:r w:rsidR="00AD1663">
        <w:rPr>
          <w:lang w:val="en-AU"/>
        </w:rPr>
        <w:t xml:space="preserve">infant formula products and FSFYC in </w:t>
      </w:r>
      <w:r w:rsidR="00241017">
        <w:rPr>
          <w:lang w:val="en-AU"/>
        </w:rPr>
        <w:t xml:space="preserve">overseas markets </w:t>
      </w:r>
      <w:r w:rsidR="00C44CDA">
        <w:rPr>
          <w:lang w:val="en-AU"/>
        </w:rPr>
        <w:t>(</w:t>
      </w:r>
      <w:r w:rsidR="00241017">
        <w:rPr>
          <w:lang w:val="en-AU"/>
        </w:rPr>
        <w:t xml:space="preserve">including the </w:t>
      </w:r>
      <w:r w:rsidR="00AD1663">
        <w:rPr>
          <w:lang w:val="en-AU"/>
        </w:rPr>
        <w:t>E</w:t>
      </w:r>
      <w:r w:rsidR="00C44CDA">
        <w:rPr>
          <w:lang w:val="en-AU"/>
        </w:rPr>
        <w:t>U and USA)</w:t>
      </w:r>
      <w:r w:rsidR="00241017">
        <w:rPr>
          <w:lang w:val="en-AU"/>
        </w:rPr>
        <w:t xml:space="preserve">. It also </w:t>
      </w:r>
      <w:r>
        <w:rPr>
          <w:lang w:val="en-AU"/>
        </w:rPr>
        <w:t>allows</w:t>
      </w:r>
      <w:r w:rsidR="00412A0A">
        <w:rPr>
          <w:lang w:val="en-AU"/>
        </w:rPr>
        <w:t xml:space="preserve"> alternative options </w:t>
      </w:r>
      <w:r w:rsidR="00EA3CA6">
        <w:rPr>
          <w:lang w:val="en-AU"/>
        </w:rPr>
        <w:t xml:space="preserve">to </w:t>
      </w:r>
      <w:r w:rsidR="00272622">
        <w:rPr>
          <w:lang w:val="en-AU"/>
        </w:rPr>
        <w:t xml:space="preserve">existing </w:t>
      </w:r>
      <w:r w:rsidR="00412A0A">
        <w:rPr>
          <w:lang w:val="en-AU"/>
        </w:rPr>
        <w:t xml:space="preserve">GOS and ITF </w:t>
      </w:r>
      <w:r w:rsidR="00EA3CA6">
        <w:rPr>
          <w:lang w:val="en-AU"/>
        </w:rPr>
        <w:t xml:space="preserve">permitted </w:t>
      </w:r>
      <w:r w:rsidR="00D86CA9">
        <w:rPr>
          <w:lang w:val="en-AU"/>
        </w:rPr>
        <w:t>at higher levels</w:t>
      </w:r>
      <w:r w:rsidR="00412A0A">
        <w:rPr>
          <w:lang w:val="en-AU"/>
        </w:rPr>
        <w:t xml:space="preserve">, </w:t>
      </w:r>
      <w:r w:rsidR="008957AF">
        <w:rPr>
          <w:lang w:val="en-AU"/>
        </w:rPr>
        <w:t>providing</w:t>
      </w:r>
      <w:r w:rsidR="00412A0A">
        <w:rPr>
          <w:lang w:val="en-AU"/>
        </w:rPr>
        <w:t xml:space="preserve"> industry with innovation opportunities.</w:t>
      </w:r>
      <w:bookmarkStart w:id="12" w:name="_Toc286391003"/>
      <w:r w:rsidR="0053464E">
        <w:br w:type="page"/>
      </w:r>
    </w:p>
    <w:p w14:paraId="5A982016" w14:textId="77777777" w:rsidR="002A5F8B" w:rsidRPr="000B6AF2" w:rsidRDefault="00F33BB8" w:rsidP="000B6AF2">
      <w:pPr>
        <w:pStyle w:val="Heading1"/>
      </w:pPr>
      <w:bookmarkStart w:id="13" w:name="_Toc300933417"/>
      <w:bookmarkStart w:id="14" w:name="_Toc525729979"/>
      <w:bookmarkStart w:id="15" w:name="_Toc527018224"/>
      <w:bookmarkStart w:id="16" w:name="_Toc11247890"/>
      <w:bookmarkStart w:id="17" w:name="_Toc14427184"/>
      <w:r>
        <w:t>1</w:t>
      </w:r>
      <w:r w:rsidR="001542D8">
        <w:tab/>
      </w:r>
      <w:r w:rsidR="002A5F8B" w:rsidRPr="000B6AF2">
        <w:t>Introduction</w:t>
      </w:r>
      <w:bookmarkEnd w:id="12"/>
      <w:bookmarkEnd w:id="13"/>
      <w:bookmarkEnd w:id="14"/>
      <w:bookmarkEnd w:id="15"/>
      <w:bookmarkEnd w:id="16"/>
      <w:bookmarkEnd w:id="17"/>
    </w:p>
    <w:p w14:paraId="1913DA97" w14:textId="7F6FBF57" w:rsidR="0053464E" w:rsidRPr="0053464E" w:rsidRDefault="00F33BB8" w:rsidP="00A56E34">
      <w:pPr>
        <w:pStyle w:val="Heading2"/>
      </w:pPr>
      <w:bookmarkStart w:id="18" w:name="_Toc300761890"/>
      <w:bookmarkStart w:id="19" w:name="_Toc525729980"/>
      <w:bookmarkStart w:id="20" w:name="_Toc527018225"/>
      <w:bookmarkStart w:id="21" w:name="_Toc11247891"/>
      <w:bookmarkStart w:id="22" w:name="_Toc14427185"/>
      <w:bookmarkStart w:id="23" w:name="_Toc300933419"/>
      <w:r>
        <w:t>1</w:t>
      </w:r>
      <w:r w:rsidR="0053464E" w:rsidRPr="0053464E">
        <w:t>.1</w:t>
      </w:r>
      <w:r w:rsidR="0053464E" w:rsidRPr="0053464E">
        <w:tab/>
        <w:t xml:space="preserve">The </w:t>
      </w:r>
      <w:r w:rsidR="00221FDD">
        <w:t>a</w:t>
      </w:r>
      <w:r w:rsidR="0053464E" w:rsidRPr="0053464E">
        <w:t>pplicant</w:t>
      </w:r>
      <w:bookmarkEnd w:id="18"/>
      <w:bookmarkEnd w:id="19"/>
      <w:bookmarkEnd w:id="20"/>
      <w:bookmarkEnd w:id="21"/>
      <w:bookmarkEnd w:id="22"/>
      <w:r w:rsidR="00256D65" w:rsidRPr="00256D65">
        <w:t xml:space="preserve"> </w:t>
      </w:r>
      <w:bookmarkEnd w:id="23"/>
    </w:p>
    <w:p w14:paraId="29B58A3B" w14:textId="10D2A6AE" w:rsidR="0053464E" w:rsidRPr="002F458B" w:rsidRDefault="00A0385C" w:rsidP="0053464E">
      <w:r>
        <w:t>The a</w:t>
      </w:r>
      <w:r w:rsidR="00F71BDF" w:rsidRPr="002F458B">
        <w:t>pplication was submitted by Glycom A/S</w:t>
      </w:r>
      <w:r w:rsidR="00BA37F3">
        <w:t xml:space="preserve"> (Glycom)</w:t>
      </w:r>
      <w:r w:rsidR="005A3EB2">
        <w:t>, a Danish food ingredient manufacturer.</w:t>
      </w:r>
    </w:p>
    <w:p w14:paraId="3484B5D4" w14:textId="6ADEE5F9" w:rsidR="0053464E" w:rsidRPr="004B08D4" w:rsidRDefault="00F33BB8" w:rsidP="00A56E34">
      <w:pPr>
        <w:pStyle w:val="Heading2"/>
      </w:pPr>
      <w:bookmarkStart w:id="24" w:name="_Toc300761891"/>
      <w:bookmarkStart w:id="25" w:name="_Toc300933420"/>
      <w:bookmarkStart w:id="26" w:name="_Toc525729981"/>
      <w:bookmarkStart w:id="27" w:name="_Toc527018226"/>
      <w:bookmarkStart w:id="28" w:name="_Toc11247892"/>
      <w:bookmarkStart w:id="29" w:name="_Toc14427186"/>
      <w:r>
        <w:t>1</w:t>
      </w:r>
      <w:r w:rsidR="0053464E" w:rsidRPr="0053464E">
        <w:t>.2</w:t>
      </w:r>
      <w:r w:rsidR="0053464E" w:rsidRPr="0053464E">
        <w:tab/>
        <w:t xml:space="preserve">The </w:t>
      </w:r>
      <w:r w:rsidR="00221FDD">
        <w:t>a</w:t>
      </w:r>
      <w:r w:rsidR="0053464E" w:rsidRPr="004B08D4">
        <w:t>pplication</w:t>
      </w:r>
      <w:bookmarkEnd w:id="24"/>
      <w:bookmarkEnd w:id="25"/>
      <w:bookmarkEnd w:id="26"/>
      <w:bookmarkEnd w:id="27"/>
      <w:bookmarkEnd w:id="28"/>
      <w:bookmarkEnd w:id="29"/>
    </w:p>
    <w:p w14:paraId="517B4FDD" w14:textId="76E5787D" w:rsidR="004D5F26" w:rsidRDefault="00A0385C" w:rsidP="001441C1">
      <w:pPr>
        <w:rPr>
          <w:szCs w:val="22"/>
        </w:rPr>
      </w:pPr>
      <w:r>
        <w:rPr>
          <w:szCs w:val="22"/>
        </w:rPr>
        <w:t>The a</w:t>
      </w:r>
      <w:r w:rsidR="00F324A6">
        <w:rPr>
          <w:szCs w:val="22"/>
        </w:rPr>
        <w:t>pplication</w:t>
      </w:r>
      <w:r w:rsidR="00FE5515">
        <w:rPr>
          <w:szCs w:val="22"/>
        </w:rPr>
        <w:t xml:space="preserve"> is seeking </w:t>
      </w:r>
      <w:r w:rsidR="00D845C1">
        <w:rPr>
          <w:szCs w:val="22"/>
        </w:rPr>
        <w:t>to amend</w:t>
      </w:r>
      <w:r w:rsidR="00B36B63">
        <w:rPr>
          <w:szCs w:val="22"/>
        </w:rPr>
        <w:t xml:space="preserve"> the </w:t>
      </w:r>
      <w:r w:rsidR="00B36B63" w:rsidRPr="00E1609C">
        <w:rPr>
          <w:szCs w:val="22"/>
        </w:rPr>
        <w:t>Australia New Zealand Food Standards Code</w:t>
      </w:r>
      <w:r w:rsidR="00B36B63">
        <w:rPr>
          <w:szCs w:val="22"/>
        </w:rPr>
        <w:t xml:space="preserve"> (the Code) </w:t>
      </w:r>
      <w:r w:rsidR="00D845C1">
        <w:rPr>
          <w:szCs w:val="22"/>
        </w:rPr>
        <w:t xml:space="preserve">to permit </w:t>
      </w:r>
      <w:r w:rsidR="002F458B" w:rsidRPr="00830414">
        <w:rPr>
          <w:szCs w:val="22"/>
        </w:rPr>
        <w:t xml:space="preserve">the </w:t>
      </w:r>
      <w:r w:rsidR="002F458B" w:rsidRPr="00843230">
        <w:rPr>
          <w:szCs w:val="22"/>
        </w:rPr>
        <w:t xml:space="preserve">voluntary </w:t>
      </w:r>
      <w:r w:rsidR="002B34F6" w:rsidRPr="00843230">
        <w:rPr>
          <w:szCs w:val="22"/>
        </w:rPr>
        <w:t>addition</w:t>
      </w:r>
      <w:r w:rsidR="002F458B" w:rsidRPr="00830414">
        <w:rPr>
          <w:szCs w:val="22"/>
        </w:rPr>
        <w:t xml:space="preserve"> of</w:t>
      </w:r>
      <w:r w:rsidR="00B160E2">
        <w:rPr>
          <w:szCs w:val="22"/>
        </w:rPr>
        <w:t xml:space="preserve"> </w:t>
      </w:r>
      <w:r w:rsidR="00727141">
        <w:rPr>
          <w:szCs w:val="22"/>
        </w:rPr>
        <w:t>2</w:t>
      </w:r>
      <w:r w:rsidR="000A17BB">
        <w:rPr>
          <w:szCs w:val="22"/>
        </w:rPr>
        <w:t>′</w:t>
      </w:r>
      <w:r w:rsidR="00727141">
        <w:rPr>
          <w:szCs w:val="22"/>
        </w:rPr>
        <w:t>-</w:t>
      </w:r>
      <w:r w:rsidR="00727141" w:rsidRPr="00C2686C">
        <w:rPr>
          <w:szCs w:val="22"/>
        </w:rPr>
        <w:t>O</w:t>
      </w:r>
      <w:r w:rsidR="00727141">
        <w:rPr>
          <w:szCs w:val="22"/>
        </w:rPr>
        <w:t>-Fucosyllactose (2</w:t>
      </w:r>
      <w:r w:rsidR="000A17BB">
        <w:rPr>
          <w:szCs w:val="22"/>
        </w:rPr>
        <w:t>′</w:t>
      </w:r>
      <w:r w:rsidR="00727141">
        <w:rPr>
          <w:szCs w:val="22"/>
        </w:rPr>
        <w:t>-FL)</w:t>
      </w:r>
      <w:r w:rsidR="000F2DFB">
        <w:rPr>
          <w:szCs w:val="22"/>
        </w:rPr>
        <w:t xml:space="preserve">, either alone </w:t>
      </w:r>
      <w:r w:rsidR="009E0484">
        <w:rPr>
          <w:szCs w:val="22"/>
        </w:rPr>
        <w:t>or in combination with</w:t>
      </w:r>
      <w:r w:rsidR="00166ADA">
        <w:rPr>
          <w:szCs w:val="22"/>
        </w:rPr>
        <w:t xml:space="preserve"> Lacto-</w:t>
      </w:r>
      <w:r w:rsidR="00166ADA" w:rsidRPr="00C2686C">
        <w:rPr>
          <w:szCs w:val="22"/>
        </w:rPr>
        <w:t>N</w:t>
      </w:r>
      <w:r w:rsidR="009E0484">
        <w:rPr>
          <w:szCs w:val="22"/>
        </w:rPr>
        <w:t xml:space="preserve">-neotetraose (LNnT), </w:t>
      </w:r>
      <w:r w:rsidR="002F458B" w:rsidRPr="00830414">
        <w:rPr>
          <w:szCs w:val="22"/>
        </w:rPr>
        <w:t>in infant formula</w:t>
      </w:r>
      <w:r w:rsidR="005275D0">
        <w:rPr>
          <w:szCs w:val="22"/>
        </w:rPr>
        <w:t xml:space="preserve"> products</w:t>
      </w:r>
      <w:r w:rsidR="00C41BD6">
        <w:rPr>
          <w:rStyle w:val="FootnoteReference"/>
          <w:szCs w:val="22"/>
        </w:rPr>
        <w:footnoteReference w:id="3"/>
      </w:r>
      <w:r w:rsidR="00B36B63">
        <w:rPr>
          <w:szCs w:val="22"/>
        </w:rPr>
        <w:t xml:space="preserve"> </w:t>
      </w:r>
      <w:r w:rsidR="002F458B" w:rsidRPr="00830414">
        <w:rPr>
          <w:szCs w:val="22"/>
        </w:rPr>
        <w:t>and formulated supplementary foods for young children (FSFYC)</w:t>
      </w:r>
      <w:r w:rsidR="006432DD">
        <w:rPr>
          <w:rStyle w:val="FootnoteReference"/>
          <w:szCs w:val="22"/>
        </w:rPr>
        <w:footnoteReference w:id="4"/>
      </w:r>
      <w:r w:rsidR="00ED6DBA">
        <w:rPr>
          <w:szCs w:val="22"/>
        </w:rPr>
        <w:t>.</w:t>
      </w:r>
      <w:r w:rsidR="00604FD0">
        <w:rPr>
          <w:szCs w:val="22"/>
        </w:rPr>
        <w:t xml:space="preserve"> </w:t>
      </w:r>
      <w:r w:rsidR="000E79E6">
        <w:rPr>
          <w:szCs w:val="22"/>
        </w:rPr>
        <w:t>2</w:t>
      </w:r>
      <w:r w:rsidR="000A17BB">
        <w:rPr>
          <w:szCs w:val="22"/>
        </w:rPr>
        <w:t>′</w:t>
      </w:r>
      <w:r w:rsidR="000E79E6">
        <w:rPr>
          <w:szCs w:val="22"/>
        </w:rPr>
        <w:t xml:space="preserve">-FL and LNnT are oligosaccharides </w:t>
      </w:r>
      <w:r w:rsidR="000E79E6" w:rsidRPr="004F1B4D">
        <w:rPr>
          <w:szCs w:val="22"/>
        </w:rPr>
        <w:t xml:space="preserve">found naturally in </w:t>
      </w:r>
      <w:r w:rsidR="000F2DFB">
        <w:rPr>
          <w:szCs w:val="22"/>
        </w:rPr>
        <w:t>human</w:t>
      </w:r>
      <w:r w:rsidR="00DE2D85">
        <w:rPr>
          <w:szCs w:val="22"/>
        </w:rPr>
        <w:t xml:space="preserve"> </w:t>
      </w:r>
      <w:r w:rsidR="000E79E6" w:rsidRPr="004F1B4D">
        <w:rPr>
          <w:szCs w:val="22"/>
        </w:rPr>
        <w:t>milk.</w:t>
      </w:r>
      <w:r w:rsidR="000E79E6">
        <w:rPr>
          <w:szCs w:val="22"/>
        </w:rPr>
        <w:t xml:space="preserve"> </w:t>
      </w:r>
      <w:r>
        <w:rPr>
          <w:szCs w:val="22"/>
        </w:rPr>
        <w:t>The a</w:t>
      </w:r>
      <w:r w:rsidR="005327E2">
        <w:rPr>
          <w:szCs w:val="22"/>
        </w:rPr>
        <w:t>pplication is specifically for 2</w:t>
      </w:r>
      <w:r w:rsidR="000A17BB">
        <w:rPr>
          <w:szCs w:val="22"/>
        </w:rPr>
        <w:t>′</w:t>
      </w:r>
      <w:r w:rsidR="005327E2">
        <w:rPr>
          <w:szCs w:val="22"/>
        </w:rPr>
        <w:t>-FL</w:t>
      </w:r>
      <w:r w:rsidR="009E0864">
        <w:rPr>
          <w:szCs w:val="22"/>
        </w:rPr>
        <w:t xml:space="preserve"> and LNnT produced by </w:t>
      </w:r>
      <w:r w:rsidR="0070262A">
        <w:rPr>
          <w:szCs w:val="22"/>
        </w:rPr>
        <w:t xml:space="preserve">microbial </w:t>
      </w:r>
      <w:r w:rsidR="005327E2" w:rsidRPr="007B3A47">
        <w:rPr>
          <w:szCs w:val="22"/>
        </w:rPr>
        <w:t xml:space="preserve">fermentation </w:t>
      </w:r>
      <w:r w:rsidR="001805AF">
        <w:rPr>
          <w:szCs w:val="22"/>
        </w:rPr>
        <w:t>from</w:t>
      </w:r>
      <w:r w:rsidR="007F2A0B">
        <w:rPr>
          <w:szCs w:val="22"/>
        </w:rPr>
        <w:t xml:space="preserve"> </w:t>
      </w:r>
      <w:r w:rsidR="007B3A47" w:rsidRPr="00E468C2">
        <w:rPr>
          <w:szCs w:val="22"/>
        </w:rPr>
        <w:t>genetically modified (GM</w:t>
      </w:r>
      <w:r w:rsidR="007B3A47" w:rsidRPr="002526D1">
        <w:rPr>
          <w:szCs w:val="22"/>
        </w:rPr>
        <w:t xml:space="preserve">) </w:t>
      </w:r>
      <w:r w:rsidR="001441C1" w:rsidRPr="001441C1">
        <w:rPr>
          <w:i/>
        </w:rPr>
        <w:t>Escherichia coli</w:t>
      </w:r>
      <w:r w:rsidR="001441C1" w:rsidRPr="001441C1">
        <w:t xml:space="preserve"> (</w:t>
      </w:r>
      <w:r w:rsidR="001441C1" w:rsidRPr="001441C1">
        <w:rPr>
          <w:i/>
        </w:rPr>
        <w:t>E.coli</w:t>
      </w:r>
      <w:r w:rsidR="001441C1" w:rsidRPr="001441C1">
        <w:t>)</w:t>
      </w:r>
      <w:r w:rsidR="001441C1">
        <w:t xml:space="preserve"> </w:t>
      </w:r>
      <w:r w:rsidR="00995893">
        <w:t>strains</w:t>
      </w:r>
      <w:r w:rsidR="000A0EB0" w:rsidRPr="001441C1">
        <w:rPr>
          <w:szCs w:val="22"/>
        </w:rPr>
        <w:t>.</w:t>
      </w:r>
      <w:r>
        <w:rPr>
          <w:szCs w:val="22"/>
        </w:rPr>
        <w:t xml:space="preserve"> The a</w:t>
      </w:r>
      <w:r w:rsidR="00D845C1" w:rsidRPr="001441C1">
        <w:rPr>
          <w:szCs w:val="22"/>
        </w:rPr>
        <w:t>pplicant</w:t>
      </w:r>
      <w:r w:rsidR="001E3842" w:rsidRPr="001441C1">
        <w:rPr>
          <w:szCs w:val="22"/>
        </w:rPr>
        <w:t xml:space="preserve"> claims</w:t>
      </w:r>
      <w:r w:rsidR="00D845C1" w:rsidRPr="001441C1">
        <w:rPr>
          <w:szCs w:val="22"/>
        </w:rPr>
        <w:t xml:space="preserve"> </w:t>
      </w:r>
      <w:r w:rsidR="005A3EB2" w:rsidRPr="001441C1">
        <w:rPr>
          <w:szCs w:val="22"/>
        </w:rPr>
        <w:t>these</w:t>
      </w:r>
      <w:r w:rsidR="008B35E7" w:rsidRPr="001441C1">
        <w:rPr>
          <w:szCs w:val="22"/>
        </w:rPr>
        <w:t xml:space="preserve"> </w:t>
      </w:r>
      <w:r w:rsidR="00902354">
        <w:rPr>
          <w:szCs w:val="22"/>
        </w:rPr>
        <w:t>oligosaccharides produced by microbial fermentation</w:t>
      </w:r>
      <w:r w:rsidR="004D5F26">
        <w:rPr>
          <w:szCs w:val="22"/>
        </w:rPr>
        <w:t xml:space="preserve"> </w:t>
      </w:r>
      <w:r w:rsidR="001E3842" w:rsidRPr="001441C1">
        <w:rPr>
          <w:szCs w:val="22"/>
        </w:rPr>
        <w:t>are structurally and chemically</w:t>
      </w:r>
      <w:r w:rsidR="001E3842">
        <w:rPr>
          <w:szCs w:val="22"/>
        </w:rPr>
        <w:t xml:space="preserve"> identical to </w:t>
      </w:r>
      <w:r w:rsidR="000A0EB0">
        <w:rPr>
          <w:szCs w:val="22"/>
        </w:rPr>
        <w:t>2</w:t>
      </w:r>
      <w:r w:rsidR="000A17BB">
        <w:rPr>
          <w:szCs w:val="22"/>
        </w:rPr>
        <w:t>′</w:t>
      </w:r>
      <w:r w:rsidR="000A0EB0">
        <w:rPr>
          <w:szCs w:val="22"/>
        </w:rPr>
        <w:t>-FL and LNnT</w:t>
      </w:r>
      <w:r w:rsidR="009E0484">
        <w:rPr>
          <w:szCs w:val="22"/>
        </w:rPr>
        <w:t xml:space="preserve"> found in </w:t>
      </w:r>
      <w:r w:rsidR="000F2DFB">
        <w:rPr>
          <w:szCs w:val="22"/>
        </w:rPr>
        <w:t xml:space="preserve">human </w:t>
      </w:r>
      <w:r w:rsidR="009E0484">
        <w:rPr>
          <w:szCs w:val="22"/>
        </w:rPr>
        <w:t>milk</w:t>
      </w:r>
      <w:r w:rsidR="009E0484" w:rsidRPr="002C305E">
        <w:rPr>
          <w:szCs w:val="22"/>
        </w:rPr>
        <w:t>.</w:t>
      </w:r>
      <w:r w:rsidR="002C305E">
        <w:rPr>
          <w:szCs w:val="22"/>
        </w:rPr>
        <w:t xml:space="preserve"> </w:t>
      </w:r>
    </w:p>
    <w:p w14:paraId="268EF870" w14:textId="601830A3" w:rsidR="004D5F26" w:rsidRDefault="004D5F26" w:rsidP="001441C1">
      <w:pPr>
        <w:rPr>
          <w:szCs w:val="22"/>
        </w:rPr>
      </w:pPr>
    </w:p>
    <w:p w14:paraId="1006DA2A" w14:textId="77431E51" w:rsidR="00CC738E" w:rsidRDefault="007C5797" w:rsidP="00F525F7">
      <w:r>
        <w:rPr>
          <w:szCs w:val="22"/>
        </w:rPr>
        <w:t>Permission is sought for the addition of 1.2 g/L of 2</w:t>
      </w:r>
      <w:r w:rsidR="000A17BB">
        <w:rPr>
          <w:szCs w:val="22"/>
        </w:rPr>
        <w:t>′</w:t>
      </w:r>
      <w:r>
        <w:rPr>
          <w:szCs w:val="22"/>
        </w:rPr>
        <w:t xml:space="preserve">-FL alone, or with an additional 0.6 g/L of LNnT (i.e. totalling 1.8 g/L), </w:t>
      </w:r>
      <w:r w:rsidR="0047396C">
        <w:rPr>
          <w:szCs w:val="22"/>
        </w:rPr>
        <w:t>to</w:t>
      </w:r>
      <w:r>
        <w:rPr>
          <w:szCs w:val="22"/>
        </w:rPr>
        <w:t xml:space="preserve"> infant formula products and FSFYC</w:t>
      </w:r>
      <w:r>
        <w:rPr>
          <w:rStyle w:val="FootnoteReference"/>
          <w:szCs w:val="22"/>
        </w:rPr>
        <w:footnoteReference w:id="5"/>
      </w:r>
      <w:r>
        <w:rPr>
          <w:szCs w:val="22"/>
        </w:rPr>
        <w:t>.</w:t>
      </w:r>
      <w:r w:rsidRPr="00CC2765">
        <w:rPr>
          <w:szCs w:val="22"/>
        </w:rPr>
        <w:t xml:space="preserve"> </w:t>
      </w:r>
      <w:r>
        <w:rPr>
          <w:szCs w:val="22"/>
        </w:rPr>
        <w:t xml:space="preserve">The application states </w:t>
      </w:r>
      <w:r w:rsidRPr="00543A2E">
        <w:rPr>
          <w:szCs w:val="22"/>
        </w:rPr>
        <w:t>these requested levels</w:t>
      </w:r>
      <w:r>
        <w:rPr>
          <w:szCs w:val="22"/>
        </w:rPr>
        <w:t xml:space="preserve"> are within the ranges of 2</w:t>
      </w:r>
      <w:r w:rsidR="000A17BB">
        <w:rPr>
          <w:szCs w:val="22"/>
        </w:rPr>
        <w:t>′</w:t>
      </w:r>
      <w:r>
        <w:rPr>
          <w:szCs w:val="22"/>
        </w:rPr>
        <w:t xml:space="preserve">-FL and LNnT found naturally in </w:t>
      </w:r>
      <w:r w:rsidRPr="00DB4ED2">
        <w:rPr>
          <w:szCs w:val="22"/>
        </w:rPr>
        <w:t>mature hu</w:t>
      </w:r>
      <w:r>
        <w:rPr>
          <w:szCs w:val="22"/>
        </w:rPr>
        <w:t xml:space="preserve">man milk. </w:t>
      </w:r>
      <w:r w:rsidR="0085628D" w:rsidRPr="002C305E">
        <w:rPr>
          <w:szCs w:val="22"/>
        </w:rPr>
        <w:t xml:space="preserve">The </w:t>
      </w:r>
      <w:r w:rsidR="004D5F26">
        <w:rPr>
          <w:szCs w:val="22"/>
        </w:rPr>
        <w:t xml:space="preserve">applicant’s </w:t>
      </w:r>
      <w:r w:rsidR="0085628D" w:rsidRPr="002C305E">
        <w:rPr>
          <w:szCs w:val="22"/>
        </w:rPr>
        <w:t xml:space="preserve">stated purpose is to better reflect the compositional profile of oligosaccharides of </w:t>
      </w:r>
      <w:r w:rsidR="000F2DFB">
        <w:rPr>
          <w:szCs w:val="22"/>
        </w:rPr>
        <w:t>human</w:t>
      </w:r>
      <w:r w:rsidR="00CE3DE4">
        <w:rPr>
          <w:szCs w:val="22"/>
        </w:rPr>
        <w:t xml:space="preserve"> </w:t>
      </w:r>
      <w:r w:rsidR="0085628D" w:rsidRPr="002C305E">
        <w:rPr>
          <w:szCs w:val="22"/>
        </w:rPr>
        <w:t>milk</w:t>
      </w:r>
      <w:r w:rsidR="002C305E">
        <w:rPr>
          <w:szCs w:val="22"/>
        </w:rPr>
        <w:t xml:space="preserve">. </w:t>
      </w:r>
      <w:r w:rsidR="00CC738E">
        <w:rPr>
          <w:szCs w:val="22"/>
        </w:rPr>
        <w:t>2</w:t>
      </w:r>
      <w:r w:rsidR="000A17BB">
        <w:rPr>
          <w:szCs w:val="22"/>
        </w:rPr>
        <w:t>′</w:t>
      </w:r>
      <w:r w:rsidR="00CC738E">
        <w:rPr>
          <w:szCs w:val="22"/>
        </w:rPr>
        <w:t xml:space="preserve">-FL and LNnT produced by microbial fermentation </w:t>
      </w:r>
      <w:r w:rsidR="00F05027">
        <w:rPr>
          <w:szCs w:val="22"/>
        </w:rPr>
        <w:t>are</w:t>
      </w:r>
      <w:r w:rsidR="004D5F26">
        <w:rPr>
          <w:szCs w:val="22"/>
        </w:rPr>
        <w:t xml:space="preserve"> </w:t>
      </w:r>
      <w:r w:rsidR="004167D6">
        <w:rPr>
          <w:szCs w:val="22"/>
        </w:rPr>
        <w:t>purported</w:t>
      </w:r>
      <w:r w:rsidR="004D5F26">
        <w:rPr>
          <w:szCs w:val="22"/>
        </w:rPr>
        <w:t xml:space="preserve"> to </w:t>
      </w:r>
      <w:r w:rsidR="00EC2E54">
        <w:rPr>
          <w:szCs w:val="22"/>
        </w:rPr>
        <w:t>provide</w:t>
      </w:r>
      <w:r w:rsidR="00CC738E">
        <w:rPr>
          <w:szCs w:val="22"/>
        </w:rPr>
        <w:t xml:space="preserve"> the </w:t>
      </w:r>
      <w:r w:rsidR="00D838D4">
        <w:rPr>
          <w:szCs w:val="22"/>
        </w:rPr>
        <w:t xml:space="preserve">following </w:t>
      </w:r>
      <w:r w:rsidR="00902354">
        <w:rPr>
          <w:szCs w:val="22"/>
        </w:rPr>
        <w:t xml:space="preserve">favourable health </w:t>
      </w:r>
      <w:r w:rsidR="00CC738E">
        <w:rPr>
          <w:szCs w:val="22"/>
        </w:rPr>
        <w:t>effects</w:t>
      </w:r>
      <w:r w:rsidR="00B160E2">
        <w:rPr>
          <w:szCs w:val="22"/>
        </w:rPr>
        <w:t xml:space="preserve"> </w:t>
      </w:r>
      <w:r w:rsidR="00902354">
        <w:rPr>
          <w:szCs w:val="22"/>
        </w:rPr>
        <w:t>of human milk</w:t>
      </w:r>
      <w:r w:rsidR="00B160E2">
        <w:rPr>
          <w:szCs w:val="22"/>
        </w:rPr>
        <w:t xml:space="preserve"> </w:t>
      </w:r>
      <w:r w:rsidR="00B160E2" w:rsidRPr="00743F7A">
        <w:rPr>
          <w:szCs w:val="22"/>
        </w:rPr>
        <w:t xml:space="preserve">relating to </w:t>
      </w:r>
      <w:r w:rsidR="007818A8">
        <w:rPr>
          <w:szCs w:val="22"/>
        </w:rPr>
        <w:t>microorganisms</w:t>
      </w:r>
      <w:r w:rsidR="00B160E2" w:rsidRPr="00743F7A">
        <w:rPr>
          <w:szCs w:val="22"/>
        </w:rPr>
        <w:t xml:space="preserve"> </w:t>
      </w:r>
      <w:r w:rsidR="00B160E2">
        <w:rPr>
          <w:szCs w:val="22"/>
        </w:rPr>
        <w:t>in the gastrointestinal system</w:t>
      </w:r>
      <w:r w:rsidR="00D845C1">
        <w:rPr>
          <w:szCs w:val="22"/>
        </w:rPr>
        <w:t>:</w:t>
      </w:r>
      <w:r w:rsidR="00D838D4">
        <w:rPr>
          <w:szCs w:val="22"/>
        </w:rPr>
        <w:t xml:space="preserve"> </w:t>
      </w:r>
      <w:r w:rsidR="00CC738E">
        <w:t>anti-</w:t>
      </w:r>
      <w:r w:rsidR="006205F2">
        <w:t>in</w:t>
      </w:r>
      <w:r w:rsidR="00CC738E">
        <w:t>f</w:t>
      </w:r>
      <w:r w:rsidR="000372FC">
        <w:t>ective effect against pathogen</w:t>
      </w:r>
      <w:r w:rsidR="00D838D4">
        <w:t xml:space="preserve">s; </w:t>
      </w:r>
      <w:r>
        <w:t xml:space="preserve">bifidogenic effect; </w:t>
      </w:r>
      <w:r w:rsidR="000372FC">
        <w:t>immune modulation,</w:t>
      </w:r>
      <w:r w:rsidR="003F217F">
        <w:t xml:space="preserve"> </w:t>
      </w:r>
      <w:r w:rsidR="000372FC">
        <w:t xml:space="preserve">improved intestinal </w:t>
      </w:r>
      <w:r w:rsidR="00CC738E">
        <w:t>barrier function</w:t>
      </w:r>
      <w:r w:rsidR="000372FC">
        <w:t xml:space="preserve"> and </w:t>
      </w:r>
      <w:r w:rsidR="00A64EAA">
        <w:t xml:space="preserve">alleviation of </w:t>
      </w:r>
      <w:r w:rsidR="000372FC">
        <w:t>allergic response</w:t>
      </w:r>
      <w:r w:rsidR="00321F8A">
        <w:t>s</w:t>
      </w:r>
      <w:r w:rsidR="00CC738E">
        <w:t xml:space="preserve">. </w:t>
      </w:r>
    </w:p>
    <w:p w14:paraId="74181376" w14:textId="1812C5BF" w:rsidR="00CC2765" w:rsidRPr="000372FC" w:rsidRDefault="00CC2765" w:rsidP="00CC2765">
      <w:pPr>
        <w:rPr>
          <w:szCs w:val="22"/>
        </w:rPr>
      </w:pPr>
    </w:p>
    <w:p w14:paraId="1E57F0ED" w14:textId="3CA54193" w:rsidR="00C045B4" w:rsidRDefault="00A0385C" w:rsidP="00C045B4">
      <w:pPr>
        <w:rPr>
          <w:szCs w:val="22"/>
        </w:rPr>
      </w:pPr>
      <w:r>
        <w:rPr>
          <w:szCs w:val="22"/>
        </w:rPr>
        <w:t>The a</w:t>
      </w:r>
      <w:r w:rsidR="00EE76F9" w:rsidRPr="00F151B9">
        <w:rPr>
          <w:szCs w:val="22"/>
        </w:rPr>
        <w:t xml:space="preserve">pplication </w:t>
      </w:r>
      <w:r w:rsidR="00DD4F4F" w:rsidRPr="00F151B9">
        <w:rPr>
          <w:szCs w:val="22"/>
        </w:rPr>
        <w:t>is seeking to include 2</w:t>
      </w:r>
      <w:r w:rsidR="000A17BB">
        <w:rPr>
          <w:szCs w:val="22"/>
        </w:rPr>
        <w:t>′</w:t>
      </w:r>
      <w:r w:rsidR="00DD4F4F" w:rsidRPr="00F151B9">
        <w:rPr>
          <w:szCs w:val="22"/>
        </w:rPr>
        <w:t xml:space="preserve">-FL and LNnT </w:t>
      </w:r>
      <w:r w:rsidR="000F2DFB">
        <w:rPr>
          <w:szCs w:val="22"/>
        </w:rPr>
        <w:t xml:space="preserve">as novel foods </w:t>
      </w:r>
      <w:r w:rsidR="00DD4F4F" w:rsidRPr="00F151B9">
        <w:rPr>
          <w:szCs w:val="22"/>
        </w:rPr>
        <w:t>in the table to S25</w:t>
      </w:r>
      <w:r w:rsidR="00DD4F4F" w:rsidRPr="00F151B9">
        <w:t>—</w:t>
      </w:r>
      <w:r w:rsidR="00DD4F4F" w:rsidRPr="00F151B9">
        <w:rPr>
          <w:szCs w:val="22"/>
        </w:rPr>
        <w:t>2 of Schedule 25 (P</w:t>
      </w:r>
      <w:r w:rsidR="00DD4F4F">
        <w:rPr>
          <w:szCs w:val="22"/>
        </w:rPr>
        <w:t>ermitted novel foods)</w:t>
      </w:r>
      <w:r w:rsidR="007C5797">
        <w:rPr>
          <w:szCs w:val="22"/>
        </w:rPr>
        <w:t xml:space="preserve"> and</w:t>
      </w:r>
      <w:r w:rsidR="00AC5C47">
        <w:rPr>
          <w:szCs w:val="22"/>
        </w:rPr>
        <w:t xml:space="preserve"> also notes</w:t>
      </w:r>
      <w:r w:rsidR="00C045B4">
        <w:rPr>
          <w:szCs w:val="22"/>
        </w:rPr>
        <w:t xml:space="preserve"> </w:t>
      </w:r>
      <w:r w:rsidR="00186457">
        <w:rPr>
          <w:szCs w:val="22"/>
        </w:rPr>
        <w:t>amendments to Standard 2.9.1 (Infant formula</w:t>
      </w:r>
      <w:r w:rsidR="00C045B4">
        <w:rPr>
          <w:szCs w:val="22"/>
        </w:rPr>
        <w:t xml:space="preserve"> products), Standard 2.9.3, Divisi</w:t>
      </w:r>
      <w:r w:rsidR="007818A8">
        <w:rPr>
          <w:szCs w:val="22"/>
        </w:rPr>
        <w:t>on 4 (Formulated supplementary foods for young children</w:t>
      </w:r>
      <w:r w:rsidR="00C045B4">
        <w:rPr>
          <w:szCs w:val="22"/>
        </w:rPr>
        <w:t>) and Schedule 3</w:t>
      </w:r>
      <w:r w:rsidR="00AC5C47">
        <w:rPr>
          <w:szCs w:val="22"/>
        </w:rPr>
        <w:t xml:space="preserve"> (Identity and purity) may </w:t>
      </w:r>
      <w:r w:rsidR="00C045B4">
        <w:rPr>
          <w:szCs w:val="22"/>
        </w:rPr>
        <w:t>be required.</w:t>
      </w:r>
      <w:r w:rsidR="00DE2D85" w:rsidRPr="00DE2D85">
        <w:rPr>
          <w:szCs w:val="22"/>
        </w:rPr>
        <w:t xml:space="preserve"> </w:t>
      </w:r>
    </w:p>
    <w:p w14:paraId="41AB6291" w14:textId="77777777" w:rsidR="00934A4B" w:rsidRDefault="00934A4B" w:rsidP="00C045B4">
      <w:pPr>
        <w:rPr>
          <w:szCs w:val="22"/>
        </w:rPr>
      </w:pPr>
    </w:p>
    <w:p w14:paraId="2EC27031" w14:textId="1F555854" w:rsidR="00C045B4" w:rsidRDefault="00A0385C" w:rsidP="00C045B4">
      <w:pPr>
        <w:rPr>
          <w:szCs w:val="22"/>
        </w:rPr>
      </w:pPr>
      <w:r>
        <w:rPr>
          <w:szCs w:val="22"/>
        </w:rPr>
        <w:t>The a</w:t>
      </w:r>
      <w:r w:rsidR="00C045B4">
        <w:rPr>
          <w:szCs w:val="22"/>
        </w:rPr>
        <w:t>pplicant has also</w:t>
      </w:r>
      <w:r w:rsidR="004F1B4D">
        <w:rPr>
          <w:szCs w:val="22"/>
        </w:rPr>
        <w:t xml:space="preserve"> requested exclusive </w:t>
      </w:r>
      <w:r w:rsidR="00C045B4">
        <w:rPr>
          <w:szCs w:val="22"/>
        </w:rPr>
        <w:t>permission for their brand of 2</w:t>
      </w:r>
      <w:r w:rsidR="000A17BB">
        <w:rPr>
          <w:szCs w:val="22"/>
        </w:rPr>
        <w:t>′</w:t>
      </w:r>
      <w:r w:rsidR="00C045B4">
        <w:rPr>
          <w:szCs w:val="22"/>
        </w:rPr>
        <w:t xml:space="preserve">-FL and LNnT for a period of </w:t>
      </w:r>
      <w:r w:rsidR="00C045B4" w:rsidRPr="0074044B">
        <w:rPr>
          <w:szCs w:val="22"/>
        </w:rPr>
        <w:t>15 months</w:t>
      </w:r>
      <w:r w:rsidR="00C045B4">
        <w:rPr>
          <w:szCs w:val="22"/>
        </w:rPr>
        <w:t xml:space="preserve"> after gazettal.</w:t>
      </w:r>
    </w:p>
    <w:p w14:paraId="573A8DCE" w14:textId="63AA0B77" w:rsidR="0053464E" w:rsidRPr="0053464E" w:rsidRDefault="00F33BB8" w:rsidP="00841033">
      <w:pPr>
        <w:pStyle w:val="Heading2"/>
        <w:keepNext w:val="0"/>
        <w:widowControl/>
      </w:pPr>
      <w:bookmarkStart w:id="30" w:name="_Toc300761892"/>
      <w:bookmarkStart w:id="31" w:name="_Toc300933421"/>
      <w:bookmarkStart w:id="32" w:name="_Toc525729982"/>
      <w:bookmarkStart w:id="33" w:name="_Toc527018227"/>
      <w:bookmarkStart w:id="34" w:name="_Toc11247893"/>
      <w:bookmarkStart w:id="35" w:name="_Toc14427187"/>
      <w:r>
        <w:t>1</w:t>
      </w:r>
      <w:r w:rsidR="00A56E34">
        <w:t>.3</w:t>
      </w:r>
      <w:r w:rsidR="00A56E34">
        <w:tab/>
        <w:t>The c</w:t>
      </w:r>
      <w:r w:rsidR="0053464E" w:rsidRPr="0053464E">
        <w:t xml:space="preserve">urrent </w:t>
      </w:r>
      <w:r w:rsidR="00E72650">
        <w:t>s</w:t>
      </w:r>
      <w:r w:rsidR="0053464E" w:rsidRPr="0053464E">
        <w:t>tandard</w:t>
      </w:r>
      <w:bookmarkEnd w:id="30"/>
      <w:bookmarkEnd w:id="31"/>
      <w:r w:rsidR="0096779F">
        <w:t>s</w:t>
      </w:r>
      <w:bookmarkEnd w:id="32"/>
      <w:bookmarkEnd w:id="33"/>
      <w:bookmarkEnd w:id="34"/>
      <w:bookmarkEnd w:id="35"/>
    </w:p>
    <w:p w14:paraId="39A97E4A" w14:textId="6D74781B" w:rsidR="00A92138" w:rsidRDefault="009F49F1" w:rsidP="009F49F1">
      <w:pPr>
        <w:pStyle w:val="Heading3"/>
        <w:widowControl/>
      </w:pPr>
      <w:bookmarkStart w:id="36" w:name="_Toc467500931"/>
      <w:bookmarkStart w:id="37" w:name="_Toc525729983"/>
      <w:bookmarkStart w:id="38" w:name="_Toc527018228"/>
      <w:bookmarkStart w:id="39" w:name="_Toc11247894"/>
      <w:bookmarkStart w:id="40" w:name="_Toc14427188"/>
      <w:r w:rsidRPr="005B61D0">
        <w:t>1.3.1</w:t>
      </w:r>
      <w:r>
        <w:tab/>
      </w:r>
      <w:r w:rsidRPr="00472ED4">
        <w:t>Australia</w:t>
      </w:r>
      <w:r w:rsidRPr="005B61D0">
        <w:t xml:space="preserve"> and New Zealand</w:t>
      </w:r>
      <w:bookmarkEnd w:id="36"/>
      <w:bookmarkEnd w:id="37"/>
      <w:bookmarkEnd w:id="38"/>
      <w:bookmarkEnd w:id="39"/>
      <w:bookmarkEnd w:id="40"/>
    </w:p>
    <w:p w14:paraId="2EBA56CE" w14:textId="2AF65DD7" w:rsidR="00122011" w:rsidRDefault="00122011" w:rsidP="00122011">
      <w:pPr>
        <w:rPr>
          <w:rFonts w:ascii="Calibri" w:hAnsi="Calibri"/>
          <w:szCs w:val="22"/>
          <w:lang w:bidi="ar-SA"/>
        </w:rPr>
      </w:pPr>
      <w:r>
        <w:t xml:space="preserve">Australian and New Zealand food laws require food for sale to comply with the following </w:t>
      </w:r>
      <w:r w:rsidR="00F6476B">
        <w:t>Code</w:t>
      </w:r>
      <w:r>
        <w:t xml:space="preserve"> requirements.</w:t>
      </w:r>
    </w:p>
    <w:p w14:paraId="37912F76" w14:textId="77777777" w:rsidR="00122011" w:rsidRDefault="00122011" w:rsidP="00122011">
      <w:pPr>
        <w:rPr>
          <w:i/>
        </w:rPr>
      </w:pPr>
    </w:p>
    <w:p w14:paraId="454DB440" w14:textId="2F32FE60" w:rsidR="00122011" w:rsidRDefault="00122011" w:rsidP="00122011">
      <w:pPr>
        <w:rPr>
          <w:i/>
        </w:rPr>
      </w:pPr>
      <w:r w:rsidRPr="00E31C9D">
        <w:rPr>
          <w:i/>
        </w:rPr>
        <w:t>Permitted use</w:t>
      </w:r>
    </w:p>
    <w:p w14:paraId="74664A86" w14:textId="77777777" w:rsidR="00DA15EB" w:rsidRPr="00E31C9D" w:rsidRDefault="00DA15EB" w:rsidP="00122011">
      <w:pPr>
        <w:rPr>
          <w:i/>
        </w:rPr>
      </w:pPr>
    </w:p>
    <w:p w14:paraId="15C000BF" w14:textId="20820307" w:rsidR="002F77E7" w:rsidRPr="00213529" w:rsidRDefault="00A731CC" w:rsidP="00841033">
      <w:pPr>
        <w:widowControl/>
      </w:pPr>
      <w:r w:rsidRPr="001805AF">
        <w:t xml:space="preserve">Paragraphs 1.1.1—10(5)(c) and (6)(g) </w:t>
      </w:r>
      <w:r w:rsidR="003E2390">
        <w:t>of Standard 1.1.1 require</w:t>
      </w:r>
      <w:r w:rsidRPr="001805AF">
        <w:t xml:space="preserve"> that, unless</w:t>
      </w:r>
      <w:r w:rsidR="006070E6">
        <w:t xml:space="preserve"> expressly permitted</w:t>
      </w:r>
      <w:r w:rsidRPr="001805AF">
        <w:t xml:space="preserve">, a food for sale must not be a </w:t>
      </w:r>
      <w:r w:rsidRPr="00EC2441">
        <w:rPr>
          <w:i/>
        </w:rPr>
        <w:t>food produced using gene technology</w:t>
      </w:r>
      <w:r w:rsidRPr="00213529">
        <w:t xml:space="preserve">, or have as an ingredient or component a </w:t>
      </w:r>
      <w:r w:rsidRPr="00EC2441">
        <w:rPr>
          <w:i/>
        </w:rPr>
        <w:t>food produced using gene technology</w:t>
      </w:r>
      <w:r w:rsidRPr="00213529">
        <w:t>.</w:t>
      </w:r>
      <w:r w:rsidR="0014740B" w:rsidRPr="00213529">
        <w:t xml:space="preserve"> </w:t>
      </w:r>
    </w:p>
    <w:p w14:paraId="38001907" w14:textId="77777777" w:rsidR="00EC2441" w:rsidRDefault="00EC2441" w:rsidP="00A731CC"/>
    <w:p w14:paraId="1C3288CF" w14:textId="45B89384" w:rsidR="003F6039" w:rsidRDefault="00C34DBE" w:rsidP="00F84D82">
      <w:pPr>
        <w:widowControl/>
      </w:pPr>
      <w:r>
        <w:t>2</w:t>
      </w:r>
      <w:r w:rsidR="000A17BB">
        <w:t>′</w:t>
      </w:r>
      <w:r>
        <w:t>-FL and LNnT are</w:t>
      </w:r>
      <w:r w:rsidR="00F6476B">
        <w:t xml:space="preserve"> both</w:t>
      </w:r>
      <w:r>
        <w:t xml:space="preserve"> </w:t>
      </w:r>
      <w:r w:rsidR="00F6476B">
        <w:rPr>
          <w:i/>
        </w:rPr>
        <w:t>food</w:t>
      </w:r>
      <w:r w:rsidRPr="00C34DBE">
        <w:rPr>
          <w:i/>
        </w:rPr>
        <w:t xml:space="preserve"> produced using gene technology</w:t>
      </w:r>
      <w:r w:rsidR="00B35F00" w:rsidRPr="00B35F00">
        <w:t xml:space="preserve"> </w:t>
      </w:r>
      <w:r w:rsidR="006432DD">
        <w:t>(</w:t>
      </w:r>
      <w:r w:rsidR="00B35F00" w:rsidRPr="00B35F00">
        <w:t>section 1.1</w:t>
      </w:r>
      <w:r w:rsidR="0014740B">
        <w:t xml:space="preserve">.2—2) as they are derived from </w:t>
      </w:r>
      <w:r w:rsidR="00B35F00" w:rsidRPr="00B35F00">
        <w:t xml:space="preserve">an organism </w:t>
      </w:r>
      <w:r w:rsidR="0014740B">
        <w:t xml:space="preserve">modified using gene technology </w:t>
      </w:r>
      <w:r w:rsidR="00B35F00" w:rsidRPr="00B35F00">
        <w:t xml:space="preserve">(i.e. </w:t>
      </w:r>
      <w:r w:rsidR="00A731CC">
        <w:t xml:space="preserve">derived from </w:t>
      </w:r>
      <w:r w:rsidR="00B35F00" w:rsidRPr="00B35F00">
        <w:t xml:space="preserve">GM </w:t>
      </w:r>
      <w:r w:rsidR="00B35F00" w:rsidRPr="00B35F00">
        <w:rPr>
          <w:i/>
        </w:rPr>
        <w:t>E.coli</w:t>
      </w:r>
      <w:r w:rsidR="00B35F00">
        <w:t xml:space="preserve"> </w:t>
      </w:r>
      <w:r w:rsidR="00334F3D">
        <w:t>strains</w:t>
      </w:r>
      <w:r w:rsidR="00B35F00" w:rsidRPr="00B35F00">
        <w:t xml:space="preserve">). </w:t>
      </w:r>
      <w:r w:rsidR="00A731CC" w:rsidRPr="001805AF" w:rsidDel="00835E0C">
        <w:t>If approved, e</w:t>
      </w:r>
      <w:r w:rsidR="00A731CC" w:rsidDel="00835E0C">
        <w:t>xpress permission</w:t>
      </w:r>
      <w:r w:rsidR="00A731CC" w:rsidRPr="001805AF" w:rsidDel="00835E0C">
        <w:t xml:space="preserve"> for 2</w:t>
      </w:r>
      <w:r w:rsidR="000A17BB">
        <w:t>′</w:t>
      </w:r>
      <w:r w:rsidR="00A731CC" w:rsidRPr="001805AF" w:rsidDel="00835E0C">
        <w:t xml:space="preserve">-FL and LNnT </w:t>
      </w:r>
      <w:r w:rsidR="00334F3D">
        <w:t>is</w:t>
      </w:r>
      <w:r w:rsidR="00A731CC" w:rsidRPr="001805AF" w:rsidDel="00835E0C">
        <w:t xml:space="preserve"> required in accordance with Standard 1.5.2 – Food produced using gene technology</w:t>
      </w:r>
      <w:r w:rsidR="003B37AE">
        <w:t xml:space="preserve"> (i.e. </w:t>
      </w:r>
      <w:r w:rsidR="00F37C93">
        <w:t xml:space="preserve">listed </w:t>
      </w:r>
      <w:r w:rsidR="003B37AE">
        <w:t>in Schedule 26)</w:t>
      </w:r>
      <w:r w:rsidR="00E6364B">
        <w:t xml:space="preserve">, </w:t>
      </w:r>
      <w:r w:rsidR="00A731CC" w:rsidRPr="001805AF" w:rsidDel="00835E0C">
        <w:t xml:space="preserve">rather than </w:t>
      </w:r>
      <w:r w:rsidR="00843230">
        <w:t xml:space="preserve">permission for a </w:t>
      </w:r>
      <w:r w:rsidR="00A731CC" w:rsidRPr="001805AF" w:rsidDel="00835E0C">
        <w:t>novel food in Schedule 25.</w:t>
      </w:r>
    </w:p>
    <w:p w14:paraId="48B51060" w14:textId="23F03064" w:rsidR="0014740B" w:rsidRDefault="0014740B" w:rsidP="00A731CC"/>
    <w:p w14:paraId="54EFE0B7" w14:textId="1C079DB9" w:rsidR="00DA15EB" w:rsidRDefault="009E3047" w:rsidP="00122011">
      <w:r>
        <w:t>In addition, p</w:t>
      </w:r>
      <w:r w:rsidR="0014740B">
        <w:t xml:space="preserve">aragraph </w:t>
      </w:r>
      <w:r w:rsidR="0014740B" w:rsidRPr="001805AF">
        <w:t>1.1.1—10</w:t>
      </w:r>
      <w:r w:rsidR="0014740B">
        <w:t>(6)(b</w:t>
      </w:r>
      <w:r w:rsidR="0014740B" w:rsidRPr="001805AF">
        <w:t>)</w:t>
      </w:r>
      <w:r w:rsidR="0014740B">
        <w:t xml:space="preserve"> </w:t>
      </w:r>
      <w:r w:rsidR="0047396C">
        <w:t xml:space="preserve">of Standard 1.1.1 </w:t>
      </w:r>
      <w:r w:rsidR="0014740B">
        <w:t xml:space="preserve">requires that, unless expressly permitted, a food for sale must not have as an ingredient or component a substance that was </w:t>
      </w:r>
      <w:r w:rsidR="0014740B" w:rsidRPr="0014740B">
        <w:rPr>
          <w:i/>
        </w:rPr>
        <w:t>used as a nutritive substance</w:t>
      </w:r>
      <w:r w:rsidR="0014740B">
        <w:rPr>
          <w:i/>
        </w:rPr>
        <w:t xml:space="preserve"> </w:t>
      </w:r>
      <w:r w:rsidR="0014740B">
        <w:t xml:space="preserve">(section </w:t>
      </w:r>
      <w:r w:rsidR="0014740B" w:rsidRPr="00B35F00">
        <w:t>1.1.2—</w:t>
      </w:r>
      <w:r w:rsidR="0014740B">
        <w:t>1</w:t>
      </w:r>
      <w:r w:rsidR="0014740B" w:rsidRPr="00B35F00">
        <w:t>2</w:t>
      </w:r>
      <w:r w:rsidR="0014740B">
        <w:t xml:space="preserve">). </w:t>
      </w:r>
      <w:r w:rsidR="00213529">
        <w:t>2</w:t>
      </w:r>
      <w:r w:rsidR="000A17BB">
        <w:t>′</w:t>
      </w:r>
      <w:r w:rsidR="00213529">
        <w:t xml:space="preserve">-FL and LNnT are </w:t>
      </w:r>
      <w:r w:rsidR="00F6476B">
        <w:t xml:space="preserve">both </w:t>
      </w:r>
      <w:r w:rsidR="00213529" w:rsidRPr="00D27117">
        <w:rPr>
          <w:i/>
        </w:rPr>
        <w:t>used as a nutritive substance</w:t>
      </w:r>
      <w:r w:rsidR="00213529">
        <w:t xml:space="preserve"> </w:t>
      </w:r>
      <w:r w:rsidR="00B214FB">
        <w:t>because their addition to food is intended to achieve specific nutritional purposes.</w:t>
      </w:r>
      <w:r w:rsidR="00F304A6">
        <w:t xml:space="preserve"> </w:t>
      </w:r>
      <w:r w:rsidR="00353A2E">
        <w:t>Therefore, i</w:t>
      </w:r>
      <w:r w:rsidR="0047396C">
        <w:t xml:space="preserve">f approved, express permission for </w:t>
      </w:r>
      <w:r w:rsidR="0047396C" w:rsidRPr="001805AF" w:rsidDel="00835E0C">
        <w:t>2</w:t>
      </w:r>
      <w:r w:rsidR="0047396C">
        <w:t>′</w:t>
      </w:r>
      <w:r w:rsidR="0047396C" w:rsidRPr="001805AF" w:rsidDel="00835E0C">
        <w:t>-FL and LNnT</w:t>
      </w:r>
      <w:r w:rsidR="0047396C">
        <w:t xml:space="preserve"> to be </w:t>
      </w:r>
      <w:r w:rsidR="0047396C">
        <w:rPr>
          <w:i/>
        </w:rPr>
        <w:t>used as a nutritive substance</w:t>
      </w:r>
      <w:r w:rsidR="00353A2E">
        <w:t xml:space="preserve"> is required in the Code</w:t>
      </w:r>
      <w:r w:rsidR="0047396C">
        <w:t xml:space="preserve"> in addition to the permission as </w:t>
      </w:r>
      <w:r w:rsidR="0047396C">
        <w:rPr>
          <w:i/>
        </w:rPr>
        <w:t>food produced using gene technology</w:t>
      </w:r>
      <w:r w:rsidR="0047396C">
        <w:t xml:space="preserve"> above. </w:t>
      </w:r>
    </w:p>
    <w:p w14:paraId="196F5BF8" w14:textId="77777777" w:rsidR="00B5260C" w:rsidRDefault="00B5260C" w:rsidP="00122011">
      <w:pPr>
        <w:rPr>
          <w:i/>
        </w:rPr>
      </w:pPr>
    </w:p>
    <w:p w14:paraId="4D31678D" w14:textId="17EF5DD8" w:rsidR="00122011" w:rsidRPr="00060A08" w:rsidRDefault="00122011" w:rsidP="00122011">
      <w:pPr>
        <w:rPr>
          <w:i/>
        </w:rPr>
      </w:pPr>
      <w:r w:rsidRPr="00060A08">
        <w:rPr>
          <w:i/>
        </w:rPr>
        <w:t>Infant formula products</w:t>
      </w:r>
    </w:p>
    <w:p w14:paraId="2686E072" w14:textId="6C1A74E0" w:rsidR="00EB5D2D" w:rsidRPr="00060A08" w:rsidRDefault="00EB5D2D" w:rsidP="008A4D05">
      <w:pPr>
        <w:rPr>
          <w:i/>
        </w:rPr>
      </w:pPr>
    </w:p>
    <w:p w14:paraId="3ECE7D04" w14:textId="00600E29" w:rsidR="009F37CD" w:rsidRDefault="0096779F" w:rsidP="00A731CC">
      <w:pPr>
        <w:rPr>
          <w:szCs w:val="22"/>
          <w:lang w:eastAsia="en-AU"/>
        </w:rPr>
      </w:pPr>
      <w:r w:rsidRPr="00723A62">
        <w:rPr>
          <w:szCs w:val="22"/>
          <w:lang w:eastAsia="en-AU"/>
        </w:rPr>
        <w:t>Standard 2.9.1</w:t>
      </w:r>
      <w:r w:rsidR="006D58B0">
        <w:rPr>
          <w:szCs w:val="22"/>
          <w:lang w:eastAsia="en-AU"/>
        </w:rPr>
        <w:t xml:space="preserve"> </w:t>
      </w:r>
      <w:r w:rsidR="0000237B">
        <w:rPr>
          <w:szCs w:val="22"/>
          <w:lang w:eastAsia="en-AU"/>
        </w:rPr>
        <w:t>and Schedule 29</w:t>
      </w:r>
      <w:r w:rsidR="006D58B0">
        <w:rPr>
          <w:szCs w:val="22"/>
          <w:lang w:eastAsia="en-AU"/>
        </w:rPr>
        <w:t xml:space="preserve"> </w:t>
      </w:r>
      <w:r w:rsidR="00122011">
        <w:rPr>
          <w:szCs w:val="22"/>
          <w:lang w:eastAsia="en-AU"/>
        </w:rPr>
        <w:t xml:space="preserve">set out </w:t>
      </w:r>
      <w:r w:rsidR="00C34DBE">
        <w:rPr>
          <w:szCs w:val="22"/>
          <w:lang w:eastAsia="en-AU"/>
        </w:rPr>
        <w:t xml:space="preserve">specific </w:t>
      </w:r>
      <w:r w:rsidR="001844BC" w:rsidRPr="00723A62">
        <w:rPr>
          <w:szCs w:val="22"/>
          <w:lang w:eastAsia="en-AU"/>
        </w:rPr>
        <w:t xml:space="preserve">compositional </w:t>
      </w:r>
      <w:r w:rsidR="0076721A" w:rsidRPr="00723A62">
        <w:rPr>
          <w:szCs w:val="22"/>
          <w:lang w:eastAsia="en-AU"/>
        </w:rPr>
        <w:t xml:space="preserve">and labelling </w:t>
      </w:r>
      <w:r w:rsidR="001844BC" w:rsidRPr="00723A62">
        <w:rPr>
          <w:szCs w:val="22"/>
          <w:lang w:eastAsia="en-AU"/>
        </w:rPr>
        <w:t>requirements</w:t>
      </w:r>
      <w:r w:rsidR="00F6476B">
        <w:rPr>
          <w:szCs w:val="22"/>
          <w:lang w:eastAsia="en-AU"/>
        </w:rPr>
        <w:t xml:space="preserve"> </w:t>
      </w:r>
      <w:r w:rsidR="001844BC" w:rsidRPr="00723A62">
        <w:rPr>
          <w:szCs w:val="22"/>
          <w:lang w:eastAsia="en-AU"/>
        </w:rPr>
        <w:t>for</w:t>
      </w:r>
      <w:r w:rsidR="009F37CD">
        <w:rPr>
          <w:szCs w:val="22"/>
          <w:lang w:eastAsia="en-AU"/>
        </w:rPr>
        <w:t xml:space="preserve"> the following </w:t>
      </w:r>
      <w:r w:rsidR="00925D61" w:rsidRPr="00723A62">
        <w:rPr>
          <w:szCs w:val="22"/>
          <w:lang w:eastAsia="en-AU"/>
        </w:rPr>
        <w:t>infant formula</w:t>
      </w:r>
      <w:r w:rsidR="009F37CD">
        <w:rPr>
          <w:szCs w:val="22"/>
          <w:lang w:eastAsia="en-AU"/>
        </w:rPr>
        <w:t xml:space="preserve"> products:</w:t>
      </w:r>
    </w:p>
    <w:p w14:paraId="585AFC34" w14:textId="77777777" w:rsidR="009F37CD" w:rsidRDefault="009F37CD" w:rsidP="00B57142">
      <w:pPr>
        <w:pStyle w:val="FSBullet1"/>
        <w:rPr>
          <w:lang w:val="en-AU"/>
        </w:rPr>
      </w:pPr>
      <w:r>
        <w:rPr>
          <w:szCs w:val="22"/>
          <w:lang w:eastAsia="en-AU"/>
        </w:rPr>
        <w:t xml:space="preserve">infant formula </w:t>
      </w:r>
      <w:r>
        <w:rPr>
          <w:lang w:val="en-AU"/>
        </w:rPr>
        <w:t>(for infants aged 0-&lt;12 months)</w:t>
      </w:r>
    </w:p>
    <w:p w14:paraId="03E81D57" w14:textId="77777777" w:rsidR="009F37CD" w:rsidRDefault="009F37CD" w:rsidP="00B87FD6">
      <w:pPr>
        <w:pStyle w:val="FSBullet1"/>
        <w:rPr>
          <w:lang w:val="en-AU"/>
        </w:rPr>
      </w:pPr>
      <w:r>
        <w:rPr>
          <w:lang w:val="en-AU"/>
        </w:rPr>
        <w:t>follow-on formula (for infants aged from 6-&lt;12 months)</w:t>
      </w:r>
    </w:p>
    <w:p w14:paraId="04535CE8" w14:textId="4E1E852E" w:rsidR="009F37CD" w:rsidRPr="00C41BD6" w:rsidRDefault="009F37CD" w:rsidP="00E4363F">
      <w:pPr>
        <w:pStyle w:val="FSBullet1"/>
        <w:rPr>
          <w:lang w:val="en-AU"/>
        </w:rPr>
      </w:pPr>
      <w:r>
        <w:rPr>
          <w:lang w:val="en-AU"/>
        </w:rPr>
        <w:t>infant formula products for special dietary use (for infants aged 0-&lt;12 months).</w:t>
      </w:r>
    </w:p>
    <w:p w14:paraId="29CF9913" w14:textId="5FB826CC" w:rsidR="00060A08" w:rsidRDefault="00060A08" w:rsidP="0023455E">
      <w:pPr>
        <w:widowControl/>
        <w:rPr>
          <w:szCs w:val="22"/>
          <w:lang w:eastAsia="en-AU"/>
        </w:rPr>
      </w:pPr>
    </w:p>
    <w:p w14:paraId="1A56C206" w14:textId="2A335EFA" w:rsidR="00122011" w:rsidRPr="00060A08" w:rsidRDefault="00122011" w:rsidP="00122011">
      <w:pPr>
        <w:widowControl/>
        <w:rPr>
          <w:i/>
          <w:szCs w:val="22"/>
          <w:lang w:eastAsia="en-AU"/>
        </w:rPr>
      </w:pPr>
      <w:r w:rsidRPr="00060A08">
        <w:rPr>
          <w:i/>
          <w:szCs w:val="22"/>
          <w:lang w:eastAsia="en-AU"/>
        </w:rPr>
        <w:t>F</w:t>
      </w:r>
      <w:r w:rsidR="00570B02">
        <w:rPr>
          <w:i/>
          <w:szCs w:val="22"/>
          <w:lang w:eastAsia="en-AU"/>
        </w:rPr>
        <w:t xml:space="preserve">ormulated </w:t>
      </w:r>
      <w:r w:rsidRPr="00060A08">
        <w:rPr>
          <w:i/>
          <w:szCs w:val="22"/>
          <w:lang w:eastAsia="en-AU"/>
        </w:rPr>
        <w:t>S</w:t>
      </w:r>
      <w:r w:rsidR="00570B02">
        <w:rPr>
          <w:i/>
          <w:szCs w:val="22"/>
          <w:lang w:eastAsia="en-AU"/>
        </w:rPr>
        <w:t xml:space="preserve">upplementary </w:t>
      </w:r>
      <w:r w:rsidRPr="00060A08">
        <w:rPr>
          <w:i/>
          <w:szCs w:val="22"/>
          <w:lang w:eastAsia="en-AU"/>
        </w:rPr>
        <w:t>F</w:t>
      </w:r>
      <w:r w:rsidR="00570B02">
        <w:rPr>
          <w:i/>
          <w:szCs w:val="22"/>
          <w:lang w:eastAsia="en-AU"/>
        </w:rPr>
        <w:t xml:space="preserve">ood for </w:t>
      </w:r>
      <w:r w:rsidRPr="00060A08">
        <w:rPr>
          <w:i/>
          <w:szCs w:val="22"/>
          <w:lang w:eastAsia="en-AU"/>
        </w:rPr>
        <w:t>Y</w:t>
      </w:r>
      <w:r w:rsidR="00570B02">
        <w:rPr>
          <w:i/>
          <w:szCs w:val="22"/>
          <w:lang w:eastAsia="en-AU"/>
        </w:rPr>
        <w:t xml:space="preserve">oung </w:t>
      </w:r>
      <w:r w:rsidRPr="00060A08">
        <w:rPr>
          <w:i/>
          <w:szCs w:val="22"/>
          <w:lang w:eastAsia="en-AU"/>
        </w:rPr>
        <w:t>C</w:t>
      </w:r>
      <w:r w:rsidR="00570B02">
        <w:rPr>
          <w:i/>
          <w:szCs w:val="22"/>
          <w:lang w:eastAsia="en-AU"/>
        </w:rPr>
        <w:t>hildren</w:t>
      </w:r>
    </w:p>
    <w:p w14:paraId="7498C370" w14:textId="77777777" w:rsidR="00060A08" w:rsidRDefault="00060A08" w:rsidP="00060A08">
      <w:pPr>
        <w:widowControl/>
        <w:rPr>
          <w:szCs w:val="22"/>
          <w:lang w:eastAsia="en-AU"/>
        </w:rPr>
      </w:pPr>
    </w:p>
    <w:p w14:paraId="4EFC25E8" w14:textId="3A214F88" w:rsidR="00060A08" w:rsidRDefault="00C34DBE" w:rsidP="00060A08">
      <w:pPr>
        <w:widowControl/>
        <w:rPr>
          <w:szCs w:val="22"/>
          <w:lang w:eastAsia="en-AU"/>
        </w:rPr>
      </w:pPr>
      <w:r>
        <w:rPr>
          <w:szCs w:val="22"/>
          <w:lang w:eastAsia="en-AU"/>
        </w:rPr>
        <w:t>Specific c</w:t>
      </w:r>
      <w:r w:rsidR="00060A08">
        <w:rPr>
          <w:szCs w:val="22"/>
          <w:lang w:eastAsia="en-AU"/>
        </w:rPr>
        <w:t>ompositional and labelling requirements for FSFYC (for children aged 1</w:t>
      </w:r>
      <w:r w:rsidR="00060A08" w:rsidRPr="006070E6">
        <w:rPr>
          <w:szCs w:val="22"/>
          <w:lang w:eastAsia="en-AU"/>
        </w:rPr>
        <w:t>-&lt;4</w:t>
      </w:r>
      <w:r w:rsidR="00060A08">
        <w:rPr>
          <w:szCs w:val="22"/>
          <w:lang w:eastAsia="en-AU"/>
        </w:rPr>
        <w:t xml:space="preserve"> years) are </w:t>
      </w:r>
      <w:r w:rsidR="00122011">
        <w:rPr>
          <w:szCs w:val="22"/>
          <w:lang w:eastAsia="en-AU"/>
        </w:rPr>
        <w:t xml:space="preserve">set out in </w:t>
      </w:r>
      <w:r w:rsidR="008B2C1E">
        <w:rPr>
          <w:szCs w:val="22"/>
          <w:lang w:eastAsia="en-AU"/>
        </w:rPr>
        <w:t xml:space="preserve">Division 4 of </w:t>
      </w:r>
      <w:r w:rsidR="00060A08" w:rsidRPr="00723A62">
        <w:rPr>
          <w:szCs w:val="22"/>
          <w:lang w:eastAsia="en-AU"/>
        </w:rPr>
        <w:t>Standard 2.9.3</w:t>
      </w:r>
      <w:r w:rsidR="008B2C1E">
        <w:rPr>
          <w:szCs w:val="22"/>
          <w:lang w:eastAsia="en-AU"/>
        </w:rPr>
        <w:t xml:space="preserve"> and in </w:t>
      </w:r>
      <w:r w:rsidR="00060A08">
        <w:rPr>
          <w:szCs w:val="22"/>
          <w:lang w:eastAsia="en-AU"/>
        </w:rPr>
        <w:t>Schedule</w:t>
      </w:r>
      <w:r w:rsidR="008B2C1E">
        <w:rPr>
          <w:szCs w:val="22"/>
          <w:lang w:eastAsia="en-AU"/>
        </w:rPr>
        <w:t>s</w:t>
      </w:r>
      <w:r w:rsidR="00060A08" w:rsidRPr="00723A62">
        <w:rPr>
          <w:szCs w:val="22"/>
          <w:lang w:eastAsia="en-AU"/>
        </w:rPr>
        <w:t xml:space="preserve"> 17</w:t>
      </w:r>
      <w:r w:rsidR="008B2C1E">
        <w:rPr>
          <w:szCs w:val="22"/>
          <w:lang w:eastAsia="en-AU"/>
        </w:rPr>
        <w:t xml:space="preserve"> </w:t>
      </w:r>
      <w:r w:rsidR="00060A08" w:rsidRPr="00723A62">
        <w:rPr>
          <w:szCs w:val="22"/>
          <w:lang w:eastAsia="en-AU"/>
        </w:rPr>
        <w:t>and 29</w:t>
      </w:r>
      <w:r w:rsidR="00060A08">
        <w:rPr>
          <w:szCs w:val="22"/>
          <w:lang w:eastAsia="en-AU"/>
        </w:rPr>
        <w:t xml:space="preserve">. </w:t>
      </w:r>
    </w:p>
    <w:p w14:paraId="29F4DF66" w14:textId="118F9241" w:rsidR="002B33A3" w:rsidRDefault="002B33A3" w:rsidP="0023455E">
      <w:pPr>
        <w:widowControl/>
        <w:rPr>
          <w:szCs w:val="22"/>
          <w:lang w:eastAsia="en-AU"/>
        </w:rPr>
      </w:pPr>
    </w:p>
    <w:p w14:paraId="639710CB" w14:textId="77777777" w:rsidR="004B60D1" w:rsidRDefault="004B60D1" w:rsidP="004B60D1">
      <w:pPr>
        <w:widowControl/>
        <w:rPr>
          <w:i/>
          <w:szCs w:val="22"/>
          <w:lang w:eastAsia="en-AU"/>
        </w:rPr>
      </w:pPr>
      <w:r>
        <w:rPr>
          <w:i/>
          <w:szCs w:val="22"/>
          <w:lang w:eastAsia="en-AU"/>
        </w:rPr>
        <w:t>Labelling requirements</w:t>
      </w:r>
    </w:p>
    <w:p w14:paraId="356C167C" w14:textId="77777777" w:rsidR="004B60D1" w:rsidRDefault="004B60D1" w:rsidP="004B60D1">
      <w:pPr>
        <w:widowControl/>
        <w:rPr>
          <w:i/>
          <w:szCs w:val="22"/>
          <w:lang w:eastAsia="en-AU"/>
        </w:rPr>
      </w:pPr>
    </w:p>
    <w:p w14:paraId="0EA76B9E" w14:textId="77777777" w:rsidR="004B60D1" w:rsidRDefault="004B60D1" w:rsidP="004B60D1">
      <w:pPr>
        <w:rPr>
          <w:i/>
          <w:szCs w:val="22"/>
          <w:lang w:eastAsia="en-AU"/>
        </w:rPr>
      </w:pPr>
      <w:r>
        <w:t>Paragraph 1.1.1—10(8) requires that food for sale must comply with all relevant labelling requirements in the Code for that food.</w:t>
      </w:r>
      <w:r>
        <w:rPr>
          <w:szCs w:val="22"/>
          <w:lang w:eastAsia="en-AU"/>
        </w:rPr>
        <w:t xml:space="preserve"> In addition to specific labelling requirements in Standards 2.9.1 and 2.9.3 (Division 4), the following general labelling requirements also apply. </w:t>
      </w:r>
    </w:p>
    <w:p w14:paraId="47D83456" w14:textId="77777777" w:rsidR="004B60D1" w:rsidRDefault="004B60D1" w:rsidP="004B60D1">
      <w:pPr>
        <w:widowControl/>
        <w:rPr>
          <w:i/>
          <w:szCs w:val="22"/>
          <w:lang w:eastAsia="en-AU"/>
        </w:rPr>
      </w:pPr>
    </w:p>
    <w:p w14:paraId="4C5C99F6" w14:textId="0E0C1F1A" w:rsidR="004B60D1" w:rsidRDefault="004B60D1" w:rsidP="004B60D1">
      <w:r>
        <w:t>Standard 1.2.4 generally requires food products to be labelled with a statement of ingredients.</w:t>
      </w:r>
    </w:p>
    <w:p w14:paraId="178B6097" w14:textId="77777777" w:rsidR="004B60D1" w:rsidRDefault="004B60D1" w:rsidP="004B60D1"/>
    <w:p w14:paraId="59053BBF" w14:textId="022EBE69" w:rsidR="004B60D1" w:rsidRDefault="004B60D1" w:rsidP="004B60D1">
      <w:r>
        <w:t xml:space="preserve">Standard 1.2.8 generally requires food products to be labelled with nutrition information. This Standard does not apply to infant formula products (specific nutrition labelling requirements are set out in Standard 2.9.1). </w:t>
      </w:r>
    </w:p>
    <w:p w14:paraId="38D205C0" w14:textId="77777777" w:rsidR="004B60D1" w:rsidRDefault="004B60D1" w:rsidP="004B60D1"/>
    <w:p w14:paraId="6C3357C9" w14:textId="564B752C" w:rsidR="004B60D1" w:rsidRDefault="004B60D1" w:rsidP="004B60D1">
      <w:r>
        <w:t>Standard 1.2.7 set</w:t>
      </w:r>
      <w:r w:rsidR="008B2C1E">
        <w:t>s</w:t>
      </w:r>
      <w:r>
        <w:t xml:space="preserve"> out the requirements and conditions for voluntary nutrition, health and related claims made about food</w:t>
      </w:r>
      <w:r w:rsidR="00570B02">
        <w:t xml:space="preserve"> </w:t>
      </w:r>
      <w:r w:rsidR="00570B02" w:rsidRPr="00543A2E">
        <w:t>(FSFYC only)</w:t>
      </w:r>
      <w:r w:rsidRPr="00543A2E">
        <w:t xml:space="preserve">. </w:t>
      </w:r>
      <w:r w:rsidR="00BB3345" w:rsidRPr="00543A2E">
        <w:t xml:space="preserve">The Standard prohibits claims to be made about an infant formula product. </w:t>
      </w:r>
    </w:p>
    <w:p w14:paraId="08BBAD56" w14:textId="77777777" w:rsidR="004B60D1" w:rsidRDefault="004B60D1" w:rsidP="004B60D1"/>
    <w:p w14:paraId="22F584B3" w14:textId="77777777" w:rsidR="004B60D1" w:rsidRDefault="004B60D1" w:rsidP="004B60D1">
      <w:r>
        <w:t xml:space="preserve">Section 1.5.2—4 sets out labelling requirements for </w:t>
      </w:r>
      <w:r w:rsidRPr="003029C9">
        <w:t>foods</w:t>
      </w:r>
      <w:r>
        <w:t xml:space="preserve"> for sale</w:t>
      </w:r>
      <w:r w:rsidRPr="003029C9">
        <w:t xml:space="preserve"> </w:t>
      </w:r>
      <w:r>
        <w:t xml:space="preserve">that consist of or have as an ingredient, food that is a </w:t>
      </w:r>
      <w:r w:rsidRPr="00C34DBE">
        <w:rPr>
          <w:i/>
        </w:rPr>
        <w:t>genetically modified food</w:t>
      </w:r>
      <w:r>
        <w:t>.</w:t>
      </w:r>
      <w:r w:rsidRPr="003029C9">
        <w:t xml:space="preserve"> </w:t>
      </w:r>
      <w:r>
        <w:t xml:space="preserve">A </w:t>
      </w:r>
      <w:r w:rsidRPr="00B34599">
        <w:rPr>
          <w:i/>
        </w:rPr>
        <w:t>genetically modified food</w:t>
      </w:r>
      <w:r>
        <w:t xml:space="preserve"> is defined in subsection 1.5.2—4(5) as a </w:t>
      </w:r>
      <w:r w:rsidRPr="00FD1F1B">
        <w:rPr>
          <w:i/>
        </w:rPr>
        <w:t>food produced using gene technology</w:t>
      </w:r>
      <w:r>
        <w:t xml:space="preserve"> that contains novel DNA or novel protein or is listed in section S26—3. </w:t>
      </w:r>
    </w:p>
    <w:p w14:paraId="50DC3F56" w14:textId="77777777" w:rsidR="007C5797" w:rsidRDefault="007C5797" w:rsidP="0023455E">
      <w:pPr>
        <w:widowControl/>
        <w:rPr>
          <w:i/>
          <w:szCs w:val="22"/>
          <w:lang w:eastAsia="en-AU"/>
        </w:rPr>
      </w:pPr>
    </w:p>
    <w:p w14:paraId="4BEA7399" w14:textId="009AE1FC" w:rsidR="00E31C9D" w:rsidRDefault="00E31C9D" w:rsidP="006B00B4">
      <w:pPr>
        <w:widowControl/>
        <w:rPr>
          <w:i/>
          <w:szCs w:val="22"/>
          <w:lang w:eastAsia="en-AU"/>
        </w:rPr>
      </w:pPr>
      <w:r w:rsidRPr="00E31C9D">
        <w:rPr>
          <w:i/>
          <w:szCs w:val="22"/>
          <w:lang w:eastAsia="en-AU"/>
        </w:rPr>
        <w:t>Identity and purity</w:t>
      </w:r>
    </w:p>
    <w:p w14:paraId="3FA18EC4" w14:textId="09BE3B5A" w:rsidR="009F32D9" w:rsidRDefault="009F32D9" w:rsidP="006B00B4">
      <w:pPr>
        <w:widowControl/>
      </w:pPr>
    </w:p>
    <w:p w14:paraId="38233A23" w14:textId="4B137745" w:rsidR="009F32D9" w:rsidRDefault="009F32D9" w:rsidP="006B00B4">
      <w:pPr>
        <w:widowControl/>
        <w:rPr>
          <w:rFonts w:ascii="Calibri" w:hAnsi="Calibri"/>
          <w:szCs w:val="22"/>
          <w:lang w:bidi="ar-SA"/>
        </w:rPr>
      </w:pPr>
      <w:r>
        <w:t xml:space="preserve">Paragraph 1.1.1—15(1)(a) requires </w:t>
      </w:r>
      <w:r w:rsidR="00AB585F">
        <w:t xml:space="preserve">a substance that is </w:t>
      </w:r>
      <w:r w:rsidRPr="00AB585F">
        <w:rPr>
          <w:i/>
        </w:rPr>
        <w:t>used as a nutritive substance</w:t>
      </w:r>
      <w:r>
        <w:t xml:space="preserve"> to comply with any relevant identity and purity specifications listed in Schedule 3. </w:t>
      </w:r>
    </w:p>
    <w:p w14:paraId="26F1D1E1" w14:textId="113590E5" w:rsidR="00CE7CC6" w:rsidRDefault="00CE7CC6" w:rsidP="00CE7CC6">
      <w:pPr>
        <w:pStyle w:val="Heading4"/>
      </w:pPr>
      <w:r>
        <w:t>1.3.</w:t>
      </w:r>
      <w:r w:rsidR="00C457E8">
        <w:t>1</w:t>
      </w:r>
      <w:r>
        <w:t>.</w:t>
      </w:r>
      <w:r w:rsidR="00C457E8">
        <w:t>1</w:t>
      </w:r>
      <w:r>
        <w:tab/>
      </w:r>
      <w:r w:rsidR="00C457E8">
        <w:t>Current</w:t>
      </w:r>
      <w:r w:rsidR="00B13963">
        <w:t xml:space="preserve"> oligosaccharide permissions</w:t>
      </w:r>
    </w:p>
    <w:p w14:paraId="0A3FFF6C" w14:textId="429F47D1" w:rsidR="00BD75C8" w:rsidRDefault="00B13963" w:rsidP="00CE7CC6">
      <w:pPr>
        <w:widowControl/>
        <w:rPr>
          <w:szCs w:val="22"/>
        </w:rPr>
      </w:pPr>
      <w:r>
        <w:rPr>
          <w:szCs w:val="22"/>
        </w:rPr>
        <w:t>The Code currently</w:t>
      </w:r>
      <w:r w:rsidR="00BE764C">
        <w:rPr>
          <w:szCs w:val="22"/>
        </w:rPr>
        <w:t xml:space="preserve"> permits</w:t>
      </w:r>
      <w:r w:rsidR="003325F7">
        <w:rPr>
          <w:szCs w:val="22"/>
        </w:rPr>
        <w:t xml:space="preserve"> </w:t>
      </w:r>
      <w:r w:rsidR="00CE7CC6">
        <w:rPr>
          <w:szCs w:val="22"/>
        </w:rPr>
        <w:t>galacto-oligosaccharides</w:t>
      </w:r>
      <w:r w:rsidR="00CE7CC6" w:rsidRPr="00844935">
        <w:rPr>
          <w:szCs w:val="22"/>
        </w:rPr>
        <w:t xml:space="preserve"> (GOS) and inulin-type fructans (ITF)</w:t>
      </w:r>
      <w:r w:rsidR="000E79E6">
        <w:rPr>
          <w:szCs w:val="22"/>
        </w:rPr>
        <w:t xml:space="preserve"> (</w:t>
      </w:r>
      <w:r w:rsidR="00BE764C">
        <w:rPr>
          <w:szCs w:val="22"/>
        </w:rPr>
        <w:t>section 1.1.2</w:t>
      </w:r>
      <w:r w:rsidR="00BE764C" w:rsidRPr="00844935">
        <w:rPr>
          <w:szCs w:val="22"/>
        </w:rPr>
        <w:t>—</w:t>
      </w:r>
      <w:r w:rsidR="00BE764C">
        <w:rPr>
          <w:szCs w:val="22"/>
        </w:rPr>
        <w:t xml:space="preserve">2) </w:t>
      </w:r>
      <w:r w:rsidR="002F570B">
        <w:rPr>
          <w:szCs w:val="22"/>
        </w:rPr>
        <w:t>to be added to</w:t>
      </w:r>
      <w:r w:rsidR="00CE7CC6" w:rsidRPr="00844935">
        <w:rPr>
          <w:szCs w:val="22"/>
        </w:rPr>
        <w:t xml:space="preserve"> infant formula products and FSFYC</w:t>
      </w:r>
      <w:r w:rsidR="00CE7CC6">
        <w:rPr>
          <w:szCs w:val="22"/>
        </w:rPr>
        <w:t xml:space="preserve"> </w:t>
      </w:r>
      <w:r w:rsidR="00CE7CC6" w:rsidRPr="00844935">
        <w:rPr>
          <w:szCs w:val="22"/>
        </w:rPr>
        <w:t>(</w:t>
      </w:r>
      <w:r w:rsidR="005F1303">
        <w:rPr>
          <w:szCs w:val="22"/>
        </w:rPr>
        <w:t xml:space="preserve">sections </w:t>
      </w:r>
      <w:r w:rsidR="003325F7">
        <w:rPr>
          <w:szCs w:val="22"/>
        </w:rPr>
        <w:t>2.9.1—7 and 2.9.3—7</w:t>
      </w:r>
      <w:r w:rsidR="00CE7CC6" w:rsidRPr="00844935">
        <w:rPr>
          <w:szCs w:val="22"/>
        </w:rPr>
        <w:t>)</w:t>
      </w:r>
      <w:r w:rsidR="0015611C">
        <w:rPr>
          <w:szCs w:val="22"/>
        </w:rPr>
        <w:t>. These are also permitted in</w:t>
      </w:r>
      <w:r>
        <w:rPr>
          <w:szCs w:val="22"/>
        </w:rPr>
        <w:t xml:space="preserve"> general foods</w:t>
      </w:r>
      <w:r w:rsidR="00CF3230">
        <w:rPr>
          <w:szCs w:val="22"/>
        </w:rPr>
        <w:t xml:space="preserve"> by their </w:t>
      </w:r>
      <w:r w:rsidR="005F1303" w:rsidRPr="005F1303">
        <w:rPr>
          <w:szCs w:val="22"/>
        </w:rPr>
        <w:t>specific exclusion</w:t>
      </w:r>
      <w:r w:rsidR="00E44541" w:rsidRPr="005F1303">
        <w:rPr>
          <w:szCs w:val="22"/>
        </w:rPr>
        <w:t xml:space="preserve"> </w:t>
      </w:r>
      <w:r w:rsidR="00F525F7">
        <w:rPr>
          <w:szCs w:val="22"/>
        </w:rPr>
        <w:t>from</w:t>
      </w:r>
      <w:r w:rsidR="00E44541" w:rsidRPr="005F1303">
        <w:rPr>
          <w:szCs w:val="22"/>
        </w:rPr>
        <w:t xml:space="preserve"> the definition</w:t>
      </w:r>
      <w:r w:rsidR="005F1303" w:rsidRPr="005F1303">
        <w:rPr>
          <w:szCs w:val="22"/>
        </w:rPr>
        <w:t xml:space="preserve"> of</w:t>
      </w:r>
      <w:r w:rsidR="00AF69A9" w:rsidRPr="005F1303">
        <w:rPr>
          <w:szCs w:val="22"/>
        </w:rPr>
        <w:t xml:space="preserve"> </w:t>
      </w:r>
      <w:r w:rsidR="00AF69A9" w:rsidRPr="00E729C2">
        <w:rPr>
          <w:i/>
          <w:szCs w:val="22"/>
        </w:rPr>
        <w:t>used as a</w:t>
      </w:r>
      <w:r w:rsidR="004F5F0A" w:rsidRPr="00E729C2">
        <w:rPr>
          <w:i/>
          <w:szCs w:val="22"/>
        </w:rPr>
        <w:t xml:space="preserve"> nutritive substance</w:t>
      </w:r>
      <w:r w:rsidR="004F5F0A">
        <w:rPr>
          <w:szCs w:val="22"/>
        </w:rPr>
        <w:t xml:space="preserve"> </w:t>
      </w:r>
      <w:r w:rsidR="00CF3230">
        <w:rPr>
          <w:szCs w:val="22"/>
        </w:rPr>
        <w:t xml:space="preserve">in </w:t>
      </w:r>
      <w:r w:rsidR="00E44541" w:rsidRPr="005F1303">
        <w:rPr>
          <w:szCs w:val="22"/>
        </w:rPr>
        <w:t>section 1.1.2—</w:t>
      </w:r>
      <w:r w:rsidR="005F1303" w:rsidRPr="005F1303">
        <w:rPr>
          <w:szCs w:val="22"/>
        </w:rPr>
        <w:t xml:space="preserve">12 and general provisions in </w:t>
      </w:r>
      <w:r w:rsidR="00CF3230">
        <w:rPr>
          <w:szCs w:val="22"/>
        </w:rPr>
        <w:t xml:space="preserve">section </w:t>
      </w:r>
      <w:r w:rsidR="005F1303" w:rsidRPr="005F1303">
        <w:rPr>
          <w:szCs w:val="22"/>
        </w:rPr>
        <w:t>1.1.1—10</w:t>
      </w:r>
      <w:r w:rsidR="002008B4" w:rsidRPr="005F1303">
        <w:rPr>
          <w:szCs w:val="22"/>
        </w:rPr>
        <w:t>.</w:t>
      </w:r>
      <w:r>
        <w:rPr>
          <w:szCs w:val="22"/>
        </w:rPr>
        <w:t xml:space="preserve"> </w:t>
      </w:r>
      <w:r w:rsidRPr="005F1303">
        <w:rPr>
          <w:szCs w:val="22"/>
        </w:rPr>
        <w:t>ITF</w:t>
      </w:r>
      <w:r>
        <w:rPr>
          <w:szCs w:val="22"/>
        </w:rPr>
        <w:t xml:space="preserve"> includes substances such as fructo-oligosaccharides (FOS), short-chain FOS (scFOS), oligofructose and inulin</w:t>
      </w:r>
      <w:r w:rsidR="00AA1F2E">
        <w:rPr>
          <w:szCs w:val="22"/>
        </w:rPr>
        <w:t xml:space="preserve"> (FSANZ 2013)</w:t>
      </w:r>
      <w:r>
        <w:rPr>
          <w:szCs w:val="22"/>
        </w:rPr>
        <w:t>.</w:t>
      </w:r>
      <w:r w:rsidR="00BA7DEC">
        <w:rPr>
          <w:szCs w:val="22"/>
        </w:rPr>
        <w:t xml:space="preserve"> </w:t>
      </w:r>
      <w:r w:rsidR="00730E1E">
        <w:rPr>
          <w:szCs w:val="22"/>
        </w:rPr>
        <w:t>Unlike 2</w:t>
      </w:r>
      <w:r w:rsidR="000A17BB">
        <w:rPr>
          <w:szCs w:val="22"/>
        </w:rPr>
        <w:t>′</w:t>
      </w:r>
      <w:r w:rsidR="00730E1E">
        <w:rPr>
          <w:szCs w:val="22"/>
        </w:rPr>
        <w:t xml:space="preserve">-FL and LNnT, </w:t>
      </w:r>
      <w:r w:rsidR="00BE764C">
        <w:rPr>
          <w:szCs w:val="22"/>
        </w:rPr>
        <w:t>ITF</w:t>
      </w:r>
      <w:r w:rsidR="00DB13BC">
        <w:rPr>
          <w:szCs w:val="22"/>
        </w:rPr>
        <w:t xml:space="preserve"> are</w:t>
      </w:r>
      <w:r w:rsidR="00730E1E">
        <w:rPr>
          <w:szCs w:val="22"/>
        </w:rPr>
        <w:t xml:space="preserve"> not present in </w:t>
      </w:r>
      <w:r w:rsidR="00570B02">
        <w:rPr>
          <w:szCs w:val="22"/>
        </w:rPr>
        <w:t>human</w:t>
      </w:r>
      <w:r w:rsidR="00730E1E">
        <w:rPr>
          <w:szCs w:val="22"/>
        </w:rPr>
        <w:t xml:space="preserve"> milk and GOS is </w:t>
      </w:r>
      <w:r w:rsidR="00DB13BC">
        <w:rPr>
          <w:szCs w:val="22"/>
        </w:rPr>
        <w:t>found only in trace amounts</w:t>
      </w:r>
      <w:r w:rsidR="00AA1F2E">
        <w:rPr>
          <w:szCs w:val="22"/>
        </w:rPr>
        <w:t xml:space="preserve"> (FSANZ 2008)</w:t>
      </w:r>
      <w:r w:rsidR="00730E1E">
        <w:rPr>
          <w:szCs w:val="22"/>
        </w:rPr>
        <w:t>.</w:t>
      </w:r>
      <w:r w:rsidR="00CE7CC6" w:rsidRPr="00844935">
        <w:rPr>
          <w:szCs w:val="22"/>
        </w:rPr>
        <w:t xml:space="preserve"> </w:t>
      </w:r>
    </w:p>
    <w:p w14:paraId="163C6770" w14:textId="77777777" w:rsidR="00BD75C8" w:rsidRDefault="00BD75C8" w:rsidP="00CE7CC6">
      <w:pPr>
        <w:widowControl/>
        <w:rPr>
          <w:szCs w:val="22"/>
        </w:rPr>
      </w:pPr>
    </w:p>
    <w:p w14:paraId="1A32C381" w14:textId="6B149950" w:rsidR="00C457E8" w:rsidRDefault="00BD75C8" w:rsidP="00CE7CC6">
      <w:pPr>
        <w:widowControl/>
        <w:rPr>
          <w:szCs w:val="22"/>
        </w:rPr>
      </w:pPr>
      <w:r w:rsidRPr="00BD75C8">
        <w:rPr>
          <w:szCs w:val="22"/>
        </w:rPr>
        <w:t xml:space="preserve">For infant formula products, the Code </w:t>
      </w:r>
      <w:r w:rsidR="003436E4">
        <w:rPr>
          <w:szCs w:val="22"/>
        </w:rPr>
        <w:t>permits</w:t>
      </w:r>
      <w:r w:rsidRPr="00BD75C8">
        <w:rPr>
          <w:szCs w:val="22"/>
        </w:rPr>
        <w:t xml:space="preserve"> the addition of IT</w:t>
      </w:r>
      <w:r w:rsidR="00D726CA">
        <w:rPr>
          <w:szCs w:val="22"/>
        </w:rPr>
        <w:t xml:space="preserve">F alone </w:t>
      </w:r>
      <w:r w:rsidR="0015631A">
        <w:rPr>
          <w:szCs w:val="22"/>
        </w:rPr>
        <w:t>(</w:t>
      </w:r>
      <w:r w:rsidR="00D726CA">
        <w:rPr>
          <w:szCs w:val="22"/>
        </w:rPr>
        <w:t xml:space="preserve">up to </w:t>
      </w:r>
      <w:r w:rsidRPr="00BD75C8">
        <w:rPr>
          <w:szCs w:val="22"/>
        </w:rPr>
        <w:t>110 mg/100 kJ</w:t>
      </w:r>
      <w:r w:rsidR="0015631A">
        <w:rPr>
          <w:szCs w:val="22"/>
        </w:rPr>
        <w:t>),</w:t>
      </w:r>
      <w:r w:rsidRPr="00BD75C8">
        <w:rPr>
          <w:szCs w:val="22"/>
        </w:rPr>
        <w:t xml:space="preserve"> GOS alone </w:t>
      </w:r>
      <w:r w:rsidR="0015631A">
        <w:rPr>
          <w:szCs w:val="22"/>
        </w:rPr>
        <w:t>(</w:t>
      </w:r>
      <w:r w:rsidRPr="00BD75C8">
        <w:rPr>
          <w:szCs w:val="22"/>
        </w:rPr>
        <w:t>up to 290 mg/100 kJ</w:t>
      </w:r>
      <w:r w:rsidR="0015631A">
        <w:rPr>
          <w:szCs w:val="22"/>
        </w:rPr>
        <w:t xml:space="preserve">), </w:t>
      </w:r>
      <w:r w:rsidRPr="00BD75C8">
        <w:rPr>
          <w:szCs w:val="22"/>
        </w:rPr>
        <w:t xml:space="preserve">or </w:t>
      </w:r>
      <w:r w:rsidR="003C5EDC" w:rsidRPr="00BD75C8">
        <w:rPr>
          <w:szCs w:val="22"/>
        </w:rPr>
        <w:t>ITF</w:t>
      </w:r>
      <w:r w:rsidR="0015631A">
        <w:rPr>
          <w:szCs w:val="22"/>
        </w:rPr>
        <w:t xml:space="preserve"> and GOS combined (</w:t>
      </w:r>
      <w:r w:rsidRPr="00BD75C8">
        <w:rPr>
          <w:szCs w:val="22"/>
        </w:rPr>
        <w:t>up to 290 mg/100 kJ</w:t>
      </w:r>
      <w:r w:rsidR="0015631A">
        <w:rPr>
          <w:szCs w:val="22"/>
        </w:rPr>
        <w:t xml:space="preserve">, with </w:t>
      </w:r>
      <w:r w:rsidRPr="00BD75C8">
        <w:rPr>
          <w:szCs w:val="22"/>
        </w:rPr>
        <w:t>no more than 110 mg/kJ of ITF</w:t>
      </w:r>
      <w:r w:rsidR="0015631A">
        <w:rPr>
          <w:szCs w:val="22"/>
        </w:rPr>
        <w:t>)</w:t>
      </w:r>
      <w:r w:rsidR="003C5EDC" w:rsidRPr="00BD75C8">
        <w:rPr>
          <w:szCs w:val="22"/>
        </w:rPr>
        <w:t>.</w:t>
      </w:r>
      <w:r w:rsidR="00C457E8">
        <w:rPr>
          <w:szCs w:val="22"/>
        </w:rPr>
        <w:t xml:space="preserve"> </w:t>
      </w:r>
      <w:r w:rsidR="00890455" w:rsidRPr="00611EFC">
        <w:rPr>
          <w:szCs w:val="22"/>
        </w:rPr>
        <w:t>These amounts were converted</w:t>
      </w:r>
      <w:r w:rsidR="00510C95">
        <w:rPr>
          <w:szCs w:val="22"/>
        </w:rPr>
        <w:t xml:space="preserve"> </w:t>
      </w:r>
      <w:r w:rsidR="002F1D8D" w:rsidRPr="00611EFC">
        <w:rPr>
          <w:szCs w:val="22"/>
        </w:rPr>
        <w:t>to the respective mg/100 kJ units</w:t>
      </w:r>
      <w:r w:rsidR="002F1D8D">
        <w:rPr>
          <w:szCs w:val="22"/>
        </w:rPr>
        <w:t xml:space="preserve"> </w:t>
      </w:r>
      <w:r w:rsidR="00510C95">
        <w:rPr>
          <w:szCs w:val="22"/>
        </w:rPr>
        <w:t xml:space="preserve">for Code purposes from 8 g/L of </w:t>
      </w:r>
      <w:r w:rsidR="00890455" w:rsidRPr="00611EFC">
        <w:rPr>
          <w:szCs w:val="22"/>
        </w:rPr>
        <w:t>GOS</w:t>
      </w:r>
      <w:r w:rsidR="00510C95">
        <w:rPr>
          <w:szCs w:val="22"/>
        </w:rPr>
        <w:t xml:space="preserve"> (alone or combined with ITF) and 3 g/L of</w:t>
      </w:r>
      <w:r w:rsidR="00890455" w:rsidRPr="00611EFC">
        <w:rPr>
          <w:szCs w:val="22"/>
        </w:rPr>
        <w:t xml:space="preserve"> ITF. </w:t>
      </w:r>
      <w:r w:rsidRPr="00611EFC">
        <w:rPr>
          <w:szCs w:val="22"/>
        </w:rPr>
        <w:t>For FSFYC, the total amount of ITF or GOS must not be more than 1.6 g/</w:t>
      </w:r>
      <w:r w:rsidR="002F570B" w:rsidRPr="00611EFC">
        <w:rPr>
          <w:szCs w:val="22"/>
        </w:rPr>
        <w:t>serving</w:t>
      </w:r>
      <w:r w:rsidR="007B65BB">
        <w:rPr>
          <w:szCs w:val="22"/>
        </w:rPr>
        <w:t xml:space="preserve"> (</w:t>
      </w:r>
      <w:r w:rsidR="00890455" w:rsidRPr="00611EFC">
        <w:rPr>
          <w:szCs w:val="22"/>
        </w:rPr>
        <w:t>converted from 8 g/L)</w:t>
      </w:r>
      <w:r w:rsidR="002F570B" w:rsidRPr="00611EFC">
        <w:rPr>
          <w:szCs w:val="22"/>
        </w:rPr>
        <w:t xml:space="preserve">. </w:t>
      </w:r>
      <w:r w:rsidR="0015631A" w:rsidRPr="00611EFC">
        <w:rPr>
          <w:szCs w:val="22"/>
        </w:rPr>
        <w:t xml:space="preserve">The permitted maximum amounts take into account both the added and naturally occurring substances. </w:t>
      </w:r>
    </w:p>
    <w:p w14:paraId="2C806054" w14:textId="77777777" w:rsidR="00C457E8" w:rsidRDefault="00C457E8" w:rsidP="00CE7CC6">
      <w:pPr>
        <w:widowControl/>
        <w:rPr>
          <w:szCs w:val="22"/>
        </w:rPr>
      </w:pPr>
    </w:p>
    <w:p w14:paraId="3DB88384" w14:textId="65934B6D" w:rsidR="00CE7CC6" w:rsidRDefault="0005769C" w:rsidP="00CE7CC6">
      <w:pPr>
        <w:widowControl/>
        <w:rPr>
          <w:szCs w:val="22"/>
        </w:rPr>
      </w:pPr>
      <w:r>
        <w:rPr>
          <w:szCs w:val="22"/>
        </w:rPr>
        <w:t>The</w:t>
      </w:r>
      <w:r w:rsidR="00B13963">
        <w:rPr>
          <w:szCs w:val="22"/>
        </w:rPr>
        <w:t>se</w:t>
      </w:r>
      <w:r>
        <w:rPr>
          <w:szCs w:val="22"/>
        </w:rPr>
        <w:t xml:space="preserve"> permissions</w:t>
      </w:r>
      <w:r w:rsidRPr="00844935">
        <w:rPr>
          <w:szCs w:val="22"/>
        </w:rPr>
        <w:t xml:space="preserve"> were gazetted under </w:t>
      </w:r>
      <w:hyperlink r:id="rId27" w:history="1">
        <w:r w:rsidR="00B6293B">
          <w:rPr>
            <w:rStyle w:val="Hyperlink"/>
            <w:szCs w:val="22"/>
          </w:rPr>
          <w:t xml:space="preserve">Proposal P306 </w:t>
        </w:r>
        <w:r w:rsidR="00B6293B" w:rsidRPr="00B6293B">
          <w:rPr>
            <w:rStyle w:val="Hyperlink"/>
            <w:szCs w:val="22"/>
          </w:rPr>
          <w:t>–</w:t>
        </w:r>
        <w:r w:rsidR="00B6293B">
          <w:rPr>
            <w:rStyle w:val="Hyperlink"/>
            <w:szCs w:val="22"/>
          </w:rPr>
          <w:t xml:space="preserve"> </w:t>
        </w:r>
        <w:r w:rsidRPr="005154B0">
          <w:rPr>
            <w:rStyle w:val="Hyperlink"/>
            <w:szCs w:val="22"/>
          </w:rPr>
          <w:t>Addition of inulin/FOS &amp; GOS to food</w:t>
        </w:r>
      </w:hyperlink>
      <w:r w:rsidRPr="00844935">
        <w:rPr>
          <w:szCs w:val="22"/>
        </w:rPr>
        <w:t xml:space="preserve"> and </w:t>
      </w:r>
      <w:hyperlink r:id="rId28" w:history="1">
        <w:r w:rsidRPr="005154B0">
          <w:rPr>
            <w:rStyle w:val="Hyperlink"/>
            <w:szCs w:val="22"/>
          </w:rPr>
          <w:t>Application A1055 – Short-chain Fructo-oligosaccharides</w:t>
        </w:r>
      </w:hyperlink>
      <w:r w:rsidRPr="00844935">
        <w:rPr>
          <w:szCs w:val="22"/>
        </w:rPr>
        <w:t>.</w:t>
      </w:r>
      <w:r w:rsidR="00F4392C">
        <w:rPr>
          <w:szCs w:val="22"/>
        </w:rPr>
        <w:t xml:space="preserve"> </w:t>
      </w:r>
    </w:p>
    <w:p w14:paraId="60BA6C51" w14:textId="373C765E" w:rsidR="00CE7CC6" w:rsidRDefault="00C457E8" w:rsidP="0055473F">
      <w:pPr>
        <w:pStyle w:val="Heading4"/>
      </w:pPr>
      <w:r>
        <w:t>1.3.</w:t>
      </w:r>
      <w:r w:rsidR="0055473F" w:rsidRPr="0055473F">
        <w:t>1.</w:t>
      </w:r>
      <w:r>
        <w:t>2</w:t>
      </w:r>
      <w:r>
        <w:tab/>
      </w:r>
      <w:r w:rsidR="00CE7CC6">
        <w:t>Proposal</w:t>
      </w:r>
      <w:r w:rsidR="00A56BCD">
        <w:t>s</w:t>
      </w:r>
      <w:r w:rsidR="00CE7CC6">
        <w:t xml:space="preserve"> P1028 </w:t>
      </w:r>
      <w:r w:rsidR="00A56BCD">
        <w:t>and P1024</w:t>
      </w:r>
    </w:p>
    <w:p w14:paraId="3687D851" w14:textId="77777777" w:rsidR="00A56BCD" w:rsidRDefault="002E2F55" w:rsidP="00E76421">
      <w:pPr>
        <w:widowControl/>
      </w:pPr>
      <w:r>
        <w:t>FSANZ is currently reviewing the regulation of infant formula</w:t>
      </w:r>
      <w:r w:rsidR="005A3EB2">
        <w:t xml:space="preserve"> </w:t>
      </w:r>
      <w:r>
        <w:t xml:space="preserve">under </w:t>
      </w:r>
      <w:hyperlink r:id="rId29" w:history="1">
        <w:r>
          <w:rPr>
            <w:rStyle w:val="Hyperlink"/>
          </w:rPr>
          <w:t>P</w:t>
        </w:r>
        <w:r w:rsidRPr="00725FAB">
          <w:rPr>
            <w:rStyle w:val="Hyperlink"/>
          </w:rPr>
          <w:t xml:space="preserve">roposal </w:t>
        </w:r>
        <w:r w:rsidRPr="0096626A">
          <w:rPr>
            <w:rStyle w:val="Hyperlink"/>
          </w:rPr>
          <w:t>P1028</w:t>
        </w:r>
      </w:hyperlink>
      <w:r>
        <w:rPr>
          <w:rStyle w:val="Hyperlink"/>
        </w:rPr>
        <w:t xml:space="preserve"> – Infant Formula</w:t>
      </w:r>
      <w:r w:rsidRPr="00060811">
        <w:rPr>
          <w:rFonts w:cs="Arial"/>
        </w:rPr>
        <w:t>.</w:t>
      </w:r>
      <w:r w:rsidR="00E76421">
        <w:rPr>
          <w:rFonts w:cs="Arial"/>
        </w:rPr>
        <w:t xml:space="preserve"> </w:t>
      </w:r>
      <w:r>
        <w:t xml:space="preserve">The </w:t>
      </w:r>
      <w:r w:rsidR="00A0385C">
        <w:t>purpose of this</w:t>
      </w:r>
      <w:r w:rsidR="00E76421">
        <w:t xml:space="preserve"> </w:t>
      </w:r>
      <w:r w:rsidR="00A0385C">
        <w:t>p</w:t>
      </w:r>
      <w:r>
        <w:t>roposal</w:t>
      </w:r>
      <w:r w:rsidRPr="00B21422">
        <w:t xml:space="preserve"> </w:t>
      </w:r>
      <w:r w:rsidR="00E76421">
        <w:t xml:space="preserve">is to revise and clarify standards relating to infant formula </w:t>
      </w:r>
      <w:r w:rsidR="00B214FB">
        <w:t xml:space="preserve">and </w:t>
      </w:r>
      <w:r w:rsidR="008E194F">
        <w:t xml:space="preserve">infant formula products for special dietary use </w:t>
      </w:r>
      <w:r w:rsidR="00E76421">
        <w:t>comprising category definitions, composition, labelling and representation of products.</w:t>
      </w:r>
      <w:r w:rsidR="00AB4292">
        <w:t xml:space="preserve"> </w:t>
      </w:r>
    </w:p>
    <w:p w14:paraId="0F6C2917" w14:textId="77777777" w:rsidR="00A56BCD" w:rsidRDefault="00A56BCD" w:rsidP="00E76421">
      <w:pPr>
        <w:widowControl/>
      </w:pPr>
    </w:p>
    <w:p w14:paraId="180D24A7" w14:textId="4E8A6856" w:rsidR="00A56BCD" w:rsidRPr="00C53477" w:rsidRDefault="00A56BCD" w:rsidP="00E76421">
      <w:pPr>
        <w:widowControl/>
        <w:rPr>
          <w:rFonts w:cs="Arial"/>
          <w:szCs w:val="22"/>
        </w:rPr>
      </w:pPr>
      <w:r w:rsidRPr="00330E58">
        <w:t xml:space="preserve">FSANZ is also currently reviewing the regulation of nutritive substances and novel foods under </w:t>
      </w:r>
      <w:hyperlink r:id="rId30" w:history="1">
        <w:r w:rsidRPr="00330E58">
          <w:rPr>
            <w:rStyle w:val="Hyperlink"/>
          </w:rPr>
          <w:t>Proposal P1024 – Revision of the Regulation of Nutritive Substances &amp; Novel Foods</w:t>
        </w:r>
      </w:hyperlink>
      <w:r w:rsidRPr="00330E58">
        <w:rPr>
          <w:rFonts w:cs="Arial"/>
          <w:szCs w:val="22"/>
        </w:rPr>
        <w:t xml:space="preserve">. </w:t>
      </w:r>
      <w:r w:rsidRPr="00330E58">
        <w:rPr>
          <w:rFonts w:cs="Arial"/>
          <w:szCs w:val="22"/>
          <w:lang w:val="en-AU"/>
        </w:rPr>
        <w:t>The purpose of this proposal is develop an alternative framework for the reg</w:t>
      </w:r>
      <w:r w:rsidR="002F2717">
        <w:rPr>
          <w:rFonts w:cs="Arial"/>
          <w:szCs w:val="22"/>
          <w:lang w:val="en-AU"/>
        </w:rPr>
        <w:t xml:space="preserve">ulation of nutritive substances </w:t>
      </w:r>
      <w:r w:rsidRPr="00330E58">
        <w:rPr>
          <w:rFonts w:cs="Arial"/>
          <w:szCs w:val="22"/>
          <w:lang w:val="en-AU"/>
        </w:rPr>
        <w:t>and novel foods in the Code.</w:t>
      </w:r>
      <w:r w:rsidRPr="00C53477">
        <w:rPr>
          <w:rFonts w:cs="Arial"/>
          <w:szCs w:val="22"/>
        </w:rPr>
        <w:t xml:space="preserve"> </w:t>
      </w:r>
    </w:p>
    <w:p w14:paraId="3D5D25BB" w14:textId="77777777" w:rsidR="00A56BCD" w:rsidRDefault="00A56BCD" w:rsidP="00E76421">
      <w:pPr>
        <w:widowControl/>
      </w:pPr>
    </w:p>
    <w:p w14:paraId="34CB7BAA" w14:textId="38595FE6" w:rsidR="00A56BCD" w:rsidRDefault="00A33610" w:rsidP="00E76421">
      <w:pPr>
        <w:widowControl/>
      </w:pPr>
      <w:r>
        <w:t xml:space="preserve">No issues under review in P1028 </w:t>
      </w:r>
      <w:r w:rsidR="00A56BCD">
        <w:t xml:space="preserve">or P1024 </w:t>
      </w:r>
      <w:r>
        <w:t>affect FSANZ’s assessment</w:t>
      </w:r>
      <w:r w:rsidR="00A0385C">
        <w:t xml:space="preserve"> of this a</w:t>
      </w:r>
      <w:r w:rsidR="00B419BD">
        <w:t>pplication.</w:t>
      </w:r>
    </w:p>
    <w:p w14:paraId="3D21ADFA" w14:textId="0878BB9D" w:rsidR="002B14A0" w:rsidRPr="005160B3" w:rsidRDefault="002E2F55" w:rsidP="005160B3">
      <w:pPr>
        <w:pStyle w:val="Heading3"/>
        <w:widowControl/>
      </w:pPr>
      <w:bookmarkStart w:id="41" w:name="_Toc525729984"/>
      <w:bookmarkStart w:id="42" w:name="_Toc527018229"/>
      <w:bookmarkStart w:id="43" w:name="_Toc11247895"/>
      <w:bookmarkStart w:id="44" w:name="_Toc14427189"/>
      <w:r>
        <w:t>1.3.</w:t>
      </w:r>
      <w:r w:rsidR="007C5797">
        <w:t>2</w:t>
      </w:r>
      <w:r w:rsidR="005160B3">
        <w:tab/>
        <w:t>International</w:t>
      </w:r>
      <w:r w:rsidR="00F31C09">
        <w:t xml:space="preserve"> regulations</w:t>
      </w:r>
      <w:bookmarkEnd w:id="41"/>
      <w:bookmarkEnd w:id="42"/>
      <w:bookmarkEnd w:id="43"/>
      <w:bookmarkEnd w:id="44"/>
    </w:p>
    <w:p w14:paraId="745C545C" w14:textId="24AEA9BE" w:rsidR="00100DDC" w:rsidRPr="009B1944" w:rsidRDefault="00BA1A43" w:rsidP="00A8360E">
      <w:pPr>
        <w:widowControl/>
      </w:pPr>
      <w:r>
        <w:t>2</w:t>
      </w:r>
      <w:r w:rsidR="000A17BB">
        <w:t>′</w:t>
      </w:r>
      <w:r>
        <w:t xml:space="preserve">-FL and LNnT </w:t>
      </w:r>
      <w:r w:rsidR="00C932A2">
        <w:t xml:space="preserve">produced </w:t>
      </w:r>
      <w:r w:rsidR="00A56BEE">
        <w:t>by</w:t>
      </w:r>
      <w:r w:rsidR="00C932A2">
        <w:t xml:space="preserve"> </w:t>
      </w:r>
      <w:r w:rsidR="00F43B2E">
        <w:t xml:space="preserve">microbial fermentation </w:t>
      </w:r>
      <w:r w:rsidR="00210891">
        <w:t>(denoted as ‘micro’ in the following sections) and by chemical sy</w:t>
      </w:r>
      <w:r w:rsidR="00131A00">
        <w:t xml:space="preserve">nthesis (denoted as ‘chem’) </w:t>
      </w:r>
      <w:r>
        <w:t>are permitted for use in infant fo</w:t>
      </w:r>
      <w:r w:rsidR="00594567">
        <w:t>rmula pr</w:t>
      </w:r>
      <w:r w:rsidR="00F43B2E">
        <w:t>oducts and FSFYC</w:t>
      </w:r>
      <w:r>
        <w:t xml:space="preserve"> in various </w:t>
      </w:r>
      <w:r w:rsidR="00131A00">
        <w:t>countries overseas</w:t>
      </w:r>
      <w:r w:rsidR="00C93E3D">
        <w:t>.</w:t>
      </w:r>
    </w:p>
    <w:p w14:paraId="359D6F2D" w14:textId="2BB4686B" w:rsidR="006C6924" w:rsidRPr="00201E5C" w:rsidRDefault="00836B05" w:rsidP="00836B05">
      <w:pPr>
        <w:pStyle w:val="Heading4"/>
      </w:pPr>
      <w:r w:rsidRPr="00201E5C">
        <w:t>1.3.</w:t>
      </w:r>
      <w:r w:rsidR="007C5797" w:rsidRPr="00201E5C">
        <w:t>2</w:t>
      </w:r>
      <w:r w:rsidRPr="00201E5C">
        <w:t>.1</w:t>
      </w:r>
      <w:r w:rsidRPr="00201E5C">
        <w:tab/>
      </w:r>
      <w:r w:rsidR="006C6924" w:rsidRPr="00201E5C">
        <w:t xml:space="preserve">Codex </w:t>
      </w:r>
      <w:r w:rsidR="00F05093" w:rsidRPr="00201E5C">
        <w:t>standards</w:t>
      </w:r>
    </w:p>
    <w:p w14:paraId="5642C14F" w14:textId="25B99AF2" w:rsidR="00F05027" w:rsidRDefault="00B635D3" w:rsidP="002F1D8D">
      <w:pPr>
        <w:pStyle w:val="FootnoteText"/>
        <w:rPr>
          <w:b/>
          <w:bCs/>
          <w:i/>
          <w:iCs/>
          <w:szCs w:val="22"/>
          <w:lang w:bidi="ar-SA"/>
        </w:rPr>
      </w:pPr>
      <w:r w:rsidRPr="00680762">
        <w:rPr>
          <w:sz w:val="22"/>
          <w:szCs w:val="22"/>
        </w:rPr>
        <w:t xml:space="preserve">The </w:t>
      </w:r>
      <w:r w:rsidR="00BB1CEB" w:rsidRPr="00680762">
        <w:rPr>
          <w:sz w:val="22"/>
          <w:szCs w:val="22"/>
        </w:rPr>
        <w:t xml:space="preserve">current </w:t>
      </w:r>
      <w:r w:rsidRPr="00680762">
        <w:rPr>
          <w:sz w:val="22"/>
          <w:szCs w:val="22"/>
        </w:rPr>
        <w:t xml:space="preserve">Codex </w:t>
      </w:r>
      <w:r w:rsidR="00834AD8">
        <w:rPr>
          <w:sz w:val="22"/>
          <w:szCs w:val="22"/>
        </w:rPr>
        <w:t>A</w:t>
      </w:r>
      <w:r w:rsidR="00C53A55">
        <w:rPr>
          <w:sz w:val="22"/>
          <w:szCs w:val="22"/>
        </w:rPr>
        <w:t xml:space="preserve">limentarius </w:t>
      </w:r>
      <w:r w:rsidRPr="00680762">
        <w:rPr>
          <w:sz w:val="22"/>
          <w:szCs w:val="22"/>
        </w:rPr>
        <w:t>Standard</w:t>
      </w:r>
      <w:r w:rsidR="009B1944" w:rsidRPr="00680762">
        <w:rPr>
          <w:sz w:val="22"/>
          <w:szCs w:val="22"/>
        </w:rPr>
        <w:t>s</w:t>
      </w:r>
      <w:r w:rsidRPr="00680762">
        <w:rPr>
          <w:sz w:val="22"/>
          <w:szCs w:val="22"/>
        </w:rPr>
        <w:t xml:space="preserve"> for Infant Formula and Formulas for Special </w:t>
      </w:r>
      <w:r w:rsidR="00556F89" w:rsidRPr="00680762">
        <w:rPr>
          <w:sz w:val="22"/>
          <w:szCs w:val="22"/>
        </w:rPr>
        <w:t xml:space="preserve">Medical Purposes Intended </w:t>
      </w:r>
      <w:r w:rsidRPr="00680762">
        <w:rPr>
          <w:sz w:val="22"/>
          <w:szCs w:val="22"/>
        </w:rPr>
        <w:t>for Infants (Codex Standard 72-1981)</w:t>
      </w:r>
      <w:r w:rsidR="009B1944" w:rsidRPr="00680762">
        <w:rPr>
          <w:sz w:val="22"/>
          <w:szCs w:val="22"/>
        </w:rPr>
        <w:t xml:space="preserve"> and </w:t>
      </w:r>
      <w:r w:rsidR="00405EBB">
        <w:rPr>
          <w:sz w:val="22"/>
          <w:szCs w:val="22"/>
        </w:rPr>
        <w:t xml:space="preserve">for </w:t>
      </w:r>
      <w:r w:rsidR="009B1944" w:rsidRPr="00680762">
        <w:rPr>
          <w:sz w:val="22"/>
          <w:szCs w:val="22"/>
          <w:lang w:bidi="ar-SA"/>
        </w:rPr>
        <w:t>Follow-up Formula</w:t>
      </w:r>
      <w:r w:rsidR="005B7EDF" w:rsidRPr="00680762">
        <w:rPr>
          <w:rStyle w:val="FootnoteReference"/>
          <w:sz w:val="22"/>
          <w:szCs w:val="22"/>
          <w:lang w:bidi="ar-SA"/>
        </w:rPr>
        <w:footnoteReference w:id="6"/>
      </w:r>
      <w:r w:rsidR="005B7EDF" w:rsidRPr="00680762">
        <w:rPr>
          <w:sz w:val="22"/>
          <w:szCs w:val="22"/>
          <w:lang w:bidi="ar-SA"/>
        </w:rPr>
        <w:t xml:space="preserve"> </w:t>
      </w:r>
      <w:r w:rsidR="009B1944" w:rsidRPr="00680762">
        <w:rPr>
          <w:sz w:val="22"/>
          <w:szCs w:val="22"/>
          <w:lang w:bidi="ar-SA"/>
        </w:rPr>
        <w:t>(Codex Standard 156-1987)</w:t>
      </w:r>
      <w:r w:rsidR="002F6C14">
        <w:rPr>
          <w:sz w:val="22"/>
          <w:szCs w:val="22"/>
          <w:lang w:bidi="ar-SA"/>
        </w:rPr>
        <w:t>,</w:t>
      </w:r>
      <w:r w:rsidR="006E7942" w:rsidRPr="00680762">
        <w:rPr>
          <w:sz w:val="22"/>
          <w:szCs w:val="22"/>
          <w:lang w:bidi="ar-SA"/>
        </w:rPr>
        <w:t xml:space="preserve"> </w:t>
      </w:r>
      <w:r w:rsidR="00FA6931" w:rsidRPr="00680762">
        <w:rPr>
          <w:sz w:val="22"/>
          <w:szCs w:val="22"/>
        </w:rPr>
        <w:t>do not contain specific provisions for 2</w:t>
      </w:r>
      <w:r w:rsidR="000A17BB">
        <w:rPr>
          <w:sz w:val="22"/>
          <w:szCs w:val="22"/>
        </w:rPr>
        <w:t>′</w:t>
      </w:r>
      <w:r w:rsidR="00FA6931" w:rsidRPr="00680762">
        <w:rPr>
          <w:sz w:val="22"/>
          <w:szCs w:val="22"/>
        </w:rPr>
        <w:t xml:space="preserve">-FL or LNnT. However, the </w:t>
      </w:r>
      <w:r w:rsidR="00221FDD">
        <w:rPr>
          <w:sz w:val="22"/>
          <w:szCs w:val="22"/>
        </w:rPr>
        <w:t>s</w:t>
      </w:r>
      <w:r w:rsidR="00FA6931" w:rsidRPr="00680762">
        <w:rPr>
          <w:sz w:val="22"/>
          <w:szCs w:val="22"/>
        </w:rPr>
        <w:t>tandards contain</w:t>
      </w:r>
      <w:r w:rsidRPr="00680762">
        <w:rPr>
          <w:sz w:val="22"/>
          <w:szCs w:val="22"/>
        </w:rPr>
        <w:t xml:space="preserve"> provisions for ‘optional ingredients’ which </w:t>
      </w:r>
      <w:r w:rsidR="000E25F5">
        <w:rPr>
          <w:sz w:val="22"/>
          <w:szCs w:val="22"/>
        </w:rPr>
        <w:t xml:space="preserve">would </w:t>
      </w:r>
      <w:r w:rsidRPr="00680762">
        <w:rPr>
          <w:sz w:val="22"/>
          <w:szCs w:val="22"/>
        </w:rPr>
        <w:t xml:space="preserve">apply to the addition of substances such as </w:t>
      </w:r>
      <w:r w:rsidR="000D7577" w:rsidRPr="00680762">
        <w:rPr>
          <w:sz w:val="22"/>
          <w:szCs w:val="22"/>
        </w:rPr>
        <w:t>2</w:t>
      </w:r>
      <w:r w:rsidR="000A17BB">
        <w:rPr>
          <w:sz w:val="22"/>
          <w:szCs w:val="22"/>
        </w:rPr>
        <w:t>′</w:t>
      </w:r>
      <w:r w:rsidR="000D7577" w:rsidRPr="00680762">
        <w:rPr>
          <w:sz w:val="22"/>
          <w:szCs w:val="22"/>
        </w:rPr>
        <w:t>-FL and LNn</w:t>
      </w:r>
      <w:r w:rsidRPr="00680762">
        <w:rPr>
          <w:sz w:val="22"/>
          <w:szCs w:val="22"/>
        </w:rPr>
        <w:t>T</w:t>
      </w:r>
      <w:r w:rsidR="0020491B" w:rsidRPr="00680762">
        <w:rPr>
          <w:sz w:val="22"/>
          <w:szCs w:val="22"/>
        </w:rPr>
        <w:t xml:space="preserve">. </w:t>
      </w:r>
      <w:r w:rsidR="000E25F5">
        <w:rPr>
          <w:sz w:val="22"/>
          <w:szCs w:val="22"/>
        </w:rPr>
        <w:t>FSANZ notes that t</w:t>
      </w:r>
      <w:r w:rsidR="00C53A55">
        <w:rPr>
          <w:sz w:val="22"/>
          <w:szCs w:val="22"/>
          <w:lang w:bidi="ar-SA"/>
        </w:rPr>
        <w:t>he Follow-up F</w:t>
      </w:r>
      <w:r w:rsidR="000E25F5" w:rsidRPr="00680762">
        <w:rPr>
          <w:sz w:val="22"/>
          <w:szCs w:val="22"/>
          <w:lang w:bidi="ar-SA"/>
        </w:rPr>
        <w:t>ormula</w:t>
      </w:r>
      <w:r w:rsidR="000E25F5" w:rsidRPr="00680762">
        <w:rPr>
          <w:sz w:val="22"/>
          <w:szCs w:val="22"/>
          <w:lang w:val="en-AU"/>
        </w:rPr>
        <w:t xml:space="preserve"> Standard is currentl</w:t>
      </w:r>
      <w:r w:rsidR="000E25F5">
        <w:rPr>
          <w:sz w:val="22"/>
          <w:szCs w:val="22"/>
          <w:lang w:val="en-AU"/>
        </w:rPr>
        <w:t>y being reviewed by Codex</w:t>
      </w:r>
      <w:r w:rsidR="000E25F5" w:rsidRPr="00680762">
        <w:rPr>
          <w:rStyle w:val="FootnoteReference"/>
          <w:sz w:val="22"/>
          <w:szCs w:val="22"/>
          <w:lang w:val="en-AU"/>
        </w:rPr>
        <w:footnoteReference w:id="7"/>
      </w:r>
      <w:r w:rsidR="000E25F5">
        <w:rPr>
          <w:sz w:val="22"/>
          <w:szCs w:val="22"/>
          <w:lang w:val="en-AU"/>
        </w:rPr>
        <w:t>.</w:t>
      </w:r>
    </w:p>
    <w:p w14:paraId="0816C778" w14:textId="0DC61633" w:rsidR="003426FC" w:rsidRDefault="00BA3F40" w:rsidP="00BA3F40">
      <w:pPr>
        <w:pStyle w:val="Heading4"/>
      </w:pPr>
      <w:r>
        <w:t>1.3.</w:t>
      </w:r>
      <w:r w:rsidR="007C5797">
        <w:t>2</w:t>
      </w:r>
      <w:r>
        <w:t>.2</w:t>
      </w:r>
      <w:r>
        <w:tab/>
      </w:r>
      <w:r w:rsidR="00834AD8">
        <w:t>European Union</w:t>
      </w:r>
    </w:p>
    <w:p w14:paraId="00DD6EEB" w14:textId="3DD876DD" w:rsidR="00C64A22" w:rsidRDefault="00F61DB3" w:rsidP="001A7C76">
      <w:r>
        <w:t>2</w:t>
      </w:r>
      <w:r w:rsidR="000A17BB">
        <w:t>′</w:t>
      </w:r>
      <w:r w:rsidR="00D00814">
        <w:t>-</w:t>
      </w:r>
      <w:r>
        <w:t xml:space="preserve">FL and LNnT </w:t>
      </w:r>
      <w:r w:rsidR="00CD344D">
        <w:t>are permitted</w:t>
      </w:r>
      <w:r w:rsidR="00E570B3" w:rsidRPr="00E570B3">
        <w:t xml:space="preserve"> </w:t>
      </w:r>
      <w:r w:rsidR="00E570B3">
        <w:t xml:space="preserve">as novel foods </w:t>
      </w:r>
      <w:r w:rsidR="002F344E">
        <w:t xml:space="preserve">in the European Union (EU) </w:t>
      </w:r>
      <w:r w:rsidR="00E570B3">
        <w:t xml:space="preserve">for use </w:t>
      </w:r>
      <w:r w:rsidR="00E570B3" w:rsidRPr="00C64A22">
        <w:t>in</w:t>
      </w:r>
      <w:r w:rsidR="00E570B3">
        <w:t xml:space="preserve"> </w:t>
      </w:r>
      <w:r w:rsidR="00587F9D">
        <w:t xml:space="preserve">a range of </w:t>
      </w:r>
      <w:r w:rsidR="00E570B3">
        <w:t>general</w:t>
      </w:r>
      <w:r w:rsidR="00587F9D">
        <w:t xml:space="preserve"> foods (e.g. milk-based products, cereal bars, bread and pasta products)</w:t>
      </w:r>
      <w:r w:rsidR="00E570B3">
        <w:t xml:space="preserve"> and special purpose foods</w:t>
      </w:r>
      <w:r w:rsidR="00DE37EF">
        <w:t xml:space="preserve"> (EU 2017</w:t>
      </w:r>
      <w:r w:rsidR="009A2AD6">
        <w:t>a</w:t>
      </w:r>
      <w:r w:rsidR="00DE37EF">
        <w:t>)</w:t>
      </w:r>
      <w:r w:rsidR="000A4E6D">
        <w:t xml:space="preserve">. </w:t>
      </w:r>
      <w:r w:rsidR="00587F9D">
        <w:t>The r</w:t>
      </w:r>
      <w:r w:rsidR="000A4E6D">
        <w:t>elevant r</w:t>
      </w:r>
      <w:r w:rsidR="00CC2BA4">
        <w:t xml:space="preserve">equirements for </w:t>
      </w:r>
      <w:r w:rsidR="00587F9D">
        <w:t>infant formula products and milk-based drinks for young children</w:t>
      </w:r>
      <w:r w:rsidR="003A772B" w:rsidRPr="00005CE0">
        <w:rPr>
          <w:rStyle w:val="FootnoteReference"/>
        </w:rPr>
        <w:footnoteReference w:id="8"/>
      </w:r>
      <w:r w:rsidR="00587F9D">
        <w:t xml:space="preserve"> </w:t>
      </w:r>
      <w:r w:rsidR="00005CE0">
        <w:t>are</w:t>
      </w:r>
      <w:r w:rsidR="008628F4">
        <w:t>:</w:t>
      </w:r>
    </w:p>
    <w:p w14:paraId="7AA86F47" w14:textId="531572D5" w:rsidR="008628F4" w:rsidRDefault="008628F4" w:rsidP="00B57142">
      <w:pPr>
        <w:pStyle w:val="FSBullet1"/>
      </w:pPr>
      <w:r w:rsidRPr="001A7C76">
        <w:t>For infant formula</w:t>
      </w:r>
      <w:r w:rsidR="003A772B" w:rsidRPr="001A7C76">
        <w:t xml:space="preserve"> and </w:t>
      </w:r>
      <w:r w:rsidRPr="001A7C76">
        <w:t>follow-on formula</w:t>
      </w:r>
      <w:r w:rsidR="00210891" w:rsidRPr="001A7C76">
        <w:t xml:space="preserve">, a maximum </w:t>
      </w:r>
      <w:r w:rsidR="003A772B" w:rsidRPr="001A7C76">
        <w:t>level of 1.2 g/L of 2</w:t>
      </w:r>
      <w:r w:rsidR="000A17BB" w:rsidRPr="001A7C76">
        <w:t>′</w:t>
      </w:r>
      <w:r w:rsidR="003A772B" w:rsidRPr="001A7C76">
        <w:t>-FL alone</w:t>
      </w:r>
      <w:r w:rsidRPr="001A7C76">
        <w:t xml:space="preserve"> or </w:t>
      </w:r>
      <w:r w:rsidR="003426FC" w:rsidRPr="001A7C76">
        <w:t>in combination</w:t>
      </w:r>
      <w:r w:rsidR="003426FC" w:rsidRPr="00692F48">
        <w:t xml:space="preserve"> with up to 0.6 g/L of LNnT</w:t>
      </w:r>
      <w:r w:rsidR="003A772B">
        <w:t xml:space="preserve"> </w:t>
      </w:r>
      <w:r w:rsidR="003426FC" w:rsidRPr="00692F48">
        <w:t>at a ratio of 2:1 in t</w:t>
      </w:r>
      <w:r w:rsidR="00084393">
        <w:t xml:space="preserve">he final ready-to-use product. </w:t>
      </w:r>
    </w:p>
    <w:p w14:paraId="3F23F162" w14:textId="70158B04" w:rsidR="003A772B" w:rsidRPr="003A772B" w:rsidRDefault="003A772B" w:rsidP="00B87FD6">
      <w:pPr>
        <w:pStyle w:val="FSBullet1"/>
      </w:pPr>
      <w:r>
        <w:t>For milk-based drinks for young children, a maximum of 1.2 g/L of 2</w:t>
      </w:r>
      <w:r w:rsidR="000A17BB">
        <w:t>′</w:t>
      </w:r>
      <w:r>
        <w:t>-FL alone</w:t>
      </w:r>
      <w:r w:rsidR="005B60A8">
        <w:t>,</w:t>
      </w:r>
      <w:r>
        <w:t xml:space="preserve"> </w:t>
      </w:r>
      <w:r w:rsidRPr="00B35A08">
        <w:t>or 0.6 g/L of LNnT alone</w:t>
      </w:r>
      <w:r w:rsidR="00F62080">
        <w:t xml:space="preserve">, </w:t>
      </w:r>
      <w:r w:rsidRPr="00B35A08">
        <w:t xml:space="preserve">or </w:t>
      </w:r>
      <w:r w:rsidR="00F62080">
        <w:t xml:space="preserve">1.2 g/L </w:t>
      </w:r>
      <w:r w:rsidR="00B51870">
        <w:t>2′</w:t>
      </w:r>
      <w:r w:rsidR="00F62080">
        <w:t xml:space="preserve">-FL in combination with up to 0.6 g/L LNnT </w:t>
      </w:r>
      <w:r w:rsidR="005B60A8" w:rsidRPr="00B35A08">
        <w:t xml:space="preserve">at a ratio of </w:t>
      </w:r>
      <w:r w:rsidR="00F62080">
        <w:t>2</w:t>
      </w:r>
      <w:r w:rsidR="005B60A8" w:rsidRPr="00B35A08">
        <w:t>:</w:t>
      </w:r>
      <w:r w:rsidR="00F62080">
        <w:t>1</w:t>
      </w:r>
      <w:r w:rsidRPr="00B35A08">
        <w:t xml:space="preserve"> in the final</w:t>
      </w:r>
      <w:r>
        <w:t xml:space="preserve"> ready-to-use product.</w:t>
      </w:r>
    </w:p>
    <w:p w14:paraId="01F43A85" w14:textId="2AF90DC2" w:rsidR="00DF703B" w:rsidRDefault="00084393" w:rsidP="00E4363F">
      <w:pPr>
        <w:pStyle w:val="FSBullet1"/>
      </w:pPr>
      <w:r w:rsidRPr="00B52AC9">
        <w:t>For foods for special medical purposes</w:t>
      </w:r>
      <w:r w:rsidR="00B52AC9">
        <w:t xml:space="preserve"> which</w:t>
      </w:r>
      <w:r w:rsidR="002C305E" w:rsidRPr="00B52AC9">
        <w:t xml:space="preserve"> includes such foods for infants</w:t>
      </w:r>
      <w:r w:rsidR="00485EB4" w:rsidRPr="00B52AC9">
        <w:t xml:space="preserve">, </w:t>
      </w:r>
      <w:r w:rsidRPr="00B52AC9">
        <w:t xml:space="preserve">the maximum level used must be in accordance with the particular nutritional requirements of the persons for whom the products are intended. </w:t>
      </w:r>
    </w:p>
    <w:p w14:paraId="28688152" w14:textId="77777777" w:rsidR="002909C8" w:rsidRPr="002909C8" w:rsidRDefault="002909C8" w:rsidP="002909C8">
      <w:pPr>
        <w:rPr>
          <w:lang w:bidi="ar-SA"/>
        </w:rPr>
      </w:pPr>
    </w:p>
    <w:p w14:paraId="1DE5D59A" w14:textId="74DC5A53" w:rsidR="000806D8" w:rsidRPr="000806D8" w:rsidDel="000F246F" w:rsidRDefault="000F246F" w:rsidP="00857818">
      <w:pPr>
        <w:pStyle w:val="FSBullet2"/>
        <w:numPr>
          <w:ilvl w:val="0"/>
          <w:numId w:val="0"/>
        </w:numPr>
      </w:pPr>
      <w:r>
        <w:t xml:space="preserve">Specifications are </w:t>
      </w:r>
      <w:r w:rsidR="00435990">
        <w:t xml:space="preserve">currently </w:t>
      </w:r>
      <w:r>
        <w:t>prescribed</w:t>
      </w:r>
      <w:r w:rsidR="002909C8">
        <w:t xml:space="preserve"> </w:t>
      </w:r>
      <w:r w:rsidR="00D11C60">
        <w:t xml:space="preserve">in the EU </w:t>
      </w:r>
      <w:r w:rsidR="00922D97">
        <w:t>for</w:t>
      </w:r>
      <w:r w:rsidR="00D11C60">
        <w:t xml:space="preserve"> </w:t>
      </w:r>
      <w:r w:rsidR="00B51870">
        <w:t>2′</w:t>
      </w:r>
      <w:r w:rsidR="00D11C60">
        <w:t>-FL and LNnT</w:t>
      </w:r>
      <w:r w:rsidR="00783F07">
        <w:t xml:space="preserve"> as listed below:</w:t>
      </w:r>
    </w:p>
    <w:p w14:paraId="47127625" w14:textId="765CAB23" w:rsidR="00B44A93" w:rsidRPr="00E23412" w:rsidRDefault="00B44A93" w:rsidP="00B57142">
      <w:pPr>
        <w:pStyle w:val="FSBullet1"/>
      </w:pPr>
      <w:r>
        <w:t>2</w:t>
      </w:r>
      <w:r w:rsidR="000A17BB">
        <w:t>′</w:t>
      </w:r>
      <w:r>
        <w:t>-FL</w:t>
      </w:r>
      <w:r w:rsidR="000A0EB0">
        <w:rPr>
          <w:vertAlign w:val="subscript"/>
        </w:rPr>
        <w:t>micro</w:t>
      </w:r>
      <w:r>
        <w:t xml:space="preserve"> and LNnT</w:t>
      </w:r>
      <w:r w:rsidR="00A56BEE">
        <w:rPr>
          <w:vertAlign w:val="subscript"/>
        </w:rPr>
        <w:t xml:space="preserve">micro </w:t>
      </w:r>
      <w:r w:rsidR="00F76B2B">
        <w:t xml:space="preserve">sourced from GM strain </w:t>
      </w:r>
      <w:r w:rsidR="000A0EB0" w:rsidRPr="00E23412">
        <w:rPr>
          <w:i/>
        </w:rPr>
        <w:t>E.coli</w:t>
      </w:r>
      <w:r w:rsidR="00E23412" w:rsidRPr="00E23412">
        <w:t xml:space="preserve"> K-12</w:t>
      </w:r>
      <w:r w:rsidR="004D2ADB">
        <w:t xml:space="preserve"> </w:t>
      </w:r>
      <w:r w:rsidR="00C439E9" w:rsidRPr="00E23412">
        <w:t>(</w:t>
      </w:r>
      <w:r w:rsidR="005D0D82">
        <w:t>based on</w:t>
      </w:r>
      <w:r w:rsidR="002A1FFF">
        <w:t xml:space="preserve"> the applicant</w:t>
      </w:r>
      <w:r w:rsidR="005D0D82">
        <w:t xml:space="preserve">’s </w:t>
      </w:r>
      <w:r w:rsidR="002A1FFF">
        <w:t xml:space="preserve">and other </w:t>
      </w:r>
      <w:r w:rsidR="00B51870">
        <w:t>2′</w:t>
      </w:r>
      <w:r w:rsidR="002A1FFF">
        <w:t>-FL manufacturers</w:t>
      </w:r>
      <w:r w:rsidR="00EC445F">
        <w:t>’</w:t>
      </w:r>
      <w:r w:rsidR="00783F07">
        <w:rPr>
          <w:rStyle w:val="FootnoteReference"/>
        </w:rPr>
        <w:footnoteReference w:id="9"/>
      </w:r>
      <w:r w:rsidR="005D0D82">
        <w:t xml:space="preserve"> specifications</w:t>
      </w:r>
      <w:r w:rsidR="002A1FFF">
        <w:t>)</w:t>
      </w:r>
      <w:r w:rsidR="00AA2BBA">
        <w:t xml:space="preserve"> </w:t>
      </w:r>
    </w:p>
    <w:p w14:paraId="60D36091" w14:textId="2A224945" w:rsidR="00F62080" w:rsidRDefault="007D4F46" w:rsidP="00B87FD6">
      <w:pPr>
        <w:pStyle w:val="FSBullet1"/>
      </w:pPr>
      <w:r w:rsidRPr="00E23412">
        <w:t>2</w:t>
      </w:r>
      <w:r w:rsidR="000A17BB">
        <w:t>′</w:t>
      </w:r>
      <w:r w:rsidRPr="00E23412">
        <w:t>-FL</w:t>
      </w:r>
      <w:r w:rsidRPr="00E23412">
        <w:rPr>
          <w:vertAlign w:val="subscript"/>
        </w:rPr>
        <w:t>micro</w:t>
      </w:r>
      <w:r w:rsidR="00E23412" w:rsidRPr="00E23412">
        <w:t xml:space="preserve"> sourced from GM strain</w:t>
      </w:r>
      <w:r w:rsidRPr="00E23412">
        <w:t xml:space="preserve"> </w:t>
      </w:r>
      <w:r w:rsidRPr="00E23412">
        <w:rPr>
          <w:i/>
        </w:rPr>
        <w:t xml:space="preserve">E.coli </w:t>
      </w:r>
      <w:r w:rsidRPr="00E91FB8">
        <w:t>BL21</w:t>
      </w:r>
      <w:r w:rsidR="00C64A22">
        <w:t xml:space="preserve"> (based on another manufacturer, </w:t>
      </w:r>
      <w:r w:rsidR="00B44A93" w:rsidRPr="00692F48">
        <w:t xml:space="preserve">Jennewein Biotechnologie GmbH </w:t>
      </w:r>
      <w:r w:rsidR="00E23412">
        <w:t>approval</w:t>
      </w:r>
      <w:r w:rsidR="009A2AD6">
        <w:t xml:space="preserve"> (EU 2017b)</w:t>
      </w:r>
      <w:r w:rsidR="00C64A22">
        <w:t>)</w:t>
      </w:r>
      <w:r w:rsidR="00B44A93">
        <w:t>.</w:t>
      </w:r>
    </w:p>
    <w:p w14:paraId="04172186" w14:textId="77777777" w:rsidR="00783F07" w:rsidRDefault="00783F07" w:rsidP="000F246F">
      <w:pPr>
        <w:pStyle w:val="FSBullet2"/>
        <w:numPr>
          <w:ilvl w:val="0"/>
          <w:numId w:val="0"/>
        </w:numPr>
      </w:pPr>
    </w:p>
    <w:p w14:paraId="71726AB7" w14:textId="789AF2BC" w:rsidR="00F87C2D" w:rsidRDefault="009C10DC" w:rsidP="00E027C2">
      <w:pPr>
        <w:pStyle w:val="FSBullet2"/>
        <w:numPr>
          <w:ilvl w:val="0"/>
          <w:numId w:val="0"/>
        </w:numPr>
      </w:pPr>
      <w:r>
        <w:t>At the time of our assessment for the 1</w:t>
      </w:r>
      <w:r w:rsidRPr="009C10DC">
        <w:rPr>
          <w:vertAlign w:val="superscript"/>
        </w:rPr>
        <w:t>st</w:t>
      </w:r>
      <w:r>
        <w:t xml:space="preserve"> CFS, </w:t>
      </w:r>
      <w:r w:rsidR="00783F07">
        <w:t xml:space="preserve">the </w:t>
      </w:r>
      <w:r w:rsidR="00B51870">
        <w:t>2′</w:t>
      </w:r>
      <w:r w:rsidR="00783F07">
        <w:t xml:space="preserve">-FL specification sourced from GM strain </w:t>
      </w:r>
      <w:r w:rsidR="00783F07" w:rsidRPr="006F25F5">
        <w:rPr>
          <w:i/>
        </w:rPr>
        <w:t>E.coli</w:t>
      </w:r>
      <w:r>
        <w:t xml:space="preserve"> K-12 above </w:t>
      </w:r>
      <w:r w:rsidR="00783F07">
        <w:t xml:space="preserve">was based on the applicant’s product specification only. New EU regulations have since come into force which modified this </w:t>
      </w:r>
      <w:r w:rsidR="00F45AD0">
        <w:t>specification</w:t>
      </w:r>
      <w:r w:rsidR="00783F07">
        <w:t xml:space="preserve"> to a more generic one based on </w:t>
      </w:r>
      <w:r w:rsidR="00435990">
        <w:t xml:space="preserve">equivalence </w:t>
      </w:r>
      <w:r w:rsidR="00783F07">
        <w:t xml:space="preserve">notifications to the EU Commission from other manufacturers (EU 2018, </w:t>
      </w:r>
      <w:r w:rsidR="00783F07" w:rsidRPr="00AC21B9">
        <w:t>MEB 2017a, b</w:t>
      </w:r>
      <w:r w:rsidR="00783F07" w:rsidRPr="00783F07">
        <w:t>)</w:t>
      </w:r>
      <w:r w:rsidR="00435990">
        <w:t xml:space="preserve">, </w:t>
      </w:r>
      <w:r w:rsidR="00783F07">
        <w:t>and further amendment requests by Glycom (EU 2019).</w:t>
      </w:r>
    </w:p>
    <w:p w14:paraId="5BE58E2D" w14:textId="2C40646A" w:rsidR="009B0882" w:rsidRDefault="002E2F55" w:rsidP="00836B05">
      <w:pPr>
        <w:pStyle w:val="Heading4"/>
      </w:pPr>
      <w:r>
        <w:t>1.3.</w:t>
      </w:r>
      <w:r w:rsidR="007D7CBF">
        <w:t>2</w:t>
      </w:r>
      <w:r w:rsidR="003426FC">
        <w:t>.3</w:t>
      </w:r>
      <w:r w:rsidR="00836B05">
        <w:tab/>
      </w:r>
      <w:r w:rsidR="00834AD8">
        <w:t>United States</w:t>
      </w:r>
    </w:p>
    <w:p w14:paraId="301C65D3" w14:textId="2CBBB5C6" w:rsidR="00163123" w:rsidRDefault="00536537" w:rsidP="00514103">
      <w:r w:rsidRPr="00B35A08">
        <w:t>The U</w:t>
      </w:r>
      <w:r w:rsidR="00834AD8" w:rsidRPr="00B35A08">
        <w:t xml:space="preserve">nited </w:t>
      </w:r>
      <w:r w:rsidRPr="00B35A08">
        <w:t>S</w:t>
      </w:r>
      <w:r w:rsidR="00834AD8" w:rsidRPr="00B35A08">
        <w:t>tates</w:t>
      </w:r>
      <w:r w:rsidRPr="00B35A08">
        <w:t xml:space="preserve"> Food and Drug Administration (</w:t>
      </w:r>
      <w:r w:rsidR="00834AD8" w:rsidRPr="00B35A08">
        <w:t>US</w:t>
      </w:r>
      <w:r w:rsidRPr="00B35A08">
        <w:t>FDA)</w:t>
      </w:r>
      <w:r w:rsidR="00EA2A4E" w:rsidRPr="00B35A08">
        <w:t xml:space="preserve"> issued </w:t>
      </w:r>
      <w:r w:rsidR="00560EA0" w:rsidRPr="00B35A08">
        <w:t>‘no questions’</w:t>
      </w:r>
      <w:r w:rsidR="00EC23EA">
        <w:rPr>
          <w:rStyle w:val="FootnoteReference"/>
        </w:rPr>
        <w:footnoteReference w:id="10"/>
      </w:r>
      <w:r w:rsidR="00560EA0" w:rsidRPr="00B35A08">
        <w:t xml:space="preserve"> </w:t>
      </w:r>
      <w:r w:rsidR="00EA2A4E" w:rsidRPr="00B35A08">
        <w:t xml:space="preserve">responses </w:t>
      </w:r>
      <w:r w:rsidR="00560EA0" w:rsidRPr="00B35A08">
        <w:t xml:space="preserve">to the </w:t>
      </w:r>
      <w:r w:rsidR="0031454D" w:rsidRPr="00B35A08">
        <w:t>a</w:t>
      </w:r>
      <w:r w:rsidR="00560EA0" w:rsidRPr="00B35A08">
        <w:t xml:space="preserve">pplicant’s </w:t>
      </w:r>
      <w:r w:rsidR="00EA2A4E" w:rsidRPr="00B35A08">
        <w:t>self-assessed Generally Recognized as Safe (GRAS) notifications for</w:t>
      </w:r>
      <w:r w:rsidR="0031454D" w:rsidRPr="00B35A08">
        <w:t xml:space="preserve"> </w:t>
      </w:r>
      <w:r w:rsidR="009B0882" w:rsidRPr="00B35A08">
        <w:t>2</w:t>
      </w:r>
      <w:r w:rsidR="000A17BB">
        <w:t>′</w:t>
      </w:r>
      <w:r w:rsidR="009B0882" w:rsidRPr="00B35A08">
        <w:t>-FL</w:t>
      </w:r>
      <w:r w:rsidR="0065506F" w:rsidRPr="00B35A08">
        <w:rPr>
          <w:vertAlign w:val="subscript"/>
        </w:rPr>
        <w:t>chem &amp; micro</w:t>
      </w:r>
      <w:r w:rsidR="009B0882" w:rsidRPr="00B35A08">
        <w:rPr>
          <w:vertAlign w:val="subscript"/>
        </w:rPr>
        <w:t xml:space="preserve"> </w:t>
      </w:r>
      <w:r w:rsidR="00EA2A4E" w:rsidRPr="00B35A08">
        <w:t>f</w:t>
      </w:r>
      <w:r w:rsidR="00511F3A" w:rsidRPr="00B35A08">
        <w:t xml:space="preserve">or </w:t>
      </w:r>
      <w:r w:rsidR="009B0882" w:rsidRPr="00B35A08">
        <w:t>use in</w:t>
      </w:r>
      <w:r w:rsidR="00EA2A4E" w:rsidRPr="00B35A08">
        <w:t xml:space="preserve"> various </w:t>
      </w:r>
      <w:r w:rsidR="00796D0C" w:rsidRPr="00B35A08">
        <w:t xml:space="preserve">general </w:t>
      </w:r>
      <w:r w:rsidR="00EA2A4E" w:rsidRPr="00B35A08">
        <w:t xml:space="preserve">and special purpose </w:t>
      </w:r>
      <w:r w:rsidR="00796D0C" w:rsidRPr="00B35A08">
        <w:t>foods</w:t>
      </w:r>
      <w:r w:rsidR="004B749C">
        <w:t xml:space="preserve"> </w:t>
      </w:r>
      <w:r w:rsidR="00D13672">
        <w:t>(USFDA 201</w:t>
      </w:r>
      <w:r w:rsidR="00EF4D44">
        <w:t>5</w:t>
      </w:r>
      <w:r w:rsidR="006D365C">
        <w:t>a</w:t>
      </w:r>
      <w:r w:rsidR="00D13672">
        <w:t>, 2016</w:t>
      </w:r>
      <w:r w:rsidR="00F22E9C">
        <w:t>a</w:t>
      </w:r>
      <w:r w:rsidR="00D13672">
        <w:t>)</w:t>
      </w:r>
      <w:r w:rsidR="00796D0C" w:rsidRPr="00B35A08">
        <w:t xml:space="preserve">. </w:t>
      </w:r>
      <w:r w:rsidR="005D395B" w:rsidRPr="00B35A08">
        <w:t>T</w:t>
      </w:r>
      <w:r w:rsidR="004A3018" w:rsidRPr="00B35A08">
        <w:t xml:space="preserve">he maximum intended use level in </w:t>
      </w:r>
      <w:r w:rsidR="008435ED" w:rsidRPr="00B35A08">
        <w:t xml:space="preserve">‘term </w:t>
      </w:r>
      <w:r w:rsidR="00EA2A4E" w:rsidRPr="00B35A08">
        <w:t>infan</w:t>
      </w:r>
      <w:r w:rsidR="003A3277" w:rsidRPr="00B35A08">
        <w:t xml:space="preserve">t </w:t>
      </w:r>
      <w:r w:rsidR="004A3018" w:rsidRPr="00B35A08">
        <w:t>formula</w:t>
      </w:r>
      <w:r w:rsidR="008435ED" w:rsidRPr="00B35A08">
        <w:t>’</w:t>
      </w:r>
      <w:r w:rsidR="004A3018" w:rsidRPr="00B35A08">
        <w:t xml:space="preserve"> </w:t>
      </w:r>
      <w:r w:rsidR="003A3277" w:rsidRPr="00B35A08">
        <w:t xml:space="preserve">and </w:t>
      </w:r>
      <w:r w:rsidR="008435ED" w:rsidRPr="00B35A08">
        <w:t>‘</w:t>
      </w:r>
      <w:r w:rsidR="003A3277" w:rsidRPr="00B35A08">
        <w:t>toddler formula</w:t>
      </w:r>
      <w:r w:rsidR="00B35A08">
        <w:t xml:space="preserve">’ (terms used </w:t>
      </w:r>
      <w:r w:rsidR="008435ED" w:rsidRPr="00B35A08">
        <w:t>in the US)</w:t>
      </w:r>
      <w:r w:rsidR="003A3277" w:rsidRPr="00B35A08">
        <w:t xml:space="preserve"> </w:t>
      </w:r>
      <w:r w:rsidR="004A3018" w:rsidRPr="00B35A08">
        <w:t xml:space="preserve">is </w:t>
      </w:r>
      <w:r w:rsidR="00CA5BC8" w:rsidRPr="00B35A08">
        <w:t>2</w:t>
      </w:r>
      <w:r w:rsidR="00511F3A" w:rsidRPr="00B35A08">
        <w:t>.4 g/L</w:t>
      </w:r>
      <w:r w:rsidR="004A3018" w:rsidRPr="00B35A08">
        <w:t>.</w:t>
      </w:r>
      <w:r w:rsidR="00511F3A" w:rsidRPr="00B35A08">
        <w:t xml:space="preserve"> </w:t>
      </w:r>
    </w:p>
    <w:p w14:paraId="4589C67E" w14:textId="6E60030D" w:rsidR="0031454D" w:rsidRDefault="0031454D" w:rsidP="00514103"/>
    <w:p w14:paraId="7461F996" w14:textId="0C5F7D37" w:rsidR="0031454D" w:rsidRDefault="0031454D" w:rsidP="00514103">
      <w:r>
        <w:t xml:space="preserve">The USFDA also issued ‘no questions’ responses </w:t>
      </w:r>
      <w:r w:rsidR="00F77419">
        <w:t xml:space="preserve">to </w:t>
      </w:r>
      <w:r w:rsidR="00FF0896">
        <w:t xml:space="preserve">applications </w:t>
      </w:r>
      <w:r w:rsidR="00F77419">
        <w:t xml:space="preserve">of </w:t>
      </w:r>
      <w:r>
        <w:t>other 2</w:t>
      </w:r>
      <w:r w:rsidR="000A17BB">
        <w:t>′</w:t>
      </w:r>
      <w:r>
        <w:t>-FL</w:t>
      </w:r>
      <w:r w:rsidRPr="00F44285">
        <w:rPr>
          <w:vertAlign w:val="subscript"/>
        </w:rPr>
        <w:t xml:space="preserve"> </w:t>
      </w:r>
      <w:r w:rsidRPr="00795B18">
        <w:rPr>
          <w:vertAlign w:val="subscript"/>
        </w:rPr>
        <w:t>micro</w:t>
      </w:r>
      <w:r w:rsidRPr="00795B18">
        <w:t xml:space="preserve"> </w:t>
      </w:r>
      <w:r>
        <w:t>manufacturers who use different GM production strains (</w:t>
      </w:r>
      <w:r w:rsidRPr="0057313B">
        <w:rPr>
          <w:rFonts w:cs="Arial"/>
        </w:rPr>
        <w:t>Jennewein</w:t>
      </w:r>
      <w:r w:rsidR="006D365C">
        <w:rPr>
          <w:rFonts w:cs="Arial"/>
        </w:rPr>
        <w:t xml:space="preserve"> (USFDA 2015b)</w:t>
      </w:r>
      <w:r>
        <w:rPr>
          <w:rFonts w:cs="Arial"/>
        </w:rPr>
        <w:t>,</w:t>
      </w:r>
      <w:r w:rsidRPr="0057313B">
        <w:rPr>
          <w:rFonts w:cs="Arial"/>
        </w:rPr>
        <w:t xml:space="preserve"> FrieslandCampina</w:t>
      </w:r>
      <w:r w:rsidR="006D365C">
        <w:rPr>
          <w:rFonts w:cs="Arial"/>
        </w:rPr>
        <w:t xml:space="preserve"> (USFDA 2018</w:t>
      </w:r>
      <w:r w:rsidR="009327FB">
        <w:rPr>
          <w:rFonts w:cs="Arial"/>
        </w:rPr>
        <w:t>a</w:t>
      </w:r>
      <w:r w:rsidR="006D365C">
        <w:rPr>
          <w:rFonts w:cs="Arial"/>
        </w:rPr>
        <w:t>)</w:t>
      </w:r>
      <w:r w:rsidRPr="0057313B">
        <w:rPr>
          <w:rFonts w:cs="Arial"/>
        </w:rPr>
        <w:t xml:space="preserve"> and Dupont</w:t>
      </w:r>
      <w:r w:rsidR="006D365C">
        <w:rPr>
          <w:rFonts w:cs="Arial"/>
        </w:rPr>
        <w:t xml:space="preserve"> (USFDA</w:t>
      </w:r>
      <w:r w:rsidR="009327FB">
        <w:rPr>
          <w:rFonts w:cs="Arial"/>
        </w:rPr>
        <w:t xml:space="preserve"> 2018b)</w:t>
      </w:r>
      <w:r>
        <w:t xml:space="preserve">). The maximum intended use levels for </w:t>
      </w:r>
      <w:r w:rsidR="008435ED">
        <w:t xml:space="preserve">term </w:t>
      </w:r>
      <w:r>
        <w:t xml:space="preserve">infant </w:t>
      </w:r>
      <w:r w:rsidR="00E13D56">
        <w:t xml:space="preserve">formula </w:t>
      </w:r>
      <w:r>
        <w:t xml:space="preserve">and toddler </w:t>
      </w:r>
      <w:r w:rsidR="00E13D56">
        <w:t>formula</w:t>
      </w:r>
      <w:r>
        <w:t xml:space="preserve"> </w:t>
      </w:r>
      <w:r w:rsidRPr="00F87C2D">
        <w:t>is 2 g/L (Jennewein) and 2.4 g/L (FrieslandCampina and Dupont).</w:t>
      </w:r>
    </w:p>
    <w:p w14:paraId="713A10B8" w14:textId="77777777" w:rsidR="00F662F8" w:rsidRDefault="00F662F8" w:rsidP="00514103"/>
    <w:p w14:paraId="24C74B28" w14:textId="1F71AC8E" w:rsidR="00F05027" w:rsidRDefault="00163123" w:rsidP="002F1D8D">
      <w:pPr>
        <w:rPr>
          <w:b/>
          <w:bCs/>
          <w:i/>
          <w:iCs/>
          <w:szCs w:val="22"/>
          <w:lang w:bidi="ar-SA"/>
        </w:rPr>
      </w:pPr>
      <w:r>
        <w:t>‘</w:t>
      </w:r>
      <w:r w:rsidR="00C25579">
        <w:t>N</w:t>
      </w:r>
      <w:r>
        <w:t>o questions’</w:t>
      </w:r>
      <w:r w:rsidR="00F662F8">
        <w:t xml:space="preserve"> responses </w:t>
      </w:r>
      <w:r w:rsidR="009E3047">
        <w:t>were also</w:t>
      </w:r>
      <w:r w:rsidR="00C25579">
        <w:t xml:space="preserve"> issued </w:t>
      </w:r>
      <w:r w:rsidR="0031454D">
        <w:t>for</w:t>
      </w:r>
      <w:r w:rsidR="00F662F8">
        <w:t xml:space="preserve"> </w:t>
      </w:r>
      <w:r>
        <w:t xml:space="preserve">the applicant’s </w:t>
      </w:r>
      <w:r w:rsidR="005D395B" w:rsidRPr="00795B18">
        <w:t>LNnT</w:t>
      </w:r>
      <w:r w:rsidR="005D395B" w:rsidRPr="00795B18">
        <w:rPr>
          <w:vertAlign w:val="subscript"/>
        </w:rPr>
        <w:t>chem &amp; micro</w:t>
      </w:r>
      <w:r w:rsidR="005D395B" w:rsidRPr="00795B18">
        <w:t xml:space="preserve"> </w:t>
      </w:r>
      <w:r w:rsidR="005D395B">
        <w:t>(</w:t>
      </w:r>
      <w:r w:rsidR="00F662F8">
        <w:t xml:space="preserve">GRAS </w:t>
      </w:r>
      <w:r w:rsidR="005D395B">
        <w:t>GRN 547 and 659)</w:t>
      </w:r>
      <w:r>
        <w:t>. T</w:t>
      </w:r>
      <w:r w:rsidR="004A3018" w:rsidRPr="00646A3C">
        <w:t xml:space="preserve">he maximum intended use level </w:t>
      </w:r>
      <w:r w:rsidR="00C25579">
        <w:t xml:space="preserve">of LNnT </w:t>
      </w:r>
      <w:r>
        <w:t>in</w:t>
      </w:r>
      <w:r w:rsidR="00B35A08">
        <w:t xml:space="preserve"> term</w:t>
      </w:r>
      <w:r>
        <w:t xml:space="preserve"> infant</w:t>
      </w:r>
      <w:r w:rsidR="00B35A08">
        <w:t xml:space="preserve"> formula</w:t>
      </w:r>
      <w:r>
        <w:t xml:space="preserve"> and toddler formula’s </w:t>
      </w:r>
      <w:r w:rsidR="004A3018" w:rsidRPr="00646A3C">
        <w:t>is 0.6 g/L.</w:t>
      </w:r>
    </w:p>
    <w:p w14:paraId="799833B2" w14:textId="77777777" w:rsidR="00F84D82" w:rsidRDefault="00F84D82">
      <w:pPr>
        <w:widowControl/>
        <w:rPr>
          <w:b/>
          <w:bCs/>
          <w:i/>
          <w:iCs/>
          <w:szCs w:val="22"/>
          <w:lang w:bidi="ar-SA"/>
        </w:rPr>
      </w:pPr>
      <w:r>
        <w:br w:type="page"/>
      </w:r>
    </w:p>
    <w:p w14:paraId="2984C13E" w14:textId="0B2DDD87" w:rsidR="00153C5B" w:rsidRPr="00201E5C" w:rsidRDefault="002E2F55" w:rsidP="002E2F55">
      <w:pPr>
        <w:pStyle w:val="Heading4"/>
        <w:tabs>
          <w:tab w:val="left" w:pos="851"/>
        </w:tabs>
      </w:pPr>
      <w:r w:rsidRPr="00201E5C">
        <w:t>1.3.</w:t>
      </w:r>
      <w:r w:rsidR="007D7CBF" w:rsidRPr="00201E5C">
        <w:t>2</w:t>
      </w:r>
      <w:r w:rsidRPr="00201E5C">
        <w:t>.4</w:t>
      </w:r>
      <w:r w:rsidRPr="00201E5C">
        <w:tab/>
      </w:r>
      <w:r w:rsidR="00153C5B" w:rsidRPr="00201E5C">
        <w:t>Singapore</w:t>
      </w:r>
    </w:p>
    <w:p w14:paraId="71D3BC7E" w14:textId="1878BF56" w:rsidR="006C2EF2" w:rsidRDefault="009F1095" w:rsidP="00F84D82">
      <w:pPr>
        <w:widowControl/>
      </w:pPr>
      <w:r>
        <w:t>T</w:t>
      </w:r>
      <w:r w:rsidR="00CD2BF0" w:rsidRPr="00CD2BF0">
        <w:t xml:space="preserve">he Agri-Food &amp; Veterinary Authority </w:t>
      </w:r>
      <w:r w:rsidR="00572D06">
        <w:t xml:space="preserve">(now known as the Singapore Food Agency) </w:t>
      </w:r>
      <w:r>
        <w:t xml:space="preserve">granted permission </w:t>
      </w:r>
      <w:r w:rsidR="00131A00">
        <w:t>for the a</w:t>
      </w:r>
      <w:r w:rsidR="00CD2BF0">
        <w:t xml:space="preserve">pplicant’s </w:t>
      </w:r>
      <w:r w:rsidR="009B0882" w:rsidRPr="00CD2BF0">
        <w:t>2</w:t>
      </w:r>
      <w:r w:rsidR="000A17BB">
        <w:t>′</w:t>
      </w:r>
      <w:r w:rsidR="009B0882" w:rsidRPr="00CD2BF0">
        <w:t>-FL</w:t>
      </w:r>
      <w:r w:rsidR="003D4741">
        <w:rPr>
          <w:vertAlign w:val="subscript"/>
        </w:rPr>
        <w:t>micro</w:t>
      </w:r>
      <w:r w:rsidR="009B0882" w:rsidRPr="00CD2BF0">
        <w:t xml:space="preserve"> </w:t>
      </w:r>
      <w:r w:rsidR="00CD2BF0">
        <w:t xml:space="preserve">(up to 1.2 g/L) </w:t>
      </w:r>
      <w:r w:rsidR="009B0882" w:rsidRPr="00CD2BF0">
        <w:t>and LNnT</w:t>
      </w:r>
      <w:r w:rsidR="003D4741">
        <w:rPr>
          <w:vertAlign w:val="subscript"/>
        </w:rPr>
        <w:t>micro</w:t>
      </w:r>
      <w:r w:rsidR="00CD2BF0">
        <w:t xml:space="preserve"> (up to 0.6 g/L)</w:t>
      </w:r>
      <w:r w:rsidR="009B0882" w:rsidRPr="00CD2BF0">
        <w:t xml:space="preserve"> </w:t>
      </w:r>
      <w:r w:rsidR="009B0882" w:rsidRPr="006C2EF2">
        <w:t xml:space="preserve">in </w:t>
      </w:r>
      <w:r w:rsidR="00882A16">
        <w:t xml:space="preserve">infant formula and </w:t>
      </w:r>
      <w:r w:rsidR="006C6924" w:rsidRPr="006C2EF2">
        <w:t xml:space="preserve">follow-on formula </w:t>
      </w:r>
      <w:r w:rsidR="00F127EA" w:rsidRPr="006C2EF2">
        <w:t>(</w:t>
      </w:r>
      <w:r w:rsidR="00E17BDA">
        <w:t>Singapore 2018</w:t>
      </w:r>
      <w:r w:rsidR="00F127EA" w:rsidRPr="006C2EF2">
        <w:t xml:space="preserve">). </w:t>
      </w:r>
      <w:r w:rsidR="006C2EF2" w:rsidRPr="006C2EF2">
        <w:t>According to the application, their use in ‘growing-up milks’ (12 to</w:t>
      </w:r>
      <w:r w:rsidR="00F84D82">
        <w:t xml:space="preserve"> 36 months) is also permitted.</w:t>
      </w:r>
    </w:p>
    <w:p w14:paraId="506411B0" w14:textId="56DA1014" w:rsidR="006C6924" w:rsidRPr="00201E5C" w:rsidRDefault="002E2F55" w:rsidP="003B725D">
      <w:pPr>
        <w:pStyle w:val="Heading4"/>
      </w:pPr>
      <w:r w:rsidRPr="00201E5C">
        <w:t>1.3.</w:t>
      </w:r>
      <w:r w:rsidR="007D7CBF" w:rsidRPr="00201E5C">
        <w:t>2</w:t>
      </w:r>
      <w:r w:rsidR="003B725D" w:rsidRPr="00201E5C">
        <w:t>.5</w:t>
      </w:r>
      <w:r w:rsidR="003B725D" w:rsidRPr="00201E5C">
        <w:tab/>
      </w:r>
      <w:r w:rsidR="006C6924" w:rsidRPr="00201E5C">
        <w:t xml:space="preserve">Israel </w:t>
      </w:r>
    </w:p>
    <w:p w14:paraId="0E5B57FC" w14:textId="33D9E1C7" w:rsidR="00566414" w:rsidRDefault="005106EF" w:rsidP="00566414">
      <w:bookmarkStart w:id="45" w:name="_Toc11247896"/>
      <w:r w:rsidRPr="00CD2BF0">
        <w:t>2</w:t>
      </w:r>
      <w:r>
        <w:t>′</w:t>
      </w:r>
      <w:r w:rsidRPr="00CD2BF0">
        <w:t>-FL</w:t>
      </w:r>
      <w:r>
        <w:rPr>
          <w:vertAlign w:val="subscript"/>
        </w:rPr>
        <w:t>micro</w:t>
      </w:r>
      <w:r w:rsidRPr="00CD2BF0">
        <w:t xml:space="preserve"> </w:t>
      </w:r>
      <w:r w:rsidR="002F344E">
        <w:t xml:space="preserve">and </w:t>
      </w:r>
      <w:r w:rsidRPr="00CD2BF0">
        <w:t>LNnT</w:t>
      </w:r>
      <w:r>
        <w:rPr>
          <w:vertAlign w:val="subscript"/>
        </w:rPr>
        <w:t>micro</w:t>
      </w:r>
      <w:r w:rsidR="008B0B2F" w:rsidRPr="00D60191">
        <w:t xml:space="preserve"> </w:t>
      </w:r>
      <w:r w:rsidR="00FF0480">
        <w:t>are</w:t>
      </w:r>
      <w:r w:rsidR="003519BF">
        <w:t xml:space="preserve"> authorised</w:t>
      </w:r>
      <w:r w:rsidR="003C7CD0">
        <w:t xml:space="preserve"> for use in </w:t>
      </w:r>
      <w:r w:rsidR="006C6924" w:rsidRPr="00BC5D59">
        <w:t>infant formu</w:t>
      </w:r>
      <w:r w:rsidR="001F2637" w:rsidRPr="00BC5D59">
        <w:t>la</w:t>
      </w:r>
      <w:r w:rsidR="00D11EA4">
        <w:t>s</w:t>
      </w:r>
      <w:r w:rsidR="009360C6">
        <w:t xml:space="preserve">, </w:t>
      </w:r>
      <w:r w:rsidR="001F2637" w:rsidRPr="00BC5D59">
        <w:t>follow-on formula</w:t>
      </w:r>
      <w:r w:rsidR="003C7CD0">
        <w:t xml:space="preserve"> </w:t>
      </w:r>
      <w:r w:rsidR="009360C6">
        <w:t>and toddler formula</w:t>
      </w:r>
      <w:r w:rsidR="002F344E">
        <w:t xml:space="preserve">s </w:t>
      </w:r>
      <w:r w:rsidR="002F344E" w:rsidRPr="000C66EC">
        <w:t>(</w:t>
      </w:r>
      <w:r w:rsidR="002F344E">
        <w:t xml:space="preserve">Israel MOH </w:t>
      </w:r>
      <w:r w:rsidR="002F344E" w:rsidRPr="000C66EC">
        <w:t>2017</w:t>
      </w:r>
      <w:r w:rsidR="00E523BA">
        <w:t xml:space="preserve">, </w:t>
      </w:r>
      <w:r w:rsidR="002F344E">
        <w:t>2019). A</w:t>
      </w:r>
      <w:r w:rsidR="003C7CD0">
        <w:t xml:space="preserve"> maximum level of 2 g/L</w:t>
      </w:r>
      <w:r w:rsidR="007E3A0B">
        <w:t xml:space="preserve"> </w:t>
      </w:r>
      <w:r w:rsidR="00B51870">
        <w:t>2′</w:t>
      </w:r>
      <w:r w:rsidR="002F344E">
        <w:t>-FL alone</w:t>
      </w:r>
      <w:r w:rsidR="006932D3">
        <w:t xml:space="preserve">, or 0.6 g/L </w:t>
      </w:r>
      <w:r w:rsidR="00D940F2">
        <w:t xml:space="preserve">LNnT </w:t>
      </w:r>
      <w:r w:rsidR="006932D3">
        <w:t>alone,</w:t>
      </w:r>
      <w:r w:rsidR="002F344E">
        <w:t xml:space="preserve"> is permitted </w:t>
      </w:r>
      <w:r w:rsidR="007E3A0B">
        <w:t>in the final ready-to-use product</w:t>
      </w:r>
      <w:r w:rsidR="002F344E">
        <w:t xml:space="preserve">. Where LNnT is added in combination with </w:t>
      </w:r>
      <w:r w:rsidR="00B51870">
        <w:t>2′</w:t>
      </w:r>
      <w:r w:rsidR="002F344E">
        <w:t xml:space="preserve">-FL, the permitted </w:t>
      </w:r>
      <w:r w:rsidR="003932AD">
        <w:t xml:space="preserve">maximum </w:t>
      </w:r>
      <w:r w:rsidR="002F344E">
        <w:t xml:space="preserve">levels are 0.6 g/L LNnT and 1.2 g/L </w:t>
      </w:r>
      <w:r w:rsidR="00B51870">
        <w:t>2′</w:t>
      </w:r>
      <w:r w:rsidR="002F344E">
        <w:t>-FL at a ratio of 1:2 in the final product.</w:t>
      </w:r>
      <w:bookmarkEnd w:id="45"/>
      <w:r w:rsidR="002F344E">
        <w:t xml:space="preserve"> </w:t>
      </w:r>
      <w:r w:rsidR="001B1A9D">
        <w:t xml:space="preserve"> </w:t>
      </w:r>
      <w:bookmarkStart w:id="46" w:name="_Toc286391007"/>
      <w:bookmarkStart w:id="47" w:name="_Toc525729985"/>
      <w:bookmarkStart w:id="48" w:name="_Toc527018230"/>
      <w:bookmarkStart w:id="49" w:name="_Toc11247897"/>
      <w:bookmarkStart w:id="50" w:name="_Toc300933423"/>
      <w:bookmarkStart w:id="51" w:name="_Toc175381432"/>
    </w:p>
    <w:p w14:paraId="609B54D4" w14:textId="5AB9360C" w:rsidR="00AF387F" w:rsidRPr="004B08D4" w:rsidRDefault="00F33BB8" w:rsidP="00D062E4">
      <w:pPr>
        <w:pStyle w:val="Heading2"/>
        <w:rPr>
          <w:u w:color="FFFF00"/>
        </w:rPr>
      </w:pPr>
      <w:bookmarkStart w:id="52" w:name="_Toc14427190"/>
      <w:r>
        <w:rPr>
          <w:u w:color="FFFF00"/>
        </w:rPr>
        <w:t>1</w:t>
      </w:r>
      <w:r w:rsidR="00606C88">
        <w:rPr>
          <w:u w:color="FFFF00"/>
        </w:rPr>
        <w:t>.4</w:t>
      </w:r>
      <w:r w:rsidR="001542D8">
        <w:rPr>
          <w:u w:color="FFFF00"/>
        </w:rPr>
        <w:tab/>
      </w:r>
      <w:r w:rsidR="00741EFE">
        <w:rPr>
          <w:u w:color="FFFF00"/>
        </w:rPr>
        <w:t xml:space="preserve">Reasons for </w:t>
      </w:r>
      <w:r w:rsidR="00741EFE" w:rsidRPr="004B08D4">
        <w:rPr>
          <w:u w:color="FFFF00"/>
        </w:rPr>
        <w:t xml:space="preserve">accepting </w:t>
      </w:r>
      <w:r w:rsidR="00221FDD">
        <w:rPr>
          <w:u w:color="FFFF00"/>
        </w:rPr>
        <w:t>a</w:t>
      </w:r>
      <w:r w:rsidR="00AF387F" w:rsidRPr="004B08D4">
        <w:rPr>
          <w:u w:color="FFFF00"/>
        </w:rPr>
        <w:t>pplication</w:t>
      </w:r>
      <w:bookmarkEnd w:id="46"/>
      <w:bookmarkEnd w:id="47"/>
      <w:bookmarkEnd w:id="48"/>
      <w:bookmarkEnd w:id="49"/>
      <w:bookmarkEnd w:id="52"/>
      <w:r w:rsidR="00180C41" w:rsidRPr="004B08D4">
        <w:rPr>
          <w:u w:color="FFFF00"/>
        </w:rPr>
        <w:t xml:space="preserve"> </w:t>
      </w:r>
      <w:bookmarkEnd w:id="50"/>
    </w:p>
    <w:p w14:paraId="65DFD7DC" w14:textId="03C3C5D7" w:rsidR="00830414" w:rsidRDefault="00A0385C" w:rsidP="00830414">
      <w:pPr>
        <w:widowControl/>
      </w:pPr>
      <w:bookmarkStart w:id="53" w:name="_Toc286391008"/>
      <w:bookmarkStart w:id="54" w:name="_Toc11735630"/>
      <w:bookmarkStart w:id="55" w:name="_Toc29883114"/>
      <w:bookmarkStart w:id="56" w:name="_Toc41906801"/>
      <w:bookmarkStart w:id="57" w:name="_Toc41907548"/>
      <w:bookmarkStart w:id="58" w:name="_Toc120358578"/>
      <w:bookmarkStart w:id="59" w:name="_Toc175381435"/>
      <w:bookmarkEnd w:id="7"/>
      <w:bookmarkEnd w:id="8"/>
      <w:bookmarkEnd w:id="9"/>
      <w:bookmarkEnd w:id="10"/>
      <w:bookmarkEnd w:id="11"/>
      <w:bookmarkEnd w:id="51"/>
      <w:r>
        <w:t>The a</w:t>
      </w:r>
      <w:r w:rsidR="00830414" w:rsidRPr="00440387">
        <w:t>pplication was accepted for assessment because:</w:t>
      </w:r>
    </w:p>
    <w:p w14:paraId="08896FFF" w14:textId="77777777" w:rsidR="006A0347" w:rsidRPr="00440387" w:rsidRDefault="006A0347" w:rsidP="00830414">
      <w:pPr>
        <w:widowControl/>
      </w:pPr>
    </w:p>
    <w:p w14:paraId="71F907DC" w14:textId="0BC4CE93" w:rsidR="00830414" w:rsidRPr="007D7CBF" w:rsidRDefault="007D7CBF" w:rsidP="00D60191">
      <w:r>
        <w:t>1</w:t>
      </w:r>
      <w:r>
        <w:tab/>
      </w:r>
      <w:r w:rsidR="00830414" w:rsidRPr="007D7CBF">
        <w:t>it complied with the procedural requirements under subsection 22(2)</w:t>
      </w:r>
    </w:p>
    <w:p w14:paraId="79AF7110" w14:textId="3BA651A3" w:rsidR="00830414" w:rsidRPr="007D7CBF" w:rsidRDefault="007D7CBF" w:rsidP="00892F9F">
      <w:r>
        <w:t>2</w:t>
      </w:r>
      <w:r>
        <w:tab/>
        <w:t>i</w:t>
      </w:r>
      <w:r w:rsidR="00830414" w:rsidRPr="007D7CBF">
        <w:t>t warranted the variation of a food regulatory measure.</w:t>
      </w:r>
    </w:p>
    <w:p w14:paraId="52FC64F2" w14:textId="54EC44E0" w:rsidR="00DE79D9" w:rsidRDefault="00D3171B" w:rsidP="00DE79D9">
      <w:pPr>
        <w:pStyle w:val="Heading2"/>
      </w:pPr>
      <w:bookmarkStart w:id="60" w:name="_Toc525729986"/>
      <w:bookmarkStart w:id="61" w:name="_Toc527018231"/>
      <w:bookmarkStart w:id="62" w:name="_Toc11247898"/>
      <w:bookmarkStart w:id="63" w:name="_Toc14427191"/>
      <w:r>
        <w:t>1</w:t>
      </w:r>
      <w:r w:rsidR="00606C88">
        <w:t>.5</w:t>
      </w:r>
      <w:r w:rsidR="00DE79D9">
        <w:tab/>
        <w:t>Procedure for assessment</w:t>
      </w:r>
      <w:bookmarkEnd w:id="60"/>
      <w:bookmarkEnd w:id="61"/>
      <w:bookmarkEnd w:id="62"/>
      <w:bookmarkEnd w:id="63"/>
    </w:p>
    <w:p w14:paraId="2A02007D" w14:textId="152F10FF" w:rsidR="00022FA1" w:rsidRDefault="00F74DEF" w:rsidP="00DE79D9">
      <w:r w:rsidRPr="00AC782C">
        <w:t xml:space="preserve">The </w:t>
      </w:r>
      <w:r>
        <w:t>application</w:t>
      </w:r>
      <w:r w:rsidRPr="00AC782C">
        <w:t xml:space="preserve"> is being assessed under the Major </w:t>
      </w:r>
      <w:r w:rsidR="0070231C">
        <w:t>p</w:t>
      </w:r>
      <w:r w:rsidRPr="00AC782C">
        <w:t>rocedure</w:t>
      </w:r>
      <w:r>
        <w:rPr>
          <w:rStyle w:val="FootnoteReference"/>
        </w:rPr>
        <w:footnoteReference w:id="11"/>
      </w:r>
      <w:r>
        <w:t xml:space="preserve">. </w:t>
      </w:r>
    </w:p>
    <w:p w14:paraId="765A412B" w14:textId="77777777" w:rsidR="00022FA1" w:rsidRDefault="00022FA1" w:rsidP="00DE79D9"/>
    <w:p w14:paraId="7FE3F02A" w14:textId="29774A14" w:rsidR="003E3CC7" w:rsidRPr="003E3CC7" w:rsidRDefault="00022FA1" w:rsidP="00022FA1">
      <w:r>
        <w:t xml:space="preserve">FSANZ extended the consideration period </w:t>
      </w:r>
      <w:r w:rsidR="00A0385C">
        <w:t>for the a</w:t>
      </w:r>
      <w:r w:rsidR="003E3CC7">
        <w:t>pplication</w:t>
      </w:r>
      <w:r>
        <w:t xml:space="preserve"> </w:t>
      </w:r>
      <w:r w:rsidR="00DE7538">
        <w:t xml:space="preserve">by 6 months </w:t>
      </w:r>
      <w:r w:rsidR="003E3CC7">
        <w:t>under s</w:t>
      </w:r>
      <w:r>
        <w:t xml:space="preserve">ubsection 109(4) of the </w:t>
      </w:r>
      <w:r>
        <w:rPr>
          <w:i/>
        </w:rPr>
        <w:t xml:space="preserve">Food Standards Australia New Zealand Act </w:t>
      </w:r>
      <w:r w:rsidRPr="00A0385C">
        <w:rPr>
          <w:i/>
        </w:rPr>
        <w:t>1991</w:t>
      </w:r>
      <w:r>
        <w:t>.</w:t>
      </w:r>
      <w:r w:rsidR="003E3CC7">
        <w:t xml:space="preserve"> </w:t>
      </w:r>
      <w:r w:rsidR="00A0385C">
        <w:t>We</w:t>
      </w:r>
      <w:r w:rsidR="003E3CC7">
        <w:t xml:space="preserve"> determined that it was n</w:t>
      </w:r>
      <w:r w:rsidR="00A0385C">
        <w:t>ot practicable to consider the a</w:t>
      </w:r>
      <w:r w:rsidR="003E3CC7">
        <w:t xml:space="preserve">pplication within the 12 month consideration period (for a Major </w:t>
      </w:r>
      <w:r w:rsidR="0070231C">
        <w:t>p</w:t>
      </w:r>
      <w:r w:rsidR="00F74DEF">
        <w:t>rocedure</w:t>
      </w:r>
      <w:r w:rsidR="00A0385C">
        <w:t>) due to its complexity</w:t>
      </w:r>
      <w:r w:rsidR="003E3CC7">
        <w:t xml:space="preserve">. </w:t>
      </w:r>
    </w:p>
    <w:p w14:paraId="62D1ADD0" w14:textId="77777777" w:rsidR="00DE79D9" w:rsidRPr="00D062E4" w:rsidRDefault="00DE79D9" w:rsidP="00180C41"/>
    <w:p w14:paraId="2892701A" w14:textId="4F997BCF" w:rsidR="00D3171B" w:rsidRPr="004B08D4" w:rsidRDefault="00D3171B" w:rsidP="004B08D4">
      <w:pPr>
        <w:pStyle w:val="Heading1"/>
      </w:pPr>
      <w:bookmarkStart w:id="64" w:name="_Toc300933424"/>
      <w:bookmarkStart w:id="65" w:name="_Toc525729987"/>
      <w:bookmarkStart w:id="66" w:name="_Toc527018232"/>
      <w:bookmarkStart w:id="67" w:name="_Toc11247899"/>
      <w:bookmarkStart w:id="68" w:name="_Toc14427192"/>
      <w:r>
        <w:t>2</w:t>
      </w:r>
      <w:r w:rsidR="001542D8">
        <w:tab/>
      </w:r>
      <w:r w:rsidR="00350DBD">
        <w:t>S</w:t>
      </w:r>
      <w:r w:rsidR="00FB1533">
        <w:t>ummary of the a</w:t>
      </w:r>
      <w:r w:rsidR="00FD2FBE">
        <w:t>ssessment</w:t>
      </w:r>
      <w:bookmarkStart w:id="69" w:name="_Toc300933438"/>
      <w:bookmarkStart w:id="70" w:name="_Toc286391009"/>
      <w:bookmarkStart w:id="71" w:name="_Toc300933425"/>
      <w:bookmarkStart w:id="72" w:name="_Toc120358583"/>
      <w:bookmarkStart w:id="73" w:name="_Toc175381440"/>
      <w:bookmarkEnd w:id="53"/>
      <w:bookmarkEnd w:id="64"/>
      <w:bookmarkEnd w:id="65"/>
      <w:bookmarkEnd w:id="66"/>
      <w:bookmarkEnd w:id="67"/>
      <w:bookmarkEnd w:id="69"/>
      <w:bookmarkEnd w:id="68"/>
    </w:p>
    <w:p w14:paraId="41477699" w14:textId="77777777" w:rsidR="00934E2E" w:rsidRPr="00330E58" w:rsidRDefault="00934E2E" w:rsidP="00934E2E">
      <w:pPr>
        <w:pStyle w:val="Heading2"/>
      </w:pPr>
      <w:bookmarkStart w:id="74" w:name="_Toc425174935"/>
      <w:bookmarkStart w:id="75" w:name="_Toc11247900"/>
      <w:bookmarkStart w:id="76" w:name="_Toc14427193"/>
      <w:bookmarkStart w:id="77" w:name="_Toc525729988"/>
      <w:bookmarkStart w:id="78" w:name="_Toc527018233"/>
      <w:r w:rsidRPr="00FC04F8">
        <w:t>2.1</w:t>
      </w:r>
      <w:r w:rsidRPr="00FC04F8">
        <w:tab/>
      </w:r>
      <w:r w:rsidRPr="00330E58">
        <w:t>Summary of issues raised in submissions</w:t>
      </w:r>
      <w:bookmarkEnd w:id="74"/>
      <w:bookmarkEnd w:id="75"/>
      <w:bookmarkEnd w:id="76"/>
    </w:p>
    <w:p w14:paraId="382D46E9" w14:textId="4A238392" w:rsidR="00FC04F8" w:rsidRPr="00330E58" w:rsidRDefault="00FC04F8" w:rsidP="00FC04F8">
      <w:r w:rsidRPr="00330E58">
        <w:t>A total of 12 submissions were received to the 1</w:t>
      </w:r>
      <w:r w:rsidRPr="00330E58">
        <w:rPr>
          <w:vertAlign w:val="superscript"/>
        </w:rPr>
        <w:t>st</w:t>
      </w:r>
      <w:r w:rsidRPr="00330E58">
        <w:t xml:space="preserve"> CFS, </w:t>
      </w:r>
      <w:r w:rsidR="000F276B" w:rsidRPr="00330E58">
        <w:t>five</w:t>
      </w:r>
      <w:r w:rsidRPr="00330E58">
        <w:t xml:space="preserve"> from jurisdictions and </w:t>
      </w:r>
      <w:r w:rsidR="00456C6E" w:rsidRPr="00330E58">
        <w:t>seven from</w:t>
      </w:r>
      <w:r w:rsidRPr="00330E58">
        <w:t xml:space="preserve"> industry (includ</w:t>
      </w:r>
      <w:r w:rsidR="000F276B" w:rsidRPr="00330E58">
        <w:t>ing</w:t>
      </w:r>
      <w:r w:rsidR="00675CA6" w:rsidRPr="00330E58">
        <w:t xml:space="preserve"> one late industry submitter).</w:t>
      </w:r>
    </w:p>
    <w:p w14:paraId="3C063003" w14:textId="77777777" w:rsidR="00FC04F8" w:rsidRPr="00330E58" w:rsidRDefault="00FC04F8" w:rsidP="00FC04F8"/>
    <w:p w14:paraId="546CC073" w14:textId="7520615F" w:rsidR="00FC04F8" w:rsidRPr="00330E58" w:rsidRDefault="00FC04F8" w:rsidP="00FC04F8">
      <w:r w:rsidRPr="00330E58">
        <w:t xml:space="preserve">Industry submitters supported the proposed voluntary addition of </w:t>
      </w:r>
      <w:r w:rsidR="00B51870" w:rsidRPr="00330E58">
        <w:t>2′</w:t>
      </w:r>
      <w:r w:rsidRPr="00330E58">
        <w:t>-FL alone or with LNnT to infant formula products and FSFYC.</w:t>
      </w:r>
    </w:p>
    <w:p w14:paraId="6B1FE20D" w14:textId="77777777" w:rsidR="00FC04F8" w:rsidRPr="00330E58" w:rsidRDefault="00FC04F8" w:rsidP="00FC04F8"/>
    <w:p w14:paraId="41300A9A" w14:textId="3DE020A7" w:rsidR="00FC04F8" w:rsidRPr="00330E58" w:rsidRDefault="00FC04F8" w:rsidP="00FC04F8">
      <w:r w:rsidRPr="00330E58">
        <w:t>Many of the jurisdiction submitters raised concerns about the proposed addition to inf</w:t>
      </w:r>
      <w:r w:rsidR="00675CA6" w:rsidRPr="00330E58">
        <w:t>ant formula products and FSFYC.</w:t>
      </w:r>
    </w:p>
    <w:p w14:paraId="6B1395C7" w14:textId="77777777" w:rsidR="00FC04F8" w:rsidRPr="00330E58" w:rsidRDefault="00FC04F8" w:rsidP="00FC04F8"/>
    <w:p w14:paraId="69F43E29" w14:textId="6965D958" w:rsidR="00496848" w:rsidRDefault="00FC04F8" w:rsidP="00FC04F8">
      <w:pPr>
        <w:rPr>
          <w:lang w:val="en-AU"/>
        </w:rPr>
      </w:pPr>
      <w:r w:rsidRPr="00330E58">
        <w:rPr>
          <w:lang w:val="en-AU"/>
        </w:rPr>
        <w:t>The following table summarises the issues raised in submissions and FSANZ’s response</w:t>
      </w:r>
      <w:r w:rsidR="00496848" w:rsidRPr="00330E58">
        <w:rPr>
          <w:lang w:val="en-AU"/>
        </w:rPr>
        <w:t>.</w:t>
      </w:r>
    </w:p>
    <w:p w14:paraId="61F1486F" w14:textId="773F5DC6" w:rsidR="004D7999" w:rsidRDefault="004D7999" w:rsidP="008D64B7"/>
    <w:p w14:paraId="03C1767B" w14:textId="77777777" w:rsidR="008D64B7" w:rsidRPr="008D64B7" w:rsidRDefault="008D64B7" w:rsidP="008D64B7">
      <w:pPr>
        <w:sectPr w:rsidR="008D64B7" w:rsidRPr="008D64B7" w:rsidSect="00AA1DEB">
          <w:pgSz w:w="11906" w:h="16838"/>
          <w:pgMar w:top="1418" w:right="1418" w:bottom="1134" w:left="1418" w:header="709" w:footer="709" w:gutter="0"/>
          <w:pgNumType w:start="1"/>
          <w:cols w:space="708"/>
          <w:docGrid w:linePitch="360"/>
        </w:sectPr>
      </w:pPr>
    </w:p>
    <w:p w14:paraId="6D9DA50B" w14:textId="4C61E093" w:rsidR="00934E2E" w:rsidRDefault="00934E2E" w:rsidP="00934E2E">
      <w:pPr>
        <w:pStyle w:val="FSTableTitle"/>
      </w:pPr>
      <w:r>
        <w:t xml:space="preserve">Table 1: Summary of issues </w:t>
      </w:r>
    </w:p>
    <w:p w14:paraId="1FCD4BEF" w14:textId="77777777" w:rsidR="00865BA6" w:rsidRDefault="00865BA6" w:rsidP="00934E2E"/>
    <w:tbl>
      <w:tblPr>
        <w:tblStyle w:val="TableGrid"/>
        <w:tblW w:w="5000" w:type="pct"/>
        <w:tblLook w:val="04A0" w:firstRow="1" w:lastRow="0" w:firstColumn="1" w:lastColumn="0" w:noHBand="0" w:noVBand="1"/>
        <w:tblCaption w:val="Summary of issues raised in submissions"/>
        <w:tblDescription w:val="A summary of issues raised to Food Standards Australia New Zealand's (FSANZ) first call for submissions. The first column of the table summaries each issue, the second column identifies who raised the issue, and the third column provides FSANZ's response."/>
      </w:tblPr>
      <w:tblGrid>
        <w:gridCol w:w="4956"/>
        <w:gridCol w:w="2410"/>
        <w:gridCol w:w="6910"/>
      </w:tblGrid>
      <w:tr w:rsidR="00865BA6" w:rsidRPr="00865BA6" w14:paraId="4D172209" w14:textId="77777777" w:rsidTr="00865BA6">
        <w:trPr>
          <w:tblHeader/>
        </w:trPr>
        <w:tc>
          <w:tcPr>
            <w:tcW w:w="1736" w:type="pct"/>
            <w:shd w:val="clear" w:color="auto" w:fill="9BBB59" w:themeFill="accent3"/>
          </w:tcPr>
          <w:p w14:paraId="638CA80B" w14:textId="77777777" w:rsidR="004D7999" w:rsidRPr="00865BA6" w:rsidRDefault="004D7999" w:rsidP="005F2E79">
            <w:pPr>
              <w:rPr>
                <w:rFonts w:cs="Arial"/>
                <w:b/>
                <w:color w:val="FFFFFF" w:themeColor="background1"/>
                <w:sz w:val="20"/>
                <w:szCs w:val="20"/>
              </w:rPr>
            </w:pPr>
            <w:r w:rsidRPr="00865BA6">
              <w:rPr>
                <w:rFonts w:cs="Arial"/>
                <w:b/>
                <w:color w:val="FFFFFF" w:themeColor="background1"/>
                <w:sz w:val="20"/>
                <w:szCs w:val="20"/>
              </w:rPr>
              <w:t>Issue</w:t>
            </w:r>
          </w:p>
        </w:tc>
        <w:tc>
          <w:tcPr>
            <w:tcW w:w="844" w:type="pct"/>
            <w:shd w:val="clear" w:color="auto" w:fill="9BBB59" w:themeFill="accent3"/>
          </w:tcPr>
          <w:p w14:paraId="26178E0E" w14:textId="096C0D7C" w:rsidR="004D7999" w:rsidRPr="00865BA6" w:rsidRDefault="004D7999" w:rsidP="005F2E79">
            <w:pPr>
              <w:rPr>
                <w:rFonts w:cs="Arial"/>
                <w:b/>
                <w:color w:val="FFFFFF" w:themeColor="background1"/>
                <w:sz w:val="20"/>
                <w:szCs w:val="20"/>
              </w:rPr>
            </w:pPr>
            <w:r w:rsidRPr="00865BA6">
              <w:rPr>
                <w:rFonts w:cs="Arial"/>
                <w:b/>
                <w:color w:val="FFFFFF" w:themeColor="background1"/>
                <w:sz w:val="20"/>
                <w:szCs w:val="20"/>
              </w:rPr>
              <w:t>Raised by</w:t>
            </w:r>
          </w:p>
        </w:tc>
        <w:tc>
          <w:tcPr>
            <w:tcW w:w="2420" w:type="pct"/>
            <w:shd w:val="clear" w:color="auto" w:fill="9BBB59" w:themeFill="accent3"/>
          </w:tcPr>
          <w:p w14:paraId="05E2139D" w14:textId="176C10FF" w:rsidR="004D7999" w:rsidRPr="00865BA6" w:rsidRDefault="004D7999" w:rsidP="005F2E79">
            <w:pPr>
              <w:rPr>
                <w:rFonts w:cs="Arial"/>
                <w:b/>
                <w:color w:val="FFFFFF" w:themeColor="background1"/>
                <w:sz w:val="20"/>
                <w:szCs w:val="20"/>
              </w:rPr>
            </w:pPr>
            <w:r w:rsidRPr="00865BA6">
              <w:rPr>
                <w:rFonts w:cs="Arial"/>
                <w:b/>
                <w:color w:val="FFFFFF" w:themeColor="background1"/>
                <w:sz w:val="20"/>
                <w:szCs w:val="20"/>
              </w:rPr>
              <w:t>FSANZ response</w:t>
            </w:r>
          </w:p>
        </w:tc>
      </w:tr>
      <w:tr w:rsidR="008D64B7" w:rsidRPr="00426B41" w14:paraId="1210E960" w14:textId="77777777" w:rsidTr="004D7999">
        <w:tc>
          <w:tcPr>
            <w:tcW w:w="1736" w:type="pct"/>
          </w:tcPr>
          <w:p w14:paraId="64925A68" w14:textId="622BD208" w:rsidR="008D64B7" w:rsidRDefault="008D64B7" w:rsidP="008D64B7">
            <w:pPr>
              <w:rPr>
                <w:rFonts w:cs="Arial"/>
                <w:b/>
                <w:color w:val="FF0000"/>
                <w:sz w:val="20"/>
                <w:szCs w:val="20"/>
              </w:rPr>
            </w:pPr>
            <w:r w:rsidRPr="00B36990">
              <w:rPr>
                <w:rFonts w:cs="Arial"/>
                <w:b/>
                <w:sz w:val="20"/>
                <w:szCs w:val="20"/>
              </w:rPr>
              <w:t>Beneficial health effects</w:t>
            </w:r>
          </w:p>
        </w:tc>
        <w:tc>
          <w:tcPr>
            <w:tcW w:w="844" w:type="pct"/>
          </w:tcPr>
          <w:p w14:paraId="5DA346DC" w14:textId="77777777" w:rsidR="008D64B7" w:rsidRPr="00084B50" w:rsidRDefault="008D64B7" w:rsidP="008D64B7">
            <w:pPr>
              <w:rPr>
                <w:rFonts w:cs="Arial"/>
                <w:sz w:val="20"/>
                <w:szCs w:val="20"/>
              </w:rPr>
            </w:pPr>
          </w:p>
        </w:tc>
        <w:tc>
          <w:tcPr>
            <w:tcW w:w="2420" w:type="pct"/>
          </w:tcPr>
          <w:p w14:paraId="5BE24228" w14:textId="584B7747" w:rsidR="008D64B7" w:rsidRDefault="008D64B7" w:rsidP="008D64B7">
            <w:pPr>
              <w:rPr>
                <w:rFonts w:cs="Arial"/>
                <w:sz w:val="20"/>
                <w:szCs w:val="20"/>
              </w:rPr>
            </w:pPr>
          </w:p>
        </w:tc>
      </w:tr>
      <w:tr w:rsidR="008D64B7" w:rsidRPr="00426B41" w14:paraId="5B82B8B5" w14:textId="77777777" w:rsidTr="00865BA6">
        <w:tc>
          <w:tcPr>
            <w:tcW w:w="1736" w:type="pct"/>
            <w:shd w:val="clear" w:color="auto" w:fill="EAF1DD" w:themeFill="accent3" w:themeFillTint="33"/>
          </w:tcPr>
          <w:p w14:paraId="72782AF3" w14:textId="110F0286" w:rsidR="008D64B7" w:rsidRPr="00426B41" w:rsidRDefault="008D64B7" w:rsidP="008D64B7">
            <w:pPr>
              <w:rPr>
                <w:rFonts w:cs="Arial"/>
                <w:b/>
                <w:color w:val="FF0000"/>
                <w:sz w:val="20"/>
                <w:szCs w:val="20"/>
              </w:rPr>
            </w:pPr>
            <w:r>
              <w:rPr>
                <w:rFonts w:cs="Arial"/>
                <w:sz w:val="20"/>
                <w:szCs w:val="20"/>
              </w:rPr>
              <w:t>Addition to infant formula products</w:t>
            </w:r>
            <w:r w:rsidRPr="00426B41">
              <w:rPr>
                <w:rFonts w:cs="Arial"/>
                <w:sz w:val="20"/>
                <w:szCs w:val="20"/>
              </w:rPr>
              <w:t xml:space="preserve"> </w:t>
            </w:r>
            <w:r>
              <w:rPr>
                <w:rFonts w:cs="Arial"/>
                <w:sz w:val="20"/>
                <w:szCs w:val="20"/>
              </w:rPr>
              <w:t xml:space="preserve">is not consistent with the </w:t>
            </w:r>
            <w:r w:rsidRPr="00426B41">
              <w:rPr>
                <w:rFonts w:cs="Arial"/>
                <w:sz w:val="20"/>
                <w:szCs w:val="20"/>
              </w:rPr>
              <w:t xml:space="preserve">Ministerial Policy Guideline </w:t>
            </w:r>
            <w:r>
              <w:rPr>
                <w:rFonts w:cs="Arial"/>
                <w:sz w:val="20"/>
                <w:szCs w:val="20"/>
              </w:rPr>
              <w:t xml:space="preserve">for the </w:t>
            </w:r>
            <w:r w:rsidRPr="00364B68">
              <w:rPr>
                <w:rFonts w:cs="Arial"/>
                <w:sz w:val="20"/>
                <w:szCs w:val="20"/>
              </w:rPr>
              <w:t>Regulation of Infant Formula Products</w:t>
            </w:r>
            <w:r>
              <w:rPr>
                <w:rFonts w:cs="Arial"/>
                <w:sz w:val="20"/>
                <w:szCs w:val="20"/>
              </w:rPr>
              <w:t xml:space="preserve"> </w:t>
            </w:r>
            <w:r w:rsidRPr="00426B41">
              <w:rPr>
                <w:rFonts w:cs="Arial"/>
                <w:sz w:val="20"/>
                <w:szCs w:val="20"/>
              </w:rPr>
              <w:t>in relation to ‘substantiated beneficial role’</w:t>
            </w:r>
            <w:r>
              <w:rPr>
                <w:rFonts w:cs="Arial"/>
                <w:sz w:val="20"/>
                <w:szCs w:val="20"/>
              </w:rPr>
              <w:t xml:space="preserve"> and ‘appropriate evidence’</w:t>
            </w:r>
            <w:r w:rsidRPr="00426B41">
              <w:rPr>
                <w:rFonts w:cs="Arial"/>
                <w:sz w:val="20"/>
                <w:szCs w:val="20"/>
              </w:rPr>
              <w:t xml:space="preserve"> (specific policy principle j). The evidence provided for </w:t>
            </w:r>
            <w:r w:rsidR="004D6362">
              <w:rPr>
                <w:rFonts w:cs="Arial"/>
                <w:sz w:val="20"/>
                <w:szCs w:val="20"/>
              </w:rPr>
              <w:t xml:space="preserve">the </w:t>
            </w:r>
            <w:r w:rsidRPr="00426B41">
              <w:rPr>
                <w:rFonts w:cs="Arial"/>
                <w:sz w:val="20"/>
                <w:szCs w:val="20"/>
              </w:rPr>
              <w:t xml:space="preserve">bifidogenic </w:t>
            </w:r>
            <w:r w:rsidR="004D6362">
              <w:rPr>
                <w:rFonts w:cs="Arial"/>
                <w:sz w:val="20"/>
                <w:szCs w:val="20"/>
              </w:rPr>
              <w:t xml:space="preserve">effect </w:t>
            </w:r>
            <w:r w:rsidRPr="00426B41">
              <w:rPr>
                <w:rFonts w:cs="Arial"/>
                <w:sz w:val="20"/>
                <w:szCs w:val="20"/>
              </w:rPr>
              <w:t>and a</w:t>
            </w:r>
            <w:r w:rsidR="004D6362">
              <w:rPr>
                <w:rFonts w:cs="Arial"/>
                <w:sz w:val="20"/>
                <w:szCs w:val="20"/>
              </w:rPr>
              <w:t xml:space="preserve">nti-infective effect against invasive </w:t>
            </w:r>
            <w:r w:rsidR="004D6362" w:rsidRPr="004D6362">
              <w:rPr>
                <w:i/>
                <w:sz w:val="20"/>
                <w:szCs w:val="20"/>
              </w:rPr>
              <w:t>Campylobacter jejuni (C. jejuni)</w:t>
            </w:r>
            <w:r w:rsidRPr="004D6362">
              <w:rPr>
                <w:rFonts w:cs="Arial"/>
                <w:sz w:val="20"/>
                <w:szCs w:val="20"/>
              </w:rPr>
              <w:t>, based on a plausible relationship, is insufficient</w:t>
            </w:r>
            <w:r w:rsidRPr="00426B41">
              <w:rPr>
                <w:rFonts w:cs="Arial"/>
                <w:sz w:val="20"/>
                <w:szCs w:val="20"/>
              </w:rPr>
              <w:t xml:space="preserve"> to meet the policy requirements.</w:t>
            </w:r>
          </w:p>
        </w:tc>
        <w:tc>
          <w:tcPr>
            <w:tcW w:w="844" w:type="pct"/>
            <w:shd w:val="clear" w:color="auto" w:fill="EAF1DD" w:themeFill="accent3" w:themeFillTint="33"/>
          </w:tcPr>
          <w:p w14:paraId="354FD0ED" w14:textId="77777777" w:rsidR="008D64B7" w:rsidRPr="00084B50" w:rsidRDefault="008D64B7" w:rsidP="008D64B7">
            <w:pPr>
              <w:rPr>
                <w:rFonts w:cs="Arial"/>
                <w:sz w:val="20"/>
                <w:szCs w:val="20"/>
              </w:rPr>
            </w:pPr>
            <w:r w:rsidRPr="00084B50">
              <w:rPr>
                <w:rFonts w:cs="Arial"/>
                <w:sz w:val="20"/>
                <w:szCs w:val="20"/>
              </w:rPr>
              <w:t>DHHS &amp; DJPR Vic</w:t>
            </w:r>
          </w:p>
          <w:p w14:paraId="520EE4A5" w14:textId="77777777" w:rsidR="008D64B7" w:rsidRPr="00084B50" w:rsidRDefault="008D64B7" w:rsidP="008D64B7">
            <w:pPr>
              <w:rPr>
                <w:rFonts w:cs="Arial"/>
                <w:sz w:val="20"/>
                <w:szCs w:val="20"/>
              </w:rPr>
            </w:pPr>
            <w:r w:rsidRPr="00084B50">
              <w:rPr>
                <w:rFonts w:cs="Arial"/>
                <w:sz w:val="20"/>
                <w:szCs w:val="20"/>
              </w:rPr>
              <w:t>NSWFA</w:t>
            </w:r>
          </w:p>
          <w:p w14:paraId="206671E6" w14:textId="70799B75" w:rsidR="008D64B7" w:rsidRPr="00084B50" w:rsidRDefault="00FF0480" w:rsidP="008D64B7">
            <w:pPr>
              <w:rPr>
                <w:rFonts w:cs="Arial"/>
                <w:sz w:val="20"/>
                <w:szCs w:val="20"/>
              </w:rPr>
            </w:pPr>
            <w:r>
              <w:rPr>
                <w:rFonts w:cs="Arial"/>
                <w:sz w:val="20"/>
                <w:szCs w:val="20"/>
              </w:rPr>
              <w:t>QLD</w:t>
            </w:r>
            <w:r w:rsidR="008D64B7" w:rsidRPr="00084B50">
              <w:rPr>
                <w:rFonts w:cs="Arial"/>
                <w:sz w:val="20"/>
                <w:szCs w:val="20"/>
              </w:rPr>
              <w:t xml:space="preserve"> Health</w:t>
            </w:r>
          </w:p>
          <w:p w14:paraId="07148E10" w14:textId="152C43DF" w:rsidR="008D64B7" w:rsidRPr="00084B50" w:rsidRDefault="008D64B7" w:rsidP="008D64B7">
            <w:pPr>
              <w:rPr>
                <w:rFonts w:cs="Arial"/>
                <w:sz w:val="20"/>
                <w:szCs w:val="20"/>
              </w:rPr>
            </w:pPr>
            <w:r w:rsidRPr="00084B50">
              <w:rPr>
                <w:rFonts w:cs="Arial"/>
                <w:sz w:val="20"/>
                <w:szCs w:val="20"/>
              </w:rPr>
              <w:t>SA Health</w:t>
            </w:r>
          </w:p>
        </w:tc>
        <w:tc>
          <w:tcPr>
            <w:tcW w:w="2420" w:type="pct"/>
            <w:shd w:val="clear" w:color="auto" w:fill="EAF1DD" w:themeFill="accent3" w:themeFillTint="33"/>
          </w:tcPr>
          <w:p w14:paraId="638213CB" w14:textId="3D56912D" w:rsidR="008D64B7" w:rsidRDefault="008D64B7" w:rsidP="008D64B7">
            <w:pPr>
              <w:rPr>
                <w:rFonts w:cs="Arial"/>
                <w:sz w:val="20"/>
                <w:szCs w:val="20"/>
              </w:rPr>
            </w:pPr>
            <w:r w:rsidRPr="00737BC9">
              <w:rPr>
                <w:rFonts w:cs="Arial"/>
                <w:sz w:val="20"/>
                <w:szCs w:val="20"/>
              </w:rPr>
              <w:t xml:space="preserve">In assessing </w:t>
            </w:r>
            <w:r w:rsidR="00172813">
              <w:rPr>
                <w:rFonts w:cs="Arial"/>
                <w:sz w:val="20"/>
                <w:szCs w:val="20"/>
              </w:rPr>
              <w:t xml:space="preserve">the </w:t>
            </w:r>
            <w:r w:rsidR="00D56857">
              <w:rPr>
                <w:rFonts w:cs="Arial"/>
                <w:sz w:val="20"/>
                <w:szCs w:val="20"/>
              </w:rPr>
              <w:t xml:space="preserve">proposed </w:t>
            </w:r>
            <w:r w:rsidR="00A25DB9">
              <w:rPr>
                <w:rFonts w:cs="Arial"/>
                <w:sz w:val="20"/>
                <w:szCs w:val="20"/>
              </w:rPr>
              <w:t xml:space="preserve">voluntary </w:t>
            </w:r>
            <w:r w:rsidR="00D56857">
              <w:rPr>
                <w:rFonts w:cs="Arial"/>
                <w:sz w:val="20"/>
                <w:szCs w:val="20"/>
              </w:rPr>
              <w:t xml:space="preserve">addition of </w:t>
            </w:r>
            <w:r w:rsidR="00B51870">
              <w:rPr>
                <w:rFonts w:cs="Arial"/>
                <w:sz w:val="20"/>
                <w:szCs w:val="20"/>
              </w:rPr>
              <w:t>2′</w:t>
            </w:r>
            <w:r w:rsidR="00D56857">
              <w:rPr>
                <w:rFonts w:cs="Arial"/>
                <w:sz w:val="20"/>
                <w:szCs w:val="20"/>
              </w:rPr>
              <w:t>-FL and LNnT to infant formula products</w:t>
            </w:r>
            <w:r w:rsidRPr="00737BC9">
              <w:rPr>
                <w:rFonts w:cs="Arial"/>
                <w:sz w:val="20"/>
                <w:szCs w:val="20"/>
              </w:rPr>
              <w:t xml:space="preserve">, FSANZ’s first order priority was to ensure there are no public health and safety risks </w:t>
            </w:r>
            <w:r>
              <w:rPr>
                <w:rFonts w:cs="Arial"/>
                <w:sz w:val="20"/>
                <w:szCs w:val="20"/>
              </w:rPr>
              <w:t xml:space="preserve">in accordance with subsection 18(1) of the FSANZ Act. FSANZ has also </w:t>
            </w:r>
            <w:r w:rsidRPr="00652F5B">
              <w:rPr>
                <w:rFonts w:cs="Arial"/>
                <w:i/>
                <w:sz w:val="20"/>
                <w:szCs w:val="20"/>
              </w:rPr>
              <w:t>had regard to</w:t>
            </w:r>
            <w:r w:rsidR="007D0D99">
              <w:rPr>
                <w:rFonts w:cs="Arial"/>
                <w:sz w:val="20"/>
                <w:szCs w:val="20"/>
              </w:rPr>
              <w:t xml:space="preserve"> </w:t>
            </w:r>
            <w:r w:rsidR="005558F4">
              <w:rPr>
                <w:rFonts w:cs="Arial"/>
                <w:sz w:val="20"/>
                <w:szCs w:val="20"/>
              </w:rPr>
              <w:t xml:space="preserve">the relevant policy guideline </w:t>
            </w:r>
            <w:r>
              <w:rPr>
                <w:rFonts w:cs="Arial"/>
                <w:sz w:val="20"/>
                <w:szCs w:val="20"/>
              </w:rPr>
              <w:t>in</w:t>
            </w:r>
            <w:r w:rsidR="005558F4">
              <w:rPr>
                <w:rFonts w:cs="Arial"/>
                <w:sz w:val="20"/>
                <w:szCs w:val="20"/>
              </w:rPr>
              <w:t xml:space="preserve"> accordance with</w:t>
            </w:r>
            <w:r>
              <w:rPr>
                <w:rFonts w:cs="Arial"/>
                <w:sz w:val="20"/>
                <w:szCs w:val="20"/>
              </w:rPr>
              <w:t xml:space="preserve"> subsection 18(2) of the Act, </w:t>
            </w:r>
            <w:r w:rsidR="005558F4">
              <w:rPr>
                <w:rFonts w:cs="Arial"/>
                <w:sz w:val="20"/>
                <w:szCs w:val="20"/>
              </w:rPr>
              <w:t xml:space="preserve">as well as, </w:t>
            </w:r>
            <w:r>
              <w:rPr>
                <w:rFonts w:cs="Arial"/>
                <w:sz w:val="20"/>
                <w:szCs w:val="20"/>
              </w:rPr>
              <w:t>bes</w:t>
            </w:r>
            <w:r w:rsidRPr="00737BC9">
              <w:rPr>
                <w:rFonts w:cs="Arial"/>
                <w:sz w:val="20"/>
                <w:szCs w:val="20"/>
              </w:rPr>
              <w:t xml:space="preserve">t available science, </w:t>
            </w:r>
            <w:r w:rsidR="00F45F53">
              <w:rPr>
                <w:rFonts w:cs="Arial"/>
                <w:sz w:val="20"/>
                <w:szCs w:val="20"/>
              </w:rPr>
              <w:t xml:space="preserve">international consistency </w:t>
            </w:r>
            <w:r w:rsidRPr="00737BC9">
              <w:rPr>
                <w:rFonts w:cs="Arial"/>
                <w:sz w:val="20"/>
                <w:szCs w:val="20"/>
              </w:rPr>
              <w:t xml:space="preserve">and industry </w:t>
            </w:r>
            <w:r w:rsidR="006B079A">
              <w:rPr>
                <w:rFonts w:cs="Arial"/>
                <w:sz w:val="20"/>
                <w:szCs w:val="20"/>
              </w:rPr>
              <w:t>trade and competition</w:t>
            </w:r>
            <w:r w:rsidR="00C66B99">
              <w:rPr>
                <w:rFonts w:cs="Arial"/>
                <w:sz w:val="20"/>
                <w:szCs w:val="20"/>
              </w:rPr>
              <w:t>.</w:t>
            </w:r>
            <w:r w:rsidRPr="00737BC9">
              <w:rPr>
                <w:rFonts w:cs="Arial"/>
                <w:sz w:val="20"/>
                <w:szCs w:val="20"/>
              </w:rPr>
              <w:t xml:space="preserve"> </w:t>
            </w:r>
          </w:p>
          <w:p w14:paraId="192D0FE5" w14:textId="77777777" w:rsidR="006B079A" w:rsidRDefault="006B079A" w:rsidP="008D64B7">
            <w:pPr>
              <w:rPr>
                <w:rFonts w:cs="Arial"/>
                <w:sz w:val="20"/>
                <w:szCs w:val="20"/>
              </w:rPr>
            </w:pPr>
          </w:p>
          <w:p w14:paraId="64F9A933" w14:textId="718A5754" w:rsidR="00DA65FA" w:rsidRDefault="008D64B7" w:rsidP="00DA65FA">
            <w:pPr>
              <w:rPr>
                <w:rFonts w:cs="Arial"/>
                <w:sz w:val="20"/>
                <w:szCs w:val="20"/>
              </w:rPr>
            </w:pPr>
            <w:r>
              <w:rPr>
                <w:rFonts w:cs="Arial"/>
                <w:sz w:val="20"/>
                <w:szCs w:val="20"/>
              </w:rPr>
              <w:t>FSANZ has concluded that the</w:t>
            </w:r>
            <w:r w:rsidR="00FA6628">
              <w:rPr>
                <w:rFonts w:cs="Arial"/>
                <w:sz w:val="20"/>
                <w:szCs w:val="20"/>
              </w:rPr>
              <w:t xml:space="preserve"> proposed addition is safe and supported by appropriate evidence in providing</w:t>
            </w:r>
            <w:r w:rsidR="00172813">
              <w:rPr>
                <w:rFonts w:cs="Arial"/>
                <w:sz w:val="20"/>
                <w:szCs w:val="20"/>
              </w:rPr>
              <w:t xml:space="preserve"> </w:t>
            </w:r>
            <w:r w:rsidR="00DB7D6F">
              <w:rPr>
                <w:rFonts w:cs="Arial"/>
                <w:sz w:val="20"/>
                <w:szCs w:val="20"/>
              </w:rPr>
              <w:t xml:space="preserve">potential beneficial health outcomes in infants </w:t>
            </w:r>
            <w:r w:rsidR="00DA65FA">
              <w:rPr>
                <w:rFonts w:cs="Arial"/>
                <w:sz w:val="20"/>
                <w:szCs w:val="20"/>
              </w:rPr>
              <w:t xml:space="preserve">(see section 2.3.1), and </w:t>
            </w:r>
            <w:r w:rsidR="005558F4">
              <w:rPr>
                <w:rFonts w:cs="Arial"/>
                <w:sz w:val="20"/>
                <w:szCs w:val="20"/>
              </w:rPr>
              <w:t>consider</w:t>
            </w:r>
            <w:r w:rsidR="00794B75">
              <w:rPr>
                <w:rFonts w:cs="Arial"/>
                <w:sz w:val="20"/>
                <w:szCs w:val="20"/>
              </w:rPr>
              <w:t>s</w:t>
            </w:r>
            <w:r w:rsidR="005558F4">
              <w:rPr>
                <w:rFonts w:cs="Arial"/>
                <w:sz w:val="20"/>
                <w:szCs w:val="20"/>
              </w:rPr>
              <w:t xml:space="preserve"> the policy guideline has been </w:t>
            </w:r>
            <w:r>
              <w:rPr>
                <w:rFonts w:cs="Arial"/>
                <w:sz w:val="20"/>
                <w:szCs w:val="20"/>
              </w:rPr>
              <w:t>adequately addressed</w:t>
            </w:r>
            <w:r w:rsidR="005558F4">
              <w:rPr>
                <w:rFonts w:cs="Arial"/>
                <w:sz w:val="20"/>
                <w:szCs w:val="20"/>
              </w:rPr>
              <w:t xml:space="preserve"> (see our assessment against each specific policy principle in SD2)</w:t>
            </w:r>
            <w:r w:rsidR="00F84D82">
              <w:rPr>
                <w:rFonts w:cs="Arial"/>
                <w:sz w:val="20"/>
                <w:szCs w:val="20"/>
              </w:rPr>
              <w:t>.</w:t>
            </w:r>
          </w:p>
          <w:p w14:paraId="4A371F06" w14:textId="77777777" w:rsidR="00DA65FA" w:rsidRDefault="00DA65FA" w:rsidP="00DA65FA">
            <w:pPr>
              <w:rPr>
                <w:rFonts w:cs="Arial"/>
                <w:sz w:val="20"/>
                <w:szCs w:val="20"/>
              </w:rPr>
            </w:pPr>
          </w:p>
          <w:p w14:paraId="103E3189" w14:textId="738A05C1" w:rsidR="008D64B7" w:rsidRDefault="00DA65FA" w:rsidP="00DA65FA">
            <w:pPr>
              <w:rPr>
                <w:rFonts w:cs="Arial"/>
                <w:sz w:val="20"/>
                <w:szCs w:val="20"/>
              </w:rPr>
            </w:pPr>
            <w:r>
              <w:rPr>
                <w:rFonts w:cs="Arial"/>
                <w:sz w:val="20"/>
                <w:szCs w:val="20"/>
              </w:rPr>
              <w:t>FSANZ</w:t>
            </w:r>
            <w:r w:rsidR="00A04AC7">
              <w:rPr>
                <w:rFonts w:cs="Arial"/>
                <w:sz w:val="20"/>
                <w:szCs w:val="20"/>
              </w:rPr>
              <w:t xml:space="preserve"> ha</w:t>
            </w:r>
            <w:r>
              <w:rPr>
                <w:rFonts w:cs="Arial"/>
                <w:sz w:val="20"/>
                <w:szCs w:val="20"/>
              </w:rPr>
              <w:t>s</w:t>
            </w:r>
            <w:r w:rsidR="004D6362">
              <w:rPr>
                <w:rFonts w:cs="Arial"/>
                <w:sz w:val="20"/>
                <w:szCs w:val="20"/>
              </w:rPr>
              <w:t xml:space="preserve"> </w:t>
            </w:r>
            <w:r w:rsidR="008D64B7">
              <w:rPr>
                <w:rFonts w:cs="Arial"/>
                <w:sz w:val="20"/>
                <w:szCs w:val="20"/>
              </w:rPr>
              <w:t>a</w:t>
            </w:r>
            <w:r w:rsidR="00F31E65">
              <w:rPr>
                <w:rFonts w:cs="Arial"/>
                <w:sz w:val="20"/>
                <w:szCs w:val="20"/>
              </w:rPr>
              <w:t xml:space="preserve">pplied particular caution in </w:t>
            </w:r>
            <w:r w:rsidR="00D76B84">
              <w:rPr>
                <w:rFonts w:cs="Arial"/>
                <w:sz w:val="20"/>
                <w:szCs w:val="20"/>
              </w:rPr>
              <w:t>this</w:t>
            </w:r>
            <w:r w:rsidR="008D64B7">
              <w:rPr>
                <w:rFonts w:cs="Arial"/>
                <w:sz w:val="20"/>
                <w:szCs w:val="20"/>
              </w:rPr>
              <w:t xml:space="preserve"> assessment (as</w:t>
            </w:r>
            <w:r w:rsidR="00C66B99">
              <w:rPr>
                <w:rFonts w:cs="Arial"/>
                <w:sz w:val="20"/>
                <w:szCs w:val="20"/>
              </w:rPr>
              <w:t xml:space="preserve"> referred to</w:t>
            </w:r>
            <w:r w:rsidR="008D64B7">
              <w:rPr>
                <w:rFonts w:cs="Arial"/>
                <w:sz w:val="20"/>
                <w:szCs w:val="20"/>
              </w:rPr>
              <w:t xml:space="preserve"> in specific policy principle j), noting:</w:t>
            </w:r>
          </w:p>
          <w:p w14:paraId="3CFEFFA1" w14:textId="66217CF0" w:rsidR="008D64B7" w:rsidRDefault="00172813" w:rsidP="008D64B7">
            <w:pPr>
              <w:pStyle w:val="ListParagraph"/>
              <w:widowControl/>
              <w:numPr>
                <w:ilvl w:val="0"/>
                <w:numId w:val="23"/>
              </w:numPr>
              <w:ind w:left="550" w:hanging="550"/>
              <w:rPr>
                <w:rFonts w:cs="Arial"/>
                <w:sz w:val="20"/>
                <w:szCs w:val="20"/>
              </w:rPr>
            </w:pPr>
            <w:r>
              <w:rPr>
                <w:rFonts w:cs="Arial"/>
                <w:sz w:val="20"/>
                <w:szCs w:val="20"/>
              </w:rPr>
              <w:t>T</w:t>
            </w:r>
            <w:r w:rsidR="008D64B7" w:rsidRPr="00434E6D">
              <w:rPr>
                <w:rFonts w:cs="Arial"/>
                <w:sz w:val="20"/>
                <w:szCs w:val="20"/>
              </w:rPr>
              <w:t xml:space="preserve">he proposed </w:t>
            </w:r>
            <w:r w:rsidR="00A25DB9">
              <w:rPr>
                <w:rFonts w:cs="Arial"/>
                <w:sz w:val="20"/>
                <w:szCs w:val="20"/>
              </w:rPr>
              <w:t xml:space="preserve">voluntary </w:t>
            </w:r>
            <w:r w:rsidR="008D64B7" w:rsidRPr="00434E6D">
              <w:rPr>
                <w:rFonts w:cs="Arial"/>
                <w:sz w:val="20"/>
                <w:szCs w:val="20"/>
              </w:rPr>
              <w:t>addition is safe</w:t>
            </w:r>
            <w:r>
              <w:rPr>
                <w:rFonts w:cs="Arial"/>
                <w:sz w:val="20"/>
                <w:szCs w:val="20"/>
              </w:rPr>
              <w:t>.</w:t>
            </w:r>
          </w:p>
          <w:p w14:paraId="441ADAC9" w14:textId="060DF7E4" w:rsidR="00D76B84" w:rsidRDefault="00B51870" w:rsidP="00C66B99">
            <w:pPr>
              <w:pStyle w:val="ListParagraph"/>
              <w:widowControl/>
              <w:numPr>
                <w:ilvl w:val="0"/>
                <w:numId w:val="23"/>
              </w:numPr>
              <w:ind w:left="550" w:hanging="550"/>
              <w:rPr>
                <w:rFonts w:cs="Arial"/>
                <w:sz w:val="20"/>
                <w:szCs w:val="20"/>
              </w:rPr>
            </w:pPr>
            <w:r>
              <w:rPr>
                <w:rFonts w:cs="Arial"/>
                <w:sz w:val="20"/>
                <w:szCs w:val="20"/>
              </w:rPr>
              <w:t>2′</w:t>
            </w:r>
            <w:r w:rsidR="008D64B7">
              <w:rPr>
                <w:rFonts w:cs="Arial"/>
                <w:sz w:val="20"/>
                <w:szCs w:val="20"/>
              </w:rPr>
              <w:t>-FL and LNnT are present in human milk</w:t>
            </w:r>
            <w:r w:rsidR="00D76B84">
              <w:rPr>
                <w:rFonts w:cs="Arial"/>
                <w:sz w:val="20"/>
                <w:szCs w:val="20"/>
              </w:rPr>
              <w:t xml:space="preserve"> which is </w:t>
            </w:r>
            <w:r w:rsidR="0075542A">
              <w:rPr>
                <w:rFonts w:cs="Arial"/>
                <w:sz w:val="20"/>
                <w:szCs w:val="20"/>
              </w:rPr>
              <w:t xml:space="preserve">referred to as </w:t>
            </w:r>
            <w:r w:rsidR="00D76B84">
              <w:rPr>
                <w:rFonts w:cs="Arial"/>
                <w:sz w:val="20"/>
                <w:szCs w:val="20"/>
              </w:rPr>
              <w:t>the</w:t>
            </w:r>
            <w:r w:rsidR="008D64B7">
              <w:rPr>
                <w:rFonts w:cs="Arial"/>
                <w:sz w:val="20"/>
                <w:szCs w:val="20"/>
              </w:rPr>
              <w:t xml:space="preserve"> primary reference for </w:t>
            </w:r>
            <w:r w:rsidR="00172813">
              <w:rPr>
                <w:rFonts w:cs="Arial"/>
                <w:sz w:val="20"/>
                <w:szCs w:val="20"/>
              </w:rPr>
              <w:t xml:space="preserve">determining the composition of </w:t>
            </w:r>
            <w:r w:rsidR="008D64B7">
              <w:rPr>
                <w:rFonts w:cs="Arial"/>
                <w:sz w:val="20"/>
                <w:szCs w:val="20"/>
              </w:rPr>
              <w:t>infant formula and follow-on formula</w:t>
            </w:r>
            <w:r w:rsidR="00D76B84">
              <w:rPr>
                <w:rFonts w:cs="Arial"/>
                <w:sz w:val="20"/>
                <w:szCs w:val="20"/>
              </w:rPr>
              <w:t xml:space="preserve"> </w:t>
            </w:r>
            <w:r w:rsidR="0075542A">
              <w:rPr>
                <w:rFonts w:cs="Arial"/>
                <w:sz w:val="20"/>
                <w:szCs w:val="20"/>
              </w:rPr>
              <w:t>(</w:t>
            </w:r>
            <w:r w:rsidR="00D76B84">
              <w:rPr>
                <w:rFonts w:cs="Arial"/>
                <w:sz w:val="20"/>
                <w:szCs w:val="20"/>
              </w:rPr>
              <w:t>specific policy principle h</w:t>
            </w:r>
            <w:r w:rsidR="0075542A">
              <w:rPr>
                <w:rFonts w:cs="Arial"/>
                <w:sz w:val="20"/>
                <w:szCs w:val="20"/>
              </w:rPr>
              <w:t>)</w:t>
            </w:r>
            <w:r w:rsidR="00D76B84">
              <w:rPr>
                <w:rFonts w:cs="Arial"/>
                <w:sz w:val="20"/>
                <w:szCs w:val="20"/>
              </w:rPr>
              <w:t>.</w:t>
            </w:r>
          </w:p>
          <w:p w14:paraId="5B87F7E9" w14:textId="7C8C61C0" w:rsidR="008D64B7" w:rsidRPr="00C66B99" w:rsidRDefault="00D76B84" w:rsidP="00C66B99">
            <w:pPr>
              <w:pStyle w:val="ListParagraph"/>
              <w:widowControl/>
              <w:numPr>
                <w:ilvl w:val="0"/>
                <w:numId w:val="23"/>
              </w:numPr>
              <w:ind w:left="550" w:hanging="550"/>
              <w:rPr>
                <w:rFonts w:cs="Arial"/>
                <w:sz w:val="20"/>
                <w:szCs w:val="20"/>
              </w:rPr>
            </w:pPr>
            <w:r>
              <w:rPr>
                <w:rFonts w:cs="Arial"/>
                <w:sz w:val="20"/>
                <w:szCs w:val="20"/>
              </w:rPr>
              <w:t xml:space="preserve">The maximum levels proposed are </w:t>
            </w:r>
            <w:r w:rsidR="00236F26">
              <w:rPr>
                <w:rFonts w:cs="Arial"/>
                <w:sz w:val="20"/>
                <w:szCs w:val="20"/>
              </w:rPr>
              <w:t>within</w:t>
            </w:r>
            <w:r>
              <w:rPr>
                <w:rFonts w:cs="Arial"/>
                <w:sz w:val="20"/>
                <w:szCs w:val="20"/>
              </w:rPr>
              <w:t xml:space="preserve"> the </w:t>
            </w:r>
            <w:r w:rsidR="00977279">
              <w:rPr>
                <w:rFonts w:cs="Arial"/>
                <w:sz w:val="20"/>
                <w:szCs w:val="20"/>
              </w:rPr>
              <w:t xml:space="preserve">range of concentrations </w:t>
            </w:r>
            <w:r>
              <w:rPr>
                <w:rFonts w:cs="Arial"/>
                <w:sz w:val="20"/>
                <w:szCs w:val="20"/>
              </w:rPr>
              <w:t xml:space="preserve"> present in mature human milk</w:t>
            </w:r>
            <w:r w:rsidR="00E46405">
              <w:rPr>
                <w:rFonts w:cs="Arial"/>
                <w:sz w:val="20"/>
                <w:szCs w:val="20"/>
              </w:rPr>
              <w:t>,</w:t>
            </w:r>
            <w:r w:rsidR="00236F26">
              <w:rPr>
                <w:rFonts w:cs="Arial"/>
                <w:sz w:val="20"/>
                <w:szCs w:val="20"/>
              </w:rPr>
              <w:t xml:space="preserve"> </w:t>
            </w:r>
            <w:r w:rsidR="007D0D99">
              <w:rPr>
                <w:rFonts w:cs="Arial"/>
                <w:sz w:val="20"/>
                <w:szCs w:val="20"/>
              </w:rPr>
              <w:t>as referred to</w:t>
            </w:r>
            <w:r w:rsidR="00E46405">
              <w:rPr>
                <w:rFonts w:cs="Arial"/>
                <w:sz w:val="20"/>
                <w:szCs w:val="20"/>
              </w:rPr>
              <w:t xml:space="preserve"> as the reference</w:t>
            </w:r>
            <w:r w:rsidR="007D0D99">
              <w:rPr>
                <w:rFonts w:cs="Arial"/>
                <w:sz w:val="20"/>
                <w:szCs w:val="20"/>
              </w:rPr>
              <w:t xml:space="preserve"> in s</w:t>
            </w:r>
            <w:r w:rsidR="00172813">
              <w:rPr>
                <w:rFonts w:cs="Arial"/>
                <w:sz w:val="20"/>
                <w:szCs w:val="20"/>
              </w:rPr>
              <w:t>pecific policy principle</w:t>
            </w:r>
            <w:r w:rsidR="0086160B">
              <w:rPr>
                <w:rFonts w:cs="Arial"/>
                <w:sz w:val="20"/>
                <w:szCs w:val="20"/>
              </w:rPr>
              <w:t>s</w:t>
            </w:r>
            <w:r w:rsidR="00172813">
              <w:rPr>
                <w:rFonts w:cs="Arial"/>
                <w:sz w:val="20"/>
                <w:szCs w:val="20"/>
              </w:rPr>
              <w:t xml:space="preserve"> (</w:t>
            </w:r>
            <w:r w:rsidR="00112BAE">
              <w:rPr>
                <w:rFonts w:cs="Arial"/>
                <w:sz w:val="20"/>
                <w:szCs w:val="20"/>
              </w:rPr>
              <w:t xml:space="preserve">h and </w:t>
            </w:r>
            <w:r w:rsidR="00172813">
              <w:rPr>
                <w:rFonts w:cs="Arial"/>
                <w:sz w:val="20"/>
                <w:szCs w:val="20"/>
              </w:rPr>
              <w:t>j).</w:t>
            </w:r>
          </w:p>
          <w:p w14:paraId="4D6AB9EE" w14:textId="5ED67E50" w:rsidR="00F45F53" w:rsidRDefault="0075542A" w:rsidP="00172813">
            <w:pPr>
              <w:pStyle w:val="ListParagraph"/>
              <w:widowControl/>
              <w:numPr>
                <w:ilvl w:val="0"/>
                <w:numId w:val="23"/>
              </w:numPr>
              <w:ind w:left="550" w:hanging="550"/>
              <w:rPr>
                <w:rFonts w:cs="Arial"/>
                <w:sz w:val="20"/>
                <w:szCs w:val="20"/>
              </w:rPr>
            </w:pPr>
            <w:r>
              <w:rPr>
                <w:rFonts w:cs="Arial"/>
                <w:sz w:val="20"/>
                <w:szCs w:val="20"/>
              </w:rPr>
              <w:t>The policy</w:t>
            </w:r>
            <w:r w:rsidR="00D76B84">
              <w:rPr>
                <w:rFonts w:cs="Arial"/>
                <w:sz w:val="20"/>
                <w:szCs w:val="20"/>
              </w:rPr>
              <w:t xml:space="preserve"> </w:t>
            </w:r>
            <w:r w:rsidR="007D0D99">
              <w:rPr>
                <w:rFonts w:cs="Arial"/>
                <w:sz w:val="20"/>
                <w:szCs w:val="20"/>
              </w:rPr>
              <w:t>indicates a beneficial role is ‘</w:t>
            </w:r>
            <w:r w:rsidR="00C66B99">
              <w:rPr>
                <w:rFonts w:cs="Arial"/>
                <w:sz w:val="20"/>
                <w:szCs w:val="20"/>
              </w:rPr>
              <w:t>substantiated</w:t>
            </w:r>
            <w:r w:rsidR="007D0D99">
              <w:rPr>
                <w:rFonts w:cs="Arial"/>
                <w:sz w:val="20"/>
                <w:szCs w:val="20"/>
              </w:rPr>
              <w:t xml:space="preserve">’ </w:t>
            </w:r>
            <w:r w:rsidR="00C95FCD">
              <w:rPr>
                <w:rFonts w:cs="Arial"/>
                <w:sz w:val="20"/>
                <w:szCs w:val="20"/>
              </w:rPr>
              <w:t xml:space="preserve">where there is </w:t>
            </w:r>
            <w:r w:rsidR="00F45F53">
              <w:rPr>
                <w:rFonts w:cs="Arial"/>
                <w:sz w:val="20"/>
                <w:szCs w:val="20"/>
              </w:rPr>
              <w:t xml:space="preserve">‘appropriate evidence’ to link </w:t>
            </w:r>
            <w:r w:rsidR="00FA6628">
              <w:rPr>
                <w:rFonts w:cs="Arial"/>
                <w:sz w:val="20"/>
                <w:szCs w:val="20"/>
              </w:rPr>
              <w:t>physiological, biochemical or fun</w:t>
            </w:r>
            <w:r w:rsidR="00E46405">
              <w:rPr>
                <w:rFonts w:cs="Arial"/>
                <w:sz w:val="20"/>
                <w:szCs w:val="20"/>
              </w:rPr>
              <w:t>c</w:t>
            </w:r>
            <w:r w:rsidR="00FA6628">
              <w:rPr>
                <w:rFonts w:cs="Arial"/>
                <w:sz w:val="20"/>
                <w:szCs w:val="20"/>
              </w:rPr>
              <w:t xml:space="preserve">tional </w:t>
            </w:r>
            <w:r w:rsidR="00F45F53">
              <w:rPr>
                <w:rFonts w:cs="Arial"/>
                <w:sz w:val="20"/>
                <w:szCs w:val="20"/>
              </w:rPr>
              <w:t xml:space="preserve">effects to specific </w:t>
            </w:r>
            <w:r w:rsidR="00D76B84">
              <w:rPr>
                <w:rFonts w:cs="Arial"/>
                <w:sz w:val="20"/>
                <w:szCs w:val="20"/>
              </w:rPr>
              <w:t>health outcomes</w:t>
            </w:r>
            <w:r w:rsidR="00F45F53">
              <w:rPr>
                <w:rFonts w:cs="Arial"/>
                <w:sz w:val="20"/>
                <w:szCs w:val="20"/>
              </w:rPr>
              <w:t xml:space="preserve">. The guideline </w:t>
            </w:r>
            <w:r w:rsidR="008D64B7" w:rsidRPr="00F31E65">
              <w:rPr>
                <w:rFonts w:cs="Arial"/>
                <w:sz w:val="20"/>
                <w:szCs w:val="20"/>
              </w:rPr>
              <w:t xml:space="preserve">leaves open the interpretation of the strength, type and </w:t>
            </w:r>
            <w:r w:rsidR="00D76B84">
              <w:rPr>
                <w:rFonts w:cs="Arial"/>
                <w:sz w:val="20"/>
                <w:szCs w:val="20"/>
              </w:rPr>
              <w:t>quality of evidence required as</w:t>
            </w:r>
            <w:r w:rsidR="00F45F53">
              <w:rPr>
                <w:rFonts w:cs="Arial"/>
                <w:sz w:val="20"/>
                <w:szCs w:val="20"/>
              </w:rPr>
              <w:t xml:space="preserve"> ‘appropriate</w:t>
            </w:r>
            <w:r w:rsidR="00C66B99">
              <w:rPr>
                <w:rFonts w:cs="Arial"/>
                <w:sz w:val="20"/>
                <w:szCs w:val="20"/>
              </w:rPr>
              <w:t xml:space="preserve"> evidence</w:t>
            </w:r>
            <w:r w:rsidR="00F45F53">
              <w:rPr>
                <w:rFonts w:cs="Arial"/>
                <w:sz w:val="20"/>
                <w:szCs w:val="20"/>
              </w:rPr>
              <w:t>’</w:t>
            </w:r>
            <w:r w:rsidR="008D64B7" w:rsidRPr="00F31E65">
              <w:rPr>
                <w:rFonts w:cs="Arial"/>
                <w:sz w:val="20"/>
                <w:szCs w:val="20"/>
              </w:rPr>
              <w:t>.</w:t>
            </w:r>
            <w:r w:rsidR="00172813">
              <w:rPr>
                <w:rFonts w:cs="Arial"/>
                <w:sz w:val="20"/>
                <w:szCs w:val="20"/>
              </w:rPr>
              <w:t xml:space="preserve"> </w:t>
            </w:r>
          </w:p>
          <w:p w14:paraId="49FA6D22" w14:textId="75C11D30" w:rsidR="00C66B99" w:rsidRPr="00DC3CB9" w:rsidRDefault="00F45F53" w:rsidP="00DC3CB9">
            <w:pPr>
              <w:pStyle w:val="ListParagraph"/>
              <w:widowControl/>
              <w:numPr>
                <w:ilvl w:val="0"/>
                <w:numId w:val="23"/>
              </w:numPr>
              <w:ind w:left="550" w:hanging="550"/>
              <w:rPr>
                <w:rFonts w:cs="Arial"/>
                <w:sz w:val="20"/>
                <w:szCs w:val="20"/>
              </w:rPr>
            </w:pPr>
            <w:r>
              <w:rPr>
                <w:rFonts w:cs="Arial"/>
                <w:sz w:val="20"/>
                <w:szCs w:val="20"/>
              </w:rPr>
              <w:t>E</w:t>
            </w:r>
            <w:r w:rsidR="00172813">
              <w:rPr>
                <w:rFonts w:cs="Arial"/>
                <w:sz w:val="20"/>
                <w:szCs w:val="20"/>
              </w:rPr>
              <w:t xml:space="preserve">vidence </w:t>
            </w:r>
            <w:r w:rsidR="00DC3CB9">
              <w:rPr>
                <w:rFonts w:cs="Arial"/>
                <w:sz w:val="20"/>
                <w:szCs w:val="20"/>
              </w:rPr>
              <w:t>demonstrated biological and mechanistic</w:t>
            </w:r>
            <w:r w:rsidR="00DC3CB9" w:rsidRPr="0056498B">
              <w:rPr>
                <w:rFonts w:cs="Arial"/>
                <w:sz w:val="20"/>
                <w:szCs w:val="20"/>
              </w:rPr>
              <w:t xml:space="preserve"> plausibi</w:t>
            </w:r>
            <w:r w:rsidR="00DC3CB9">
              <w:rPr>
                <w:rFonts w:cs="Arial"/>
                <w:sz w:val="20"/>
                <w:szCs w:val="20"/>
              </w:rPr>
              <w:t>lity of the</w:t>
            </w:r>
            <w:r w:rsidR="00DA3FCA">
              <w:rPr>
                <w:rFonts w:cs="Arial"/>
                <w:sz w:val="20"/>
                <w:szCs w:val="20"/>
              </w:rPr>
              <w:t xml:space="preserve"> identified</w:t>
            </w:r>
            <w:r w:rsidR="00DC3CB9" w:rsidRPr="0056498B">
              <w:rPr>
                <w:rFonts w:cs="Arial"/>
                <w:sz w:val="20"/>
                <w:szCs w:val="20"/>
              </w:rPr>
              <w:t xml:space="preserve"> health effects and </w:t>
            </w:r>
            <w:r w:rsidR="00DC3CB9">
              <w:rPr>
                <w:rFonts w:cs="Arial"/>
                <w:sz w:val="20"/>
                <w:szCs w:val="20"/>
              </w:rPr>
              <w:t xml:space="preserve">supported a link to </w:t>
            </w:r>
            <w:r w:rsidR="00DC3CB9" w:rsidRPr="0056498B">
              <w:rPr>
                <w:rFonts w:cs="Arial"/>
                <w:sz w:val="20"/>
                <w:szCs w:val="20"/>
              </w:rPr>
              <w:t>potential beneficial health outcomes</w:t>
            </w:r>
            <w:r w:rsidR="00DC3CB9">
              <w:rPr>
                <w:rFonts w:cs="Arial"/>
                <w:sz w:val="20"/>
                <w:szCs w:val="20"/>
              </w:rPr>
              <w:t xml:space="preserve">. </w:t>
            </w:r>
          </w:p>
          <w:p w14:paraId="18BED04F" w14:textId="18616733" w:rsidR="00112BAE" w:rsidRDefault="00112BAE" w:rsidP="00F45F53">
            <w:pPr>
              <w:pStyle w:val="ListParagraph"/>
              <w:widowControl/>
              <w:numPr>
                <w:ilvl w:val="0"/>
                <w:numId w:val="23"/>
              </w:numPr>
              <w:ind w:left="550" w:hanging="550"/>
              <w:rPr>
                <w:rFonts w:cs="Arial"/>
                <w:sz w:val="20"/>
                <w:szCs w:val="20"/>
              </w:rPr>
            </w:pPr>
            <w:r>
              <w:rPr>
                <w:rFonts w:cs="Arial"/>
                <w:sz w:val="20"/>
                <w:szCs w:val="20"/>
              </w:rPr>
              <w:t xml:space="preserve">‘Health effects’ </w:t>
            </w:r>
            <w:r w:rsidR="00205235">
              <w:rPr>
                <w:rFonts w:cs="Arial"/>
                <w:sz w:val="20"/>
                <w:szCs w:val="20"/>
              </w:rPr>
              <w:t>and ‘</w:t>
            </w:r>
            <w:r w:rsidR="00FB70B0">
              <w:rPr>
                <w:rFonts w:cs="Arial"/>
                <w:sz w:val="20"/>
                <w:szCs w:val="20"/>
              </w:rPr>
              <w:t xml:space="preserve">beneficial </w:t>
            </w:r>
            <w:r w:rsidR="00205235">
              <w:rPr>
                <w:rFonts w:cs="Arial"/>
                <w:sz w:val="20"/>
                <w:szCs w:val="20"/>
              </w:rPr>
              <w:t xml:space="preserve">health outcomes’ </w:t>
            </w:r>
            <w:r w:rsidR="00DA3FCA">
              <w:rPr>
                <w:rFonts w:cs="Arial"/>
                <w:sz w:val="20"/>
                <w:szCs w:val="20"/>
              </w:rPr>
              <w:t xml:space="preserve">is </w:t>
            </w:r>
            <w:r w:rsidR="00051C5E">
              <w:rPr>
                <w:rFonts w:cs="Arial"/>
                <w:sz w:val="20"/>
                <w:szCs w:val="20"/>
              </w:rPr>
              <w:t xml:space="preserve">used in this report </w:t>
            </w:r>
            <w:r w:rsidR="00DA3FCA">
              <w:rPr>
                <w:rFonts w:cs="Arial"/>
                <w:sz w:val="20"/>
                <w:szCs w:val="20"/>
              </w:rPr>
              <w:t>in the context of</w:t>
            </w:r>
            <w:r>
              <w:rPr>
                <w:rFonts w:cs="Arial"/>
                <w:sz w:val="20"/>
                <w:szCs w:val="20"/>
              </w:rPr>
              <w:t xml:space="preserve"> assessing compositional permission</w:t>
            </w:r>
            <w:r w:rsidR="00927C98">
              <w:rPr>
                <w:rFonts w:cs="Arial"/>
                <w:sz w:val="20"/>
                <w:szCs w:val="20"/>
              </w:rPr>
              <w:t xml:space="preserve">, and </w:t>
            </w:r>
            <w:r>
              <w:rPr>
                <w:rFonts w:cs="Arial"/>
                <w:sz w:val="20"/>
                <w:szCs w:val="20"/>
              </w:rPr>
              <w:t>not for the purpose of substantiating a food-health relationship in relation to making a</w:t>
            </w:r>
            <w:r w:rsidR="00D940F2">
              <w:rPr>
                <w:rFonts w:cs="Arial"/>
                <w:sz w:val="20"/>
                <w:szCs w:val="20"/>
              </w:rPr>
              <w:t xml:space="preserve"> health claim (see section 2.2</w:t>
            </w:r>
            <w:r>
              <w:rPr>
                <w:rFonts w:cs="Arial"/>
                <w:sz w:val="20"/>
                <w:szCs w:val="20"/>
              </w:rPr>
              <w:t>).</w:t>
            </w:r>
          </w:p>
          <w:p w14:paraId="1A6039A1" w14:textId="26137C0A" w:rsidR="00112BAE" w:rsidRDefault="00112BAE" w:rsidP="00F45F53">
            <w:pPr>
              <w:pStyle w:val="ListParagraph"/>
              <w:widowControl/>
              <w:numPr>
                <w:ilvl w:val="0"/>
                <w:numId w:val="23"/>
              </w:numPr>
              <w:ind w:left="550" w:hanging="550"/>
              <w:rPr>
                <w:rFonts w:cs="Arial"/>
                <w:sz w:val="20"/>
                <w:szCs w:val="20"/>
              </w:rPr>
            </w:pPr>
            <w:r>
              <w:rPr>
                <w:rFonts w:cs="Arial"/>
                <w:sz w:val="20"/>
                <w:szCs w:val="20"/>
              </w:rPr>
              <w:t xml:space="preserve">FSANZ considers the evidence assessed is appropriate </w:t>
            </w:r>
            <w:r w:rsidR="00051C5E">
              <w:rPr>
                <w:rFonts w:cs="Arial"/>
                <w:sz w:val="20"/>
                <w:szCs w:val="20"/>
              </w:rPr>
              <w:t xml:space="preserve">for the purpose of the proposed </w:t>
            </w:r>
            <w:r>
              <w:rPr>
                <w:rFonts w:cs="Arial"/>
                <w:sz w:val="20"/>
                <w:szCs w:val="20"/>
              </w:rPr>
              <w:t>voluntary compositional permission, noting the proposed addition is safe and comparable to human milk.</w:t>
            </w:r>
          </w:p>
          <w:p w14:paraId="2100830D" w14:textId="77777777" w:rsidR="00C66B99" w:rsidRDefault="00C66B99" w:rsidP="00C66B99">
            <w:pPr>
              <w:widowControl/>
              <w:rPr>
                <w:rFonts w:cs="Arial"/>
                <w:sz w:val="20"/>
                <w:szCs w:val="20"/>
              </w:rPr>
            </w:pPr>
          </w:p>
          <w:p w14:paraId="3A9AB0F0" w14:textId="475F2DDF" w:rsidR="00466F5B" w:rsidRPr="00C66B99" w:rsidRDefault="00DA65FA" w:rsidP="00F20C08">
            <w:pPr>
              <w:widowControl/>
              <w:rPr>
                <w:rFonts w:cs="Arial"/>
                <w:sz w:val="20"/>
                <w:szCs w:val="20"/>
              </w:rPr>
            </w:pPr>
            <w:r>
              <w:rPr>
                <w:rFonts w:cs="Arial"/>
                <w:sz w:val="20"/>
                <w:szCs w:val="20"/>
              </w:rPr>
              <w:t>The</w:t>
            </w:r>
            <w:r w:rsidR="007D0D99">
              <w:rPr>
                <w:rFonts w:cs="Arial"/>
                <w:sz w:val="20"/>
                <w:szCs w:val="20"/>
              </w:rPr>
              <w:t xml:space="preserve"> proposed</w:t>
            </w:r>
            <w:r w:rsidR="00F45F53" w:rsidRPr="00C66B99">
              <w:rPr>
                <w:rFonts w:cs="Arial"/>
                <w:sz w:val="20"/>
                <w:szCs w:val="20"/>
              </w:rPr>
              <w:t xml:space="preserve"> </w:t>
            </w:r>
            <w:r w:rsidR="0036635A">
              <w:rPr>
                <w:rFonts w:cs="Arial"/>
                <w:sz w:val="20"/>
                <w:szCs w:val="20"/>
              </w:rPr>
              <w:t>permission</w:t>
            </w:r>
            <w:r w:rsidR="00F45F53" w:rsidRPr="00C66B99">
              <w:rPr>
                <w:rFonts w:cs="Arial"/>
                <w:sz w:val="20"/>
                <w:szCs w:val="20"/>
              </w:rPr>
              <w:t xml:space="preserve"> </w:t>
            </w:r>
            <w:r w:rsidR="00F20C08">
              <w:rPr>
                <w:rFonts w:cs="Arial"/>
                <w:sz w:val="20"/>
                <w:szCs w:val="20"/>
              </w:rPr>
              <w:t xml:space="preserve">also supports </w:t>
            </w:r>
            <w:r w:rsidR="00E531B9">
              <w:rPr>
                <w:rFonts w:cs="Arial"/>
                <w:sz w:val="20"/>
                <w:szCs w:val="20"/>
              </w:rPr>
              <w:t xml:space="preserve">international consistency and a </w:t>
            </w:r>
            <w:r w:rsidR="00654C78">
              <w:rPr>
                <w:rFonts w:cs="Arial"/>
                <w:sz w:val="20"/>
                <w:szCs w:val="20"/>
              </w:rPr>
              <w:t>com</w:t>
            </w:r>
            <w:r w:rsidR="00E531B9">
              <w:rPr>
                <w:rFonts w:cs="Arial"/>
                <w:sz w:val="20"/>
                <w:szCs w:val="20"/>
              </w:rPr>
              <w:t>petitive food industry</w:t>
            </w:r>
            <w:r w:rsidR="0086160B">
              <w:rPr>
                <w:rFonts w:cs="Arial"/>
                <w:sz w:val="20"/>
                <w:szCs w:val="20"/>
              </w:rPr>
              <w:t xml:space="preserve"> (high order policy principles 2</w:t>
            </w:r>
            <w:r w:rsidR="00DA3FCA">
              <w:rPr>
                <w:rFonts w:cs="Arial"/>
                <w:sz w:val="20"/>
                <w:szCs w:val="20"/>
              </w:rPr>
              <w:t>(</w:t>
            </w:r>
            <w:r w:rsidR="0086160B">
              <w:rPr>
                <w:rFonts w:cs="Arial"/>
                <w:sz w:val="20"/>
                <w:szCs w:val="20"/>
              </w:rPr>
              <w:t>b</w:t>
            </w:r>
            <w:r w:rsidR="00DA3FCA">
              <w:rPr>
                <w:rFonts w:cs="Arial"/>
                <w:sz w:val="20"/>
                <w:szCs w:val="20"/>
              </w:rPr>
              <w:t>)</w:t>
            </w:r>
            <w:r w:rsidR="0086160B">
              <w:rPr>
                <w:rFonts w:cs="Arial"/>
                <w:sz w:val="20"/>
                <w:szCs w:val="20"/>
              </w:rPr>
              <w:t xml:space="preserve"> and </w:t>
            </w:r>
            <w:r w:rsidR="00DA3FCA">
              <w:rPr>
                <w:rFonts w:cs="Arial"/>
                <w:sz w:val="20"/>
                <w:szCs w:val="20"/>
              </w:rPr>
              <w:t>(</w:t>
            </w:r>
            <w:r w:rsidR="0086160B">
              <w:rPr>
                <w:rFonts w:cs="Arial"/>
                <w:sz w:val="20"/>
                <w:szCs w:val="20"/>
              </w:rPr>
              <w:t>c</w:t>
            </w:r>
            <w:r w:rsidR="00DA3FCA">
              <w:rPr>
                <w:rFonts w:cs="Arial"/>
                <w:sz w:val="20"/>
                <w:szCs w:val="20"/>
              </w:rPr>
              <w:t>)</w:t>
            </w:r>
            <w:r w:rsidR="00624DA5">
              <w:rPr>
                <w:rFonts w:cs="Arial"/>
                <w:sz w:val="20"/>
                <w:szCs w:val="20"/>
              </w:rPr>
              <w:t>), providing</w:t>
            </w:r>
            <w:r w:rsidR="00F20C08">
              <w:rPr>
                <w:rFonts w:cs="Arial"/>
                <w:sz w:val="20"/>
                <w:szCs w:val="20"/>
              </w:rPr>
              <w:t xml:space="preserve"> trade opportunities</w:t>
            </w:r>
            <w:r w:rsidR="00184B59">
              <w:rPr>
                <w:rFonts w:cs="Arial"/>
                <w:sz w:val="20"/>
                <w:szCs w:val="20"/>
              </w:rPr>
              <w:t xml:space="preserve">. It also </w:t>
            </w:r>
            <w:r w:rsidR="00FC04F8">
              <w:rPr>
                <w:rFonts w:cs="Arial"/>
                <w:sz w:val="20"/>
                <w:szCs w:val="20"/>
              </w:rPr>
              <w:t>provides alternative options to</w:t>
            </w:r>
            <w:r w:rsidR="00272622">
              <w:rPr>
                <w:rFonts w:cs="Arial"/>
                <w:sz w:val="20"/>
                <w:szCs w:val="20"/>
              </w:rPr>
              <w:t xml:space="preserve"> existing</w:t>
            </w:r>
            <w:r w:rsidR="00FC04F8">
              <w:rPr>
                <w:rFonts w:cs="Arial"/>
                <w:sz w:val="20"/>
                <w:szCs w:val="20"/>
              </w:rPr>
              <w:t xml:space="preserve"> </w:t>
            </w:r>
            <w:r w:rsidR="00E55DDC" w:rsidRPr="00E55DDC">
              <w:rPr>
                <w:rFonts w:eastAsia="Calibri"/>
                <w:sz w:val="20"/>
                <w:szCs w:val="20"/>
              </w:rPr>
              <w:t>inulin-type fructans (</w:t>
            </w:r>
            <w:r w:rsidR="00FC04F8" w:rsidRPr="00E55DDC">
              <w:rPr>
                <w:rFonts w:cs="Arial"/>
                <w:sz w:val="20"/>
                <w:szCs w:val="20"/>
              </w:rPr>
              <w:t>ITF</w:t>
            </w:r>
            <w:r w:rsidR="00E55DDC" w:rsidRPr="00E55DDC">
              <w:rPr>
                <w:rFonts w:cs="Arial"/>
                <w:sz w:val="20"/>
                <w:szCs w:val="20"/>
              </w:rPr>
              <w:t>)</w:t>
            </w:r>
            <w:r w:rsidR="00FC04F8" w:rsidRPr="00E55DDC">
              <w:rPr>
                <w:rFonts w:cs="Arial"/>
                <w:sz w:val="20"/>
                <w:szCs w:val="20"/>
              </w:rPr>
              <w:t xml:space="preserve"> and </w:t>
            </w:r>
            <w:r w:rsidR="00E55DDC" w:rsidRPr="00E55DDC">
              <w:rPr>
                <w:rFonts w:eastAsia="Calibri"/>
                <w:sz w:val="20"/>
                <w:szCs w:val="20"/>
              </w:rPr>
              <w:t>galacto-oligosaccharides (</w:t>
            </w:r>
            <w:r w:rsidR="00FC04F8" w:rsidRPr="00E55DDC">
              <w:rPr>
                <w:rFonts w:cs="Arial"/>
                <w:sz w:val="20"/>
                <w:szCs w:val="20"/>
              </w:rPr>
              <w:t>GOS</w:t>
            </w:r>
            <w:r w:rsidR="00E55DDC" w:rsidRPr="00E55DDC">
              <w:rPr>
                <w:rFonts w:cs="Arial"/>
                <w:sz w:val="20"/>
                <w:szCs w:val="20"/>
              </w:rPr>
              <w:t>)</w:t>
            </w:r>
            <w:r w:rsidR="00301D3C" w:rsidRPr="00E55DDC">
              <w:rPr>
                <w:rFonts w:cs="Arial"/>
                <w:sz w:val="20"/>
                <w:szCs w:val="20"/>
              </w:rPr>
              <w:t xml:space="preserve"> permitted</w:t>
            </w:r>
            <w:r w:rsidR="00D86CA9" w:rsidRPr="00E55DDC">
              <w:rPr>
                <w:rFonts w:cs="Arial"/>
                <w:sz w:val="20"/>
                <w:szCs w:val="20"/>
              </w:rPr>
              <w:t xml:space="preserve"> at higher</w:t>
            </w:r>
            <w:r w:rsidR="00D86CA9">
              <w:rPr>
                <w:rFonts w:cs="Arial"/>
                <w:sz w:val="20"/>
                <w:szCs w:val="20"/>
              </w:rPr>
              <w:t xml:space="preserve"> level</w:t>
            </w:r>
            <w:r w:rsidR="00301D3C">
              <w:rPr>
                <w:rFonts w:cs="Arial"/>
                <w:sz w:val="20"/>
                <w:szCs w:val="20"/>
              </w:rPr>
              <w:t>s in infant formula products</w:t>
            </w:r>
            <w:r w:rsidR="00FC04F8">
              <w:rPr>
                <w:rFonts w:cs="Arial"/>
                <w:sz w:val="20"/>
                <w:szCs w:val="20"/>
              </w:rPr>
              <w:t>, providing</w:t>
            </w:r>
            <w:r w:rsidR="00FC04F8" w:rsidRPr="000720C7">
              <w:rPr>
                <w:rFonts w:cs="Arial"/>
                <w:sz w:val="20"/>
                <w:szCs w:val="20"/>
              </w:rPr>
              <w:t xml:space="preserve"> </w:t>
            </w:r>
            <w:r w:rsidR="00466F5B">
              <w:rPr>
                <w:rFonts w:cs="Arial"/>
                <w:sz w:val="20"/>
                <w:szCs w:val="20"/>
              </w:rPr>
              <w:t>product</w:t>
            </w:r>
            <w:r w:rsidR="00FC04F8" w:rsidRPr="000720C7">
              <w:rPr>
                <w:rFonts w:cs="Arial"/>
                <w:sz w:val="20"/>
                <w:szCs w:val="20"/>
              </w:rPr>
              <w:t xml:space="preserve"> innovation opportunities</w:t>
            </w:r>
            <w:r w:rsidR="00FC04F8">
              <w:rPr>
                <w:rFonts w:cs="Arial"/>
                <w:sz w:val="20"/>
                <w:szCs w:val="20"/>
              </w:rPr>
              <w:t xml:space="preserve"> </w:t>
            </w:r>
            <w:r w:rsidR="00C66B99">
              <w:rPr>
                <w:rFonts w:cs="Arial"/>
                <w:sz w:val="20"/>
                <w:szCs w:val="20"/>
              </w:rPr>
              <w:t>(</w:t>
            </w:r>
            <w:r w:rsidR="0075542A" w:rsidRPr="00290050">
              <w:rPr>
                <w:rFonts w:cs="Arial"/>
                <w:sz w:val="20"/>
                <w:szCs w:val="20"/>
              </w:rPr>
              <w:t>see section</w:t>
            </w:r>
            <w:r w:rsidR="00F20C08">
              <w:rPr>
                <w:rFonts w:cs="Arial"/>
                <w:sz w:val="20"/>
                <w:szCs w:val="20"/>
              </w:rPr>
              <w:t>s</w:t>
            </w:r>
            <w:r w:rsidR="0075542A" w:rsidRPr="00290050">
              <w:rPr>
                <w:rFonts w:cs="Arial"/>
                <w:sz w:val="20"/>
                <w:szCs w:val="20"/>
              </w:rPr>
              <w:t xml:space="preserve"> 2.5</w:t>
            </w:r>
            <w:r w:rsidR="00290050" w:rsidRPr="00290050">
              <w:rPr>
                <w:rFonts w:cs="Arial"/>
                <w:sz w:val="20"/>
                <w:szCs w:val="20"/>
              </w:rPr>
              <w:t>.1.1</w:t>
            </w:r>
            <w:r w:rsidR="00F20C08">
              <w:rPr>
                <w:rFonts w:cs="Arial"/>
                <w:sz w:val="20"/>
                <w:szCs w:val="20"/>
              </w:rPr>
              <w:t xml:space="preserve"> and 2.5.3</w:t>
            </w:r>
            <w:r w:rsidR="0075542A" w:rsidRPr="00290050">
              <w:rPr>
                <w:rFonts w:cs="Arial"/>
                <w:sz w:val="20"/>
                <w:szCs w:val="20"/>
              </w:rPr>
              <w:t>)</w:t>
            </w:r>
            <w:r w:rsidR="00C66B99" w:rsidRPr="00290050">
              <w:rPr>
                <w:rFonts w:cs="Arial"/>
                <w:sz w:val="20"/>
                <w:szCs w:val="20"/>
              </w:rPr>
              <w:t>.</w:t>
            </w:r>
          </w:p>
        </w:tc>
      </w:tr>
      <w:tr w:rsidR="008D64B7" w:rsidRPr="00426B41" w14:paraId="17562582" w14:textId="77777777" w:rsidTr="004D7999">
        <w:tc>
          <w:tcPr>
            <w:tcW w:w="1736" w:type="pct"/>
          </w:tcPr>
          <w:p w14:paraId="5324607C" w14:textId="019382EF" w:rsidR="008D64B7" w:rsidRDefault="008D64B7" w:rsidP="00F84D82">
            <w:pPr>
              <w:rPr>
                <w:rFonts w:cs="Arial"/>
                <w:b/>
                <w:color w:val="FF0000"/>
                <w:sz w:val="20"/>
                <w:szCs w:val="20"/>
              </w:rPr>
            </w:pPr>
            <w:r w:rsidRPr="00426B41">
              <w:rPr>
                <w:rFonts w:cs="Arial"/>
                <w:sz w:val="20"/>
                <w:szCs w:val="20"/>
              </w:rPr>
              <w:t xml:space="preserve">Concerned about quality and certainty of evidence compared to that required for </w:t>
            </w:r>
            <w:r>
              <w:rPr>
                <w:rFonts w:cs="Arial"/>
                <w:sz w:val="20"/>
                <w:szCs w:val="20"/>
              </w:rPr>
              <w:t>h</w:t>
            </w:r>
            <w:r w:rsidRPr="00426B41">
              <w:rPr>
                <w:rFonts w:cs="Arial"/>
                <w:sz w:val="20"/>
                <w:szCs w:val="20"/>
              </w:rPr>
              <w:t xml:space="preserve">ealth </w:t>
            </w:r>
            <w:r>
              <w:rPr>
                <w:rFonts w:cs="Arial"/>
                <w:sz w:val="20"/>
                <w:szCs w:val="20"/>
              </w:rPr>
              <w:t>c</w:t>
            </w:r>
            <w:r w:rsidRPr="00426B41">
              <w:rPr>
                <w:rFonts w:cs="Arial"/>
                <w:sz w:val="20"/>
                <w:szCs w:val="20"/>
              </w:rPr>
              <w:t>laims substantiation (</w:t>
            </w:r>
            <w:r>
              <w:rPr>
                <w:rFonts w:cs="Arial"/>
                <w:sz w:val="20"/>
                <w:szCs w:val="20"/>
              </w:rPr>
              <w:t xml:space="preserve">Proposal </w:t>
            </w:r>
            <w:r w:rsidRPr="00426B41">
              <w:rPr>
                <w:rFonts w:cs="Arial"/>
                <w:sz w:val="20"/>
                <w:szCs w:val="20"/>
              </w:rPr>
              <w:t>P293</w:t>
            </w:r>
            <w:r>
              <w:rPr>
                <w:rFonts w:cs="Arial"/>
                <w:sz w:val="20"/>
                <w:szCs w:val="20"/>
              </w:rPr>
              <w:t xml:space="preserve"> – Nutrition, Health and Related Claims</w:t>
            </w:r>
            <w:r w:rsidRPr="00426B41">
              <w:rPr>
                <w:rFonts w:cs="Arial"/>
                <w:sz w:val="20"/>
                <w:szCs w:val="20"/>
              </w:rPr>
              <w:t>).</w:t>
            </w:r>
            <w:r>
              <w:rPr>
                <w:rFonts w:cs="Arial"/>
                <w:sz w:val="20"/>
                <w:szCs w:val="20"/>
              </w:rPr>
              <w:t xml:space="preserve"> Notes ‘substantiation’ in health claims context may not be perceived to mean that expressed in the Ministerial Policy Guideline</w:t>
            </w:r>
            <w:r w:rsidR="00B36990">
              <w:rPr>
                <w:rFonts w:cs="Arial"/>
                <w:sz w:val="20"/>
                <w:szCs w:val="20"/>
              </w:rPr>
              <w:t xml:space="preserve"> for the </w:t>
            </w:r>
            <w:r w:rsidR="00B36990" w:rsidRPr="00364B68">
              <w:rPr>
                <w:rFonts w:cs="Arial"/>
                <w:sz w:val="20"/>
                <w:szCs w:val="20"/>
              </w:rPr>
              <w:t>Regulation of Infant Formula Products</w:t>
            </w:r>
            <w:r>
              <w:rPr>
                <w:rFonts w:cs="Arial"/>
                <w:sz w:val="20"/>
                <w:szCs w:val="20"/>
              </w:rPr>
              <w:t xml:space="preserve">, but does not consider </w:t>
            </w:r>
            <w:r w:rsidR="00B36990">
              <w:rPr>
                <w:rFonts w:cs="Arial"/>
                <w:sz w:val="20"/>
                <w:szCs w:val="20"/>
              </w:rPr>
              <w:t xml:space="preserve">the </w:t>
            </w:r>
            <w:r>
              <w:rPr>
                <w:rFonts w:cs="Arial"/>
                <w:sz w:val="20"/>
                <w:szCs w:val="20"/>
              </w:rPr>
              <w:t>evidence meets the threshold for ‘substantiate’ as defined in the Macquarie dictionary.</w:t>
            </w:r>
          </w:p>
        </w:tc>
        <w:tc>
          <w:tcPr>
            <w:tcW w:w="844" w:type="pct"/>
          </w:tcPr>
          <w:p w14:paraId="35965FBF" w14:textId="068FE14D" w:rsidR="008D64B7" w:rsidRPr="00084B50" w:rsidRDefault="008D64B7" w:rsidP="008D64B7">
            <w:pPr>
              <w:rPr>
                <w:rFonts w:cs="Arial"/>
                <w:sz w:val="20"/>
                <w:szCs w:val="20"/>
              </w:rPr>
            </w:pPr>
            <w:r w:rsidRPr="00084B50">
              <w:rPr>
                <w:rFonts w:cs="Arial"/>
                <w:sz w:val="20"/>
                <w:szCs w:val="20"/>
              </w:rPr>
              <w:t>NSWFA</w:t>
            </w:r>
          </w:p>
        </w:tc>
        <w:tc>
          <w:tcPr>
            <w:tcW w:w="2420" w:type="pct"/>
          </w:tcPr>
          <w:p w14:paraId="48687DF8" w14:textId="21022FA9" w:rsidR="008D64B7" w:rsidRPr="007D0281" w:rsidRDefault="008D64B7" w:rsidP="008D64B7">
            <w:pPr>
              <w:rPr>
                <w:rFonts w:cs="Arial"/>
                <w:sz w:val="20"/>
                <w:szCs w:val="20"/>
              </w:rPr>
            </w:pPr>
            <w:r w:rsidRPr="007D0281">
              <w:rPr>
                <w:rFonts w:cs="Arial"/>
                <w:sz w:val="20"/>
                <w:szCs w:val="20"/>
              </w:rPr>
              <w:t xml:space="preserve">FSANZ’s assessment of this application is for the purpose of permitting the </w:t>
            </w:r>
            <w:r>
              <w:rPr>
                <w:rFonts w:cs="Arial"/>
                <w:sz w:val="20"/>
                <w:szCs w:val="20"/>
              </w:rPr>
              <w:t xml:space="preserve">voluntary </w:t>
            </w:r>
            <w:r w:rsidRPr="007D0281">
              <w:rPr>
                <w:rFonts w:cs="Arial"/>
                <w:sz w:val="20"/>
                <w:szCs w:val="20"/>
              </w:rPr>
              <w:t xml:space="preserve">addition of </w:t>
            </w:r>
            <w:r w:rsidR="00B51870">
              <w:rPr>
                <w:rFonts w:cs="Arial"/>
                <w:sz w:val="20"/>
                <w:szCs w:val="20"/>
              </w:rPr>
              <w:t>2′</w:t>
            </w:r>
            <w:r w:rsidRPr="007D0281">
              <w:rPr>
                <w:rFonts w:cs="Arial"/>
                <w:sz w:val="20"/>
                <w:szCs w:val="20"/>
              </w:rPr>
              <w:t>-FL and LNnT to infant formula products</w:t>
            </w:r>
            <w:r w:rsidR="00D934C3">
              <w:rPr>
                <w:rFonts w:cs="Arial"/>
                <w:sz w:val="20"/>
                <w:szCs w:val="20"/>
              </w:rPr>
              <w:t xml:space="preserve"> as requested by the applicant</w:t>
            </w:r>
            <w:r w:rsidR="009D055E">
              <w:rPr>
                <w:rFonts w:cs="Arial"/>
                <w:sz w:val="20"/>
                <w:szCs w:val="20"/>
              </w:rPr>
              <w:t xml:space="preserve">. </w:t>
            </w:r>
            <w:r w:rsidRPr="007D0281">
              <w:rPr>
                <w:rFonts w:cs="Arial"/>
                <w:sz w:val="20"/>
                <w:szCs w:val="20"/>
              </w:rPr>
              <w:t xml:space="preserve">The health claims substantiation framework </w:t>
            </w:r>
            <w:r w:rsidR="009C3BEC">
              <w:rPr>
                <w:rFonts w:cs="Arial"/>
                <w:sz w:val="20"/>
                <w:szCs w:val="20"/>
              </w:rPr>
              <w:t>has</w:t>
            </w:r>
            <w:r w:rsidRPr="007D0281">
              <w:rPr>
                <w:rFonts w:cs="Arial"/>
                <w:sz w:val="20"/>
                <w:szCs w:val="20"/>
              </w:rPr>
              <w:t xml:space="preserve"> a very different purpose of </w:t>
            </w:r>
            <w:r w:rsidR="00972B4E">
              <w:rPr>
                <w:rFonts w:cs="Arial"/>
                <w:sz w:val="20"/>
                <w:szCs w:val="20"/>
              </w:rPr>
              <w:t xml:space="preserve">preventing misleading or deceptive </w:t>
            </w:r>
            <w:r w:rsidRPr="007D0281">
              <w:rPr>
                <w:rFonts w:cs="Arial"/>
                <w:sz w:val="20"/>
                <w:szCs w:val="20"/>
              </w:rPr>
              <w:t xml:space="preserve">claims to be made about foods </w:t>
            </w:r>
            <w:r>
              <w:rPr>
                <w:rFonts w:cs="Arial"/>
                <w:sz w:val="20"/>
                <w:szCs w:val="20"/>
              </w:rPr>
              <w:t xml:space="preserve">on their labels </w:t>
            </w:r>
            <w:r w:rsidRPr="007D0281">
              <w:rPr>
                <w:rFonts w:cs="Arial"/>
                <w:sz w:val="20"/>
                <w:szCs w:val="20"/>
              </w:rPr>
              <w:t xml:space="preserve">(i.e. </w:t>
            </w:r>
            <w:r>
              <w:rPr>
                <w:rFonts w:cs="Arial"/>
                <w:sz w:val="20"/>
                <w:szCs w:val="20"/>
              </w:rPr>
              <w:t xml:space="preserve">it is </w:t>
            </w:r>
            <w:r w:rsidRPr="007D0281">
              <w:rPr>
                <w:rFonts w:cs="Arial"/>
                <w:sz w:val="20"/>
                <w:szCs w:val="20"/>
              </w:rPr>
              <w:t>not used fo</w:t>
            </w:r>
            <w:r w:rsidR="00D934C3">
              <w:rPr>
                <w:rFonts w:cs="Arial"/>
                <w:sz w:val="20"/>
                <w:szCs w:val="20"/>
              </w:rPr>
              <w:t xml:space="preserve">r the purpose of permitting </w:t>
            </w:r>
            <w:r w:rsidRPr="007D0281">
              <w:rPr>
                <w:rFonts w:cs="Arial"/>
                <w:sz w:val="20"/>
                <w:szCs w:val="20"/>
              </w:rPr>
              <w:t>addition of ingredients</w:t>
            </w:r>
            <w:r>
              <w:rPr>
                <w:rFonts w:cs="Arial"/>
                <w:sz w:val="20"/>
                <w:szCs w:val="20"/>
              </w:rPr>
              <w:t>)</w:t>
            </w:r>
            <w:r w:rsidR="009D055E">
              <w:rPr>
                <w:rFonts w:cs="Arial"/>
                <w:sz w:val="20"/>
                <w:szCs w:val="20"/>
              </w:rPr>
              <w:t xml:space="preserve">. </w:t>
            </w:r>
            <w:r w:rsidR="009C3BEC">
              <w:rPr>
                <w:rFonts w:cs="Arial"/>
                <w:sz w:val="20"/>
                <w:szCs w:val="20"/>
              </w:rPr>
              <w:t>Claims on i</w:t>
            </w:r>
            <w:r w:rsidR="009D055E">
              <w:rPr>
                <w:rFonts w:cs="Arial"/>
                <w:sz w:val="20"/>
                <w:szCs w:val="20"/>
              </w:rPr>
              <w:t>nfant formula products are prohib</w:t>
            </w:r>
            <w:r w:rsidR="006D6E76">
              <w:rPr>
                <w:rFonts w:cs="Arial"/>
                <w:sz w:val="20"/>
                <w:szCs w:val="20"/>
              </w:rPr>
              <w:t xml:space="preserve">ited </w:t>
            </w:r>
            <w:r w:rsidR="0075542A">
              <w:rPr>
                <w:rFonts w:cs="Arial"/>
                <w:sz w:val="20"/>
                <w:szCs w:val="20"/>
              </w:rPr>
              <w:t>in the Code</w:t>
            </w:r>
            <w:r w:rsidR="009C3BEC">
              <w:rPr>
                <w:rFonts w:cs="Arial"/>
                <w:sz w:val="20"/>
                <w:szCs w:val="20"/>
              </w:rPr>
              <w:t xml:space="preserve"> and</w:t>
            </w:r>
            <w:r w:rsidR="005902D3">
              <w:rPr>
                <w:rFonts w:cs="Arial"/>
                <w:sz w:val="20"/>
                <w:szCs w:val="20"/>
              </w:rPr>
              <w:t xml:space="preserve"> any nutrition cont</w:t>
            </w:r>
            <w:r w:rsidR="00EB61C0">
              <w:rPr>
                <w:rFonts w:cs="Arial"/>
                <w:sz w:val="20"/>
                <w:szCs w:val="20"/>
              </w:rPr>
              <w:t>e</w:t>
            </w:r>
            <w:r w:rsidR="005902D3">
              <w:rPr>
                <w:rFonts w:cs="Arial"/>
                <w:sz w:val="20"/>
                <w:szCs w:val="20"/>
              </w:rPr>
              <w:t xml:space="preserve">nt or health claims made on FSFYC </w:t>
            </w:r>
            <w:r w:rsidR="00551013">
              <w:rPr>
                <w:rFonts w:cs="Arial"/>
                <w:sz w:val="20"/>
                <w:szCs w:val="20"/>
              </w:rPr>
              <w:t>must</w:t>
            </w:r>
            <w:r w:rsidR="005902D3">
              <w:rPr>
                <w:rFonts w:cs="Arial"/>
                <w:sz w:val="20"/>
                <w:szCs w:val="20"/>
              </w:rPr>
              <w:t xml:space="preserve"> meet the requirements of Standard 1.2.7</w:t>
            </w:r>
            <w:r w:rsidR="009D055E">
              <w:rPr>
                <w:rFonts w:cs="Arial"/>
                <w:sz w:val="20"/>
                <w:szCs w:val="20"/>
              </w:rPr>
              <w:t>.</w:t>
            </w:r>
          </w:p>
          <w:p w14:paraId="6BB579F8" w14:textId="77777777" w:rsidR="008D64B7" w:rsidRPr="007D0281" w:rsidRDefault="008D64B7" w:rsidP="008D64B7">
            <w:pPr>
              <w:rPr>
                <w:rFonts w:cs="Arial"/>
                <w:sz w:val="20"/>
                <w:szCs w:val="20"/>
              </w:rPr>
            </w:pPr>
          </w:p>
          <w:p w14:paraId="3A4FC2C1" w14:textId="2D26DC74" w:rsidR="00A60292" w:rsidRDefault="00472CDE" w:rsidP="0075542A">
            <w:pPr>
              <w:rPr>
                <w:rFonts w:cs="Arial"/>
                <w:sz w:val="20"/>
                <w:szCs w:val="20"/>
              </w:rPr>
            </w:pPr>
            <w:r>
              <w:rPr>
                <w:rFonts w:cs="Arial"/>
                <w:sz w:val="20"/>
                <w:szCs w:val="20"/>
              </w:rPr>
              <w:t>In having regard to all high order policy princ</w:t>
            </w:r>
            <w:r w:rsidR="00F45AD0">
              <w:rPr>
                <w:rFonts w:cs="Arial"/>
                <w:sz w:val="20"/>
                <w:szCs w:val="20"/>
              </w:rPr>
              <w:t>i</w:t>
            </w:r>
            <w:r>
              <w:rPr>
                <w:rFonts w:cs="Arial"/>
                <w:sz w:val="20"/>
                <w:szCs w:val="20"/>
              </w:rPr>
              <w:t xml:space="preserve">ples, </w:t>
            </w:r>
            <w:r w:rsidR="008D64B7" w:rsidRPr="00737BC9">
              <w:rPr>
                <w:rFonts w:cs="Arial"/>
                <w:sz w:val="20"/>
                <w:szCs w:val="20"/>
              </w:rPr>
              <w:t>FSANZ does not consider that the strength, quality and type of evidence required to substantiat</w:t>
            </w:r>
            <w:r w:rsidR="00623112">
              <w:rPr>
                <w:rFonts w:cs="Arial"/>
                <w:sz w:val="20"/>
                <w:szCs w:val="20"/>
              </w:rPr>
              <w:t>e</w:t>
            </w:r>
            <w:r w:rsidR="008D64B7" w:rsidRPr="00737BC9">
              <w:rPr>
                <w:rFonts w:cs="Arial"/>
                <w:sz w:val="20"/>
                <w:szCs w:val="20"/>
              </w:rPr>
              <w:t xml:space="preserve"> a health claim</w:t>
            </w:r>
            <w:r w:rsidR="00401E05">
              <w:rPr>
                <w:rFonts w:cs="Arial"/>
                <w:sz w:val="20"/>
                <w:szCs w:val="20"/>
              </w:rPr>
              <w:t xml:space="preserve"> on food labels</w:t>
            </w:r>
            <w:r w:rsidR="008D64B7" w:rsidRPr="00737BC9">
              <w:rPr>
                <w:rFonts w:cs="Arial"/>
                <w:sz w:val="20"/>
                <w:szCs w:val="20"/>
              </w:rPr>
              <w:t xml:space="preserve"> </w:t>
            </w:r>
            <w:r w:rsidR="00AE2FFB">
              <w:rPr>
                <w:rFonts w:cs="Arial"/>
                <w:sz w:val="20"/>
                <w:szCs w:val="20"/>
              </w:rPr>
              <w:t>is</w:t>
            </w:r>
            <w:r w:rsidR="00AE2FFB" w:rsidRPr="00737BC9">
              <w:rPr>
                <w:rFonts w:cs="Arial"/>
                <w:sz w:val="20"/>
                <w:szCs w:val="20"/>
              </w:rPr>
              <w:t xml:space="preserve"> </w:t>
            </w:r>
            <w:r w:rsidR="008D64B7" w:rsidRPr="00737BC9">
              <w:rPr>
                <w:rFonts w:cs="Arial"/>
                <w:sz w:val="20"/>
                <w:szCs w:val="20"/>
              </w:rPr>
              <w:t xml:space="preserve">appropriate to </w:t>
            </w:r>
            <w:r w:rsidR="00AE2FFB">
              <w:rPr>
                <w:rFonts w:cs="Arial"/>
                <w:sz w:val="20"/>
                <w:szCs w:val="20"/>
              </w:rPr>
              <w:t xml:space="preserve">apply to </w:t>
            </w:r>
            <w:r w:rsidR="008D64B7" w:rsidRPr="00737BC9">
              <w:rPr>
                <w:rFonts w:cs="Arial"/>
                <w:sz w:val="20"/>
                <w:szCs w:val="20"/>
              </w:rPr>
              <w:t>this application</w:t>
            </w:r>
            <w:r w:rsidR="00900F04">
              <w:rPr>
                <w:rFonts w:cs="Arial"/>
                <w:sz w:val="20"/>
                <w:szCs w:val="20"/>
              </w:rPr>
              <w:t xml:space="preserve"> for </w:t>
            </w:r>
            <w:r w:rsidR="00A25DB9">
              <w:rPr>
                <w:rFonts w:cs="Arial"/>
                <w:sz w:val="20"/>
                <w:szCs w:val="20"/>
              </w:rPr>
              <w:t xml:space="preserve">voluntary </w:t>
            </w:r>
            <w:r w:rsidR="00401E05">
              <w:rPr>
                <w:rFonts w:cs="Arial"/>
                <w:sz w:val="20"/>
                <w:szCs w:val="20"/>
              </w:rPr>
              <w:t>compositional</w:t>
            </w:r>
            <w:r w:rsidR="00900F04">
              <w:rPr>
                <w:rFonts w:cs="Arial"/>
                <w:sz w:val="20"/>
                <w:szCs w:val="20"/>
              </w:rPr>
              <w:t xml:space="preserve"> </w:t>
            </w:r>
            <w:r w:rsidR="001E58D1">
              <w:rPr>
                <w:rFonts w:cs="Arial"/>
                <w:sz w:val="20"/>
                <w:szCs w:val="20"/>
              </w:rPr>
              <w:t>permission</w:t>
            </w:r>
            <w:r w:rsidR="008D64B7" w:rsidRPr="00737BC9">
              <w:rPr>
                <w:rFonts w:cs="Arial"/>
                <w:sz w:val="20"/>
                <w:szCs w:val="20"/>
              </w:rPr>
              <w:t>.</w:t>
            </w:r>
          </w:p>
          <w:p w14:paraId="7AACDC98" w14:textId="77777777" w:rsidR="00A60292" w:rsidRDefault="00A60292" w:rsidP="0075542A">
            <w:pPr>
              <w:rPr>
                <w:rFonts w:cs="Arial"/>
                <w:sz w:val="20"/>
                <w:szCs w:val="20"/>
              </w:rPr>
            </w:pPr>
          </w:p>
          <w:p w14:paraId="64E3EF09" w14:textId="0621E295" w:rsidR="008D64B7" w:rsidRDefault="00A04AC7" w:rsidP="001E58D1">
            <w:pPr>
              <w:rPr>
                <w:rFonts w:cs="Arial"/>
                <w:sz w:val="20"/>
                <w:szCs w:val="20"/>
              </w:rPr>
            </w:pPr>
            <w:r>
              <w:rPr>
                <w:rFonts w:cs="Arial"/>
                <w:sz w:val="20"/>
                <w:szCs w:val="20"/>
              </w:rPr>
              <w:t xml:space="preserve">As discussed in the response above, </w:t>
            </w:r>
            <w:r w:rsidR="00D934C3">
              <w:rPr>
                <w:rFonts w:cs="Arial"/>
                <w:sz w:val="20"/>
                <w:szCs w:val="20"/>
              </w:rPr>
              <w:t xml:space="preserve">FSANZ considers </w:t>
            </w:r>
            <w:r w:rsidR="008D64B7" w:rsidRPr="007D0281">
              <w:rPr>
                <w:rFonts w:cs="Arial"/>
                <w:sz w:val="20"/>
                <w:szCs w:val="20"/>
              </w:rPr>
              <w:t xml:space="preserve">the </w:t>
            </w:r>
            <w:r w:rsidR="00D934C3">
              <w:rPr>
                <w:rFonts w:cs="Arial"/>
                <w:sz w:val="20"/>
                <w:szCs w:val="20"/>
              </w:rPr>
              <w:t xml:space="preserve">evidence is </w:t>
            </w:r>
            <w:r w:rsidR="00401E05">
              <w:rPr>
                <w:rFonts w:cs="Arial"/>
                <w:sz w:val="20"/>
                <w:szCs w:val="20"/>
              </w:rPr>
              <w:t xml:space="preserve">appropriate </w:t>
            </w:r>
            <w:r w:rsidR="00D934C3">
              <w:rPr>
                <w:rFonts w:cs="Arial"/>
                <w:sz w:val="20"/>
                <w:szCs w:val="20"/>
              </w:rPr>
              <w:t xml:space="preserve">for </w:t>
            </w:r>
            <w:r w:rsidR="0075542A">
              <w:rPr>
                <w:rFonts w:cs="Arial"/>
                <w:sz w:val="20"/>
                <w:szCs w:val="20"/>
              </w:rPr>
              <w:t>the</w:t>
            </w:r>
            <w:r w:rsidR="009D055E">
              <w:rPr>
                <w:rFonts w:cs="Arial"/>
                <w:sz w:val="20"/>
                <w:szCs w:val="20"/>
              </w:rPr>
              <w:t xml:space="preserve"> </w:t>
            </w:r>
            <w:r w:rsidR="00D934C3">
              <w:rPr>
                <w:rFonts w:cs="Arial"/>
                <w:sz w:val="20"/>
                <w:szCs w:val="20"/>
              </w:rPr>
              <w:t>proposed compositional permission</w:t>
            </w:r>
            <w:r>
              <w:rPr>
                <w:rFonts w:cs="Arial"/>
                <w:sz w:val="20"/>
                <w:szCs w:val="20"/>
              </w:rPr>
              <w:t xml:space="preserve">, and </w:t>
            </w:r>
            <w:r w:rsidR="00D934C3">
              <w:rPr>
                <w:rFonts w:cs="Arial"/>
                <w:sz w:val="20"/>
                <w:szCs w:val="20"/>
              </w:rPr>
              <w:t>the</w:t>
            </w:r>
            <w:r w:rsidR="00AA25CE">
              <w:rPr>
                <w:rFonts w:cs="Arial"/>
                <w:sz w:val="20"/>
                <w:szCs w:val="20"/>
              </w:rPr>
              <w:t xml:space="preserve"> infant formula</w:t>
            </w:r>
            <w:r w:rsidR="00D934C3">
              <w:rPr>
                <w:rFonts w:cs="Arial"/>
                <w:sz w:val="20"/>
                <w:szCs w:val="20"/>
              </w:rPr>
              <w:t xml:space="preserve"> policy g</w:t>
            </w:r>
            <w:r w:rsidR="008D64B7">
              <w:rPr>
                <w:rFonts w:cs="Arial"/>
                <w:sz w:val="20"/>
                <w:szCs w:val="20"/>
              </w:rPr>
              <w:t>uideline has been adequately addressed</w:t>
            </w:r>
            <w:r w:rsidR="00D934C3">
              <w:rPr>
                <w:rFonts w:cs="Arial"/>
                <w:sz w:val="20"/>
                <w:szCs w:val="20"/>
              </w:rPr>
              <w:t xml:space="preserve">. </w:t>
            </w:r>
            <w:r>
              <w:rPr>
                <w:rFonts w:cs="Arial"/>
                <w:sz w:val="20"/>
                <w:szCs w:val="20"/>
              </w:rPr>
              <w:t>We have applied</w:t>
            </w:r>
            <w:r w:rsidR="00C164E9">
              <w:rPr>
                <w:rFonts w:cs="Arial"/>
                <w:sz w:val="20"/>
                <w:szCs w:val="20"/>
              </w:rPr>
              <w:t xml:space="preserve"> particular</w:t>
            </w:r>
            <w:r w:rsidR="008D64B7" w:rsidRPr="007D0281">
              <w:rPr>
                <w:rFonts w:cs="Arial"/>
                <w:sz w:val="20"/>
                <w:szCs w:val="20"/>
              </w:rPr>
              <w:t xml:space="preserve"> caution in </w:t>
            </w:r>
            <w:r w:rsidR="00D934C3">
              <w:rPr>
                <w:rFonts w:cs="Arial"/>
                <w:sz w:val="20"/>
                <w:szCs w:val="20"/>
              </w:rPr>
              <w:t>this</w:t>
            </w:r>
            <w:r w:rsidR="00892F9F">
              <w:rPr>
                <w:rFonts w:cs="Arial"/>
                <w:sz w:val="20"/>
                <w:szCs w:val="20"/>
              </w:rPr>
              <w:t xml:space="preserve"> </w:t>
            </w:r>
            <w:r w:rsidR="008D64B7" w:rsidRPr="007D0281">
              <w:rPr>
                <w:rFonts w:cs="Arial"/>
                <w:sz w:val="20"/>
                <w:szCs w:val="20"/>
              </w:rPr>
              <w:t>assessment</w:t>
            </w:r>
            <w:r w:rsidR="001E58D1">
              <w:rPr>
                <w:rFonts w:cs="Arial"/>
                <w:sz w:val="20"/>
                <w:szCs w:val="20"/>
              </w:rPr>
              <w:t xml:space="preserve"> (as per specific policy principle (j))</w:t>
            </w:r>
            <w:r w:rsidR="008D64B7" w:rsidRPr="007D0281">
              <w:rPr>
                <w:rFonts w:cs="Arial"/>
                <w:sz w:val="20"/>
                <w:szCs w:val="20"/>
              </w:rPr>
              <w:t xml:space="preserve">, noting the proposed addition is safe and </w:t>
            </w:r>
            <w:r w:rsidR="008D64B7">
              <w:rPr>
                <w:rFonts w:cs="Arial"/>
                <w:sz w:val="20"/>
                <w:szCs w:val="20"/>
              </w:rPr>
              <w:t>is comparable to the natural</w:t>
            </w:r>
            <w:r w:rsidR="008D64B7" w:rsidRPr="007D0281">
              <w:rPr>
                <w:rFonts w:cs="Arial"/>
                <w:sz w:val="20"/>
                <w:szCs w:val="20"/>
              </w:rPr>
              <w:t xml:space="preserve"> presence</w:t>
            </w:r>
            <w:r w:rsidR="008D64B7">
              <w:rPr>
                <w:rFonts w:cs="Arial"/>
                <w:sz w:val="20"/>
                <w:szCs w:val="20"/>
              </w:rPr>
              <w:t xml:space="preserve"> of </w:t>
            </w:r>
            <w:r w:rsidR="00B51870">
              <w:rPr>
                <w:rFonts w:cs="Arial"/>
                <w:sz w:val="20"/>
                <w:szCs w:val="20"/>
              </w:rPr>
              <w:t>2′</w:t>
            </w:r>
            <w:r w:rsidR="008D64B7">
              <w:rPr>
                <w:rFonts w:cs="Arial"/>
                <w:sz w:val="20"/>
                <w:szCs w:val="20"/>
              </w:rPr>
              <w:t>-FL and LNnT</w:t>
            </w:r>
            <w:r w:rsidR="008D64B7" w:rsidRPr="007D0281">
              <w:rPr>
                <w:rFonts w:cs="Arial"/>
                <w:sz w:val="20"/>
                <w:szCs w:val="20"/>
              </w:rPr>
              <w:t xml:space="preserve"> in human milk. </w:t>
            </w:r>
          </w:p>
        </w:tc>
      </w:tr>
      <w:tr w:rsidR="008D64B7" w:rsidRPr="00426B41" w14:paraId="73F71999" w14:textId="77777777" w:rsidTr="00865BA6">
        <w:tc>
          <w:tcPr>
            <w:tcW w:w="1736" w:type="pct"/>
            <w:shd w:val="clear" w:color="auto" w:fill="EAF1DD" w:themeFill="accent3" w:themeFillTint="33"/>
          </w:tcPr>
          <w:p w14:paraId="6FB02B24" w14:textId="2FFD8A4F" w:rsidR="008D64B7" w:rsidRDefault="008D64B7" w:rsidP="00F84D82">
            <w:pPr>
              <w:rPr>
                <w:rFonts w:cs="Arial"/>
                <w:b/>
                <w:color w:val="FF0000"/>
                <w:sz w:val="20"/>
                <w:szCs w:val="20"/>
              </w:rPr>
            </w:pPr>
            <w:r w:rsidRPr="005E5DA8">
              <w:rPr>
                <w:rFonts w:cs="Arial"/>
                <w:color w:val="000000" w:themeColor="text1"/>
                <w:sz w:val="20"/>
                <w:szCs w:val="20"/>
              </w:rPr>
              <w:t xml:space="preserve">FSANZ did not support listing of </w:t>
            </w:r>
            <w:r>
              <w:rPr>
                <w:rFonts w:cs="Arial"/>
                <w:color w:val="000000" w:themeColor="text1"/>
                <w:sz w:val="20"/>
                <w:szCs w:val="20"/>
              </w:rPr>
              <w:t>‘</w:t>
            </w:r>
            <w:r w:rsidRPr="005E5DA8">
              <w:rPr>
                <w:rFonts w:cs="Arial"/>
                <w:color w:val="000000" w:themeColor="text1"/>
                <w:sz w:val="20"/>
                <w:szCs w:val="20"/>
              </w:rPr>
              <w:t>gut health</w:t>
            </w:r>
            <w:r>
              <w:rPr>
                <w:rFonts w:cs="Arial"/>
                <w:color w:val="000000" w:themeColor="text1"/>
                <w:sz w:val="20"/>
                <w:szCs w:val="20"/>
              </w:rPr>
              <w:t>’</w:t>
            </w:r>
            <w:r w:rsidRPr="005E5DA8">
              <w:rPr>
                <w:rFonts w:cs="Arial"/>
                <w:color w:val="000000" w:themeColor="text1"/>
                <w:sz w:val="20"/>
                <w:szCs w:val="20"/>
              </w:rPr>
              <w:t xml:space="preserve"> in Proposal P293 as an approved substantiated health effect from probiotics and prebiotics. Requests clarification as to FSANZ’s current position regarding this issue. </w:t>
            </w:r>
          </w:p>
        </w:tc>
        <w:tc>
          <w:tcPr>
            <w:tcW w:w="844" w:type="pct"/>
            <w:shd w:val="clear" w:color="auto" w:fill="EAF1DD" w:themeFill="accent3" w:themeFillTint="33"/>
          </w:tcPr>
          <w:p w14:paraId="764C682B" w14:textId="36CC7E60" w:rsidR="008D64B7" w:rsidRPr="00084B50" w:rsidRDefault="00FF0480" w:rsidP="008D64B7">
            <w:pPr>
              <w:rPr>
                <w:rFonts w:cs="Arial"/>
                <w:sz w:val="20"/>
                <w:szCs w:val="20"/>
              </w:rPr>
            </w:pPr>
            <w:r>
              <w:rPr>
                <w:rFonts w:cs="Arial"/>
                <w:sz w:val="20"/>
                <w:szCs w:val="20"/>
              </w:rPr>
              <w:t>QLD</w:t>
            </w:r>
            <w:r w:rsidR="008D64B7" w:rsidRPr="00084B50">
              <w:rPr>
                <w:rFonts w:cs="Arial"/>
                <w:sz w:val="20"/>
                <w:szCs w:val="20"/>
              </w:rPr>
              <w:t xml:space="preserve"> Health</w:t>
            </w:r>
          </w:p>
          <w:p w14:paraId="5473F512" w14:textId="6C4534CD" w:rsidR="008D64B7" w:rsidRPr="00084B50" w:rsidRDefault="008D64B7" w:rsidP="008D64B7">
            <w:pPr>
              <w:rPr>
                <w:rFonts w:cs="Arial"/>
                <w:sz w:val="20"/>
                <w:szCs w:val="20"/>
              </w:rPr>
            </w:pPr>
            <w:r w:rsidRPr="00084B50">
              <w:rPr>
                <w:rFonts w:cs="Arial"/>
                <w:sz w:val="20"/>
                <w:szCs w:val="20"/>
              </w:rPr>
              <w:t>NSWFA</w:t>
            </w:r>
          </w:p>
        </w:tc>
        <w:tc>
          <w:tcPr>
            <w:tcW w:w="2420" w:type="pct"/>
            <w:shd w:val="clear" w:color="auto" w:fill="EAF1DD" w:themeFill="accent3" w:themeFillTint="33"/>
          </w:tcPr>
          <w:p w14:paraId="6795F850" w14:textId="1E696F16" w:rsidR="006D6E76" w:rsidRDefault="008D64B7" w:rsidP="008D64B7">
            <w:pPr>
              <w:rPr>
                <w:rFonts w:cs="Arial"/>
                <w:sz w:val="20"/>
                <w:szCs w:val="20"/>
              </w:rPr>
            </w:pPr>
            <w:r w:rsidRPr="003F6A49">
              <w:rPr>
                <w:rFonts w:cs="Arial"/>
                <w:sz w:val="20"/>
                <w:szCs w:val="20"/>
              </w:rPr>
              <w:t>FSANZ</w:t>
            </w:r>
            <w:r w:rsidR="00791A00">
              <w:rPr>
                <w:rFonts w:cs="Arial"/>
                <w:sz w:val="20"/>
                <w:szCs w:val="20"/>
              </w:rPr>
              <w:t>’</w:t>
            </w:r>
            <w:r w:rsidRPr="003F6A49">
              <w:rPr>
                <w:rFonts w:cs="Arial"/>
                <w:sz w:val="20"/>
                <w:szCs w:val="20"/>
              </w:rPr>
              <w:t xml:space="preserve">s position with respect to making a health claim regarding </w:t>
            </w:r>
            <w:r>
              <w:rPr>
                <w:rFonts w:cs="Arial"/>
                <w:sz w:val="20"/>
                <w:szCs w:val="20"/>
              </w:rPr>
              <w:t>‘</w:t>
            </w:r>
            <w:r w:rsidRPr="003F6A49">
              <w:rPr>
                <w:rFonts w:cs="Arial"/>
                <w:sz w:val="20"/>
                <w:szCs w:val="20"/>
              </w:rPr>
              <w:t>gut health</w:t>
            </w:r>
            <w:r>
              <w:rPr>
                <w:rFonts w:cs="Arial"/>
                <w:sz w:val="20"/>
                <w:szCs w:val="20"/>
              </w:rPr>
              <w:t>’</w:t>
            </w:r>
            <w:r w:rsidRPr="003F6A49">
              <w:rPr>
                <w:rFonts w:cs="Arial"/>
                <w:sz w:val="20"/>
                <w:szCs w:val="20"/>
              </w:rPr>
              <w:t xml:space="preserve"> as referenced in P293 has not changed. </w:t>
            </w:r>
            <w:r w:rsidR="00791A00">
              <w:rPr>
                <w:rFonts w:cs="Arial"/>
                <w:sz w:val="20"/>
                <w:szCs w:val="20"/>
              </w:rPr>
              <w:t xml:space="preserve">The </w:t>
            </w:r>
            <w:r w:rsidR="0059429F">
              <w:rPr>
                <w:rFonts w:cs="Arial"/>
                <w:sz w:val="20"/>
                <w:szCs w:val="20"/>
              </w:rPr>
              <w:t xml:space="preserve">Ministerial </w:t>
            </w:r>
            <w:r w:rsidR="00D12847">
              <w:rPr>
                <w:rFonts w:cs="Arial"/>
                <w:sz w:val="20"/>
                <w:szCs w:val="20"/>
              </w:rPr>
              <w:t>P</w:t>
            </w:r>
            <w:r w:rsidR="00791A00">
              <w:rPr>
                <w:rFonts w:cs="Arial"/>
                <w:sz w:val="20"/>
                <w:szCs w:val="20"/>
              </w:rPr>
              <w:t xml:space="preserve">olicy </w:t>
            </w:r>
            <w:r w:rsidR="0059429F">
              <w:rPr>
                <w:rFonts w:cs="Arial"/>
                <w:sz w:val="20"/>
                <w:szCs w:val="20"/>
              </w:rPr>
              <w:t>G</w:t>
            </w:r>
            <w:r>
              <w:rPr>
                <w:rFonts w:cs="Arial"/>
                <w:sz w:val="20"/>
                <w:szCs w:val="20"/>
              </w:rPr>
              <w:t xml:space="preserve">uideline on </w:t>
            </w:r>
            <w:r w:rsidRPr="0059429F">
              <w:rPr>
                <w:rFonts w:cs="Arial"/>
                <w:sz w:val="20"/>
                <w:szCs w:val="20"/>
              </w:rPr>
              <w:t>Nutrition, Health and Related Claims</w:t>
            </w:r>
            <w:r>
              <w:rPr>
                <w:rFonts w:cs="Arial"/>
                <w:sz w:val="20"/>
                <w:szCs w:val="20"/>
              </w:rPr>
              <w:t xml:space="preserve"> states that c</w:t>
            </w:r>
            <w:r w:rsidRPr="0078354F">
              <w:rPr>
                <w:rFonts w:cs="Arial"/>
                <w:sz w:val="20"/>
                <w:szCs w:val="20"/>
              </w:rPr>
              <w:t>laims must communicate a specific</w:t>
            </w:r>
            <w:r>
              <w:rPr>
                <w:rFonts w:cs="Arial"/>
                <w:sz w:val="20"/>
                <w:szCs w:val="20"/>
              </w:rPr>
              <w:t>,</w:t>
            </w:r>
            <w:r w:rsidRPr="0078354F">
              <w:rPr>
                <w:rFonts w:cs="Arial"/>
                <w:sz w:val="20"/>
                <w:szCs w:val="20"/>
              </w:rPr>
              <w:t xml:space="preserve"> rather than a broad</w:t>
            </w:r>
            <w:r>
              <w:rPr>
                <w:rFonts w:cs="Arial"/>
                <w:sz w:val="20"/>
                <w:szCs w:val="20"/>
              </w:rPr>
              <w:t>,</w:t>
            </w:r>
            <w:r w:rsidRPr="0078354F">
              <w:rPr>
                <w:rFonts w:cs="Arial"/>
                <w:sz w:val="20"/>
                <w:szCs w:val="20"/>
              </w:rPr>
              <w:t xml:space="preserve"> benefit</w:t>
            </w:r>
            <w:r>
              <w:rPr>
                <w:rFonts w:cs="Arial"/>
                <w:sz w:val="20"/>
                <w:szCs w:val="20"/>
              </w:rPr>
              <w:t>.</w:t>
            </w:r>
            <w:r w:rsidRPr="003F6A49">
              <w:rPr>
                <w:rFonts w:cs="Arial"/>
                <w:sz w:val="20"/>
                <w:szCs w:val="20"/>
              </w:rPr>
              <w:t xml:space="preserve"> </w:t>
            </w:r>
            <w:r>
              <w:rPr>
                <w:rFonts w:cs="Arial"/>
                <w:sz w:val="20"/>
                <w:szCs w:val="20"/>
              </w:rPr>
              <w:t>‘G</w:t>
            </w:r>
            <w:r w:rsidRPr="003F6A49">
              <w:rPr>
                <w:rFonts w:cs="Arial"/>
                <w:sz w:val="20"/>
                <w:szCs w:val="20"/>
              </w:rPr>
              <w:t>ut health</w:t>
            </w:r>
            <w:r>
              <w:rPr>
                <w:rFonts w:cs="Arial"/>
                <w:sz w:val="20"/>
                <w:szCs w:val="20"/>
              </w:rPr>
              <w:t xml:space="preserve">’ is multifactorial and not considered to be specific. </w:t>
            </w:r>
          </w:p>
          <w:p w14:paraId="4DD755C4" w14:textId="77777777" w:rsidR="00AA25CE" w:rsidRDefault="00AA25CE" w:rsidP="008D64B7">
            <w:pPr>
              <w:rPr>
                <w:rFonts w:cs="Arial"/>
                <w:sz w:val="20"/>
                <w:szCs w:val="20"/>
              </w:rPr>
            </w:pPr>
          </w:p>
          <w:p w14:paraId="54FE4C71" w14:textId="48DF1F7F" w:rsidR="004A1587" w:rsidRDefault="006D6E76" w:rsidP="002F2717">
            <w:pPr>
              <w:widowControl/>
              <w:rPr>
                <w:rFonts w:cs="Arial"/>
                <w:sz w:val="20"/>
                <w:szCs w:val="20"/>
              </w:rPr>
            </w:pPr>
            <w:r>
              <w:rPr>
                <w:rFonts w:cs="Arial"/>
                <w:sz w:val="20"/>
                <w:szCs w:val="20"/>
              </w:rPr>
              <w:t>In assessing</w:t>
            </w:r>
            <w:r w:rsidR="008D64B7">
              <w:rPr>
                <w:rFonts w:cs="Arial"/>
                <w:sz w:val="20"/>
                <w:szCs w:val="20"/>
              </w:rPr>
              <w:t xml:space="preserve"> </w:t>
            </w:r>
            <w:r>
              <w:rPr>
                <w:rFonts w:cs="Arial"/>
                <w:sz w:val="20"/>
                <w:szCs w:val="20"/>
              </w:rPr>
              <w:t>this application</w:t>
            </w:r>
            <w:r w:rsidR="008D64B7">
              <w:rPr>
                <w:rFonts w:cs="Arial"/>
                <w:sz w:val="20"/>
                <w:szCs w:val="20"/>
              </w:rPr>
              <w:t>, FSANZ considered specific health effects</w:t>
            </w:r>
            <w:r w:rsidR="00854CD8">
              <w:rPr>
                <w:rFonts w:cs="Arial"/>
                <w:sz w:val="20"/>
                <w:szCs w:val="20"/>
              </w:rPr>
              <w:t xml:space="preserve"> stated in the application,</w:t>
            </w:r>
            <w:r>
              <w:rPr>
                <w:rFonts w:cs="Arial"/>
                <w:sz w:val="20"/>
                <w:szCs w:val="20"/>
              </w:rPr>
              <w:t xml:space="preserve"> for the purpose of </w:t>
            </w:r>
            <w:r w:rsidR="00FE400E">
              <w:rPr>
                <w:rFonts w:cs="Arial"/>
                <w:sz w:val="20"/>
                <w:szCs w:val="20"/>
              </w:rPr>
              <w:t xml:space="preserve">permitting </w:t>
            </w:r>
            <w:r w:rsidR="00A25DB9">
              <w:rPr>
                <w:rFonts w:cs="Arial"/>
                <w:sz w:val="20"/>
                <w:szCs w:val="20"/>
              </w:rPr>
              <w:t xml:space="preserve">voluntary </w:t>
            </w:r>
            <w:r w:rsidR="00DE092C">
              <w:rPr>
                <w:rFonts w:cs="Arial"/>
                <w:sz w:val="20"/>
                <w:szCs w:val="20"/>
              </w:rPr>
              <w:t>addition to</w:t>
            </w:r>
            <w:r w:rsidR="00D80D81">
              <w:rPr>
                <w:rFonts w:cs="Arial"/>
                <w:sz w:val="20"/>
                <w:szCs w:val="20"/>
              </w:rPr>
              <w:t xml:space="preserve"> infant formula products and FSFYC</w:t>
            </w:r>
            <w:r w:rsidR="00474BCC">
              <w:rPr>
                <w:rFonts w:cs="Arial"/>
                <w:sz w:val="20"/>
                <w:szCs w:val="20"/>
              </w:rPr>
              <w:t>.</w:t>
            </w:r>
            <w:r w:rsidR="00705229">
              <w:rPr>
                <w:rFonts w:cs="Arial"/>
                <w:sz w:val="20"/>
                <w:szCs w:val="20"/>
              </w:rPr>
              <w:t xml:space="preserve"> </w:t>
            </w:r>
            <w:r w:rsidR="00927C98">
              <w:rPr>
                <w:rFonts w:cs="Arial"/>
                <w:sz w:val="20"/>
                <w:szCs w:val="20"/>
              </w:rPr>
              <w:t>‘H</w:t>
            </w:r>
            <w:r w:rsidR="00705229">
              <w:rPr>
                <w:rFonts w:cs="Arial"/>
                <w:sz w:val="20"/>
                <w:szCs w:val="20"/>
              </w:rPr>
              <w:t xml:space="preserve">ealth effects’ is </w:t>
            </w:r>
            <w:r w:rsidR="00927C98">
              <w:rPr>
                <w:rFonts w:cs="Arial"/>
                <w:sz w:val="20"/>
                <w:szCs w:val="20"/>
              </w:rPr>
              <w:t xml:space="preserve">used in this context </w:t>
            </w:r>
            <w:r w:rsidR="00705229">
              <w:rPr>
                <w:rFonts w:cs="Arial"/>
                <w:sz w:val="20"/>
                <w:szCs w:val="20"/>
              </w:rPr>
              <w:t>for assessin</w:t>
            </w:r>
            <w:r w:rsidR="00927C98">
              <w:rPr>
                <w:rFonts w:cs="Arial"/>
                <w:sz w:val="20"/>
                <w:szCs w:val="20"/>
              </w:rPr>
              <w:t xml:space="preserve">g compositional permission, and </w:t>
            </w:r>
            <w:r w:rsidR="00705229">
              <w:rPr>
                <w:rFonts w:cs="Arial"/>
                <w:sz w:val="20"/>
                <w:szCs w:val="20"/>
              </w:rPr>
              <w:t xml:space="preserve">not for the purpose of </w:t>
            </w:r>
            <w:r w:rsidR="009C257C">
              <w:rPr>
                <w:rFonts w:cs="Arial"/>
                <w:sz w:val="20"/>
                <w:szCs w:val="20"/>
              </w:rPr>
              <w:t xml:space="preserve">substantiating a food-health relationship </w:t>
            </w:r>
            <w:r w:rsidR="00705229">
              <w:rPr>
                <w:rFonts w:cs="Arial"/>
                <w:sz w:val="20"/>
                <w:szCs w:val="20"/>
              </w:rPr>
              <w:t>in relation to making a</w:t>
            </w:r>
            <w:r w:rsidR="00D940F2">
              <w:rPr>
                <w:rFonts w:cs="Arial"/>
                <w:sz w:val="20"/>
                <w:szCs w:val="20"/>
              </w:rPr>
              <w:t xml:space="preserve"> health claim (see section 2.2</w:t>
            </w:r>
            <w:r w:rsidR="00705229">
              <w:rPr>
                <w:rFonts w:cs="Arial"/>
                <w:sz w:val="20"/>
                <w:szCs w:val="20"/>
              </w:rPr>
              <w:t>).</w:t>
            </w:r>
            <w:r w:rsidR="00927C98">
              <w:rPr>
                <w:rFonts w:cs="Arial"/>
                <w:sz w:val="20"/>
                <w:szCs w:val="20"/>
              </w:rPr>
              <w:t xml:space="preserve"> </w:t>
            </w:r>
          </w:p>
          <w:p w14:paraId="52DC32F3" w14:textId="77777777" w:rsidR="004A1587" w:rsidRDefault="004A1587" w:rsidP="008D64B7">
            <w:pPr>
              <w:rPr>
                <w:rFonts w:cs="Arial"/>
                <w:sz w:val="20"/>
                <w:szCs w:val="20"/>
              </w:rPr>
            </w:pPr>
          </w:p>
          <w:p w14:paraId="7F8D8A14" w14:textId="194F5F8B" w:rsidR="008D64B7" w:rsidRDefault="00474BCC" w:rsidP="0059429F">
            <w:pPr>
              <w:rPr>
                <w:rFonts w:cs="Arial"/>
                <w:sz w:val="20"/>
                <w:szCs w:val="20"/>
              </w:rPr>
            </w:pPr>
            <w:r w:rsidRPr="0063484E">
              <w:rPr>
                <w:rFonts w:cs="Arial"/>
                <w:sz w:val="20"/>
                <w:szCs w:val="20"/>
              </w:rPr>
              <w:t xml:space="preserve">The </w:t>
            </w:r>
            <w:r w:rsidR="00F04293">
              <w:rPr>
                <w:rFonts w:cs="Arial"/>
                <w:sz w:val="20"/>
                <w:szCs w:val="20"/>
              </w:rPr>
              <w:t>application is</w:t>
            </w:r>
            <w:r w:rsidRPr="0063484E">
              <w:rPr>
                <w:rFonts w:cs="Arial"/>
                <w:sz w:val="20"/>
                <w:szCs w:val="20"/>
              </w:rPr>
              <w:t xml:space="preserve"> not </w:t>
            </w:r>
            <w:r w:rsidR="00F04293">
              <w:rPr>
                <w:rFonts w:cs="Arial"/>
                <w:sz w:val="20"/>
                <w:szCs w:val="20"/>
              </w:rPr>
              <w:t>seeking</w:t>
            </w:r>
            <w:r w:rsidRPr="0063484E">
              <w:rPr>
                <w:rFonts w:cs="Arial"/>
                <w:sz w:val="20"/>
                <w:szCs w:val="20"/>
              </w:rPr>
              <w:t xml:space="preserve"> to add a food-health relationship to Schedule 4</w:t>
            </w:r>
            <w:r>
              <w:rPr>
                <w:rFonts w:cs="Arial"/>
                <w:sz w:val="20"/>
                <w:szCs w:val="20"/>
              </w:rPr>
              <w:t xml:space="preserve"> for FSFYC</w:t>
            </w:r>
            <w:r w:rsidRPr="0063484E">
              <w:rPr>
                <w:rFonts w:cs="Arial"/>
                <w:sz w:val="20"/>
                <w:szCs w:val="20"/>
              </w:rPr>
              <w:t>, for either a general level or a high level health claim</w:t>
            </w:r>
            <w:r w:rsidR="00F04293">
              <w:rPr>
                <w:rFonts w:cs="Arial"/>
                <w:sz w:val="20"/>
                <w:szCs w:val="20"/>
              </w:rPr>
              <w:t xml:space="preserve">, </w:t>
            </w:r>
            <w:r w:rsidR="004A1587" w:rsidRPr="00AA25CE">
              <w:rPr>
                <w:rFonts w:cs="Arial"/>
                <w:sz w:val="20"/>
                <w:szCs w:val="20"/>
              </w:rPr>
              <w:t>and evidence has</w:t>
            </w:r>
            <w:r w:rsidR="003F7041" w:rsidRPr="00AA25CE">
              <w:rPr>
                <w:rFonts w:cs="Arial"/>
                <w:sz w:val="20"/>
                <w:szCs w:val="20"/>
              </w:rPr>
              <w:t xml:space="preserve"> </w:t>
            </w:r>
            <w:r w:rsidR="00F04293" w:rsidRPr="00AA25CE">
              <w:rPr>
                <w:rFonts w:cs="Arial"/>
                <w:sz w:val="20"/>
                <w:szCs w:val="20"/>
              </w:rPr>
              <w:t>not</w:t>
            </w:r>
            <w:r w:rsidR="004A1587" w:rsidRPr="00AA25CE">
              <w:rPr>
                <w:rFonts w:cs="Arial"/>
                <w:sz w:val="20"/>
                <w:szCs w:val="20"/>
              </w:rPr>
              <w:t xml:space="preserve"> been</w:t>
            </w:r>
            <w:r w:rsidR="00F04293" w:rsidRPr="00AA25CE">
              <w:rPr>
                <w:rFonts w:cs="Arial"/>
                <w:sz w:val="20"/>
                <w:szCs w:val="20"/>
              </w:rPr>
              <w:t xml:space="preserve"> provided to support this.</w:t>
            </w:r>
            <w:r w:rsidRPr="00AA25CE">
              <w:rPr>
                <w:rFonts w:cs="Arial"/>
                <w:sz w:val="20"/>
                <w:szCs w:val="20"/>
              </w:rPr>
              <w:t xml:space="preserve"> </w:t>
            </w:r>
            <w:r w:rsidR="009A0701" w:rsidRPr="00AA25CE">
              <w:rPr>
                <w:rFonts w:cs="Arial"/>
                <w:sz w:val="20"/>
                <w:szCs w:val="20"/>
              </w:rPr>
              <w:t>As noted above, FS</w:t>
            </w:r>
            <w:r w:rsidR="009A0701">
              <w:rPr>
                <w:rFonts w:cs="Arial"/>
                <w:sz w:val="20"/>
                <w:szCs w:val="20"/>
              </w:rPr>
              <w:t xml:space="preserve">ANZ has </w:t>
            </w:r>
            <w:r>
              <w:rPr>
                <w:rFonts w:cs="Arial"/>
                <w:sz w:val="20"/>
                <w:szCs w:val="20"/>
              </w:rPr>
              <w:t xml:space="preserve">not assessed the application </w:t>
            </w:r>
            <w:r w:rsidR="008D64B7">
              <w:rPr>
                <w:rFonts w:cs="Arial"/>
                <w:sz w:val="20"/>
                <w:szCs w:val="20"/>
              </w:rPr>
              <w:t xml:space="preserve">for the purpose of permitting a </w:t>
            </w:r>
            <w:r w:rsidR="006D6E76">
              <w:rPr>
                <w:rFonts w:cs="Arial"/>
                <w:sz w:val="20"/>
                <w:szCs w:val="20"/>
              </w:rPr>
              <w:t xml:space="preserve">new </w:t>
            </w:r>
            <w:r w:rsidR="008D64B7">
              <w:rPr>
                <w:rFonts w:cs="Arial"/>
                <w:sz w:val="20"/>
                <w:szCs w:val="20"/>
              </w:rPr>
              <w:t xml:space="preserve">food-health relationship </w:t>
            </w:r>
            <w:r w:rsidR="0012257C">
              <w:rPr>
                <w:rFonts w:cs="Arial"/>
                <w:sz w:val="20"/>
                <w:szCs w:val="20"/>
              </w:rPr>
              <w:t xml:space="preserve">for health claims </w:t>
            </w:r>
            <w:r w:rsidR="008D64B7">
              <w:rPr>
                <w:rFonts w:cs="Arial"/>
                <w:sz w:val="20"/>
                <w:szCs w:val="20"/>
              </w:rPr>
              <w:t>in the Code</w:t>
            </w:r>
            <w:r w:rsidR="008D64B7" w:rsidRPr="00A25DB9">
              <w:rPr>
                <w:rFonts w:cs="Arial"/>
                <w:sz w:val="20"/>
                <w:szCs w:val="20"/>
              </w:rPr>
              <w:t>.</w:t>
            </w:r>
            <w:r w:rsidRPr="00A25DB9">
              <w:rPr>
                <w:rFonts w:cs="Arial"/>
                <w:sz w:val="20"/>
                <w:szCs w:val="20"/>
              </w:rPr>
              <w:t xml:space="preserve"> </w:t>
            </w:r>
          </w:p>
        </w:tc>
      </w:tr>
      <w:tr w:rsidR="008D64B7" w:rsidRPr="00426B41" w14:paraId="6E932199" w14:textId="77777777" w:rsidTr="004D7999">
        <w:tc>
          <w:tcPr>
            <w:tcW w:w="1736" w:type="pct"/>
          </w:tcPr>
          <w:p w14:paraId="1F7C8499" w14:textId="1309CFE1" w:rsidR="008D64B7" w:rsidRDefault="008D64B7" w:rsidP="008D64B7">
            <w:pPr>
              <w:rPr>
                <w:rFonts w:cs="Arial"/>
                <w:b/>
                <w:color w:val="FF0000"/>
                <w:sz w:val="20"/>
                <w:szCs w:val="20"/>
              </w:rPr>
            </w:pPr>
            <w:r w:rsidRPr="00426B41">
              <w:rPr>
                <w:rFonts w:cs="Arial"/>
                <w:sz w:val="20"/>
                <w:szCs w:val="20"/>
              </w:rPr>
              <w:t xml:space="preserve">Recommends FSANZ form an independent scientific expert group to review and provide advice regarding the status of prebiotics and probiotics intestinal microflora effects as beneficial health effects for classification in the </w:t>
            </w:r>
            <w:r>
              <w:rPr>
                <w:rFonts w:cs="Arial"/>
                <w:sz w:val="20"/>
                <w:szCs w:val="20"/>
              </w:rPr>
              <w:t xml:space="preserve">Code; and review other countries’ assessment criteria in this regard. </w:t>
            </w:r>
          </w:p>
        </w:tc>
        <w:tc>
          <w:tcPr>
            <w:tcW w:w="844" w:type="pct"/>
          </w:tcPr>
          <w:p w14:paraId="06F7AA57" w14:textId="25E11F14" w:rsidR="008D64B7" w:rsidRPr="00084B50" w:rsidRDefault="00FF0480" w:rsidP="008D64B7">
            <w:pPr>
              <w:rPr>
                <w:rFonts w:cs="Arial"/>
                <w:sz w:val="20"/>
                <w:szCs w:val="20"/>
              </w:rPr>
            </w:pPr>
            <w:r>
              <w:rPr>
                <w:rFonts w:cs="Arial"/>
                <w:sz w:val="20"/>
                <w:szCs w:val="20"/>
              </w:rPr>
              <w:t>QLD</w:t>
            </w:r>
            <w:r w:rsidR="008D64B7" w:rsidRPr="00084B50">
              <w:rPr>
                <w:rFonts w:cs="Arial"/>
                <w:sz w:val="20"/>
                <w:szCs w:val="20"/>
              </w:rPr>
              <w:t xml:space="preserve"> Health</w:t>
            </w:r>
          </w:p>
        </w:tc>
        <w:tc>
          <w:tcPr>
            <w:tcW w:w="2420" w:type="pct"/>
          </w:tcPr>
          <w:p w14:paraId="664E8D64" w14:textId="2680C29B" w:rsidR="008D64B7" w:rsidRDefault="008D64B7" w:rsidP="0011469E">
            <w:pPr>
              <w:rPr>
                <w:rFonts w:cs="Arial"/>
                <w:sz w:val="20"/>
                <w:szCs w:val="20"/>
              </w:rPr>
            </w:pPr>
            <w:r>
              <w:rPr>
                <w:rFonts w:cs="Arial"/>
                <w:sz w:val="20"/>
                <w:szCs w:val="20"/>
              </w:rPr>
              <w:t>A general review about prebiotics and probiotics and other countries’ assessment criteria is out of scope</w:t>
            </w:r>
            <w:r w:rsidR="009C3BEC">
              <w:rPr>
                <w:rFonts w:cs="Arial"/>
                <w:sz w:val="20"/>
                <w:szCs w:val="20"/>
              </w:rPr>
              <w:t xml:space="preserve"> </w:t>
            </w:r>
            <w:r>
              <w:rPr>
                <w:rFonts w:cs="Arial"/>
                <w:sz w:val="20"/>
                <w:szCs w:val="20"/>
              </w:rPr>
              <w:t xml:space="preserve">and is much broader than the specific health effects assessed for this application for the purpose of </w:t>
            </w:r>
            <w:r w:rsidR="0011469E">
              <w:rPr>
                <w:rFonts w:cs="Arial"/>
                <w:sz w:val="20"/>
                <w:szCs w:val="20"/>
              </w:rPr>
              <w:t>voluntary compositional permission</w:t>
            </w:r>
            <w:r>
              <w:rPr>
                <w:rFonts w:cs="Arial"/>
                <w:sz w:val="20"/>
                <w:szCs w:val="20"/>
              </w:rPr>
              <w:t xml:space="preserve">. </w:t>
            </w:r>
          </w:p>
        </w:tc>
      </w:tr>
      <w:tr w:rsidR="008D64B7" w:rsidRPr="00426B41" w14:paraId="6D40E3BB" w14:textId="77777777" w:rsidTr="00865BA6">
        <w:tc>
          <w:tcPr>
            <w:tcW w:w="1736" w:type="pct"/>
            <w:shd w:val="clear" w:color="auto" w:fill="EAF1DD" w:themeFill="accent3" w:themeFillTint="33"/>
          </w:tcPr>
          <w:p w14:paraId="5992D277" w14:textId="3EFE01F5" w:rsidR="008D64B7" w:rsidRDefault="008D64B7" w:rsidP="00205235">
            <w:pPr>
              <w:rPr>
                <w:rFonts w:cs="Arial"/>
                <w:b/>
                <w:color w:val="FF0000"/>
                <w:sz w:val="20"/>
                <w:szCs w:val="20"/>
              </w:rPr>
            </w:pPr>
            <w:r>
              <w:rPr>
                <w:rFonts w:cs="Arial"/>
                <w:sz w:val="20"/>
                <w:szCs w:val="20"/>
              </w:rPr>
              <w:t>A number of s</w:t>
            </w:r>
            <w:r w:rsidRPr="002759FB">
              <w:rPr>
                <w:rFonts w:cs="Arial"/>
                <w:sz w:val="20"/>
                <w:szCs w:val="20"/>
              </w:rPr>
              <w:t xml:space="preserve">pecific issues were raised about the quality, applicability and certainty of the current evidence to support the anti-infective </w:t>
            </w:r>
            <w:r>
              <w:rPr>
                <w:rFonts w:cs="Arial"/>
                <w:sz w:val="20"/>
                <w:szCs w:val="20"/>
              </w:rPr>
              <w:t xml:space="preserve">and bifidogenic </w:t>
            </w:r>
            <w:r w:rsidRPr="002759FB">
              <w:rPr>
                <w:rFonts w:cs="Arial"/>
                <w:sz w:val="20"/>
                <w:szCs w:val="20"/>
              </w:rPr>
              <w:t>effect</w:t>
            </w:r>
            <w:r>
              <w:rPr>
                <w:rFonts w:cs="Arial"/>
                <w:sz w:val="20"/>
                <w:szCs w:val="20"/>
              </w:rPr>
              <w:t>s. Further clinical trials are required to substanti</w:t>
            </w:r>
            <w:r w:rsidR="00406FD7">
              <w:rPr>
                <w:rFonts w:cs="Arial"/>
                <w:sz w:val="20"/>
                <w:szCs w:val="20"/>
              </w:rPr>
              <w:t>ate these health benefits</w:t>
            </w:r>
            <w:r>
              <w:rPr>
                <w:rFonts w:cs="Arial"/>
                <w:sz w:val="20"/>
                <w:szCs w:val="20"/>
              </w:rPr>
              <w:t>.</w:t>
            </w:r>
          </w:p>
        </w:tc>
        <w:tc>
          <w:tcPr>
            <w:tcW w:w="844" w:type="pct"/>
            <w:shd w:val="clear" w:color="auto" w:fill="EAF1DD" w:themeFill="accent3" w:themeFillTint="33"/>
          </w:tcPr>
          <w:p w14:paraId="746B1E81" w14:textId="77777777" w:rsidR="008D64B7" w:rsidRPr="00084B50" w:rsidRDefault="008D64B7" w:rsidP="008D64B7">
            <w:pPr>
              <w:rPr>
                <w:rFonts w:cs="Arial"/>
                <w:sz w:val="20"/>
                <w:szCs w:val="20"/>
              </w:rPr>
            </w:pPr>
            <w:r w:rsidRPr="00084B50">
              <w:rPr>
                <w:rFonts w:cs="Arial"/>
                <w:sz w:val="20"/>
                <w:szCs w:val="20"/>
              </w:rPr>
              <w:t>DHHS &amp; DJPR Vic</w:t>
            </w:r>
          </w:p>
          <w:p w14:paraId="4C7E1FA4" w14:textId="77777777" w:rsidR="008D64B7" w:rsidRPr="00084B50" w:rsidRDefault="008D64B7" w:rsidP="008D64B7">
            <w:pPr>
              <w:rPr>
                <w:rFonts w:cs="Arial"/>
                <w:sz w:val="20"/>
                <w:szCs w:val="20"/>
              </w:rPr>
            </w:pPr>
            <w:r w:rsidRPr="00084B50">
              <w:rPr>
                <w:rFonts w:cs="Arial"/>
                <w:sz w:val="20"/>
                <w:szCs w:val="20"/>
              </w:rPr>
              <w:t>SA Health</w:t>
            </w:r>
          </w:p>
          <w:p w14:paraId="1D90BC42" w14:textId="27B36F43" w:rsidR="008D64B7" w:rsidRPr="00084B50" w:rsidRDefault="00FF0480" w:rsidP="008D64B7">
            <w:pPr>
              <w:rPr>
                <w:rFonts w:cs="Arial"/>
                <w:sz w:val="20"/>
                <w:szCs w:val="20"/>
              </w:rPr>
            </w:pPr>
            <w:r>
              <w:rPr>
                <w:rFonts w:cs="Arial"/>
                <w:sz w:val="20"/>
                <w:szCs w:val="20"/>
              </w:rPr>
              <w:t>QLD</w:t>
            </w:r>
            <w:r w:rsidR="008D64B7" w:rsidRPr="00084B50">
              <w:rPr>
                <w:rFonts w:cs="Arial"/>
                <w:sz w:val="20"/>
                <w:szCs w:val="20"/>
              </w:rPr>
              <w:t xml:space="preserve"> Health</w:t>
            </w:r>
          </w:p>
          <w:p w14:paraId="70A11624" w14:textId="77777777" w:rsidR="008D64B7" w:rsidRPr="00084B50" w:rsidRDefault="008D64B7" w:rsidP="008D64B7">
            <w:pPr>
              <w:rPr>
                <w:rFonts w:cs="Arial"/>
                <w:sz w:val="20"/>
                <w:szCs w:val="20"/>
              </w:rPr>
            </w:pPr>
          </w:p>
        </w:tc>
        <w:tc>
          <w:tcPr>
            <w:tcW w:w="2420" w:type="pct"/>
            <w:shd w:val="clear" w:color="auto" w:fill="EAF1DD" w:themeFill="accent3" w:themeFillTint="33"/>
          </w:tcPr>
          <w:p w14:paraId="68752FF4" w14:textId="6402A0E7" w:rsidR="00892F9F" w:rsidRDefault="008D64B7" w:rsidP="008D64B7">
            <w:pPr>
              <w:rPr>
                <w:rFonts w:cs="Arial"/>
                <w:sz w:val="20"/>
                <w:szCs w:val="20"/>
              </w:rPr>
            </w:pPr>
            <w:r w:rsidRPr="003F6A49">
              <w:rPr>
                <w:rFonts w:cs="Arial"/>
                <w:sz w:val="20"/>
                <w:szCs w:val="20"/>
              </w:rPr>
              <w:t xml:space="preserve">FSANZ assessed </w:t>
            </w:r>
            <w:r>
              <w:rPr>
                <w:rFonts w:cs="Arial"/>
                <w:sz w:val="20"/>
                <w:szCs w:val="20"/>
              </w:rPr>
              <w:t xml:space="preserve">all </w:t>
            </w:r>
            <w:r w:rsidRPr="003F6A49">
              <w:rPr>
                <w:rFonts w:cs="Arial"/>
                <w:sz w:val="20"/>
                <w:szCs w:val="20"/>
              </w:rPr>
              <w:t xml:space="preserve">available </w:t>
            </w:r>
            <w:r>
              <w:rPr>
                <w:rFonts w:cs="Arial"/>
                <w:sz w:val="20"/>
                <w:szCs w:val="20"/>
              </w:rPr>
              <w:t>information</w:t>
            </w:r>
            <w:r w:rsidRPr="003F6A49">
              <w:rPr>
                <w:rFonts w:cs="Arial"/>
                <w:sz w:val="20"/>
                <w:szCs w:val="20"/>
              </w:rPr>
              <w:t xml:space="preserve"> </w:t>
            </w:r>
            <w:r>
              <w:rPr>
                <w:rFonts w:cs="Arial"/>
                <w:sz w:val="20"/>
                <w:szCs w:val="20"/>
              </w:rPr>
              <w:t>for the anti-infective and bifidogenic effects</w:t>
            </w:r>
            <w:r w:rsidR="002D71A5">
              <w:rPr>
                <w:rFonts w:cs="Arial"/>
                <w:sz w:val="20"/>
                <w:szCs w:val="20"/>
              </w:rPr>
              <w:t xml:space="preserve">, including an additional clinical study of </w:t>
            </w:r>
            <w:r w:rsidR="00B51870">
              <w:rPr>
                <w:rFonts w:cs="Arial"/>
                <w:sz w:val="20"/>
                <w:szCs w:val="20"/>
              </w:rPr>
              <w:t>2′</w:t>
            </w:r>
            <w:r w:rsidR="002D71A5">
              <w:rPr>
                <w:rFonts w:cs="Arial"/>
                <w:sz w:val="20"/>
                <w:szCs w:val="20"/>
              </w:rPr>
              <w:t>-FL and LNn</w:t>
            </w:r>
            <w:r w:rsidR="00B47909">
              <w:rPr>
                <w:rFonts w:cs="Arial"/>
                <w:sz w:val="20"/>
                <w:szCs w:val="20"/>
              </w:rPr>
              <w:t>T</w:t>
            </w:r>
            <w:r w:rsidR="00892F9F">
              <w:rPr>
                <w:rFonts w:cs="Arial"/>
                <w:sz w:val="20"/>
                <w:szCs w:val="20"/>
              </w:rPr>
              <w:t xml:space="preserve"> </w:t>
            </w:r>
            <w:r w:rsidR="002D71A5">
              <w:rPr>
                <w:rFonts w:cs="Arial"/>
                <w:sz w:val="20"/>
                <w:szCs w:val="20"/>
              </w:rPr>
              <w:t xml:space="preserve">in </w:t>
            </w:r>
            <w:r w:rsidR="006F3178">
              <w:rPr>
                <w:rFonts w:cs="Arial"/>
                <w:sz w:val="20"/>
                <w:szCs w:val="20"/>
              </w:rPr>
              <w:t xml:space="preserve">obese </w:t>
            </w:r>
            <w:r w:rsidR="002D71A5">
              <w:rPr>
                <w:rFonts w:cs="Arial"/>
                <w:sz w:val="20"/>
                <w:szCs w:val="20"/>
              </w:rPr>
              <w:t>children (5-12 years old) provided by the applica</w:t>
            </w:r>
            <w:r w:rsidR="00623112">
              <w:rPr>
                <w:rFonts w:cs="Arial"/>
                <w:sz w:val="20"/>
                <w:szCs w:val="20"/>
              </w:rPr>
              <w:t>n</w:t>
            </w:r>
            <w:r w:rsidR="002D71A5">
              <w:rPr>
                <w:rFonts w:cs="Arial"/>
                <w:sz w:val="20"/>
                <w:szCs w:val="20"/>
              </w:rPr>
              <w:t>t since the 1</w:t>
            </w:r>
            <w:r w:rsidR="002D71A5" w:rsidRPr="002D71A5">
              <w:rPr>
                <w:rFonts w:cs="Arial"/>
                <w:sz w:val="20"/>
                <w:szCs w:val="20"/>
                <w:vertAlign w:val="superscript"/>
              </w:rPr>
              <w:t>st</w:t>
            </w:r>
            <w:r w:rsidR="002D71A5">
              <w:rPr>
                <w:rFonts w:cs="Arial"/>
                <w:sz w:val="20"/>
                <w:szCs w:val="20"/>
              </w:rPr>
              <w:t xml:space="preserve"> CFS (see SD1, section 4.2.3 </w:t>
            </w:r>
            <w:r w:rsidR="00BE65AA">
              <w:rPr>
                <w:rFonts w:cs="Arial"/>
                <w:i/>
                <w:sz w:val="20"/>
                <w:szCs w:val="20"/>
              </w:rPr>
              <w:t xml:space="preserve">Human studies with </w:t>
            </w:r>
            <w:r w:rsidR="00B51870">
              <w:rPr>
                <w:rFonts w:cs="Arial"/>
                <w:i/>
                <w:sz w:val="20"/>
                <w:szCs w:val="20"/>
              </w:rPr>
              <w:t>2′</w:t>
            </w:r>
            <w:r w:rsidR="00BE65AA">
              <w:rPr>
                <w:rFonts w:cs="Arial"/>
                <w:i/>
                <w:sz w:val="20"/>
                <w:szCs w:val="20"/>
              </w:rPr>
              <w:t>-FL and/or LNnT</w:t>
            </w:r>
            <w:r w:rsidR="002D71A5">
              <w:rPr>
                <w:rFonts w:cs="Arial"/>
                <w:i/>
                <w:sz w:val="20"/>
                <w:szCs w:val="20"/>
              </w:rPr>
              <w:t>)</w:t>
            </w:r>
            <w:r w:rsidR="002D71A5">
              <w:rPr>
                <w:rFonts w:cs="Arial"/>
                <w:sz w:val="20"/>
                <w:szCs w:val="20"/>
              </w:rPr>
              <w:t xml:space="preserve">. </w:t>
            </w:r>
          </w:p>
          <w:p w14:paraId="31868361" w14:textId="77777777" w:rsidR="00892F9F" w:rsidRDefault="00892F9F" w:rsidP="008D64B7">
            <w:pPr>
              <w:rPr>
                <w:rFonts w:cs="Arial"/>
                <w:sz w:val="20"/>
                <w:szCs w:val="20"/>
              </w:rPr>
            </w:pPr>
          </w:p>
          <w:p w14:paraId="39C25BBF" w14:textId="7CE0F929" w:rsidR="00E5353C" w:rsidRDefault="008D64B7" w:rsidP="008D64B7">
            <w:pPr>
              <w:rPr>
                <w:rFonts w:cs="Arial"/>
                <w:sz w:val="20"/>
                <w:szCs w:val="20"/>
              </w:rPr>
            </w:pPr>
            <w:r>
              <w:rPr>
                <w:rFonts w:cs="Arial"/>
                <w:sz w:val="20"/>
                <w:szCs w:val="20"/>
              </w:rPr>
              <w:t>FSANZ</w:t>
            </w:r>
            <w:r w:rsidRPr="003F6A49">
              <w:rPr>
                <w:rFonts w:cs="Arial"/>
                <w:sz w:val="20"/>
                <w:szCs w:val="20"/>
              </w:rPr>
              <w:t xml:space="preserve"> </w:t>
            </w:r>
            <w:r w:rsidR="00794B75">
              <w:rPr>
                <w:rFonts w:cs="Arial"/>
                <w:sz w:val="20"/>
                <w:szCs w:val="20"/>
              </w:rPr>
              <w:t>has concluded</w:t>
            </w:r>
            <w:r w:rsidR="00794B75" w:rsidRPr="003F6A49">
              <w:rPr>
                <w:rFonts w:cs="Arial"/>
                <w:sz w:val="20"/>
                <w:szCs w:val="20"/>
              </w:rPr>
              <w:t xml:space="preserve"> </w:t>
            </w:r>
            <w:r>
              <w:rPr>
                <w:rFonts w:cs="Arial"/>
                <w:sz w:val="20"/>
                <w:szCs w:val="20"/>
              </w:rPr>
              <w:t xml:space="preserve">that </w:t>
            </w:r>
            <w:r w:rsidR="00B51870">
              <w:rPr>
                <w:rFonts w:cs="Arial"/>
                <w:sz w:val="20"/>
                <w:szCs w:val="20"/>
              </w:rPr>
              <w:t>2′</w:t>
            </w:r>
            <w:r>
              <w:rPr>
                <w:rFonts w:cs="Arial"/>
                <w:sz w:val="20"/>
                <w:szCs w:val="20"/>
              </w:rPr>
              <w:t xml:space="preserve">-FL binding to invasive </w:t>
            </w:r>
            <w:r w:rsidRPr="006E31AC">
              <w:rPr>
                <w:rFonts w:cs="Arial"/>
                <w:i/>
                <w:sz w:val="20"/>
                <w:szCs w:val="20"/>
              </w:rPr>
              <w:t>C. jejuni</w:t>
            </w:r>
            <w:r>
              <w:rPr>
                <w:rFonts w:cs="Arial"/>
                <w:sz w:val="20"/>
                <w:szCs w:val="20"/>
              </w:rPr>
              <w:t xml:space="preserve"> strains and </w:t>
            </w:r>
            <w:r w:rsidR="00B47909">
              <w:rPr>
                <w:rFonts w:cs="Arial"/>
                <w:sz w:val="20"/>
                <w:szCs w:val="20"/>
              </w:rPr>
              <w:t xml:space="preserve">subsequently inhibiting </w:t>
            </w:r>
            <w:r w:rsidR="00623112">
              <w:rPr>
                <w:rFonts w:cs="Arial"/>
                <w:sz w:val="20"/>
                <w:szCs w:val="20"/>
              </w:rPr>
              <w:t xml:space="preserve">their </w:t>
            </w:r>
            <w:r w:rsidR="00B47909">
              <w:rPr>
                <w:rFonts w:cs="Arial"/>
                <w:sz w:val="20"/>
                <w:szCs w:val="20"/>
              </w:rPr>
              <w:t>attachment and growth</w:t>
            </w:r>
            <w:r w:rsidR="00892F9F">
              <w:rPr>
                <w:rFonts w:cs="Arial"/>
                <w:sz w:val="20"/>
                <w:szCs w:val="20"/>
              </w:rPr>
              <w:t>,</w:t>
            </w:r>
            <w:r w:rsidR="00B47909">
              <w:rPr>
                <w:rFonts w:cs="Arial"/>
                <w:sz w:val="20"/>
                <w:szCs w:val="20"/>
              </w:rPr>
              <w:t xml:space="preserve"> is biologically and mechanistically plausible </w:t>
            </w:r>
            <w:r>
              <w:rPr>
                <w:rFonts w:cs="Arial"/>
                <w:sz w:val="20"/>
                <w:szCs w:val="20"/>
              </w:rPr>
              <w:t>an</w:t>
            </w:r>
            <w:r w:rsidR="00803F59">
              <w:rPr>
                <w:rFonts w:cs="Arial"/>
                <w:sz w:val="20"/>
                <w:szCs w:val="20"/>
              </w:rPr>
              <w:t>d thereby has an anti-infective</w:t>
            </w:r>
            <w:r>
              <w:rPr>
                <w:rFonts w:cs="Arial"/>
                <w:sz w:val="20"/>
                <w:szCs w:val="20"/>
              </w:rPr>
              <w:t xml:space="preserve"> effect</w:t>
            </w:r>
            <w:r w:rsidR="00794B75">
              <w:rPr>
                <w:rFonts w:cs="Arial"/>
                <w:sz w:val="20"/>
                <w:szCs w:val="20"/>
              </w:rPr>
              <w:t xml:space="preserve">. The evidence also supports </w:t>
            </w:r>
            <w:r w:rsidR="00B47909">
              <w:rPr>
                <w:rFonts w:cs="Arial"/>
                <w:sz w:val="20"/>
                <w:szCs w:val="20"/>
              </w:rPr>
              <w:t>the biological</w:t>
            </w:r>
            <w:r w:rsidR="00794B75">
              <w:rPr>
                <w:rFonts w:cs="Arial"/>
                <w:sz w:val="20"/>
                <w:szCs w:val="20"/>
              </w:rPr>
              <w:t xml:space="preserve"> </w:t>
            </w:r>
            <w:r w:rsidR="00803F59">
              <w:rPr>
                <w:rFonts w:cs="Arial"/>
                <w:sz w:val="20"/>
                <w:szCs w:val="20"/>
              </w:rPr>
              <w:t xml:space="preserve">and mechanistic </w:t>
            </w:r>
            <w:r w:rsidR="00794B75">
              <w:rPr>
                <w:rFonts w:cs="Arial"/>
                <w:sz w:val="20"/>
                <w:szCs w:val="20"/>
              </w:rPr>
              <w:t>plausib</w:t>
            </w:r>
            <w:r w:rsidR="00B47909">
              <w:rPr>
                <w:rFonts w:cs="Arial"/>
                <w:sz w:val="20"/>
                <w:szCs w:val="20"/>
              </w:rPr>
              <w:t>ility of a</w:t>
            </w:r>
            <w:r w:rsidR="00794B75">
              <w:rPr>
                <w:rFonts w:cs="Arial"/>
                <w:sz w:val="20"/>
                <w:szCs w:val="20"/>
              </w:rPr>
              <w:t xml:space="preserve"> bifidoge</w:t>
            </w:r>
            <w:r w:rsidR="00A67906">
              <w:rPr>
                <w:rFonts w:cs="Arial"/>
                <w:sz w:val="20"/>
                <w:szCs w:val="20"/>
              </w:rPr>
              <w:t>nic effect from the proposed use</w:t>
            </w:r>
            <w:r w:rsidR="00794B75">
              <w:rPr>
                <w:rFonts w:cs="Arial"/>
                <w:sz w:val="20"/>
                <w:szCs w:val="20"/>
              </w:rPr>
              <w:t xml:space="preserve"> of </w:t>
            </w:r>
            <w:r w:rsidR="00B51870">
              <w:rPr>
                <w:rFonts w:cs="Arial"/>
                <w:sz w:val="20"/>
                <w:szCs w:val="20"/>
              </w:rPr>
              <w:t>2′</w:t>
            </w:r>
            <w:r w:rsidR="00794B75">
              <w:rPr>
                <w:rFonts w:cs="Arial"/>
                <w:sz w:val="20"/>
                <w:szCs w:val="20"/>
              </w:rPr>
              <w:t xml:space="preserve">-FL alone or with LNnT, if the </w:t>
            </w:r>
            <w:r w:rsidR="00794B75" w:rsidRPr="00794B75">
              <w:rPr>
                <w:sz w:val="20"/>
                <w:szCs w:val="20"/>
              </w:rPr>
              <w:t>bifidobacterium strains which metabolise these oligosaccharides are present</w:t>
            </w:r>
            <w:r w:rsidR="00794B75">
              <w:rPr>
                <w:rFonts w:cs="Arial"/>
                <w:sz w:val="20"/>
                <w:szCs w:val="20"/>
              </w:rPr>
              <w:t xml:space="preserve"> (see section </w:t>
            </w:r>
            <w:r w:rsidR="00A04AC7">
              <w:rPr>
                <w:rFonts w:cs="Arial"/>
                <w:sz w:val="20"/>
                <w:szCs w:val="20"/>
              </w:rPr>
              <w:t>2.2.2</w:t>
            </w:r>
            <w:r w:rsidR="00794B75">
              <w:rPr>
                <w:rFonts w:cs="Arial"/>
                <w:sz w:val="20"/>
                <w:szCs w:val="20"/>
              </w:rPr>
              <w:t>)</w:t>
            </w:r>
            <w:r>
              <w:rPr>
                <w:rFonts w:cs="Arial"/>
                <w:sz w:val="20"/>
                <w:szCs w:val="20"/>
              </w:rPr>
              <w:t xml:space="preserve">. </w:t>
            </w:r>
          </w:p>
          <w:p w14:paraId="196C6509" w14:textId="6A5CE840" w:rsidR="008D64B7" w:rsidRDefault="008D64B7" w:rsidP="008D64B7">
            <w:pPr>
              <w:rPr>
                <w:rFonts w:cs="Arial"/>
                <w:sz w:val="20"/>
                <w:szCs w:val="20"/>
              </w:rPr>
            </w:pPr>
          </w:p>
          <w:p w14:paraId="6EDB4708" w14:textId="72ED218B" w:rsidR="002065DB" w:rsidRDefault="008D64B7" w:rsidP="00072A22">
            <w:pPr>
              <w:rPr>
                <w:rFonts w:cs="Arial"/>
                <w:sz w:val="20"/>
                <w:szCs w:val="20"/>
              </w:rPr>
            </w:pPr>
            <w:r w:rsidRPr="009A19B9">
              <w:rPr>
                <w:rFonts w:cs="Arial"/>
                <w:sz w:val="20"/>
                <w:szCs w:val="20"/>
              </w:rPr>
              <w:t xml:space="preserve">FSANZ </w:t>
            </w:r>
            <w:r>
              <w:rPr>
                <w:rFonts w:cs="Arial"/>
                <w:sz w:val="20"/>
                <w:szCs w:val="20"/>
              </w:rPr>
              <w:t>acknowledges</w:t>
            </w:r>
            <w:r w:rsidRPr="009A19B9">
              <w:rPr>
                <w:rFonts w:cs="Arial"/>
                <w:sz w:val="20"/>
                <w:szCs w:val="20"/>
              </w:rPr>
              <w:t xml:space="preserve"> that additional clinical trials would provide further evidence and give greater confidence to any conclusions from the assessment. </w:t>
            </w:r>
            <w:r w:rsidR="00900F04">
              <w:rPr>
                <w:rFonts w:cs="Arial"/>
                <w:sz w:val="20"/>
                <w:szCs w:val="20"/>
              </w:rPr>
              <w:t xml:space="preserve">However, as discussed in SD1 (section 4), </w:t>
            </w:r>
            <w:r w:rsidR="00DB7D6F">
              <w:rPr>
                <w:rFonts w:cs="Arial"/>
                <w:sz w:val="20"/>
                <w:szCs w:val="20"/>
              </w:rPr>
              <w:t xml:space="preserve">it is difficult to </w:t>
            </w:r>
            <w:r w:rsidR="00900F04">
              <w:rPr>
                <w:rFonts w:cs="Arial"/>
                <w:sz w:val="20"/>
                <w:szCs w:val="20"/>
              </w:rPr>
              <w:t>definitivel</w:t>
            </w:r>
            <w:r w:rsidR="00DB7D6F">
              <w:rPr>
                <w:rFonts w:cs="Arial"/>
                <w:sz w:val="20"/>
                <w:szCs w:val="20"/>
              </w:rPr>
              <w:t>y and reproducibly demonstrate</w:t>
            </w:r>
            <w:r w:rsidR="00900F04">
              <w:rPr>
                <w:rFonts w:cs="Arial"/>
                <w:sz w:val="20"/>
                <w:szCs w:val="20"/>
              </w:rPr>
              <w:t xml:space="preserve"> causality of a</w:t>
            </w:r>
            <w:r w:rsidR="003D4DA1">
              <w:rPr>
                <w:rFonts w:cs="Arial"/>
                <w:sz w:val="20"/>
                <w:szCs w:val="20"/>
              </w:rPr>
              <w:t xml:space="preserve"> health</w:t>
            </w:r>
            <w:r w:rsidR="00900F04">
              <w:rPr>
                <w:rFonts w:cs="Arial"/>
                <w:sz w:val="20"/>
                <w:szCs w:val="20"/>
              </w:rPr>
              <w:t xml:space="preserve"> effect associated </w:t>
            </w:r>
            <w:r w:rsidR="00DD0941">
              <w:rPr>
                <w:rFonts w:cs="Arial"/>
                <w:sz w:val="20"/>
                <w:szCs w:val="20"/>
              </w:rPr>
              <w:t>with</w:t>
            </w:r>
            <w:r w:rsidR="003D4DA1">
              <w:rPr>
                <w:rFonts w:cs="Arial"/>
                <w:sz w:val="20"/>
                <w:szCs w:val="20"/>
              </w:rPr>
              <w:t xml:space="preserve"> a substrate targeted at modulating gut microflora</w:t>
            </w:r>
            <w:r w:rsidR="00900F04">
              <w:rPr>
                <w:rFonts w:cs="Arial"/>
                <w:sz w:val="20"/>
                <w:szCs w:val="20"/>
              </w:rPr>
              <w:t>.</w:t>
            </w:r>
            <w:r w:rsidR="003D4DA1" w:rsidRPr="00E47D2E">
              <w:t xml:space="preserve"> </w:t>
            </w:r>
            <w:r>
              <w:rPr>
                <w:sz w:val="20"/>
                <w:szCs w:val="20"/>
              </w:rPr>
              <w:t xml:space="preserve">FSANZ </w:t>
            </w:r>
            <w:r w:rsidR="00900F04">
              <w:rPr>
                <w:sz w:val="20"/>
                <w:szCs w:val="20"/>
              </w:rPr>
              <w:t xml:space="preserve">therefore </w:t>
            </w:r>
            <w:r>
              <w:rPr>
                <w:sz w:val="20"/>
                <w:szCs w:val="20"/>
              </w:rPr>
              <w:t xml:space="preserve">considers the evidence supporting the </w:t>
            </w:r>
            <w:r w:rsidR="00945060">
              <w:rPr>
                <w:sz w:val="20"/>
                <w:szCs w:val="20"/>
              </w:rPr>
              <w:t>anti-infective and bifidogenic</w:t>
            </w:r>
            <w:r>
              <w:rPr>
                <w:sz w:val="20"/>
                <w:szCs w:val="20"/>
              </w:rPr>
              <w:t xml:space="preserve"> effects is </w:t>
            </w:r>
            <w:r w:rsidR="00900F04">
              <w:rPr>
                <w:sz w:val="20"/>
                <w:szCs w:val="20"/>
              </w:rPr>
              <w:t xml:space="preserve">appropriate </w:t>
            </w:r>
            <w:r w:rsidR="00892F9F">
              <w:rPr>
                <w:sz w:val="20"/>
                <w:szCs w:val="20"/>
              </w:rPr>
              <w:t>for the purpose of</w:t>
            </w:r>
            <w:r w:rsidR="00794B75">
              <w:rPr>
                <w:sz w:val="20"/>
                <w:szCs w:val="20"/>
              </w:rPr>
              <w:t xml:space="preserve"> the proposed voluntary permission</w:t>
            </w:r>
            <w:r w:rsidR="002065DB">
              <w:rPr>
                <w:sz w:val="20"/>
                <w:szCs w:val="20"/>
              </w:rPr>
              <w:t>.</w:t>
            </w:r>
          </w:p>
        </w:tc>
      </w:tr>
      <w:tr w:rsidR="008D64B7" w:rsidRPr="00426B41" w14:paraId="03109028" w14:textId="77777777" w:rsidTr="004D7999">
        <w:tc>
          <w:tcPr>
            <w:tcW w:w="1736" w:type="pct"/>
          </w:tcPr>
          <w:p w14:paraId="5B37EB79" w14:textId="57056C9D" w:rsidR="008D64B7" w:rsidRPr="00426B41" w:rsidRDefault="008D64B7" w:rsidP="002065DB">
            <w:pPr>
              <w:widowControl/>
              <w:rPr>
                <w:rFonts w:cs="Arial"/>
                <w:b/>
                <w:color w:val="FF0000"/>
                <w:sz w:val="20"/>
                <w:szCs w:val="20"/>
              </w:rPr>
            </w:pPr>
            <w:r>
              <w:rPr>
                <w:rFonts w:cs="Arial"/>
                <w:sz w:val="20"/>
                <w:szCs w:val="20"/>
              </w:rPr>
              <w:t>Further clarity is requested on the e</w:t>
            </w:r>
            <w:r w:rsidRPr="00426B41">
              <w:rPr>
                <w:rFonts w:cs="Arial"/>
                <w:sz w:val="20"/>
                <w:szCs w:val="20"/>
              </w:rPr>
              <w:t xml:space="preserve">ffective dose </w:t>
            </w:r>
            <w:r>
              <w:rPr>
                <w:rFonts w:cs="Arial"/>
                <w:sz w:val="20"/>
                <w:szCs w:val="20"/>
              </w:rPr>
              <w:t xml:space="preserve">of </w:t>
            </w:r>
            <w:r w:rsidR="00B51870">
              <w:rPr>
                <w:rFonts w:cs="Arial"/>
                <w:sz w:val="20"/>
                <w:szCs w:val="20"/>
              </w:rPr>
              <w:t>2′</w:t>
            </w:r>
            <w:r>
              <w:rPr>
                <w:rFonts w:cs="Arial"/>
                <w:sz w:val="20"/>
                <w:szCs w:val="20"/>
              </w:rPr>
              <w:t xml:space="preserve">-FL and LNnT </w:t>
            </w:r>
            <w:r w:rsidRPr="00426B41">
              <w:rPr>
                <w:rFonts w:cs="Arial"/>
                <w:sz w:val="20"/>
                <w:szCs w:val="20"/>
              </w:rPr>
              <w:t xml:space="preserve">required to provide </w:t>
            </w:r>
            <w:r>
              <w:rPr>
                <w:rFonts w:cs="Arial"/>
                <w:sz w:val="20"/>
                <w:szCs w:val="20"/>
              </w:rPr>
              <w:t>for the bifidogenic and anti-infective</w:t>
            </w:r>
            <w:r w:rsidRPr="00426B41">
              <w:rPr>
                <w:rFonts w:cs="Arial"/>
                <w:sz w:val="20"/>
                <w:szCs w:val="20"/>
              </w:rPr>
              <w:t xml:space="preserve"> effects. </w:t>
            </w:r>
            <w:r w:rsidRPr="00CD0B08">
              <w:rPr>
                <w:rFonts w:cs="Arial"/>
                <w:sz w:val="20"/>
                <w:szCs w:val="20"/>
              </w:rPr>
              <w:t>Suggests further information is requested from the applicant on this matter.</w:t>
            </w:r>
            <w:r>
              <w:rPr>
                <w:rFonts w:cs="Arial"/>
                <w:sz w:val="20"/>
                <w:szCs w:val="20"/>
              </w:rPr>
              <w:t xml:space="preserve"> </w:t>
            </w:r>
          </w:p>
        </w:tc>
        <w:tc>
          <w:tcPr>
            <w:tcW w:w="844" w:type="pct"/>
          </w:tcPr>
          <w:p w14:paraId="0B5155EE" w14:textId="51013E58" w:rsidR="008D64B7" w:rsidRPr="00084B50" w:rsidRDefault="008D64B7" w:rsidP="008D64B7">
            <w:pPr>
              <w:rPr>
                <w:rFonts w:cs="Arial"/>
                <w:sz w:val="20"/>
                <w:szCs w:val="20"/>
              </w:rPr>
            </w:pPr>
            <w:r w:rsidRPr="00084B50">
              <w:rPr>
                <w:rFonts w:cs="Arial"/>
                <w:sz w:val="20"/>
                <w:szCs w:val="20"/>
              </w:rPr>
              <w:t>NSWFA</w:t>
            </w:r>
          </w:p>
        </w:tc>
        <w:tc>
          <w:tcPr>
            <w:tcW w:w="2420" w:type="pct"/>
          </w:tcPr>
          <w:p w14:paraId="39580036" w14:textId="742816BD" w:rsidR="008D64B7" w:rsidRDefault="008D64B7" w:rsidP="002065DB">
            <w:pPr>
              <w:widowControl/>
              <w:rPr>
                <w:rFonts w:cs="Arial"/>
                <w:sz w:val="20"/>
                <w:szCs w:val="20"/>
              </w:rPr>
            </w:pPr>
            <w:r>
              <w:rPr>
                <w:rFonts w:cs="Arial"/>
                <w:sz w:val="20"/>
                <w:szCs w:val="20"/>
              </w:rPr>
              <w:t xml:space="preserve">FSANZ has assessed all information provided </w:t>
            </w:r>
            <w:r w:rsidR="000933C8">
              <w:rPr>
                <w:rFonts w:cs="Arial"/>
                <w:sz w:val="20"/>
                <w:szCs w:val="20"/>
              </w:rPr>
              <w:t xml:space="preserve">by the </w:t>
            </w:r>
            <w:r>
              <w:rPr>
                <w:rFonts w:cs="Arial"/>
                <w:sz w:val="20"/>
                <w:szCs w:val="20"/>
              </w:rPr>
              <w:t>applica</w:t>
            </w:r>
            <w:r w:rsidR="000933C8">
              <w:rPr>
                <w:rFonts w:cs="Arial"/>
                <w:sz w:val="20"/>
                <w:szCs w:val="20"/>
              </w:rPr>
              <w:t>nt</w:t>
            </w:r>
            <w:r w:rsidR="00DE7610">
              <w:rPr>
                <w:rFonts w:cs="Arial"/>
                <w:sz w:val="20"/>
                <w:szCs w:val="20"/>
              </w:rPr>
              <w:t>,</w:t>
            </w:r>
            <w:r>
              <w:rPr>
                <w:rFonts w:cs="Arial"/>
                <w:sz w:val="20"/>
                <w:szCs w:val="20"/>
              </w:rPr>
              <w:t xml:space="preserve"> and conducted our own independent literature search.</w:t>
            </w:r>
            <w:r w:rsidR="00B36990">
              <w:rPr>
                <w:rFonts w:cs="Arial"/>
                <w:sz w:val="20"/>
                <w:szCs w:val="20"/>
              </w:rPr>
              <w:t xml:space="preserve"> </w:t>
            </w:r>
            <w:r>
              <w:rPr>
                <w:rFonts w:cs="Arial"/>
                <w:sz w:val="20"/>
                <w:szCs w:val="20"/>
              </w:rPr>
              <w:t>As di</w:t>
            </w:r>
            <w:r w:rsidR="00B36990">
              <w:rPr>
                <w:rFonts w:cs="Arial"/>
                <w:sz w:val="20"/>
                <w:szCs w:val="20"/>
              </w:rPr>
              <w:t xml:space="preserve">scussed in </w:t>
            </w:r>
            <w:r w:rsidR="00C164E9">
              <w:rPr>
                <w:rFonts w:cs="Arial"/>
                <w:sz w:val="20"/>
                <w:szCs w:val="20"/>
              </w:rPr>
              <w:t>SD</w:t>
            </w:r>
            <w:r w:rsidR="00B36990" w:rsidRPr="00B36990">
              <w:rPr>
                <w:rFonts w:cs="Arial"/>
                <w:sz w:val="20"/>
                <w:szCs w:val="20"/>
              </w:rPr>
              <w:t>1</w:t>
            </w:r>
            <w:r w:rsidRPr="00B36990">
              <w:rPr>
                <w:rFonts w:cs="Arial"/>
                <w:sz w:val="20"/>
                <w:szCs w:val="20"/>
              </w:rPr>
              <w:t>,</w:t>
            </w:r>
            <w:r>
              <w:rPr>
                <w:rFonts w:cs="Arial"/>
                <w:sz w:val="20"/>
                <w:szCs w:val="20"/>
              </w:rPr>
              <w:t xml:space="preserve"> FSANZ </w:t>
            </w:r>
            <w:r w:rsidR="00B36990">
              <w:rPr>
                <w:rFonts w:cs="Arial"/>
                <w:sz w:val="20"/>
                <w:szCs w:val="20"/>
              </w:rPr>
              <w:t>is not able to</w:t>
            </w:r>
            <w:r>
              <w:rPr>
                <w:rFonts w:cs="Arial"/>
                <w:sz w:val="20"/>
                <w:szCs w:val="20"/>
              </w:rPr>
              <w:t xml:space="preserve"> establish a dose response for</w:t>
            </w:r>
            <w:r w:rsidR="0011469E">
              <w:rPr>
                <w:rFonts w:cs="Arial"/>
                <w:sz w:val="20"/>
                <w:szCs w:val="20"/>
              </w:rPr>
              <w:t xml:space="preserve"> the</w:t>
            </w:r>
            <w:r>
              <w:rPr>
                <w:rFonts w:cs="Arial"/>
                <w:sz w:val="20"/>
                <w:szCs w:val="20"/>
              </w:rPr>
              <w:t xml:space="preserve"> </w:t>
            </w:r>
            <w:r w:rsidR="0011469E">
              <w:rPr>
                <w:rFonts w:cs="Arial"/>
                <w:sz w:val="20"/>
                <w:szCs w:val="20"/>
              </w:rPr>
              <w:t xml:space="preserve">anti-infective and bifidogenic </w:t>
            </w:r>
            <w:r>
              <w:rPr>
                <w:rFonts w:cs="Arial"/>
                <w:sz w:val="20"/>
                <w:szCs w:val="20"/>
              </w:rPr>
              <w:t xml:space="preserve">effects. </w:t>
            </w:r>
            <w:r w:rsidR="00DE7610">
              <w:rPr>
                <w:rFonts w:cs="Arial"/>
                <w:sz w:val="20"/>
                <w:szCs w:val="20"/>
              </w:rPr>
              <w:t>No further information is available from the applicant on this matter.</w:t>
            </w:r>
          </w:p>
          <w:p w14:paraId="000CE745" w14:textId="77777777" w:rsidR="008D64B7" w:rsidRDefault="008D64B7" w:rsidP="008D64B7">
            <w:pPr>
              <w:rPr>
                <w:rFonts w:cs="Arial"/>
                <w:sz w:val="20"/>
                <w:szCs w:val="20"/>
              </w:rPr>
            </w:pPr>
          </w:p>
          <w:p w14:paraId="4A5A3E30" w14:textId="7F7F1712" w:rsidR="000933C8" w:rsidRPr="00426B41" w:rsidRDefault="00291EFD" w:rsidP="00C8052F">
            <w:pPr>
              <w:rPr>
                <w:rFonts w:cs="Arial"/>
                <w:sz w:val="20"/>
                <w:szCs w:val="20"/>
              </w:rPr>
            </w:pPr>
            <w:r>
              <w:rPr>
                <w:rFonts w:cs="Arial"/>
                <w:sz w:val="20"/>
                <w:szCs w:val="20"/>
              </w:rPr>
              <w:t>B</w:t>
            </w:r>
            <w:r w:rsidR="008D64B7">
              <w:rPr>
                <w:rFonts w:cs="Arial"/>
                <w:sz w:val="20"/>
                <w:szCs w:val="20"/>
              </w:rPr>
              <w:t xml:space="preserve">ased on the evidence assessed, FSANZ considers </w:t>
            </w:r>
            <w:r w:rsidR="0011469E">
              <w:rPr>
                <w:rFonts w:cs="Arial"/>
                <w:sz w:val="20"/>
                <w:szCs w:val="20"/>
              </w:rPr>
              <w:t>these</w:t>
            </w:r>
            <w:r w:rsidR="009E5E57">
              <w:rPr>
                <w:rFonts w:cs="Arial"/>
                <w:sz w:val="20"/>
                <w:szCs w:val="20"/>
              </w:rPr>
              <w:t xml:space="preserve"> </w:t>
            </w:r>
            <w:r w:rsidR="008D64B7">
              <w:rPr>
                <w:rFonts w:cs="Arial"/>
                <w:sz w:val="20"/>
                <w:szCs w:val="20"/>
              </w:rPr>
              <w:t>health</w:t>
            </w:r>
            <w:r w:rsidR="00945060">
              <w:rPr>
                <w:rFonts w:cs="Arial"/>
                <w:sz w:val="20"/>
                <w:szCs w:val="20"/>
              </w:rPr>
              <w:t xml:space="preserve"> </w:t>
            </w:r>
            <w:r w:rsidR="008D64B7">
              <w:rPr>
                <w:rFonts w:cs="Arial"/>
                <w:sz w:val="20"/>
                <w:szCs w:val="20"/>
              </w:rPr>
              <w:t xml:space="preserve">effects could occur at the levels requested by the applicant, and may be enhanced as concentrations of </w:t>
            </w:r>
            <w:r w:rsidR="00B51870">
              <w:rPr>
                <w:rFonts w:cs="Arial"/>
                <w:sz w:val="20"/>
                <w:szCs w:val="20"/>
              </w:rPr>
              <w:t>2′</w:t>
            </w:r>
            <w:r w:rsidR="008D64B7">
              <w:rPr>
                <w:rFonts w:cs="Arial"/>
                <w:sz w:val="20"/>
                <w:szCs w:val="20"/>
              </w:rPr>
              <w:t>-FL are increased</w:t>
            </w:r>
            <w:r>
              <w:rPr>
                <w:rFonts w:cs="Arial"/>
                <w:sz w:val="20"/>
                <w:szCs w:val="20"/>
              </w:rPr>
              <w:t xml:space="preserve"> (see sections 2.2.2 and 2.3.1)</w:t>
            </w:r>
            <w:r w:rsidR="00C8052F">
              <w:rPr>
                <w:rFonts w:cs="Arial"/>
                <w:sz w:val="20"/>
                <w:szCs w:val="20"/>
              </w:rPr>
              <w:t xml:space="preserve">. FSANZ has also considered </w:t>
            </w:r>
            <w:r w:rsidR="008D64B7">
              <w:rPr>
                <w:rFonts w:cs="Arial"/>
                <w:sz w:val="20"/>
                <w:szCs w:val="20"/>
              </w:rPr>
              <w:t>levels in human milk</w:t>
            </w:r>
            <w:r w:rsidR="00551D40">
              <w:rPr>
                <w:rFonts w:cs="Arial"/>
                <w:sz w:val="20"/>
                <w:szCs w:val="20"/>
              </w:rPr>
              <w:t>, estimated dietary intakes</w:t>
            </w:r>
            <w:r w:rsidR="008D64B7">
              <w:rPr>
                <w:rFonts w:cs="Arial"/>
                <w:sz w:val="20"/>
                <w:szCs w:val="20"/>
              </w:rPr>
              <w:t xml:space="preserve"> and international permissions, to determine the proposed maximum level</w:t>
            </w:r>
            <w:r w:rsidR="00551D40">
              <w:rPr>
                <w:rFonts w:cs="Arial"/>
                <w:sz w:val="20"/>
                <w:szCs w:val="20"/>
              </w:rPr>
              <w:t>s</w:t>
            </w:r>
            <w:r w:rsidR="008D64B7">
              <w:rPr>
                <w:rFonts w:cs="Arial"/>
                <w:sz w:val="20"/>
                <w:szCs w:val="20"/>
              </w:rPr>
              <w:t xml:space="preserve"> for </w:t>
            </w:r>
            <w:r w:rsidR="00B51870">
              <w:rPr>
                <w:rFonts w:cs="Arial"/>
                <w:sz w:val="20"/>
                <w:szCs w:val="20"/>
              </w:rPr>
              <w:t>2′</w:t>
            </w:r>
            <w:r w:rsidR="008D64B7">
              <w:rPr>
                <w:rFonts w:cs="Arial"/>
                <w:sz w:val="20"/>
                <w:szCs w:val="20"/>
              </w:rPr>
              <w:t xml:space="preserve">-FL alone and combined with LNnT (see </w:t>
            </w:r>
            <w:r w:rsidR="007E79D6">
              <w:rPr>
                <w:rFonts w:cs="Arial"/>
                <w:sz w:val="20"/>
                <w:szCs w:val="20"/>
              </w:rPr>
              <w:t xml:space="preserve">further in </w:t>
            </w:r>
            <w:r w:rsidR="008D64B7" w:rsidRPr="007E79D6">
              <w:rPr>
                <w:rFonts w:cs="Arial"/>
                <w:sz w:val="20"/>
                <w:szCs w:val="20"/>
              </w:rPr>
              <w:t>section</w:t>
            </w:r>
            <w:r w:rsidR="009C414C" w:rsidRPr="007E79D6">
              <w:rPr>
                <w:rFonts w:cs="Arial"/>
                <w:sz w:val="20"/>
                <w:szCs w:val="20"/>
              </w:rPr>
              <w:t xml:space="preserve"> </w:t>
            </w:r>
            <w:r w:rsidRPr="007E79D6">
              <w:rPr>
                <w:rFonts w:cs="Arial"/>
                <w:sz w:val="20"/>
                <w:szCs w:val="20"/>
              </w:rPr>
              <w:t>2.3.3</w:t>
            </w:r>
            <w:r w:rsidR="008D64B7" w:rsidRPr="007E79D6">
              <w:rPr>
                <w:rFonts w:cs="Arial"/>
                <w:sz w:val="20"/>
                <w:szCs w:val="20"/>
              </w:rPr>
              <w:t>).</w:t>
            </w:r>
          </w:p>
        </w:tc>
      </w:tr>
      <w:tr w:rsidR="005B054B" w:rsidRPr="00426B41" w14:paraId="0608CB62" w14:textId="77777777" w:rsidTr="00865BA6">
        <w:tc>
          <w:tcPr>
            <w:tcW w:w="1736" w:type="pct"/>
            <w:shd w:val="clear" w:color="auto" w:fill="EAF1DD" w:themeFill="accent3" w:themeFillTint="33"/>
          </w:tcPr>
          <w:p w14:paraId="3DAA5E5C" w14:textId="77777777" w:rsidR="005B054B" w:rsidRDefault="005B054B" w:rsidP="003642EA">
            <w:pPr>
              <w:rPr>
                <w:rFonts w:cs="Arial"/>
                <w:b/>
                <w:color w:val="FF0000"/>
                <w:sz w:val="20"/>
                <w:szCs w:val="20"/>
              </w:rPr>
            </w:pPr>
            <w:r>
              <w:rPr>
                <w:rFonts w:cs="Arial"/>
                <w:color w:val="000000" w:themeColor="text1"/>
                <w:sz w:val="20"/>
                <w:szCs w:val="20"/>
              </w:rPr>
              <w:t>A</w:t>
            </w:r>
            <w:r w:rsidRPr="005E5DA8">
              <w:rPr>
                <w:rFonts w:cs="Arial"/>
                <w:color w:val="000000" w:themeColor="text1"/>
                <w:sz w:val="20"/>
                <w:szCs w:val="20"/>
              </w:rPr>
              <w:t>ddition of selected h</w:t>
            </w:r>
            <w:r>
              <w:rPr>
                <w:rFonts w:cs="Arial"/>
                <w:color w:val="000000" w:themeColor="text1"/>
                <w:sz w:val="20"/>
                <w:szCs w:val="20"/>
              </w:rPr>
              <w:t xml:space="preserve">uman </w:t>
            </w:r>
            <w:r w:rsidRPr="005E5DA8">
              <w:rPr>
                <w:rFonts w:cs="Arial"/>
                <w:color w:val="000000" w:themeColor="text1"/>
                <w:sz w:val="20"/>
                <w:szCs w:val="20"/>
              </w:rPr>
              <w:t>m</w:t>
            </w:r>
            <w:r>
              <w:rPr>
                <w:rFonts w:cs="Arial"/>
                <w:color w:val="000000" w:themeColor="text1"/>
                <w:sz w:val="20"/>
                <w:szCs w:val="20"/>
              </w:rPr>
              <w:t xml:space="preserve">ilk identical </w:t>
            </w:r>
            <w:r w:rsidRPr="005E5DA8">
              <w:rPr>
                <w:rFonts w:cs="Arial"/>
                <w:color w:val="000000" w:themeColor="text1"/>
                <w:sz w:val="20"/>
                <w:szCs w:val="20"/>
              </w:rPr>
              <w:t>o</w:t>
            </w:r>
            <w:r>
              <w:rPr>
                <w:rFonts w:cs="Arial"/>
                <w:color w:val="000000" w:themeColor="text1"/>
                <w:sz w:val="20"/>
                <w:szCs w:val="20"/>
              </w:rPr>
              <w:t xml:space="preserve">ligosaccharides (HiMOs) </w:t>
            </w:r>
            <w:r w:rsidRPr="005E5DA8">
              <w:rPr>
                <w:rFonts w:cs="Arial"/>
                <w:color w:val="000000" w:themeColor="text1"/>
                <w:sz w:val="20"/>
                <w:szCs w:val="20"/>
              </w:rPr>
              <w:t xml:space="preserve">to infant formula products does not consider the role, and possible interactive properties, of many other </w:t>
            </w:r>
            <w:r>
              <w:rPr>
                <w:rFonts w:cs="Arial"/>
                <w:color w:val="000000" w:themeColor="text1"/>
                <w:sz w:val="20"/>
                <w:szCs w:val="20"/>
              </w:rPr>
              <w:t>human milk oligosaccharides (H</w:t>
            </w:r>
            <w:r w:rsidRPr="005E5DA8">
              <w:rPr>
                <w:rFonts w:cs="Arial"/>
                <w:color w:val="000000" w:themeColor="text1"/>
                <w:sz w:val="20"/>
                <w:szCs w:val="20"/>
              </w:rPr>
              <w:t>MOs</w:t>
            </w:r>
            <w:r>
              <w:rPr>
                <w:rFonts w:cs="Arial"/>
                <w:color w:val="000000" w:themeColor="text1"/>
                <w:sz w:val="20"/>
                <w:szCs w:val="20"/>
              </w:rPr>
              <w:t>)</w:t>
            </w:r>
            <w:r w:rsidRPr="005E5DA8">
              <w:rPr>
                <w:rFonts w:cs="Arial"/>
                <w:color w:val="000000" w:themeColor="text1"/>
                <w:sz w:val="20"/>
                <w:szCs w:val="20"/>
              </w:rPr>
              <w:t xml:space="preserve"> in human milk. </w:t>
            </w:r>
          </w:p>
        </w:tc>
        <w:tc>
          <w:tcPr>
            <w:tcW w:w="844" w:type="pct"/>
            <w:shd w:val="clear" w:color="auto" w:fill="EAF1DD" w:themeFill="accent3" w:themeFillTint="33"/>
          </w:tcPr>
          <w:p w14:paraId="4BF2CA16" w14:textId="77777777" w:rsidR="005B054B" w:rsidRPr="00084B50" w:rsidRDefault="005B054B" w:rsidP="003642EA">
            <w:pPr>
              <w:rPr>
                <w:rFonts w:cs="Arial"/>
                <w:sz w:val="20"/>
                <w:szCs w:val="20"/>
              </w:rPr>
            </w:pPr>
            <w:r w:rsidRPr="00084B50">
              <w:rPr>
                <w:rFonts w:cs="Arial"/>
                <w:sz w:val="20"/>
                <w:szCs w:val="20"/>
              </w:rPr>
              <w:t>DHHS &amp; DJPR Vic</w:t>
            </w:r>
          </w:p>
          <w:p w14:paraId="3C3F7F97" w14:textId="77777777" w:rsidR="005B054B" w:rsidRPr="00084B50" w:rsidRDefault="005B054B" w:rsidP="003642EA">
            <w:pPr>
              <w:rPr>
                <w:rFonts w:cs="Arial"/>
                <w:sz w:val="20"/>
                <w:szCs w:val="20"/>
              </w:rPr>
            </w:pPr>
            <w:r w:rsidRPr="00084B50">
              <w:rPr>
                <w:rFonts w:cs="Arial"/>
                <w:sz w:val="20"/>
                <w:szCs w:val="20"/>
              </w:rPr>
              <w:t>SA Health</w:t>
            </w:r>
          </w:p>
          <w:p w14:paraId="6B0E9646" w14:textId="77777777" w:rsidR="005B054B" w:rsidRPr="00084B50" w:rsidRDefault="005B054B" w:rsidP="003642EA">
            <w:pPr>
              <w:rPr>
                <w:rFonts w:cs="Arial"/>
                <w:sz w:val="20"/>
                <w:szCs w:val="20"/>
              </w:rPr>
            </w:pPr>
          </w:p>
        </w:tc>
        <w:tc>
          <w:tcPr>
            <w:tcW w:w="2420" w:type="pct"/>
            <w:shd w:val="clear" w:color="auto" w:fill="EAF1DD" w:themeFill="accent3" w:themeFillTint="33"/>
          </w:tcPr>
          <w:p w14:paraId="63DF3BDF" w14:textId="6AE830BE" w:rsidR="005B054B" w:rsidRDefault="005B054B" w:rsidP="003642EA">
            <w:pPr>
              <w:rPr>
                <w:rFonts w:cs="Arial"/>
                <w:sz w:val="20"/>
                <w:szCs w:val="20"/>
              </w:rPr>
            </w:pPr>
            <w:r>
              <w:rPr>
                <w:rFonts w:cs="Arial"/>
                <w:sz w:val="20"/>
                <w:szCs w:val="20"/>
              </w:rPr>
              <w:t xml:space="preserve">FSANZ has assessed the addition of </w:t>
            </w:r>
            <w:r w:rsidR="00B51870">
              <w:rPr>
                <w:rFonts w:cs="Arial"/>
                <w:sz w:val="20"/>
                <w:szCs w:val="20"/>
              </w:rPr>
              <w:t>2′</w:t>
            </w:r>
            <w:r>
              <w:rPr>
                <w:rFonts w:cs="Arial"/>
                <w:sz w:val="20"/>
                <w:szCs w:val="20"/>
              </w:rPr>
              <w:t xml:space="preserve">-FL and LNnT to infant formula products as requested in the application. </w:t>
            </w:r>
            <w:r w:rsidR="00D27630">
              <w:rPr>
                <w:rFonts w:cs="Arial"/>
                <w:sz w:val="20"/>
                <w:szCs w:val="20"/>
              </w:rPr>
              <w:t xml:space="preserve">FSANZ is satisfied that the </w:t>
            </w:r>
            <w:r w:rsidR="00D27630" w:rsidRPr="00434E6D">
              <w:rPr>
                <w:rFonts w:cs="Arial"/>
                <w:sz w:val="20"/>
                <w:szCs w:val="20"/>
              </w:rPr>
              <w:t xml:space="preserve">proposed </w:t>
            </w:r>
            <w:r w:rsidR="00D27630">
              <w:rPr>
                <w:rFonts w:cs="Arial"/>
                <w:sz w:val="20"/>
                <w:szCs w:val="20"/>
              </w:rPr>
              <w:t xml:space="preserve">voluntary </w:t>
            </w:r>
            <w:r w:rsidR="00D27630" w:rsidRPr="00434E6D">
              <w:rPr>
                <w:rFonts w:cs="Arial"/>
                <w:sz w:val="20"/>
                <w:szCs w:val="20"/>
              </w:rPr>
              <w:t>addition is safe</w:t>
            </w:r>
            <w:r w:rsidR="00D27630">
              <w:rPr>
                <w:rFonts w:cs="Arial"/>
                <w:sz w:val="20"/>
                <w:szCs w:val="20"/>
              </w:rPr>
              <w:t xml:space="preserve">. </w:t>
            </w:r>
            <w:r w:rsidR="00E32DD5">
              <w:rPr>
                <w:rFonts w:cs="Arial"/>
                <w:sz w:val="20"/>
                <w:szCs w:val="20"/>
              </w:rPr>
              <w:t>Consideration of other H</w:t>
            </w:r>
            <w:r>
              <w:rPr>
                <w:rFonts w:cs="Arial"/>
                <w:sz w:val="20"/>
                <w:szCs w:val="20"/>
              </w:rPr>
              <w:t>MOs is not within</w:t>
            </w:r>
            <w:r w:rsidR="007E79D6">
              <w:rPr>
                <w:rFonts w:cs="Arial"/>
                <w:sz w:val="20"/>
                <w:szCs w:val="20"/>
              </w:rPr>
              <w:t xml:space="preserve"> the scope of this application.</w:t>
            </w:r>
          </w:p>
        </w:tc>
      </w:tr>
      <w:tr w:rsidR="008D64B7" w:rsidRPr="00426B41" w14:paraId="79997B84" w14:textId="77777777" w:rsidTr="004D7999">
        <w:tc>
          <w:tcPr>
            <w:tcW w:w="1736" w:type="pct"/>
          </w:tcPr>
          <w:p w14:paraId="7AD0F984" w14:textId="5499BEED" w:rsidR="008D64B7" w:rsidRDefault="008D64B7" w:rsidP="008D64B7">
            <w:pPr>
              <w:rPr>
                <w:rFonts w:cs="Arial"/>
                <w:sz w:val="20"/>
                <w:szCs w:val="20"/>
              </w:rPr>
            </w:pPr>
            <w:r w:rsidRPr="00B36990">
              <w:rPr>
                <w:rFonts w:cs="Arial"/>
                <w:b/>
                <w:sz w:val="20"/>
                <w:szCs w:val="20"/>
              </w:rPr>
              <w:t xml:space="preserve">Addition to FSFYC </w:t>
            </w:r>
          </w:p>
        </w:tc>
        <w:tc>
          <w:tcPr>
            <w:tcW w:w="844" w:type="pct"/>
          </w:tcPr>
          <w:p w14:paraId="3E013091" w14:textId="77777777" w:rsidR="008D64B7" w:rsidRPr="00084B50" w:rsidRDefault="008D64B7" w:rsidP="008D64B7">
            <w:pPr>
              <w:rPr>
                <w:rFonts w:cs="Arial"/>
                <w:sz w:val="20"/>
                <w:szCs w:val="20"/>
              </w:rPr>
            </w:pPr>
          </w:p>
        </w:tc>
        <w:tc>
          <w:tcPr>
            <w:tcW w:w="2420" w:type="pct"/>
          </w:tcPr>
          <w:p w14:paraId="4EB10F01" w14:textId="4F473424" w:rsidR="008D64B7" w:rsidRDefault="008D64B7" w:rsidP="008D64B7">
            <w:pPr>
              <w:rPr>
                <w:rFonts w:cs="Arial"/>
                <w:sz w:val="20"/>
                <w:szCs w:val="20"/>
              </w:rPr>
            </w:pPr>
          </w:p>
        </w:tc>
      </w:tr>
      <w:tr w:rsidR="008D64B7" w:rsidRPr="00426B41" w14:paraId="42749D0F" w14:textId="77777777" w:rsidTr="00865BA6">
        <w:tc>
          <w:tcPr>
            <w:tcW w:w="1736" w:type="pct"/>
            <w:shd w:val="clear" w:color="auto" w:fill="EAF1DD" w:themeFill="accent3" w:themeFillTint="33"/>
          </w:tcPr>
          <w:p w14:paraId="0D153E79" w14:textId="16CCF106" w:rsidR="008D64B7" w:rsidRDefault="008D64B7" w:rsidP="008D64B7">
            <w:pPr>
              <w:rPr>
                <w:rFonts w:cs="Arial"/>
                <w:sz w:val="20"/>
                <w:szCs w:val="20"/>
              </w:rPr>
            </w:pPr>
            <w:r>
              <w:rPr>
                <w:rFonts w:cs="Arial"/>
                <w:sz w:val="20"/>
                <w:szCs w:val="20"/>
              </w:rPr>
              <w:t>Concerns raised about the addition to FSFYC:</w:t>
            </w:r>
          </w:p>
          <w:p w14:paraId="030A7104" w14:textId="1B8CADEE" w:rsidR="008D64B7" w:rsidRDefault="008D64B7" w:rsidP="008D64B7">
            <w:pPr>
              <w:pStyle w:val="ListParagraph"/>
              <w:widowControl/>
              <w:numPr>
                <w:ilvl w:val="0"/>
                <w:numId w:val="35"/>
              </w:numPr>
              <w:ind w:left="589" w:hanging="567"/>
              <w:rPr>
                <w:rFonts w:cs="Arial"/>
                <w:sz w:val="20"/>
                <w:szCs w:val="20"/>
              </w:rPr>
            </w:pPr>
            <w:r w:rsidRPr="007810CE">
              <w:rPr>
                <w:rFonts w:cs="Arial"/>
                <w:sz w:val="20"/>
                <w:szCs w:val="20"/>
              </w:rPr>
              <w:t xml:space="preserve">Addition to FSFYC </w:t>
            </w:r>
            <w:r>
              <w:rPr>
                <w:rFonts w:cs="Arial"/>
                <w:sz w:val="20"/>
                <w:szCs w:val="20"/>
              </w:rPr>
              <w:t>is inco</w:t>
            </w:r>
            <w:r w:rsidRPr="007810CE">
              <w:rPr>
                <w:rFonts w:cs="Arial"/>
                <w:sz w:val="20"/>
                <w:szCs w:val="20"/>
              </w:rPr>
              <w:t xml:space="preserve">nsistent with the Ministerial Policy Guideline </w:t>
            </w:r>
            <w:r>
              <w:rPr>
                <w:rFonts w:cs="Arial"/>
                <w:sz w:val="20"/>
                <w:szCs w:val="20"/>
              </w:rPr>
              <w:t>on</w:t>
            </w:r>
            <w:r w:rsidRPr="007810CE">
              <w:rPr>
                <w:rFonts w:cs="Arial"/>
                <w:sz w:val="20"/>
                <w:szCs w:val="20"/>
              </w:rPr>
              <w:t xml:space="preserve"> </w:t>
            </w:r>
            <w:r w:rsidRPr="00364B68">
              <w:rPr>
                <w:rFonts w:cs="Arial"/>
                <w:sz w:val="20"/>
                <w:szCs w:val="20"/>
              </w:rPr>
              <w:t>the Intent of Part 2.9 – Special Purpose Foods regarding</w:t>
            </w:r>
            <w:r w:rsidRPr="007810CE">
              <w:rPr>
                <w:rFonts w:cs="Arial"/>
                <w:sz w:val="20"/>
                <w:szCs w:val="20"/>
              </w:rPr>
              <w:t xml:space="preserve"> the </w:t>
            </w:r>
            <w:r w:rsidR="00D56857">
              <w:rPr>
                <w:rFonts w:cs="Arial"/>
                <w:sz w:val="20"/>
                <w:szCs w:val="20"/>
              </w:rPr>
              <w:t>‘</w:t>
            </w:r>
            <w:r w:rsidRPr="007810CE">
              <w:rPr>
                <w:rFonts w:cs="Arial"/>
                <w:sz w:val="20"/>
                <w:szCs w:val="20"/>
              </w:rPr>
              <w:t>intended purpose</w:t>
            </w:r>
            <w:r w:rsidR="00D56857">
              <w:rPr>
                <w:rFonts w:cs="Arial"/>
                <w:sz w:val="20"/>
                <w:szCs w:val="20"/>
              </w:rPr>
              <w:t>’</w:t>
            </w:r>
            <w:r w:rsidRPr="007810CE">
              <w:rPr>
                <w:rFonts w:cs="Arial"/>
                <w:sz w:val="20"/>
                <w:szCs w:val="20"/>
              </w:rPr>
              <w:t xml:space="preserve"> of this food category.</w:t>
            </w:r>
          </w:p>
          <w:p w14:paraId="429E5DC0" w14:textId="77777777" w:rsidR="008D64B7" w:rsidRDefault="008D64B7" w:rsidP="008D64B7">
            <w:pPr>
              <w:pStyle w:val="ListParagraph"/>
              <w:widowControl/>
              <w:numPr>
                <w:ilvl w:val="0"/>
                <w:numId w:val="35"/>
              </w:numPr>
              <w:ind w:left="589" w:hanging="567"/>
              <w:rPr>
                <w:rFonts w:cs="Arial"/>
                <w:sz w:val="20"/>
                <w:szCs w:val="20"/>
              </w:rPr>
            </w:pPr>
            <w:r>
              <w:rPr>
                <w:rFonts w:cs="Arial"/>
                <w:sz w:val="20"/>
                <w:szCs w:val="20"/>
              </w:rPr>
              <w:t>There is no clear nutritional need for addition to FSFYC.</w:t>
            </w:r>
          </w:p>
          <w:p w14:paraId="507F6A8A" w14:textId="77777777" w:rsidR="008D64B7" w:rsidRPr="00A1140E" w:rsidRDefault="008D64B7" w:rsidP="008D64B7">
            <w:pPr>
              <w:pStyle w:val="ListParagraph"/>
              <w:widowControl/>
              <w:numPr>
                <w:ilvl w:val="0"/>
                <w:numId w:val="35"/>
              </w:numPr>
              <w:ind w:left="589" w:hanging="567"/>
              <w:rPr>
                <w:rFonts w:cs="Arial"/>
                <w:sz w:val="20"/>
                <w:szCs w:val="20"/>
              </w:rPr>
            </w:pPr>
            <w:r>
              <w:rPr>
                <w:rFonts w:cs="Arial"/>
                <w:sz w:val="20"/>
                <w:szCs w:val="20"/>
              </w:rPr>
              <w:t>GOS and ITF permissions for FSFYC were granted prior to the Ministerial Policy Guideline.</w:t>
            </w:r>
          </w:p>
          <w:p w14:paraId="43270E2B" w14:textId="77777777" w:rsidR="008D64B7" w:rsidRPr="00A1140E" w:rsidRDefault="008D64B7" w:rsidP="008D64B7">
            <w:pPr>
              <w:pStyle w:val="ListParagraph"/>
              <w:widowControl/>
              <w:numPr>
                <w:ilvl w:val="0"/>
                <w:numId w:val="35"/>
              </w:numPr>
              <w:ind w:left="589" w:hanging="567"/>
              <w:rPr>
                <w:rFonts w:cs="Arial"/>
                <w:sz w:val="20"/>
                <w:szCs w:val="20"/>
              </w:rPr>
            </w:pPr>
            <w:r>
              <w:rPr>
                <w:rFonts w:cs="Arial"/>
                <w:sz w:val="20"/>
                <w:szCs w:val="20"/>
              </w:rPr>
              <w:t>There is no clinical evidence to</w:t>
            </w:r>
            <w:r w:rsidRPr="007810CE">
              <w:rPr>
                <w:rFonts w:cs="Arial"/>
                <w:sz w:val="20"/>
                <w:szCs w:val="20"/>
              </w:rPr>
              <w:t xml:space="preserve"> </w:t>
            </w:r>
            <w:r>
              <w:rPr>
                <w:rFonts w:cs="Arial"/>
                <w:sz w:val="20"/>
                <w:szCs w:val="20"/>
              </w:rPr>
              <w:t>substantiate the addition of these substances to FSFYC specifically.</w:t>
            </w:r>
          </w:p>
          <w:p w14:paraId="196851AA" w14:textId="45353C2B" w:rsidR="008D64B7" w:rsidRPr="00D56857" w:rsidRDefault="008D64B7" w:rsidP="00D56857">
            <w:pPr>
              <w:pStyle w:val="ListParagraph"/>
              <w:widowControl/>
              <w:numPr>
                <w:ilvl w:val="0"/>
                <w:numId w:val="35"/>
              </w:numPr>
              <w:ind w:left="589" w:hanging="567"/>
              <w:rPr>
                <w:rFonts w:cs="Arial"/>
                <w:sz w:val="20"/>
                <w:szCs w:val="20"/>
              </w:rPr>
            </w:pPr>
            <w:r w:rsidRPr="007E79D6">
              <w:rPr>
                <w:rFonts w:cs="Arial"/>
                <w:sz w:val="20"/>
                <w:szCs w:val="20"/>
              </w:rPr>
              <w:t>Suggest further information is sought from the applicant on this matter</w:t>
            </w:r>
            <w:r w:rsidRPr="00D56857">
              <w:rPr>
                <w:rFonts w:cs="Arial"/>
                <w:sz w:val="20"/>
                <w:szCs w:val="20"/>
              </w:rPr>
              <w:t xml:space="preserve">. </w:t>
            </w:r>
          </w:p>
        </w:tc>
        <w:tc>
          <w:tcPr>
            <w:tcW w:w="844" w:type="pct"/>
            <w:shd w:val="clear" w:color="auto" w:fill="EAF1DD" w:themeFill="accent3" w:themeFillTint="33"/>
          </w:tcPr>
          <w:p w14:paraId="4F066041" w14:textId="77777777" w:rsidR="008D64B7" w:rsidRPr="00084B50" w:rsidRDefault="008D64B7" w:rsidP="008D64B7">
            <w:pPr>
              <w:rPr>
                <w:rFonts w:cs="Arial"/>
                <w:sz w:val="20"/>
                <w:szCs w:val="20"/>
              </w:rPr>
            </w:pPr>
            <w:r w:rsidRPr="00084B50">
              <w:rPr>
                <w:rFonts w:cs="Arial"/>
                <w:sz w:val="20"/>
                <w:szCs w:val="20"/>
              </w:rPr>
              <w:t>DHHS &amp; DJPR Vic</w:t>
            </w:r>
          </w:p>
          <w:p w14:paraId="42A780D2" w14:textId="77777777" w:rsidR="008D64B7" w:rsidRPr="00084B50" w:rsidRDefault="008D64B7" w:rsidP="008D64B7">
            <w:pPr>
              <w:rPr>
                <w:rFonts w:cs="Arial"/>
                <w:sz w:val="20"/>
                <w:szCs w:val="20"/>
              </w:rPr>
            </w:pPr>
            <w:r w:rsidRPr="00084B50">
              <w:rPr>
                <w:rFonts w:cs="Arial"/>
                <w:sz w:val="20"/>
                <w:szCs w:val="20"/>
              </w:rPr>
              <w:t>SA Health</w:t>
            </w:r>
          </w:p>
          <w:p w14:paraId="2F05BEA6" w14:textId="77777777" w:rsidR="008D64B7" w:rsidRPr="00084B50" w:rsidRDefault="008D64B7" w:rsidP="008D64B7">
            <w:pPr>
              <w:rPr>
                <w:rFonts w:cs="Arial"/>
                <w:sz w:val="20"/>
                <w:szCs w:val="20"/>
              </w:rPr>
            </w:pPr>
            <w:r w:rsidRPr="00084B50">
              <w:rPr>
                <w:rFonts w:cs="Arial"/>
                <w:sz w:val="20"/>
                <w:szCs w:val="20"/>
              </w:rPr>
              <w:t>NSWFA</w:t>
            </w:r>
          </w:p>
          <w:p w14:paraId="52119404" w14:textId="77777777" w:rsidR="008D64B7" w:rsidRPr="00084B50" w:rsidRDefault="008D64B7" w:rsidP="008D64B7">
            <w:pPr>
              <w:rPr>
                <w:rFonts w:cs="Arial"/>
                <w:sz w:val="20"/>
                <w:szCs w:val="20"/>
              </w:rPr>
            </w:pPr>
          </w:p>
        </w:tc>
        <w:tc>
          <w:tcPr>
            <w:tcW w:w="2420" w:type="pct"/>
            <w:shd w:val="clear" w:color="auto" w:fill="EAF1DD" w:themeFill="accent3" w:themeFillTint="33"/>
          </w:tcPr>
          <w:p w14:paraId="0B227907" w14:textId="751E3669" w:rsidR="00D56857" w:rsidRPr="0028733D" w:rsidRDefault="008D64B7" w:rsidP="008D64B7">
            <w:pPr>
              <w:rPr>
                <w:rFonts w:cs="Arial"/>
                <w:sz w:val="20"/>
                <w:szCs w:val="20"/>
              </w:rPr>
            </w:pPr>
            <w:r w:rsidRPr="0028733D">
              <w:rPr>
                <w:rFonts w:cs="Arial"/>
                <w:sz w:val="20"/>
                <w:szCs w:val="20"/>
              </w:rPr>
              <w:t xml:space="preserve">In assessing the </w:t>
            </w:r>
            <w:r w:rsidR="00D56857">
              <w:rPr>
                <w:rFonts w:cs="Arial"/>
                <w:sz w:val="20"/>
                <w:szCs w:val="20"/>
              </w:rPr>
              <w:t xml:space="preserve">proposed </w:t>
            </w:r>
            <w:r w:rsidRPr="0028733D">
              <w:rPr>
                <w:rFonts w:cs="Arial"/>
                <w:sz w:val="20"/>
                <w:szCs w:val="20"/>
              </w:rPr>
              <w:t xml:space="preserve">addition of </w:t>
            </w:r>
            <w:r w:rsidR="00B51870">
              <w:rPr>
                <w:rFonts w:cs="Arial"/>
                <w:sz w:val="20"/>
                <w:szCs w:val="20"/>
              </w:rPr>
              <w:t>2′</w:t>
            </w:r>
            <w:r w:rsidRPr="0028733D">
              <w:rPr>
                <w:rFonts w:cs="Arial"/>
                <w:sz w:val="20"/>
                <w:szCs w:val="20"/>
              </w:rPr>
              <w:t xml:space="preserve">-FL and LNnT to FSFYC, FSANZ’s first order priority was to ensure there are no public health and safety risks in accordance with subsection 18(1) of the FSANZ Act. FSANZ has also </w:t>
            </w:r>
            <w:r w:rsidRPr="00523E07">
              <w:rPr>
                <w:rFonts w:cs="Arial"/>
                <w:i/>
                <w:sz w:val="20"/>
                <w:szCs w:val="20"/>
              </w:rPr>
              <w:t>had regard</w:t>
            </w:r>
            <w:r w:rsidR="00D56857">
              <w:rPr>
                <w:rFonts w:cs="Arial"/>
                <w:sz w:val="20"/>
                <w:szCs w:val="20"/>
              </w:rPr>
              <w:t xml:space="preserve"> to the relevant policy g</w:t>
            </w:r>
            <w:r w:rsidRPr="0028733D">
              <w:rPr>
                <w:rFonts w:cs="Arial"/>
                <w:sz w:val="20"/>
                <w:szCs w:val="20"/>
              </w:rPr>
              <w:t xml:space="preserve">uideline in accordance with subsection 18(2) of the Act, as well as best available science, </w:t>
            </w:r>
            <w:r w:rsidR="006D5D22">
              <w:rPr>
                <w:rFonts w:cs="Arial"/>
                <w:sz w:val="20"/>
                <w:szCs w:val="20"/>
              </w:rPr>
              <w:t xml:space="preserve">international consistency </w:t>
            </w:r>
            <w:r w:rsidRPr="0028733D">
              <w:rPr>
                <w:rFonts w:cs="Arial"/>
                <w:sz w:val="20"/>
                <w:szCs w:val="20"/>
              </w:rPr>
              <w:t xml:space="preserve">and </w:t>
            </w:r>
            <w:r w:rsidR="00F84D82">
              <w:rPr>
                <w:rFonts w:cs="Arial"/>
                <w:sz w:val="20"/>
                <w:szCs w:val="20"/>
              </w:rPr>
              <w:t>industry trade and competition.</w:t>
            </w:r>
          </w:p>
          <w:p w14:paraId="0CE566B4" w14:textId="77777777" w:rsidR="008D64B7" w:rsidRPr="0028733D" w:rsidRDefault="008D64B7" w:rsidP="008D64B7">
            <w:pPr>
              <w:rPr>
                <w:rFonts w:cs="Arial"/>
                <w:sz w:val="20"/>
                <w:szCs w:val="20"/>
              </w:rPr>
            </w:pPr>
          </w:p>
          <w:p w14:paraId="57A1C5E1" w14:textId="3BFECF95" w:rsidR="008D64B7" w:rsidRDefault="008D64B7" w:rsidP="008D64B7">
            <w:pPr>
              <w:rPr>
                <w:rFonts w:cs="Arial"/>
                <w:sz w:val="20"/>
                <w:szCs w:val="20"/>
              </w:rPr>
            </w:pPr>
            <w:r w:rsidRPr="0028733D">
              <w:rPr>
                <w:rFonts w:cs="Arial"/>
                <w:sz w:val="20"/>
                <w:szCs w:val="20"/>
              </w:rPr>
              <w:t xml:space="preserve">FSANZ acknowledges that the </w:t>
            </w:r>
            <w:r w:rsidR="002B0C9C">
              <w:rPr>
                <w:rFonts w:cs="Arial"/>
                <w:sz w:val="20"/>
                <w:szCs w:val="20"/>
              </w:rPr>
              <w:t>proposed addition to</w:t>
            </w:r>
            <w:r w:rsidRPr="0028733D">
              <w:rPr>
                <w:rFonts w:cs="Arial"/>
                <w:sz w:val="20"/>
                <w:szCs w:val="20"/>
              </w:rPr>
              <w:t xml:space="preserve"> FSFYC may not strongly align wit</w:t>
            </w:r>
            <w:r w:rsidR="002B0C9C">
              <w:rPr>
                <w:rFonts w:cs="Arial"/>
                <w:sz w:val="20"/>
                <w:szCs w:val="20"/>
              </w:rPr>
              <w:t>h the policy g</w:t>
            </w:r>
            <w:r>
              <w:rPr>
                <w:rFonts w:cs="Arial"/>
                <w:sz w:val="20"/>
                <w:szCs w:val="20"/>
              </w:rPr>
              <w:t>uideline regarding</w:t>
            </w:r>
            <w:r w:rsidRPr="0028733D">
              <w:rPr>
                <w:rFonts w:cs="Arial"/>
                <w:sz w:val="20"/>
                <w:szCs w:val="20"/>
              </w:rPr>
              <w:t xml:space="preserve"> </w:t>
            </w:r>
            <w:r>
              <w:rPr>
                <w:rFonts w:cs="Arial"/>
                <w:sz w:val="20"/>
                <w:szCs w:val="20"/>
              </w:rPr>
              <w:t xml:space="preserve">the </w:t>
            </w:r>
            <w:r w:rsidR="00F84AE5">
              <w:rPr>
                <w:rFonts w:cs="Arial"/>
                <w:sz w:val="20"/>
                <w:szCs w:val="20"/>
              </w:rPr>
              <w:t>‘</w:t>
            </w:r>
            <w:r>
              <w:rPr>
                <w:rFonts w:cs="Arial"/>
                <w:sz w:val="20"/>
                <w:szCs w:val="20"/>
              </w:rPr>
              <w:t>intended purpose</w:t>
            </w:r>
            <w:r w:rsidR="00F84AE5">
              <w:rPr>
                <w:rFonts w:cs="Arial"/>
                <w:sz w:val="20"/>
                <w:szCs w:val="20"/>
              </w:rPr>
              <w:t>’</w:t>
            </w:r>
            <w:r>
              <w:rPr>
                <w:rFonts w:cs="Arial"/>
                <w:sz w:val="20"/>
                <w:szCs w:val="20"/>
              </w:rPr>
              <w:t xml:space="preserve"> of </w:t>
            </w:r>
            <w:r w:rsidRPr="0028733D">
              <w:rPr>
                <w:rFonts w:cs="Arial"/>
                <w:sz w:val="20"/>
                <w:szCs w:val="20"/>
              </w:rPr>
              <w:t xml:space="preserve">this food category. </w:t>
            </w:r>
            <w:r>
              <w:rPr>
                <w:rFonts w:cs="Arial"/>
                <w:sz w:val="20"/>
                <w:szCs w:val="20"/>
              </w:rPr>
              <w:t xml:space="preserve">However, as discussed in </w:t>
            </w:r>
            <w:r w:rsidRPr="007E79D6">
              <w:rPr>
                <w:rFonts w:cs="Arial"/>
                <w:sz w:val="20"/>
                <w:szCs w:val="20"/>
              </w:rPr>
              <w:t>section 2.</w:t>
            </w:r>
            <w:r w:rsidR="002D66F2" w:rsidRPr="007E79D6">
              <w:rPr>
                <w:rFonts w:cs="Arial"/>
                <w:sz w:val="20"/>
                <w:szCs w:val="20"/>
              </w:rPr>
              <w:t>3</w:t>
            </w:r>
            <w:r w:rsidRPr="007E79D6">
              <w:rPr>
                <w:rFonts w:cs="Arial"/>
                <w:sz w:val="20"/>
                <w:szCs w:val="20"/>
              </w:rPr>
              <w:t>.1</w:t>
            </w:r>
            <w:r w:rsidR="002D66F2" w:rsidRPr="007E79D6">
              <w:rPr>
                <w:rFonts w:cs="Arial"/>
                <w:sz w:val="20"/>
                <w:szCs w:val="20"/>
              </w:rPr>
              <w:t>.4</w:t>
            </w:r>
            <w:r w:rsidRPr="007E79D6">
              <w:rPr>
                <w:rFonts w:cs="Arial"/>
                <w:sz w:val="20"/>
                <w:szCs w:val="20"/>
              </w:rPr>
              <w:t>,</w:t>
            </w:r>
            <w:r>
              <w:rPr>
                <w:rFonts w:cs="Arial"/>
                <w:sz w:val="20"/>
                <w:szCs w:val="20"/>
              </w:rPr>
              <w:t xml:space="preserve"> the addition is safe and </w:t>
            </w:r>
            <w:r w:rsidRPr="0028733D">
              <w:rPr>
                <w:rFonts w:cs="Arial"/>
                <w:sz w:val="20"/>
                <w:szCs w:val="20"/>
              </w:rPr>
              <w:t>may provide</w:t>
            </w:r>
            <w:r w:rsidR="00E4530A">
              <w:rPr>
                <w:rFonts w:cs="Arial"/>
                <w:sz w:val="20"/>
                <w:szCs w:val="20"/>
              </w:rPr>
              <w:t xml:space="preserve"> potential</w:t>
            </w:r>
            <w:r w:rsidRPr="0028733D">
              <w:rPr>
                <w:rFonts w:cs="Arial"/>
                <w:sz w:val="20"/>
                <w:szCs w:val="20"/>
              </w:rPr>
              <w:t xml:space="preserve"> beneficial h</w:t>
            </w:r>
            <w:r>
              <w:rPr>
                <w:rFonts w:cs="Arial"/>
                <w:sz w:val="20"/>
                <w:szCs w:val="20"/>
              </w:rPr>
              <w:t xml:space="preserve">ealth outcomes for toddlers. </w:t>
            </w:r>
          </w:p>
          <w:p w14:paraId="391030FC" w14:textId="4EA3B856" w:rsidR="000720C7" w:rsidRDefault="000720C7" w:rsidP="008D64B7">
            <w:pPr>
              <w:rPr>
                <w:rFonts w:cs="Arial"/>
                <w:sz w:val="20"/>
                <w:szCs w:val="20"/>
              </w:rPr>
            </w:pPr>
          </w:p>
          <w:p w14:paraId="79E3A676" w14:textId="72F419DB" w:rsidR="000720C7" w:rsidRDefault="000720C7" w:rsidP="008D64B7">
            <w:pPr>
              <w:rPr>
                <w:rFonts w:cs="Arial"/>
                <w:sz w:val="20"/>
                <w:szCs w:val="20"/>
              </w:rPr>
            </w:pPr>
            <w:r w:rsidRPr="00810D4C">
              <w:rPr>
                <w:rFonts w:cs="Arial"/>
                <w:sz w:val="20"/>
                <w:szCs w:val="20"/>
              </w:rPr>
              <w:t xml:space="preserve">FSANZ </w:t>
            </w:r>
            <w:r>
              <w:rPr>
                <w:rFonts w:cs="Arial"/>
                <w:sz w:val="20"/>
                <w:szCs w:val="20"/>
              </w:rPr>
              <w:t xml:space="preserve">has </w:t>
            </w:r>
            <w:r w:rsidRPr="00810D4C">
              <w:rPr>
                <w:rFonts w:cs="Arial"/>
                <w:sz w:val="20"/>
                <w:szCs w:val="20"/>
              </w:rPr>
              <w:t>assessed all available information</w:t>
            </w:r>
            <w:r w:rsidR="007E79D6">
              <w:rPr>
                <w:rFonts w:cs="Arial"/>
                <w:sz w:val="20"/>
                <w:szCs w:val="20"/>
              </w:rPr>
              <w:t xml:space="preserve"> provided by the applicant and from our own independent literature search,</w:t>
            </w:r>
            <w:r w:rsidRPr="00810D4C">
              <w:rPr>
                <w:rFonts w:cs="Arial"/>
                <w:sz w:val="20"/>
                <w:szCs w:val="20"/>
              </w:rPr>
              <w:t xml:space="preserve"> and did not identify evidence that would indicate the </w:t>
            </w:r>
            <w:r w:rsidR="00EC445F">
              <w:rPr>
                <w:rFonts w:cs="Arial"/>
                <w:sz w:val="20"/>
                <w:szCs w:val="20"/>
              </w:rPr>
              <w:t>assessed</w:t>
            </w:r>
            <w:r w:rsidR="0011469E">
              <w:rPr>
                <w:rFonts w:cs="Arial"/>
                <w:sz w:val="20"/>
                <w:szCs w:val="20"/>
              </w:rPr>
              <w:t xml:space="preserve"> anti-infective and bifidogenic effects </w:t>
            </w:r>
            <w:r w:rsidRPr="00810D4C">
              <w:rPr>
                <w:rFonts w:cs="Arial"/>
                <w:sz w:val="20"/>
                <w:szCs w:val="20"/>
              </w:rPr>
              <w:t>would be limited to a particular ag</w:t>
            </w:r>
            <w:r>
              <w:rPr>
                <w:rFonts w:cs="Arial"/>
                <w:sz w:val="20"/>
                <w:szCs w:val="20"/>
              </w:rPr>
              <w:t>e group of infants or toddlers. The</w:t>
            </w:r>
            <w:r w:rsidR="00E10432">
              <w:rPr>
                <w:rFonts w:cs="Arial"/>
                <w:sz w:val="20"/>
                <w:szCs w:val="20"/>
              </w:rPr>
              <w:t>se</w:t>
            </w:r>
            <w:r>
              <w:rPr>
                <w:rFonts w:cs="Arial"/>
                <w:sz w:val="20"/>
                <w:szCs w:val="20"/>
              </w:rPr>
              <w:t xml:space="preserve"> health </w:t>
            </w:r>
            <w:r w:rsidRPr="00962AE8">
              <w:rPr>
                <w:rFonts w:cs="Arial"/>
                <w:sz w:val="20"/>
                <w:szCs w:val="20"/>
              </w:rPr>
              <w:t>effects for toddlers were inferred from infant and adult studies where evidence is available</w:t>
            </w:r>
            <w:r>
              <w:rPr>
                <w:rFonts w:cs="Arial"/>
                <w:sz w:val="20"/>
                <w:szCs w:val="20"/>
              </w:rPr>
              <w:t>.</w:t>
            </w:r>
          </w:p>
          <w:p w14:paraId="65D3D85A" w14:textId="5D60E883" w:rsidR="002D66F2" w:rsidRDefault="002D66F2" w:rsidP="008D64B7">
            <w:pPr>
              <w:rPr>
                <w:rFonts w:cs="Arial"/>
                <w:sz w:val="20"/>
                <w:szCs w:val="20"/>
              </w:rPr>
            </w:pPr>
          </w:p>
          <w:p w14:paraId="0AB3B7C5" w14:textId="248BDD2D" w:rsidR="00951E89" w:rsidRDefault="00951E89" w:rsidP="00F84D82">
            <w:pPr>
              <w:widowControl/>
              <w:rPr>
                <w:rFonts w:cs="Arial"/>
                <w:sz w:val="20"/>
                <w:szCs w:val="20"/>
              </w:rPr>
            </w:pPr>
            <w:r>
              <w:rPr>
                <w:rFonts w:cs="Arial"/>
                <w:sz w:val="20"/>
                <w:szCs w:val="20"/>
              </w:rPr>
              <w:t xml:space="preserve">The proposed </w:t>
            </w:r>
            <w:r w:rsidR="00D86CA9">
              <w:rPr>
                <w:rFonts w:cs="Arial"/>
                <w:sz w:val="20"/>
                <w:szCs w:val="20"/>
              </w:rPr>
              <w:t>permission</w:t>
            </w:r>
            <w:r w:rsidR="000720C7" w:rsidRPr="000720C7">
              <w:rPr>
                <w:rFonts w:cs="Arial"/>
                <w:sz w:val="20"/>
                <w:szCs w:val="20"/>
              </w:rPr>
              <w:t xml:space="preserve"> </w:t>
            </w:r>
            <w:r>
              <w:rPr>
                <w:rFonts w:cs="Arial"/>
                <w:sz w:val="20"/>
                <w:szCs w:val="20"/>
              </w:rPr>
              <w:t xml:space="preserve">also </w:t>
            </w:r>
            <w:r w:rsidR="00F20C08">
              <w:rPr>
                <w:rFonts w:cs="Arial"/>
                <w:sz w:val="20"/>
                <w:szCs w:val="20"/>
              </w:rPr>
              <w:t>supports</w:t>
            </w:r>
            <w:r w:rsidR="0036635A">
              <w:rPr>
                <w:rFonts w:cs="Arial"/>
                <w:sz w:val="20"/>
                <w:szCs w:val="20"/>
              </w:rPr>
              <w:t xml:space="preserve"> international consistency and a competitive food industry (high order policy principles 2(b) and (c)), </w:t>
            </w:r>
            <w:r w:rsidR="00624DA5">
              <w:rPr>
                <w:rFonts w:cs="Arial"/>
                <w:sz w:val="20"/>
                <w:szCs w:val="20"/>
              </w:rPr>
              <w:t>providing</w:t>
            </w:r>
            <w:r w:rsidR="00311EC0">
              <w:rPr>
                <w:rFonts w:cs="Arial"/>
                <w:sz w:val="20"/>
                <w:szCs w:val="20"/>
              </w:rPr>
              <w:t xml:space="preserve"> trade opportunities</w:t>
            </w:r>
            <w:r w:rsidR="00833D36">
              <w:rPr>
                <w:rFonts w:cs="Arial"/>
                <w:sz w:val="20"/>
                <w:szCs w:val="20"/>
              </w:rPr>
              <w:t>;</w:t>
            </w:r>
            <w:r w:rsidR="00C44CDA">
              <w:rPr>
                <w:rFonts w:cs="Arial"/>
                <w:sz w:val="20"/>
                <w:szCs w:val="20"/>
              </w:rPr>
              <w:t xml:space="preserve"> </w:t>
            </w:r>
            <w:r w:rsidR="00466F5B">
              <w:rPr>
                <w:rFonts w:cs="Arial"/>
                <w:sz w:val="20"/>
                <w:szCs w:val="20"/>
              </w:rPr>
              <w:t xml:space="preserve">and </w:t>
            </w:r>
            <w:r w:rsidR="002D66F2" w:rsidRPr="000720C7">
              <w:rPr>
                <w:rFonts w:cs="Arial"/>
                <w:sz w:val="20"/>
                <w:szCs w:val="20"/>
              </w:rPr>
              <w:t xml:space="preserve">provides alternative options to existing </w:t>
            </w:r>
            <w:r>
              <w:rPr>
                <w:rFonts w:cs="Arial"/>
                <w:sz w:val="20"/>
                <w:szCs w:val="20"/>
              </w:rPr>
              <w:t>oligosaccharides</w:t>
            </w:r>
            <w:r w:rsidR="000720C7">
              <w:rPr>
                <w:rFonts w:cs="Arial"/>
                <w:sz w:val="20"/>
                <w:szCs w:val="20"/>
              </w:rPr>
              <w:t xml:space="preserve"> (GOS and ITF)</w:t>
            </w:r>
            <w:r w:rsidR="000720C7" w:rsidRPr="000720C7">
              <w:rPr>
                <w:rFonts w:cs="Arial"/>
                <w:sz w:val="20"/>
                <w:szCs w:val="20"/>
              </w:rPr>
              <w:t xml:space="preserve"> </w:t>
            </w:r>
            <w:r w:rsidR="002D66F2" w:rsidRPr="000720C7">
              <w:rPr>
                <w:rFonts w:cs="Arial"/>
                <w:sz w:val="20"/>
                <w:szCs w:val="20"/>
              </w:rPr>
              <w:t>permitted for use</w:t>
            </w:r>
            <w:r w:rsidR="000720C7">
              <w:rPr>
                <w:rFonts w:cs="Arial"/>
                <w:sz w:val="20"/>
                <w:szCs w:val="20"/>
              </w:rPr>
              <w:t xml:space="preserve"> in FSFYC</w:t>
            </w:r>
            <w:r w:rsidR="00933BA2">
              <w:rPr>
                <w:rFonts w:cs="Arial"/>
                <w:sz w:val="20"/>
                <w:szCs w:val="20"/>
              </w:rPr>
              <w:t xml:space="preserve"> </w:t>
            </w:r>
            <w:r w:rsidR="00D86CA9">
              <w:rPr>
                <w:rFonts w:cs="Arial"/>
                <w:sz w:val="20"/>
                <w:szCs w:val="20"/>
              </w:rPr>
              <w:t xml:space="preserve">at higher levels </w:t>
            </w:r>
            <w:r w:rsidR="00933BA2">
              <w:rPr>
                <w:rFonts w:cs="Arial"/>
                <w:sz w:val="20"/>
                <w:szCs w:val="20"/>
              </w:rPr>
              <w:t>(</w:t>
            </w:r>
            <w:r w:rsidR="00933BA2" w:rsidRPr="008D0694">
              <w:rPr>
                <w:rFonts w:cs="Arial"/>
                <w:sz w:val="20"/>
                <w:szCs w:val="20"/>
              </w:rPr>
              <w:t>see section</w:t>
            </w:r>
            <w:r w:rsidR="00F20C08">
              <w:rPr>
                <w:rFonts w:cs="Arial"/>
                <w:sz w:val="20"/>
                <w:szCs w:val="20"/>
              </w:rPr>
              <w:t>s</w:t>
            </w:r>
            <w:r w:rsidR="00933BA2" w:rsidRPr="008D0694">
              <w:rPr>
                <w:rFonts w:cs="Arial"/>
                <w:sz w:val="20"/>
                <w:szCs w:val="20"/>
              </w:rPr>
              <w:t xml:space="preserve"> 2.5</w:t>
            </w:r>
            <w:r w:rsidR="007E79D6" w:rsidRPr="007E79D6">
              <w:rPr>
                <w:rFonts w:cs="Arial"/>
                <w:sz w:val="20"/>
                <w:szCs w:val="20"/>
              </w:rPr>
              <w:t>.1</w:t>
            </w:r>
            <w:r w:rsidR="007E79D6">
              <w:rPr>
                <w:rFonts w:cs="Arial"/>
                <w:sz w:val="20"/>
                <w:szCs w:val="20"/>
              </w:rPr>
              <w:t>.1</w:t>
            </w:r>
            <w:r w:rsidR="00F20C08">
              <w:rPr>
                <w:rFonts w:cs="Arial"/>
                <w:sz w:val="20"/>
                <w:szCs w:val="20"/>
              </w:rPr>
              <w:t xml:space="preserve"> and 2.5.3</w:t>
            </w:r>
            <w:r w:rsidR="00933BA2">
              <w:rPr>
                <w:rFonts w:cs="Arial"/>
                <w:sz w:val="20"/>
                <w:szCs w:val="20"/>
              </w:rPr>
              <w:t>)</w:t>
            </w:r>
            <w:r w:rsidR="006D5D22">
              <w:rPr>
                <w:rFonts w:cs="Arial"/>
                <w:sz w:val="20"/>
                <w:szCs w:val="20"/>
              </w:rPr>
              <w:t>.</w:t>
            </w:r>
          </w:p>
          <w:p w14:paraId="00550184" w14:textId="77777777" w:rsidR="00951E89" w:rsidRDefault="00951E89" w:rsidP="00951E89">
            <w:pPr>
              <w:rPr>
                <w:rFonts w:cs="Arial"/>
                <w:sz w:val="20"/>
                <w:szCs w:val="20"/>
              </w:rPr>
            </w:pPr>
          </w:p>
          <w:p w14:paraId="07682C35" w14:textId="5AE8047F" w:rsidR="008D64B7" w:rsidRDefault="008D64B7" w:rsidP="007E79D6">
            <w:pPr>
              <w:rPr>
                <w:rFonts w:cs="Arial"/>
                <w:sz w:val="20"/>
                <w:szCs w:val="20"/>
              </w:rPr>
            </w:pPr>
            <w:r w:rsidRPr="000720C7">
              <w:rPr>
                <w:rFonts w:cs="Arial"/>
                <w:sz w:val="20"/>
                <w:szCs w:val="20"/>
              </w:rPr>
              <w:t xml:space="preserve">Although the </w:t>
            </w:r>
            <w:r w:rsidR="000720C7">
              <w:rPr>
                <w:rFonts w:cs="Arial"/>
                <w:sz w:val="20"/>
                <w:szCs w:val="20"/>
              </w:rPr>
              <w:t>p</w:t>
            </w:r>
            <w:r w:rsidRPr="000720C7">
              <w:rPr>
                <w:rFonts w:cs="Arial"/>
                <w:sz w:val="20"/>
                <w:szCs w:val="20"/>
              </w:rPr>
              <w:t xml:space="preserve">olicy </w:t>
            </w:r>
            <w:r w:rsidR="000720C7">
              <w:rPr>
                <w:rFonts w:cs="Arial"/>
                <w:sz w:val="20"/>
                <w:szCs w:val="20"/>
              </w:rPr>
              <w:t>g</w:t>
            </w:r>
            <w:r w:rsidRPr="000720C7">
              <w:rPr>
                <w:rFonts w:cs="Arial"/>
                <w:sz w:val="20"/>
                <w:szCs w:val="20"/>
              </w:rPr>
              <w:t xml:space="preserve">uideline did not apply when GOS and ITF were permitted for use in the Code, these oligosaccharides are currently permitted for safe use in FSFYC. Permitting alternative options to these oligosaccharides provides </w:t>
            </w:r>
            <w:r w:rsidR="00FC04F8">
              <w:rPr>
                <w:rFonts w:cs="Arial"/>
                <w:sz w:val="20"/>
                <w:szCs w:val="20"/>
              </w:rPr>
              <w:t>industry</w:t>
            </w:r>
            <w:r w:rsidR="00FC04F8" w:rsidRPr="000720C7">
              <w:rPr>
                <w:rFonts w:cs="Arial"/>
                <w:sz w:val="20"/>
                <w:szCs w:val="20"/>
              </w:rPr>
              <w:t xml:space="preserve"> </w:t>
            </w:r>
            <w:r w:rsidRPr="000720C7">
              <w:rPr>
                <w:rFonts w:cs="Arial"/>
                <w:sz w:val="20"/>
                <w:szCs w:val="20"/>
              </w:rPr>
              <w:t>with innovation opportunities.</w:t>
            </w:r>
          </w:p>
        </w:tc>
      </w:tr>
      <w:tr w:rsidR="008D64B7" w:rsidRPr="00426B41" w14:paraId="35FA0ABB" w14:textId="77777777" w:rsidTr="005F2E79">
        <w:tc>
          <w:tcPr>
            <w:tcW w:w="1736" w:type="pct"/>
          </w:tcPr>
          <w:p w14:paraId="4A593145" w14:textId="33CD76E0" w:rsidR="008D64B7" w:rsidRPr="004D7999" w:rsidRDefault="00F84AE5" w:rsidP="005F2E79">
            <w:pPr>
              <w:rPr>
                <w:rFonts w:cs="Arial"/>
                <w:b/>
                <w:color w:val="FF0000"/>
                <w:sz w:val="20"/>
                <w:szCs w:val="20"/>
              </w:rPr>
            </w:pPr>
            <w:r w:rsidRPr="00F84AE5">
              <w:rPr>
                <w:rFonts w:cs="Arial"/>
                <w:b/>
                <w:sz w:val="20"/>
                <w:szCs w:val="20"/>
              </w:rPr>
              <w:t>Used as a nutritive substance</w:t>
            </w:r>
            <w:r w:rsidR="008D64B7" w:rsidRPr="00F84AE5">
              <w:rPr>
                <w:rFonts w:cs="Arial"/>
                <w:b/>
                <w:sz w:val="20"/>
                <w:szCs w:val="20"/>
              </w:rPr>
              <w:t xml:space="preserve"> </w:t>
            </w:r>
          </w:p>
        </w:tc>
        <w:tc>
          <w:tcPr>
            <w:tcW w:w="844" w:type="pct"/>
          </w:tcPr>
          <w:p w14:paraId="5AC411FC" w14:textId="77777777" w:rsidR="008D64B7" w:rsidRPr="00084B50" w:rsidRDefault="008D64B7" w:rsidP="005F2E79">
            <w:pPr>
              <w:rPr>
                <w:rFonts w:cs="Arial"/>
                <w:sz w:val="20"/>
                <w:szCs w:val="20"/>
              </w:rPr>
            </w:pPr>
          </w:p>
        </w:tc>
        <w:tc>
          <w:tcPr>
            <w:tcW w:w="2420" w:type="pct"/>
          </w:tcPr>
          <w:p w14:paraId="2EF2DC4C" w14:textId="77777777" w:rsidR="008D64B7" w:rsidRPr="00426B41" w:rsidRDefault="008D64B7" w:rsidP="005F2E79">
            <w:pPr>
              <w:rPr>
                <w:rFonts w:cs="Arial"/>
                <w:sz w:val="20"/>
                <w:szCs w:val="20"/>
              </w:rPr>
            </w:pPr>
          </w:p>
        </w:tc>
      </w:tr>
      <w:tr w:rsidR="004D7999" w:rsidRPr="003F50BB" w14:paraId="554A93EA" w14:textId="77777777" w:rsidTr="00865BA6">
        <w:tc>
          <w:tcPr>
            <w:tcW w:w="1736" w:type="pct"/>
            <w:shd w:val="clear" w:color="auto" w:fill="EAF1DD" w:themeFill="accent3" w:themeFillTint="33"/>
          </w:tcPr>
          <w:p w14:paraId="1BF2A866" w14:textId="2C102572" w:rsidR="004D7999" w:rsidRPr="00426B41" w:rsidRDefault="004D7999" w:rsidP="005F2E79">
            <w:pPr>
              <w:rPr>
                <w:rFonts w:cs="Arial"/>
                <w:sz w:val="20"/>
                <w:szCs w:val="20"/>
              </w:rPr>
            </w:pPr>
            <w:r w:rsidRPr="00426B41">
              <w:rPr>
                <w:rFonts w:cs="Arial"/>
                <w:sz w:val="20"/>
                <w:szCs w:val="20"/>
              </w:rPr>
              <w:t xml:space="preserve">Supports approval as </w:t>
            </w:r>
            <w:r>
              <w:rPr>
                <w:rFonts w:cs="Arial"/>
                <w:i/>
                <w:sz w:val="20"/>
                <w:szCs w:val="20"/>
              </w:rPr>
              <w:t xml:space="preserve">used as a </w:t>
            </w:r>
            <w:r w:rsidRPr="00584823">
              <w:rPr>
                <w:rFonts w:cs="Arial"/>
                <w:i/>
                <w:sz w:val="20"/>
                <w:szCs w:val="20"/>
              </w:rPr>
              <w:t>nutritive substance</w:t>
            </w:r>
            <w:r w:rsidRPr="00426B41">
              <w:rPr>
                <w:rFonts w:cs="Arial"/>
                <w:sz w:val="20"/>
                <w:szCs w:val="20"/>
              </w:rPr>
              <w:t>.</w:t>
            </w:r>
          </w:p>
        </w:tc>
        <w:tc>
          <w:tcPr>
            <w:tcW w:w="844" w:type="pct"/>
            <w:shd w:val="clear" w:color="auto" w:fill="EAF1DD" w:themeFill="accent3" w:themeFillTint="33"/>
          </w:tcPr>
          <w:p w14:paraId="473310F8" w14:textId="77777777" w:rsidR="004D7999" w:rsidRPr="00084B50" w:rsidRDefault="004D7999" w:rsidP="005F2E79">
            <w:pPr>
              <w:rPr>
                <w:rFonts w:cs="Arial"/>
                <w:sz w:val="20"/>
                <w:szCs w:val="20"/>
              </w:rPr>
            </w:pPr>
            <w:r w:rsidRPr="00084B50">
              <w:rPr>
                <w:rFonts w:cs="Arial"/>
                <w:sz w:val="20"/>
                <w:szCs w:val="20"/>
              </w:rPr>
              <w:t>Glycom, Nestle, NSWFA</w:t>
            </w:r>
          </w:p>
        </w:tc>
        <w:tc>
          <w:tcPr>
            <w:tcW w:w="2420" w:type="pct"/>
            <w:shd w:val="clear" w:color="auto" w:fill="EAF1DD" w:themeFill="accent3" w:themeFillTint="33"/>
          </w:tcPr>
          <w:p w14:paraId="725C2D81" w14:textId="3942DD07" w:rsidR="004D7999" w:rsidRPr="003F50BB" w:rsidRDefault="004D7999" w:rsidP="005F2E79">
            <w:pPr>
              <w:rPr>
                <w:rFonts w:cs="Arial"/>
                <w:sz w:val="20"/>
                <w:szCs w:val="20"/>
                <w:highlight w:val="lightGray"/>
              </w:rPr>
            </w:pPr>
            <w:r w:rsidRPr="00F84AE5">
              <w:rPr>
                <w:rFonts w:cs="Arial"/>
                <w:sz w:val="20"/>
                <w:szCs w:val="20"/>
              </w:rPr>
              <w:t>Note</w:t>
            </w:r>
            <w:r w:rsidR="00F84AE5" w:rsidRPr="00F84AE5">
              <w:rPr>
                <w:rFonts w:cs="Arial"/>
                <w:sz w:val="20"/>
                <w:szCs w:val="20"/>
              </w:rPr>
              <w:t>d.</w:t>
            </w:r>
          </w:p>
        </w:tc>
      </w:tr>
      <w:tr w:rsidR="004D7999" w:rsidRPr="00DB0FD2" w14:paraId="4B26FA80" w14:textId="77777777" w:rsidTr="004D7999">
        <w:tc>
          <w:tcPr>
            <w:tcW w:w="1736" w:type="pct"/>
          </w:tcPr>
          <w:p w14:paraId="29196122" w14:textId="0E25AB7D" w:rsidR="004D7999" w:rsidRDefault="004D7999" w:rsidP="005F2E79">
            <w:pPr>
              <w:rPr>
                <w:rFonts w:cs="Arial"/>
                <w:sz w:val="20"/>
                <w:szCs w:val="20"/>
              </w:rPr>
            </w:pPr>
            <w:r w:rsidRPr="00426B41">
              <w:rPr>
                <w:rFonts w:cs="Arial"/>
                <w:sz w:val="20"/>
                <w:szCs w:val="20"/>
              </w:rPr>
              <w:t>Approval</w:t>
            </w:r>
            <w:r>
              <w:rPr>
                <w:rFonts w:cs="Arial"/>
                <w:sz w:val="20"/>
                <w:szCs w:val="20"/>
              </w:rPr>
              <w:t xml:space="preserve"> of </w:t>
            </w:r>
            <w:r w:rsidR="00B51870">
              <w:rPr>
                <w:rFonts w:cs="Arial"/>
                <w:sz w:val="20"/>
                <w:szCs w:val="20"/>
              </w:rPr>
              <w:t>2′</w:t>
            </w:r>
            <w:r>
              <w:rPr>
                <w:rFonts w:cs="Arial"/>
                <w:sz w:val="20"/>
                <w:szCs w:val="20"/>
              </w:rPr>
              <w:t xml:space="preserve">-FL and LNnT to be </w:t>
            </w:r>
            <w:r>
              <w:rPr>
                <w:rFonts w:cs="Arial"/>
                <w:i/>
                <w:sz w:val="20"/>
                <w:szCs w:val="20"/>
              </w:rPr>
              <w:t>used as a nutritive substance</w:t>
            </w:r>
            <w:r>
              <w:rPr>
                <w:rFonts w:cs="Arial"/>
                <w:sz w:val="20"/>
                <w:szCs w:val="20"/>
              </w:rPr>
              <w:t xml:space="preserve"> </w:t>
            </w:r>
            <w:r w:rsidRPr="00426B41">
              <w:rPr>
                <w:rFonts w:cs="Arial"/>
                <w:sz w:val="20"/>
                <w:szCs w:val="20"/>
              </w:rPr>
              <w:t xml:space="preserve">is inconsistent </w:t>
            </w:r>
            <w:r>
              <w:rPr>
                <w:rFonts w:cs="Arial"/>
                <w:sz w:val="20"/>
                <w:szCs w:val="20"/>
              </w:rPr>
              <w:t xml:space="preserve">with other oligosaccharides GOS and </w:t>
            </w:r>
            <w:r w:rsidRPr="00426B41">
              <w:rPr>
                <w:rFonts w:cs="Arial"/>
                <w:sz w:val="20"/>
                <w:szCs w:val="20"/>
              </w:rPr>
              <w:t>ITF</w:t>
            </w:r>
            <w:r>
              <w:rPr>
                <w:rFonts w:cs="Arial"/>
                <w:sz w:val="20"/>
                <w:szCs w:val="20"/>
              </w:rPr>
              <w:t xml:space="preserve">, noting: </w:t>
            </w:r>
          </w:p>
          <w:p w14:paraId="4DB0291F" w14:textId="77777777" w:rsidR="004D7999" w:rsidRDefault="004D7999" w:rsidP="004D7999">
            <w:pPr>
              <w:pStyle w:val="ListParagraph"/>
              <w:widowControl/>
              <w:numPr>
                <w:ilvl w:val="0"/>
                <w:numId w:val="36"/>
              </w:numPr>
              <w:ind w:left="589" w:hanging="567"/>
              <w:rPr>
                <w:rFonts w:cs="Arial"/>
                <w:sz w:val="20"/>
                <w:szCs w:val="20"/>
              </w:rPr>
            </w:pPr>
            <w:r>
              <w:rPr>
                <w:rFonts w:cs="Arial"/>
                <w:sz w:val="20"/>
                <w:szCs w:val="20"/>
              </w:rPr>
              <w:t xml:space="preserve">This </w:t>
            </w:r>
            <w:r w:rsidRPr="00D07A24">
              <w:rPr>
                <w:rFonts w:cs="Arial"/>
                <w:sz w:val="20"/>
                <w:szCs w:val="20"/>
              </w:rPr>
              <w:t>could create regulatory confusion and complexity.</w:t>
            </w:r>
          </w:p>
          <w:p w14:paraId="7A2666F2" w14:textId="77777777" w:rsidR="004D7999" w:rsidRDefault="004D7999" w:rsidP="004D7999">
            <w:pPr>
              <w:pStyle w:val="ListParagraph"/>
              <w:widowControl/>
              <w:numPr>
                <w:ilvl w:val="0"/>
                <w:numId w:val="36"/>
              </w:numPr>
              <w:ind w:left="589" w:hanging="567"/>
              <w:rPr>
                <w:rFonts w:cs="Arial"/>
                <w:sz w:val="20"/>
                <w:szCs w:val="20"/>
              </w:rPr>
            </w:pPr>
            <w:r>
              <w:rPr>
                <w:rFonts w:cs="Arial"/>
                <w:sz w:val="20"/>
                <w:szCs w:val="20"/>
              </w:rPr>
              <w:t>The same labelling provisions should apply for all these oligosaccharide substances.</w:t>
            </w:r>
          </w:p>
          <w:p w14:paraId="2E484634" w14:textId="77777777" w:rsidR="004D7999" w:rsidRDefault="004D7999" w:rsidP="004D7999">
            <w:pPr>
              <w:pStyle w:val="ListParagraph"/>
              <w:widowControl/>
              <w:numPr>
                <w:ilvl w:val="0"/>
                <w:numId w:val="36"/>
              </w:numPr>
              <w:ind w:left="589" w:hanging="567"/>
              <w:rPr>
                <w:rFonts w:cs="Arial"/>
                <w:sz w:val="20"/>
                <w:szCs w:val="20"/>
              </w:rPr>
            </w:pPr>
            <w:r>
              <w:rPr>
                <w:rFonts w:cs="Arial"/>
                <w:sz w:val="20"/>
                <w:szCs w:val="20"/>
              </w:rPr>
              <w:t>Do GOS and ITF therefore also need to be considered as nutritive substances?</w:t>
            </w:r>
          </w:p>
          <w:p w14:paraId="481275F2" w14:textId="2863D957" w:rsidR="004D7999" w:rsidRPr="00E26205" w:rsidRDefault="004D7999" w:rsidP="002065DB">
            <w:pPr>
              <w:pStyle w:val="ListParagraph"/>
              <w:widowControl/>
              <w:numPr>
                <w:ilvl w:val="0"/>
                <w:numId w:val="36"/>
              </w:numPr>
              <w:ind w:left="589" w:hanging="567"/>
              <w:rPr>
                <w:rFonts w:cs="Arial"/>
                <w:sz w:val="20"/>
                <w:szCs w:val="20"/>
              </w:rPr>
            </w:pPr>
            <w:r>
              <w:rPr>
                <w:rFonts w:cs="Arial"/>
                <w:sz w:val="20"/>
                <w:szCs w:val="20"/>
              </w:rPr>
              <w:t>Issue could be considered within scope of P1024 and P1028.</w:t>
            </w:r>
          </w:p>
        </w:tc>
        <w:tc>
          <w:tcPr>
            <w:tcW w:w="844" w:type="pct"/>
          </w:tcPr>
          <w:p w14:paraId="0743A799" w14:textId="77777777" w:rsidR="004D7999" w:rsidRPr="00084B50" w:rsidRDefault="004D7999" w:rsidP="005F2E79">
            <w:pPr>
              <w:rPr>
                <w:rFonts w:cs="Arial"/>
                <w:sz w:val="20"/>
                <w:szCs w:val="20"/>
              </w:rPr>
            </w:pPr>
            <w:r w:rsidRPr="00084B50">
              <w:rPr>
                <w:rFonts w:cs="Arial"/>
                <w:sz w:val="20"/>
                <w:szCs w:val="20"/>
              </w:rPr>
              <w:t>Fonterra, INC, NZFGC, NZMPI</w:t>
            </w:r>
          </w:p>
        </w:tc>
        <w:tc>
          <w:tcPr>
            <w:tcW w:w="2420" w:type="pct"/>
          </w:tcPr>
          <w:p w14:paraId="1B48C070" w14:textId="189CB0AF" w:rsidR="004D7999" w:rsidRDefault="004D7999" w:rsidP="005F2E79">
            <w:pPr>
              <w:rPr>
                <w:sz w:val="20"/>
                <w:szCs w:val="20"/>
              </w:rPr>
            </w:pPr>
            <w:r>
              <w:rPr>
                <w:sz w:val="20"/>
                <w:szCs w:val="20"/>
              </w:rPr>
              <w:t>Making changes to the specific regulatory approach for GOS and ITF is outside the scope of this application.</w:t>
            </w:r>
          </w:p>
          <w:p w14:paraId="5B2364CD" w14:textId="77777777" w:rsidR="00630B82" w:rsidRDefault="00630B82" w:rsidP="005F2E79">
            <w:pPr>
              <w:rPr>
                <w:sz w:val="20"/>
                <w:szCs w:val="20"/>
              </w:rPr>
            </w:pPr>
          </w:p>
          <w:p w14:paraId="510B4EF8" w14:textId="73E26E4E" w:rsidR="004D7999" w:rsidRDefault="00087EFA" w:rsidP="005F2E79">
            <w:pPr>
              <w:rPr>
                <w:sz w:val="20"/>
                <w:szCs w:val="20"/>
              </w:rPr>
            </w:pPr>
            <w:r>
              <w:rPr>
                <w:sz w:val="20"/>
                <w:szCs w:val="20"/>
              </w:rPr>
              <w:t>Under Proposal P306</w:t>
            </w:r>
            <w:r w:rsidR="001E3194">
              <w:rPr>
                <w:sz w:val="20"/>
                <w:szCs w:val="20"/>
              </w:rPr>
              <w:t xml:space="preserve"> (Additio</w:t>
            </w:r>
            <w:r w:rsidR="003642EA">
              <w:rPr>
                <w:sz w:val="20"/>
                <w:szCs w:val="20"/>
              </w:rPr>
              <w:t>n</w:t>
            </w:r>
            <w:r w:rsidR="001E3194">
              <w:rPr>
                <w:sz w:val="20"/>
                <w:szCs w:val="20"/>
              </w:rPr>
              <w:t xml:space="preserve"> of Inulin/FOS &amp; GOS to food)</w:t>
            </w:r>
            <w:r>
              <w:rPr>
                <w:sz w:val="20"/>
                <w:szCs w:val="20"/>
              </w:rPr>
              <w:t xml:space="preserve">, </w:t>
            </w:r>
            <w:r w:rsidR="004D7999">
              <w:rPr>
                <w:sz w:val="20"/>
                <w:szCs w:val="20"/>
              </w:rPr>
              <w:t xml:space="preserve">FSANZ specifically excluded </w:t>
            </w:r>
            <w:r>
              <w:rPr>
                <w:sz w:val="20"/>
                <w:szCs w:val="20"/>
              </w:rPr>
              <w:t xml:space="preserve">ITF (termed </w:t>
            </w:r>
            <w:r w:rsidR="004D7999">
              <w:rPr>
                <w:sz w:val="20"/>
                <w:szCs w:val="20"/>
              </w:rPr>
              <w:t xml:space="preserve">‘inulin-derived substances’ </w:t>
            </w:r>
            <w:r>
              <w:rPr>
                <w:sz w:val="20"/>
                <w:szCs w:val="20"/>
              </w:rPr>
              <w:t>at the time) from</w:t>
            </w:r>
            <w:r w:rsidR="00AD64C7">
              <w:rPr>
                <w:sz w:val="20"/>
                <w:szCs w:val="20"/>
              </w:rPr>
              <w:t xml:space="preserve"> </w:t>
            </w:r>
            <w:r>
              <w:rPr>
                <w:sz w:val="20"/>
                <w:szCs w:val="20"/>
              </w:rPr>
              <w:t xml:space="preserve">the definition of </w:t>
            </w:r>
            <w:r>
              <w:rPr>
                <w:i/>
                <w:sz w:val="20"/>
                <w:szCs w:val="20"/>
              </w:rPr>
              <w:t xml:space="preserve">used as a nutritive substance </w:t>
            </w:r>
            <w:r>
              <w:rPr>
                <w:sz w:val="20"/>
                <w:szCs w:val="20"/>
              </w:rPr>
              <w:t xml:space="preserve">(then defined as </w:t>
            </w:r>
            <w:r w:rsidR="004D7999">
              <w:rPr>
                <w:sz w:val="20"/>
                <w:szCs w:val="20"/>
              </w:rPr>
              <w:t>‘nutritive substances’</w:t>
            </w:r>
            <w:r w:rsidR="008D0694">
              <w:rPr>
                <w:sz w:val="20"/>
                <w:szCs w:val="20"/>
              </w:rPr>
              <w:t>)</w:t>
            </w:r>
            <w:r w:rsidR="00D86CA9">
              <w:rPr>
                <w:sz w:val="20"/>
                <w:szCs w:val="20"/>
              </w:rPr>
              <w:t xml:space="preserve"> because it was already added to some general foods</w:t>
            </w:r>
            <w:r w:rsidR="004D7999">
              <w:rPr>
                <w:sz w:val="20"/>
                <w:szCs w:val="20"/>
              </w:rPr>
              <w:t>.</w:t>
            </w:r>
            <w:r>
              <w:rPr>
                <w:sz w:val="20"/>
                <w:szCs w:val="20"/>
              </w:rPr>
              <w:t xml:space="preserve"> </w:t>
            </w:r>
            <w:r w:rsidR="001E3194">
              <w:rPr>
                <w:sz w:val="20"/>
                <w:szCs w:val="20"/>
              </w:rPr>
              <w:t xml:space="preserve">GOS was also excluded under P1025 (Code Revision) for clarity. </w:t>
            </w:r>
            <w:r w:rsidR="004D7999">
              <w:rPr>
                <w:sz w:val="20"/>
                <w:szCs w:val="20"/>
              </w:rPr>
              <w:t>This approach provided regulatory certainty for manufacturers who were using ITF</w:t>
            </w:r>
            <w:r w:rsidR="001E3194">
              <w:rPr>
                <w:sz w:val="20"/>
                <w:szCs w:val="20"/>
              </w:rPr>
              <w:t xml:space="preserve"> and GOS</w:t>
            </w:r>
            <w:r w:rsidR="004D7999">
              <w:rPr>
                <w:sz w:val="20"/>
                <w:szCs w:val="20"/>
              </w:rPr>
              <w:t xml:space="preserve"> in general foods (i.e. they did not require express permission in the Code). </w:t>
            </w:r>
            <w:r w:rsidR="004D7999" w:rsidRPr="00D61BEF">
              <w:rPr>
                <w:sz w:val="20"/>
                <w:szCs w:val="20"/>
              </w:rPr>
              <w:t>Classifying ITF</w:t>
            </w:r>
            <w:r w:rsidR="001E3194">
              <w:rPr>
                <w:sz w:val="20"/>
                <w:szCs w:val="20"/>
              </w:rPr>
              <w:t xml:space="preserve"> or GOS</w:t>
            </w:r>
            <w:r w:rsidR="004D7999" w:rsidRPr="00D61BEF">
              <w:rPr>
                <w:sz w:val="20"/>
                <w:szCs w:val="20"/>
              </w:rPr>
              <w:t xml:space="preserve"> </w:t>
            </w:r>
            <w:r>
              <w:rPr>
                <w:sz w:val="20"/>
                <w:szCs w:val="20"/>
              </w:rPr>
              <w:t xml:space="preserve">to be </w:t>
            </w:r>
            <w:r>
              <w:rPr>
                <w:i/>
                <w:sz w:val="20"/>
                <w:szCs w:val="20"/>
              </w:rPr>
              <w:t>used as a</w:t>
            </w:r>
            <w:r w:rsidR="004D7999" w:rsidRPr="00D61BEF">
              <w:rPr>
                <w:sz w:val="20"/>
                <w:szCs w:val="20"/>
              </w:rPr>
              <w:t xml:space="preserve"> </w:t>
            </w:r>
            <w:r w:rsidR="004D7999" w:rsidRPr="00087EFA">
              <w:rPr>
                <w:i/>
                <w:sz w:val="20"/>
                <w:szCs w:val="20"/>
              </w:rPr>
              <w:t>nutritive substance</w:t>
            </w:r>
            <w:r w:rsidR="004D7999" w:rsidRPr="00D61BEF">
              <w:rPr>
                <w:sz w:val="20"/>
                <w:szCs w:val="20"/>
              </w:rPr>
              <w:t xml:space="preserve"> would render all foods that contained </w:t>
            </w:r>
            <w:r w:rsidR="001E3194">
              <w:rPr>
                <w:sz w:val="20"/>
                <w:szCs w:val="20"/>
              </w:rPr>
              <w:t xml:space="preserve">these substances </w:t>
            </w:r>
            <w:r w:rsidR="004D7999" w:rsidRPr="00D61BEF">
              <w:rPr>
                <w:sz w:val="20"/>
                <w:szCs w:val="20"/>
              </w:rPr>
              <w:t>as non-compliant</w:t>
            </w:r>
            <w:r w:rsidR="00D86CA9">
              <w:rPr>
                <w:sz w:val="20"/>
                <w:szCs w:val="20"/>
              </w:rPr>
              <w:t xml:space="preserve"> </w:t>
            </w:r>
            <w:r w:rsidR="00F45AD0">
              <w:rPr>
                <w:sz w:val="20"/>
                <w:szCs w:val="20"/>
              </w:rPr>
              <w:t>until</w:t>
            </w:r>
            <w:r w:rsidR="00D86CA9">
              <w:rPr>
                <w:sz w:val="20"/>
                <w:szCs w:val="20"/>
              </w:rPr>
              <w:t xml:space="preserve"> approved</w:t>
            </w:r>
            <w:r w:rsidR="004D7999" w:rsidRPr="00D61BEF">
              <w:rPr>
                <w:sz w:val="20"/>
                <w:szCs w:val="20"/>
              </w:rPr>
              <w:t>.</w:t>
            </w:r>
            <w:r w:rsidR="004D7999">
              <w:rPr>
                <w:sz w:val="20"/>
                <w:szCs w:val="20"/>
              </w:rPr>
              <w:t xml:space="preserve"> </w:t>
            </w:r>
          </w:p>
          <w:p w14:paraId="76662EC3" w14:textId="77777777" w:rsidR="00DE3C94" w:rsidRDefault="00DE3C94" w:rsidP="005F2E79">
            <w:pPr>
              <w:rPr>
                <w:sz w:val="20"/>
                <w:szCs w:val="20"/>
              </w:rPr>
            </w:pPr>
          </w:p>
          <w:p w14:paraId="39E16878" w14:textId="724C0205" w:rsidR="004D7999" w:rsidRDefault="004D7999" w:rsidP="005F2E79">
            <w:pPr>
              <w:rPr>
                <w:sz w:val="20"/>
                <w:szCs w:val="20"/>
              </w:rPr>
            </w:pPr>
            <w:r>
              <w:rPr>
                <w:sz w:val="20"/>
                <w:szCs w:val="20"/>
              </w:rPr>
              <w:t xml:space="preserve">For special purpose foods, FSANZ included express permissions for the use of ITF and GOS in infant formula products, foods for infants and FSFYC, to make clear that express permission was still needed for these types of foods. The regulatory certainty of this approach was not dependent on deeming ITF or GOS to be </w:t>
            </w:r>
            <w:r w:rsidR="00087EFA">
              <w:rPr>
                <w:i/>
                <w:sz w:val="20"/>
                <w:szCs w:val="20"/>
              </w:rPr>
              <w:t>used as a nutritive substance</w:t>
            </w:r>
            <w:r>
              <w:rPr>
                <w:sz w:val="20"/>
                <w:szCs w:val="20"/>
              </w:rPr>
              <w:t xml:space="preserve">. </w:t>
            </w:r>
          </w:p>
          <w:p w14:paraId="17719E69" w14:textId="77777777" w:rsidR="004D7999" w:rsidRDefault="004D7999" w:rsidP="005F2E79">
            <w:pPr>
              <w:rPr>
                <w:sz w:val="20"/>
                <w:szCs w:val="20"/>
              </w:rPr>
            </w:pPr>
          </w:p>
          <w:p w14:paraId="7CD6DB50" w14:textId="6F27AC30" w:rsidR="004D7999" w:rsidRDefault="004D7999" w:rsidP="005F2E79">
            <w:pPr>
              <w:rPr>
                <w:sz w:val="20"/>
                <w:szCs w:val="20"/>
              </w:rPr>
            </w:pPr>
            <w:r>
              <w:rPr>
                <w:sz w:val="20"/>
                <w:szCs w:val="20"/>
              </w:rPr>
              <w:t xml:space="preserve">For A1155, specifically approving </w:t>
            </w:r>
            <w:r w:rsidR="00B51870">
              <w:rPr>
                <w:sz w:val="20"/>
                <w:szCs w:val="20"/>
              </w:rPr>
              <w:t>2′</w:t>
            </w:r>
            <w:r>
              <w:rPr>
                <w:sz w:val="20"/>
                <w:szCs w:val="20"/>
              </w:rPr>
              <w:t xml:space="preserve">-FL and LNnT to be </w:t>
            </w:r>
            <w:r>
              <w:rPr>
                <w:i/>
                <w:sz w:val="20"/>
                <w:szCs w:val="20"/>
              </w:rPr>
              <w:t>used as a nutritive substance</w:t>
            </w:r>
            <w:r>
              <w:rPr>
                <w:sz w:val="20"/>
                <w:szCs w:val="20"/>
              </w:rPr>
              <w:t xml:space="preserve"> </w:t>
            </w:r>
            <w:r w:rsidR="00754310">
              <w:rPr>
                <w:sz w:val="20"/>
                <w:szCs w:val="20"/>
              </w:rPr>
              <w:t>(in Schedule 29)</w:t>
            </w:r>
            <w:r>
              <w:rPr>
                <w:sz w:val="20"/>
                <w:szCs w:val="20"/>
              </w:rPr>
              <w:t xml:space="preserve"> means that any extension of use for these substances in other special purpose or general foods would require express permission (</w:t>
            </w:r>
            <w:r w:rsidRPr="003A0C5B">
              <w:rPr>
                <w:sz w:val="20"/>
                <w:szCs w:val="20"/>
              </w:rPr>
              <w:t>in accordance with section 1.1.1</w:t>
            </w:r>
            <w:r w:rsidRPr="003A0C5B">
              <w:rPr>
                <w:rFonts w:cs="Arial"/>
                <w:sz w:val="20"/>
                <w:szCs w:val="20"/>
              </w:rPr>
              <w:t>—10(6)</w:t>
            </w:r>
            <w:r w:rsidR="00DE3C94">
              <w:rPr>
                <w:rFonts w:cs="Arial"/>
                <w:sz w:val="20"/>
                <w:szCs w:val="20"/>
              </w:rPr>
              <w:t xml:space="preserve"> of the Code</w:t>
            </w:r>
            <w:r w:rsidRPr="003A0C5B">
              <w:rPr>
                <w:rFonts w:cs="Arial"/>
                <w:sz w:val="20"/>
                <w:szCs w:val="20"/>
              </w:rPr>
              <w:t>).</w:t>
            </w:r>
            <w:r>
              <w:rPr>
                <w:sz w:val="20"/>
                <w:szCs w:val="20"/>
              </w:rPr>
              <w:t xml:space="preserve"> There is no need to apply a special circumstance as done for ITF and GOS to allow for use in general foods.</w:t>
            </w:r>
          </w:p>
          <w:p w14:paraId="2FC1198E" w14:textId="4C47A6A6" w:rsidR="004D7999" w:rsidRDefault="004D7999" w:rsidP="002065DB">
            <w:pPr>
              <w:widowControl/>
              <w:rPr>
                <w:sz w:val="20"/>
                <w:szCs w:val="20"/>
              </w:rPr>
            </w:pPr>
            <w:r>
              <w:rPr>
                <w:sz w:val="20"/>
                <w:szCs w:val="20"/>
              </w:rPr>
              <w:t xml:space="preserve">Regarding labelling provisions, any substance </w:t>
            </w:r>
            <w:r>
              <w:rPr>
                <w:i/>
                <w:sz w:val="20"/>
                <w:szCs w:val="20"/>
              </w:rPr>
              <w:t>used as a nutritive substance</w:t>
            </w:r>
            <w:r>
              <w:rPr>
                <w:sz w:val="20"/>
                <w:szCs w:val="20"/>
              </w:rPr>
              <w:t xml:space="preserve"> in infant formula products is required to be declared in the nutrition information statement (section 2.9.1</w:t>
            </w:r>
            <w:r>
              <w:rPr>
                <w:rFonts w:cs="Arial"/>
                <w:szCs w:val="20"/>
              </w:rPr>
              <w:t>—</w:t>
            </w:r>
            <w:r>
              <w:rPr>
                <w:sz w:val="20"/>
                <w:szCs w:val="20"/>
              </w:rPr>
              <w:t xml:space="preserve"> 21(1)(iii)) in </w:t>
            </w:r>
            <w:r w:rsidR="00D86B55">
              <w:rPr>
                <w:sz w:val="20"/>
                <w:szCs w:val="20"/>
              </w:rPr>
              <w:t>a similar</w:t>
            </w:r>
            <w:r>
              <w:rPr>
                <w:sz w:val="20"/>
                <w:szCs w:val="20"/>
              </w:rPr>
              <w:t xml:space="preserve"> manner that GOS and ITF are required to be declared (section 2.9.1</w:t>
            </w:r>
            <w:r>
              <w:rPr>
                <w:rFonts w:cs="Arial"/>
                <w:szCs w:val="20"/>
              </w:rPr>
              <w:t>—</w:t>
            </w:r>
            <w:r>
              <w:rPr>
                <w:sz w:val="20"/>
                <w:szCs w:val="20"/>
              </w:rPr>
              <w:t xml:space="preserve"> 21(1)(iv)). For FSFYC, general nutrition information labelling requirements (Standard 1.2.8) would equally apply to </w:t>
            </w:r>
            <w:r w:rsidR="00B51870">
              <w:rPr>
                <w:sz w:val="20"/>
                <w:szCs w:val="20"/>
              </w:rPr>
              <w:t>2′</w:t>
            </w:r>
            <w:r>
              <w:rPr>
                <w:sz w:val="20"/>
                <w:szCs w:val="20"/>
              </w:rPr>
              <w:t xml:space="preserve">-FL, LNnT, GOS and ITF. The specific issue of ingredient names for </w:t>
            </w:r>
            <w:r w:rsidR="00B51870">
              <w:rPr>
                <w:sz w:val="20"/>
                <w:szCs w:val="20"/>
              </w:rPr>
              <w:t>2′</w:t>
            </w:r>
            <w:r>
              <w:rPr>
                <w:sz w:val="20"/>
                <w:szCs w:val="20"/>
              </w:rPr>
              <w:t xml:space="preserve">-FL and LNnT </w:t>
            </w:r>
            <w:r w:rsidRPr="00933BA2">
              <w:rPr>
                <w:sz w:val="20"/>
                <w:szCs w:val="20"/>
              </w:rPr>
              <w:t xml:space="preserve">is discussed further </w:t>
            </w:r>
            <w:r w:rsidRPr="007E79D6">
              <w:rPr>
                <w:sz w:val="20"/>
                <w:szCs w:val="20"/>
              </w:rPr>
              <w:t>below</w:t>
            </w:r>
            <w:r w:rsidR="00087EFA" w:rsidRPr="007E79D6">
              <w:rPr>
                <w:sz w:val="20"/>
                <w:szCs w:val="20"/>
              </w:rPr>
              <w:t xml:space="preserve"> i</w:t>
            </w:r>
            <w:r w:rsidR="00087EFA">
              <w:rPr>
                <w:sz w:val="20"/>
                <w:szCs w:val="20"/>
              </w:rPr>
              <w:t>n this table</w:t>
            </w:r>
            <w:r w:rsidR="00933BA2">
              <w:rPr>
                <w:sz w:val="20"/>
                <w:szCs w:val="20"/>
              </w:rPr>
              <w:t xml:space="preserve"> and </w:t>
            </w:r>
            <w:r w:rsidR="007E79D6">
              <w:rPr>
                <w:sz w:val="20"/>
                <w:szCs w:val="20"/>
              </w:rPr>
              <w:t xml:space="preserve">in </w:t>
            </w:r>
            <w:r w:rsidR="00933BA2">
              <w:rPr>
                <w:sz w:val="20"/>
                <w:szCs w:val="20"/>
              </w:rPr>
              <w:t>section 2.</w:t>
            </w:r>
            <w:r w:rsidR="007E79D6">
              <w:rPr>
                <w:sz w:val="20"/>
                <w:szCs w:val="20"/>
              </w:rPr>
              <w:t>3</w:t>
            </w:r>
            <w:r w:rsidR="00933BA2">
              <w:rPr>
                <w:sz w:val="20"/>
                <w:szCs w:val="20"/>
              </w:rPr>
              <w:t>.</w:t>
            </w:r>
            <w:r w:rsidR="007E79D6">
              <w:rPr>
                <w:sz w:val="20"/>
                <w:szCs w:val="20"/>
              </w:rPr>
              <w:t>5</w:t>
            </w:r>
            <w:r w:rsidR="00933BA2">
              <w:rPr>
                <w:sz w:val="20"/>
                <w:szCs w:val="20"/>
              </w:rPr>
              <w:t>.1</w:t>
            </w:r>
            <w:r>
              <w:rPr>
                <w:sz w:val="20"/>
                <w:szCs w:val="20"/>
              </w:rPr>
              <w:t>.</w:t>
            </w:r>
          </w:p>
          <w:p w14:paraId="1DFE2EDC" w14:textId="1CF9EF3D" w:rsidR="004D7999" w:rsidRDefault="004D7999" w:rsidP="005F2E79">
            <w:pPr>
              <w:rPr>
                <w:sz w:val="20"/>
                <w:szCs w:val="20"/>
              </w:rPr>
            </w:pPr>
          </w:p>
          <w:p w14:paraId="3B587255" w14:textId="4C25329E" w:rsidR="004D7999" w:rsidRPr="00DB0FD2" w:rsidRDefault="004D7999">
            <w:pPr>
              <w:rPr>
                <w:rFonts w:cs="Arial"/>
                <w:sz w:val="20"/>
                <w:szCs w:val="20"/>
              </w:rPr>
            </w:pPr>
            <w:r>
              <w:rPr>
                <w:rFonts w:cs="Arial"/>
                <w:sz w:val="20"/>
                <w:szCs w:val="20"/>
              </w:rPr>
              <w:t xml:space="preserve">The definition and regulation of </w:t>
            </w:r>
            <w:r>
              <w:rPr>
                <w:rFonts w:cs="Arial"/>
                <w:i/>
                <w:sz w:val="20"/>
                <w:szCs w:val="20"/>
              </w:rPr>
              <w:t xml:space="preserve">used as a nutritive </w:t>
            </w:r>
            <w:r w:rsidRPr="006B0190">
              <w:rPr>
                <w:rFonts w:cs="Arial"/>
                <w:i/>
                <w:sz w:val="20"/>
                <w:szCs w:val="20"/>
              </w:rPr>
              <w:t>substance</w:t>
            </w:r>
            <w:r>
              <w:rPr>
                <w:rFonts w:cs="Arial"/>
                <w:sz w:val="20"/>
                <w:szCs w:val="20"/>
              </w:rPr>
              <w:t xml:space="preserve"> is currently being reviewed under Proposals P1024 and P1028. </w:t>
            </w:r>
            <w:r w:rsidRPr="006B0190">
              <w:rPr>
                <w:rFonts w:cs="Arial"/>
                <w:sz w:val="20"/>
                <w:szCs w:val="20"/>
              </w:rPr>
              <w:t>Any</w:t>
            </w:r>
            <w:r w:rsidRPr="00426B41">
              <w:rPr>
                <w:rFonts w:cs="Arial"/>
                <w:sz w:val="20"/>
                <w:szCs w:val="20"/>
              </w:rPr>
              <w:t xml:space="preserve"> </w:t>
            </w:r>
            <w:r>
              <w:rPr>
                <w:rFonts w:cs="Arial"/>
                <w:sz w:val="20"/>
                <w:szCs w:val="20"/>
              </w:rPr>
              <w:t xml:space="preserve">potential </w:t>
            </w:r>
            <w:r w:rsidRPr="00426B41">
              <w:rPr>
                <w:rFonts w:cs="Arial"/>
                <w:sz w:val="20"/>
                <w:szCs w:val="20"/>
              </w:rPr>
              <w:t xml:space="preserve">changes </w:t>
            </w:r>
            <w:r>
              <w:rPr>
                <w:rFonts w:cs="Arial"/>
                <w:sz w:val="20"/>
                <w:szCs w:val="20"/>
              </w:rPr>
              <w:t xml:space="preserve">made under these </w:t>
            </w:r>
            <w:r w:rsidR="007E79D6">
              <w:rPr>
                <w:rFonts w:cs="Arial"/>
                <w:sz w:val="20"/>
                <w:szCs w:val="20"/>
              </w:rPr>
              <w:t>p</w:t>
            </w:r>
            <w:r>
              <w:rPr>
                <w:rFonts w:cs="Arial"/>
                <w:sz w:val="20"/>
                <w:szCs w:val="20"/>
              </w:rPr>
              <w:t xml:space="preserve">roposals </w:t>
            </w:r>
            <w:r w:rsidRPr="00426B41">
              <w:rPr>
                <w:rFonts w:cs="Arial"/>
                <w:sz w:val="20"/>
                <w:szCs w:val="20"/>
              </w:rPr>
              <w:t>wil</w:t>
            </w:r>
            <w:r>
              <w:rPr>
                <w:rFonts w:cs="Arial"/>
                <w:sz w:val="20"/>
                <w:szCs w:val="20"/>
              </w:rPr>
              <w:t>l take account of existing permissions in the Code.</w:t>
            </w:r>
          </w:p>
        </w:tc>
      </w:tr>
      <w:tr w:rsidR="004D7999" w:rsidRPr="00426B41" w14:paraId="2442073C" w14:textId="77777777" w:rsidTr="00865BA6">
        <w:tc>
          <w:tcPr>
            <w:tcW w:w="1736" w:type="pct"/>
            <w:shd w:val="clear" w:color="auto" w:fill="EAF1DD" w:themeFill="accent3" w:themeFillTint="33"/>
          </w:tcPr>
          <w:p w14:paraId="3950194A" w14:textId="10049BAB" w:rsidR="004D7999" w:rsidRPr="00426B41" w:rsidRDefault="004D7999" w:rsidP="00675CA6">
            <w:pPr>
              <w:rPr>
                <w:rFonts w:cs="Arial"/>
                <w:sz w:val="20"/>
                <w:szCs w:val="20"/>
              </w:rPr>
            </w:pPr>
            <w:r>
              <w:rPr>
                <w:rFonts w:cs="Arial"/>
                <w:sz w:val="20"/>
                <w:szCs w:val="20"/>
              </w:rPr>
              <w:t xml:space="preserve">Seeks clarification on whether </w:t>
            </w:r>
            <w:r w:rsidR="00B51870">
              <w:rPr>
                <w:rFonts w:cs="Arial"/>
                <w:sz w:val="20"/>
                <w:szCs w:val="20"/>
              </w:rPr>
              <w:t>2′</w:t>
            </w:r>
            <w:r>
              <w:rPr>
                <w:rFonts w:cs="Arial"/>
                <w:sz w:val="20"/>
                <w:szCs w:val="20"/>
              </w:rPr>
              <w:t xml:space="preserve">-FL and LNnT whose physiological impact is indirect (i.e. via bifidogenic effect) and which are not </w:t>
            </w:r>
            <w:r w:rsidRPr="00426B41">
              <w:rPr>
                <w:rFonts w:cs="Arial"/>
                <w:sz w:val="20"/>
                <w:szCs w:val="20"/>
              </w:rPr>
              <w:t xml:space="preserve">directly absorbed or </w:t>
            </w:r>
            <w:r w:rsidR="005E63E6" w:rsidRPr="00426B41">
              <w:rPr>
                <w:rFonts w:cs="Arial"/>
                <w:sz w:val="20"/>
                <w:szCs w:val="20"/>
              </w:rPr>
              <w:t>metaboli</w:t>
            </w:r>
            <w:r w:rsidR="005E63E6">
              <w:rPr>
                <w:rFonts w:cs="Arial"/>
                <w:sz w:val="20"/>
                <w:szCs w:val="20"/>
              </w:rPr>
              <w:t>s</w:t>
            </w:r>
            <w:r w:rsidR="005E63E6" w:rsidRPr="00426B41">
              <w:rPr>
                <w:rFonts w:cs="Arial"/>
                <w:sz w:val="20"/>
                <w:szCs w:val="20"/>
              </w:rPr>
              <w:t xml:space="preserve">ed </w:t>
            </w:r>
            <w:r w:rsidRPr="00426B41">
              <w:rPr>
                <w:rFonts w:cs="Arial"/>
                <w:sz w:val="20"/>
                <w:szCs w:val="20"/>
              </w:rPr>
              <w:t>by humans</w:t>
            </w:r>
            <w:r>
              <w:rPr>
                <w:rFonts w:cs="Arial"/>
                <w:sz w:val="20"/>
                <w:szCs w:val="20"/>
              </w:rPr>
              <w:t xml:space="preserve">, can be considered nutritive substances for the purposes </w:t>
            </w:r>
            <w:r w:rsidRPr="00667FA7">
              <w:rPr>
                <w:rFonts w:cs="Arial"/>
                <w:sz w:val="20"/>
                <w:szCs w:val="20"/>
              </w:rPr>
              <w:t>of addition and</w:t>
            </w:r>
            <w:r>
              <w:rPr>
                <w:rFonts w:cs="Arial"/>
                <w:sz w:val="20"/>
                <w:szCs w:val="20"/>
              </w:rPr>
              <w:t xml:space="preserve"> Standard 1.2.7</w:t>
            </w:r>
            <w:r w:rsidR="003642EA">
              <w:rPr>
                <w:rFonts w:cs="Arial"/>
                <w:sz w:val="20"/>
                <w:szCs w:val="20"/>
              </w:rPr>
              <w:t xml:space="preserve"> </w:t>
            </w:r>
            <w:r>
              <w:rPr>
                <w:rFonts w:cs="Arial"/>
                <w:sz w:val="20"/>
                <w:szCs w:val="20"/>
              </w:rPr>
              <w:t xml:space="preserve">and Schedule 4 </w:t>
            </w:r>
            <w:r w:rsidR="003642EA">
              <w:rPr>
                <w:rFonts w:cs="Arial"/>
                <w:sz w:val="20"/>
                <w:szCs w:val="20"/>
              </w:rPr>
              <w:t>(Nutrition, health and related claims)</w:t>
            </w:r>
            <w:r w:rsidR="007E79D6">
              <w:rPr>
                <w:rFonts w:cs="Arial"/>
                <w:sz w:val="20"/>
                <w:szCs w:val="20"/>
              </w:rPr>
              <w:t xml:space="preserve"> </w:t>
            </w:r>
            <w:r w:rsidR="00675CA6">
              <w:rPr>
                <w:rFonts w:cs="Arial"/>
                <w:sz w:val="20"/>
                <w:szCs w:val="20"/>
              </w:rPr>
              <w:t>of the Code.</w:t>
            </w:r>
          </w:p>
        </w:tc>
        <w:tc>
          <w:tcPr>
            <w:tcW w:w="844" w:type="pct"/>
            <w:shd w:val="clear" w:color="auto" w:fill="EAF1DD" w:themeFill="accent3" w:themeFillTint="33"/>
          </w:tcPr>
          <w:p w14:paraId="50E70E1D" w14:textId="0645FA2B"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tc>
        <w:tc>
          <w:tcPr>
            <w:tcW w:w="2420" w:type="pct"/>
            <w:shd w:val="clear" w:color="auto" w:fill="EAF1DD" w:themeFill="accent3" w:themeFillTint="33"/>
          </w:tcPr>
          <w:p w14:paraId="363A3AC1" w14:textId="511F371B" w:rsidR="004D7999" w:rsidRDefault="0004121B" w:rsidP="005F2E79">
            <w:pPr>
              <w:rPr>
                <w:rFonts w:cs="Arial"/>
                <w:sz w:val="20"/>
                <w:szCs w:val="20"/>
              </w:rPr>
            </w:pPr>
            <w:r>
              <w:rPr>
                <w:rFonts w:cs="Arial"/>
                <w:sz w:val="20"/>
                <w:szCs w:val="20"/>
              </w:rPr>
              <w:t>A</w:t>
            </w:r>
            <w:r w:rsidR="00B7341B">
              <w:rPr>
                <w:rFonts w:cs="Arial"/>
                <w:sz w:val="20"/>
                <w:szCs w:val="20"/>
              </w:rPr>
              <w:t xml:space="preserve"> definition for </w:t>
            </w:r>
            <w:r w:rsidR="004D7999" w:rsidRPr="00A72525">
              <w:rPr>
                <w:rFonts w:cs="Arial"/>
                <w:i/>
                <w:sz w:val="20"/>
                <w:szCs w:val="20"/>
              </w:rPr>
              <w:t xml:space="preserve">used as a </w:t>
            </w:r>
            <w:r w:rsidR="00F45AD0" w:rsidRPr="00A72525">
              <w:rPr>
                <w:rFonts w:cs="Arial"/>
                <w:i/>
                <w:sz w:val="20"/>
                <w:szCs w:val="20"/>
              </w:rPr>
              <w:t>nutritive</w:t>
            </w:r>
            <w:r w:rsidR="004D7999" w:rsidRPr="00A72525">
              <w:rPr>
                <w:rFonts w:cs="Arial"/>
                <w:i/>
                <w:sz w:val="20"/>
                <w:szCs w:val="20"/>
              </w:rPr>
              <w:t xml:space="preserve"> substance</w:t>
            </w:r>
            <w:r w:rsidR="00B7341B">
              <w:rPr>
                <w:rFonts w:cs="Arial"/>
                <w:sz w:val="20"/>
                <w:szCs w:val="20"/>
              </w:rPr>
              <w:t xml:space="preserve"> (not ‘nutritive substance’) is currently provided in </w:t>
            </w:r>
            <w:r>
              <w:rPr>
                <w:rFonts w:cs="Arial"/>
                <w:sz w:val="20"/>
                <w:szCs w:val="20"/>
              </w:rPr>
              <w:t>section 1.</w:t>
            </w:r>
            <w:r w:rsidRPr="0004121B">
              <w:rPr>
                <w:rFonts w:cs="Arial"/>
                <w:sz w:val="20"/>
                <w:szCs w:val="20"/>
              </w:rPr>
              <w:t xml:space="preserve">1.2—12 </w:t>
            </w:r>
            <w:r>
              <w:rPr>
                <w:rFonts w:cs="Arial"/>
                <w:sz w:val="20"/>
                <w:szCs w:val="20"/>
              </w:rPr>
              <w:t xml:space="preserve">of </w:t>
            </w:r>
            <w:r w:rsidR="00B7341B" w:rsidRPr="0004121B">
              <w:rPr>
                <w:rFonts w:cs="Arial"/>
                <w:sz w:val="20"/>
                <w:szCs w:val="20"/>
              </w:rPr>
              <w:t>the</w:t>
            </w:r>
            <w:r w:rsidR="00B7341B">
              <w:rPr>
                <w:rFonts w:cs="Arial"/>
                <w:sz w:val="20"/>
                <w:szCs w:val="20"/>
              </w:rPr>
              <w:t xml:space="preserve"> Code</w:t>
            </w:r>
            <w:r w:rsidR="004D7999">
              <w:rPr>
                <w:rFonts w:cs="Arial"/>
                <w:sz w:val="20"/>
                <w:szCs w:val="20"/>
              </w:rPr>
              <w:t xml:space="preserve"> which refer</w:t>
            </w:r>
            <w:r w:rsidR="00DE3C94">
              <w:rPr>
                <w:rFonts w:cs="Arial"/>
                <w:sz w:val="20"/>
                <w:szCs w:val="20"/>
              </w:rPr>
              <w:t>s</w:t>
            </w:r>
            <w:r w:rsidR="004D7999">
              <w:rPr>
                <w:rFonts w:cs="Arial"/>
                <w:sz w:val="20"/>
                <w:szCs w:val="20"/>
              </w:rPr>
              <w:t xml:space="preserve"> to </w:t>
            </w:r>
            <w:r>
              <w:rPr>
                <w:rFonts w:cs="Arial"/>
                <w:sz w:val="20"/>
                <w:szCs w:val="20"/>
              </w:rPr>
              <w:t xml:space="preserve">addition to food to ‘achieve a </w:t>
            </w:r>
            <w:r w:rsidR="004D7999">
              <w:rPr>
                <w:rFonts w:cs="Arial"/>
                <w:sz w:val="20"/>
                <w:szCs w:val="20"/>
              </w:rPr>
              <w:t>nutritional purpose</w:t>
            </w:r>
            <w:r w:rsidR="00DE3C94">
              <w:rPr>
                <w:rFonts w:cs="Arial"/>
                <w:sz w:val="20"/>
                <w:szCs w:val="20"/>
              </w:rPr>
              <w:t>’</w:t>
            </w:r>
            <w:r w:rsidR="004D7999">
              <w:rPr>
                <w:rFonts w:cs="Arial"/>
                <w:sz w:val="20"/>
                <w:szCs w:val="20"/>
              </w:rPr>
              <w:t xml:space="preserve"> (which is not defined).</w:t>
            </w:r>
            <w:r w:rsidR="00DE3C94">
              <w:rPr>
                <w:rFonts w:cs="Arial"/>
                <w:sz w:val="20"/>
                <w:szCs w:val="20"/>
              </w:rPr>
              <w:t xml:space="preserve"> There is no requirement </w:t>
            </w:r>
            <w:r w:rsidR="000076D4">
              <w:rPr>
                <w:rFonts w:cs="Arial"/>
                <w:sz w:val="20"/>
                <w:szCs w:val="20"/>
              </w:rPr>
              <w:t xml:space="preserve">in the Code </w:t>
            </w:r>
            <w:r w:rsidR="00DE3C94">
              <w:rPr>
                <w:rFonts w:cs="Arial"/>
                <w:sz w:val="20"/>
                <w:szCs w:val="20"/>
              </w:rPr>
              <w:t xml:space="preserve">for a substance to be absorbed or metabolised to be </w:t>
            </w:r>
            <w:r w:rsidR="00DE3C94">
              <w:rPr>
                <w:rFonts w:cs="Arial"/>
                <w:i/>
                <w:sz w:val="20"/>
                <w:szCs w:val="20"/>
              </w:rPr>
              <w:t>used as a nutritive substance.</w:t>
            </w:r>
            <w:r w:rsidR="00CF2C79">
              <w:rPr>
                <w:rFonts w:cs="Arial"/>
                <w:i/>
                <w:sz w:val="20"/>
                <w:szCs w:val="20"/>
              </w:rPr>
              <w:t xml:space="preserve"> </w:t>
            </w:r>
            <w:r w:rsidR="00B171B0" w:rsidRPr="00E031D1">
              <w:rPr>
                <w:rFonts w:cs="Arial"/>
                <w:sz w:val="20"/>
                <w:szCs w:val="20"/>
              </w:rPr>
              <w:t xml:space="preserve">This </w:t>
            </w:r>
            <w:r w:rsidR="00B171B0">
              <w:rPr>
                <w:rFonts w:cs="Arial"/>
                <w:sz w:val="20"/>
                <w:szCs w:val="20"/>
              </w:rPr>
              <w:t xml:space="preserve">is also the case </w:t>
            </w:r>
            <w:r w:rsidR="00B171B0" w:rsidRPr="00E031D1">
              <w:rPr>
                <w:rFonts w:cs="Arial"/>
                <w:sz w:val="20"/>
                <w:szCs w:val="20"/>
              </w:rPr>
              <w:t>for the purposes of the definitions in Standard 1.2.7.</w:t>
            </w:r>
          </w:p>
          <w:p w14:paraId="43C761E5" w14:textId="77777777" w:rsidR="00E031D1" w:rsidRDefault="00E031D1" w:rsidP="005F2E79">
            <w:pPr>
              <w:rPr>
                <w:rFonts w:cs="Arial"/>
                <w:sz w:val="20"/>
                <w:szCs w:val="20"/>
              </w:rPr>
            </w:pPr>
          </w:p>
          <w:p w14:paraId="4F1CF078" w14:textId="6C972530" w:rsidR="004D7999" w:rsidRPr="00426B41" w:rsidRDefault="004D7999" w:rsidP="00E031D1">
            <w:pPr>
              <w:rPr>
                <w:rFonts w:cs="Arial"/>
                <w:sz w:val="20"/>
                <w:szCs w:val="20"/>
              </w:rPr>
            </w:pPr>
            <w:r>
              <w:rPr>
                <w:rFonts w:cs="Arial"/>
                <w:sz w:val="20"/>
                <w:szCs w:val="20"/>
              </w:rPr>
              <w:t xml:space="preserve">FSANZ notes that some types of dietary fibre, which are metabolised by the gut microbiome, are generally understood to be, and classified as, a nutrient (e.g. in Nutrient Reference Values). This scenario also applies to </w:t>
            </w:r>
            <w:r w:rsidR="00B51870">
              <w:rPr>
                <w:rFonts w:cs="Arial"/>
                <w:sz w:val="20"/>
                <w:szCs w:val="20"/>
              </w:rPr>
              <w:t>2′</w:t>
            </w:r>
            <w:r w:rsidR="00F84D82">
              <w:rPr>
                <w:rFonts w:cs="Arial"/>
                <w:sz w:val="20"/>
                <w:szCs w:val="20"/>
              </w:rPr>
              <w:t>-FL and LNnT oligosaccharides.</w:t>
            </w:r>
          </w:p>
        </w:tc>
      </w:tr>
      <w:tr w:rsidR="004D7999" w:rsidRPr="002E36A3" w14:paraId="78350F48" w14:textId="77777777" w:rsidTr="004D7999">
        <w:tc>
          <w:tcPr>
            <w:tcW w:w="1736" w:type="pct"/>
          </w:tcPr>
          <w:p w14:paraId="141C41E5" w14:textId="4404A30D" w:rsidR="004D7999" w:rsidRDefault="004D7999" w:rsidP="0004121B">
            <w:pPr>
              <w:rPr>
                <w:rFonts w:cs="Arial"/>
                <w:sz w:val="20"/>
                <w:szCs w:val="20"/>
              </w:rPr>
            </w:pPr>
            <w:r>
              <w:rPr>
                <w:rFonts w:cs="Arial"/>
                <w:sz w:val="20"/>
                <w:szCs w:val="20"/>
              </w:rPr>
              <w:t>R</w:t>
            </w:r>
            <w:r w:rsidRPr="00D66424">
              <w:rPr>
                <w:rFonts w:cs="Arial"/>
                <w:sz w:val="20"/>
                <w:szCs w:val="20"/>
              </w:rPr>
              <w:t>ecommends FSANZ form an expert scientific and regulatory group to review and clearly delineate the status of prebiotics as nutritive substances for classification in the Code, and review other countries</w:t>
            </w:r>
            <w:r>
              <w:rPr>
                <w:rFonts w:cs="Arial"/>
                <w:sz w:val="20"/>
                <w:szCs w:val="20"/>
              </w:rPr>
              <w:t>’</w:t>
            </w:r>
            <w:r w:rsidRPr="00D66424">
              <w:rPr>
                <w:rFonts w:cs="Arial"/>
                <w:sz w:val="20"/>
                <w:szCs w:val="20"/>
              </w:rPr>
              <w:t xml:space="preserve"> as</w:t>
            </w:r>
            <w:r>
              <w:rPr>
                <w:rFonts w:cs="Arial"/>
                <w:sz w:val="20"/>
                <w:szCs w:val="20"/>
              </w:rPr>
              <w:t>sessment criteria</w:t>
            </w:r>
            <w:r w:rsidR="00F84D82">
              <w:rPr>
                <w:rFonts w:cs="Arial"/>
                <w:sz w:val="20"/>
                <w:szCs w:val="20"/>
              </w:rPr>
              <w:t xml:space="preserve"> in this regard.</w:t>
            </w:r>
          </w:p>
        </w:tc>
        <w:tc>
          <w:tcPr>
            <w:tcW w:w="844" w:type="pct"/>
          </w:tcPr>
          <w:p w14:paraId="1B18B168" w14:textId="7514B455"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tc>
        <w:tc>
          <w:tcPr>
            <w:tcW w:w="2420" w:type="pct"/>
          </w:tcPr>
          <w:p w14:paraId="0D726262" w14:textId="0490C6B7" w:rsidR="004D7999" w:rsidRPr="002E36A3" w:rsidRDefault="004D7999" w:rsidP="00F84D82">
            <w:pPr>
              <w:rPr>
                <w:rFonts w:cs="Arial"/>
                <w:sz w:val="20"/>
                <w:szCs w:val="20"/>
                <w:highlight w:val="green"/>
              </w:rPr>
            </w:pPr>
            <w:r>
              <w:rPr>
                <w:rFonts w:cs="Arial"/>
                <w:sz w:val="20"/>
                <w:szCs w:val="20"/>
              </w:rPr>
              <w:t>A general review of prebiotics, or other countries’ assessment criteria in this regard, is not within</w:t>
            </w:r>
            <w:r w:rsidR="00F84D82">
              <w:rPr>
                <w:rFonts w:cs="Arial"/>
                <w:sz w:val="20"/>
                <w:szCs w:val="20"/>
              </w:rPr>
              <w:t xml:space="preserve"> the scope of this application.</w:t>
            </w:r>
          </w:p>
        </w:tc>
      </w:tr>
      <w:tr w:rsidR="004D7999" w:rsidRPr="00426B41" w14:paraId="382F5FD0" w14:textId="77777777" w:rsidTr="004D7999">
        <w:tc>
          <w:tcPr>
            <w:tcW w:w="1736" w:type="pct"/>
          </w:tcPr>
          <w:p w14:paraId="3DDCCE22" w14:textId="02940404" w:rsidR="004D7999" w:rsidRPr="00426B41" w:rsidRDefault="004D7999" w:rsidP="0004121B">
            <w:pPr>
              <w:rPr>
                <w:rFonts w:cs="Arial"/>
                <w:sz w:val="20"/>
                <w:szCs w:val="20"/>
              </w:rPr>
            </w:pPr>
            <w:r>
              <w:rPr>
                <w:rFonts w:cs="Arial"/>
                <w:sz w:val="20"/>
                <w:szCs w:val="20"/>
              </w:rPr>
              <w:t xml:space="preserve">Recommends FSANZ review its </w:t>
            </w:r>
            <w:r w:rsidRPr="00426B41">
              <w:rPr>
                <w:rFonts w:cs="Arial"/>
                <w:sz w:val="20"/>
                <w:szCs w:val="20"/>
              </w:rPr>
              <w:t xml:space="preserve">criteria for definition of – </w:t>
            </w:r>
            <w:r w:rsidRPr="00990C3E">
              <w:rPr>
                <w:rFonts w:cs="Arial"/>
                <w:sz w:val="20"/>
                <w:szCs w:val="20"/>
              </w:rPr>
              <w:t>and associated claims</w:t>
            </w:r>
            <w:r w:rsidRPr="00426B41">
              <w:rPr>
                <w:rFonts w:cs="Arial"/>
                <w:sz w:val="20"/>
                <w:szCs w:val="20"/>
              </w:rPr>
              <w:t xml:space="preserve"> as - </w:t>
            </w:r>
            <w:r w:rsidRPr="00426B41">
              <w:rPr>
                <w:rFonts w:cs="Arial"/>
                <w:i/>
                <w:sz w:val="20"/>
                <w:szCs w:val="20"/>
              </w:rPr>
              <w:t>nutritive</w:t>
            </w:r>
            <w:r w:rsidRPr="00426B41">
              <w:rPr>
                <w:rFonts w:cs="Arial"/>
                <w:sz w:val="20"/>
                <w:szCs w:val="20"/>
              </w:rPr>
              <w:t xml:space="preserve"> </w:t>
            </w:r>
            <w:r w:rsidRPr="00426B41">
              <w:rPr>
                <w:rFonts w:cs="Arial"/>
                <w:i/>
                <w:sz w:val="20"/>
                <w:szCs w:val="20"/>
              </w:rPr>
              <w:t xml:space="preserve">substances </w:t>
            </w:r>
            <w:r w:rsidRPr="00426B41">
              <w:rPr>
                <w:rFonts w:cs="Arial"/>
                <w:sz w:val="20"/>
                <w:szCs w:val="20"/>
              </w:rPr>
              <w:t xml:space="preserve">and </w:t>
            </w:r>
            <w:r w:rsidRPr="00426B41">
              <w:rPr>
                <w:rFonts w:cs="Arial"/>
                <w:i/>
                <w:sz w:val="20"/>
                <w:szCs w:val="20"/>
              </w:rPr>
              <w:t xml:space="preserve">nutritive purposes </w:t>
            </w:r>
            <w:r w:rsidRPr="00426B41">
              <w:rPr>
                <w:rFonts w:cs="Arial"/>
                <w:sz w:val="20"/>
                <w:szCs w:val="20"/>
              </w:rPr>
              <w:t xml:space="preserve">with </w:t>
            </w:r>
            <w:r>
              <w:rPr>
                <w:rFonts w:cs="Arial"/>
                <w:sz w:val="20"/>
                <w:szCs w:val="20"/>
              </w:rPr>
              <w:t xml:space="preserve">a </w:t>
            </w:r>
            <w:r w:rsidRPr="00426B41">
              <w:rPr>
                <w:rFonts w:cs="Arial"/>
                <w:sz w:val="20"/>
                <w:szCs w:val="20"/>
              </w:rPr>
              <w:t xml:space="preserve">goal of potentially revising the Code definition to clarify and delineate criteria qualifying substances as same. </w:t>
            </w:r>
            <w:r>
              <w:rPr>
                <w:rFonts w:cs="Arial"/>
                <w:sz w:val="20"/>
                <w:szCs w:val="20"/>
              </w:rPr>
              <w:t xml:space="preserve">Seeks information as to whether this is part of P1024. </w:t>
            </w:r>
          </w:p>
        </w:tc>
        <w:tc>
          <w:tcPr>
            <w:tcW w:w="844" w:type="pct"/>
          </w:tcPr>
          <w:p w14:paraId="5ADCD095" w14:textId="2962E15D"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tc>
        <w:tc>
          <w:tcPr>
            <w:tcW w:w="2420" w:type="pct"/>
          </w:tcPr>
          <w:p w14:paraId="56A98344" w14:textId="567E83F4" w:rsidR="004D7999" w:rsidRDefault="004D7999" w:rsidP="005F2E79">
            <w:pPr>
              <w:rPr>
                <w:rFonts w:cs="Arial"/>
                <w:sz w:val="20"/>
                <w:szCs w:val="20"/>
              </w:rPr>
            </w:pPr>
            <w:r>
              <w:rPr>
                <w:rFonts w:cs="Arial"/>
                <w:sz w:val="20"/>
                <w:szCs w:val="20"/>
              </w:rPr>
              <w:t>Such a review is o</w:t>
            </w:r>
            <w:r w:rsidRPr="00426B41">
              <w:rPr>
                <w:rFonts w:cs="Arial"/>
                <w:sz w:val="20"/>
                <w:szCs w:val="20"/>
              </w:rPr>
              <w:t xml:space="preserve">ut-of-scope for </w:t>
            </w:r>
            <w:r>
              <w:rPr>
                <w:rFonts w:cs="Arial"/>
                <w:sz w:val="20"/>
                <w:szCs w:val="20"/>
              </w:rPr>
              <w:t xml:space="preserve">this application. The current definition and regulation of </w:t>
            </w:r>
            <w:r>
              <w:rPr>
                <w:rFonts w:cs="Arial"/>
                <w:i/>
                <w:sz w:val="20"/>
                <w:szCs w:val="20"/>
              </w:rPr>
              <w:t xml:space="preserve">used as a nutritive </w:t>
            </w:r>
            <w:r w:rsidRPr="006B0190">
              <w:rPr>
                <w:rFonts w:cs="Arial"/>
                <w:i/>
                <w:sz w:val="20"/>
                <w:szCs w:val="20"/>
              </w:rPr>
              <w:t>substance</w:t>
            </w:r>
            <w:r>
              <w:rPr>
                <w:rFonts w:cs="Arial"/>
                <w:sz w:val="20"/>
                <w:szCs w:val="20"/>
              </w:rPr>
              <w:t xml:space="preserve"> is currently being reviewed u</w:t>
            </w:r>
            <w:r w:rsidR="00F84D82">
              <w:rPr>
                <w:rFonts w:cs="Arial"/>
                <w:sz w:val="20"/>
                <w:szCs w:val="20"/>
              </w:rPr>
              <w:t>nder Proposals P1024 and P1028.</w:t>
            </w:r>
          </w:p>
          <w:p w14:paraId="4E990D05" w14:textId="77777777" w:rsidR="00F84D82" w:rsidRPr="00A81036" w:rsidRDefault="00F84D82" w:rsidP="005F2E79">
            <w:pPr>
              <w:rPr>
                <w:rFonts w:cs="Arial"/>
                <w:strike/>
                <w:sz w:val="20"/>
                <w:szCs w:val="20"/>
              </w:rPr>
            </w:pPr>
          </w:p>
          <w:p w14:paraId="11778472" w14:textId="77777777" w:rsidR="002065DB" w:rsidRDefault="004D7999" w:rsidP="002F2717">
            <w:pPr>
              <w:rPr>
                <w:rFonts w:cs="Arial"/>
                <w:sz w:val="20"/>
                <w:szCs w:val="20"/>
              </w:rPr>
            </w:pPr>
            <w:r>
              <w:rPr>
                <w:rFonts w:cs="Arial"/>
                <w:sz w:val="20"/>
                <w:szCs w:val="20"/>
              </w:rPr>
              <w:t xml:space="preserve">Claims made about foods are regulated by Standard 1.2.7 and associated Schedules. </w:t>
            </w:r>
            <w:r w:rsidRPr="00C85F99">
              <w:rPr>
                <w:rFonts w:cs="Arial"/>
                <w:sz w:val="20"/>
                <w:szCs w:val="20"/>
              </w:rPr>
              <w:t>The applicant has not sought to add a food-health relationship to Schedule 4, for either a general level health or a high level health claim.</w:t>
            </w:r>
          </w:p>
          <w:p w14:paraId="12B7C3F9" w14:textId="77777777" w:rsidR="00945FCB" w:rsidRDefault="00945FCB" w:rsidP="002F2717">
            <w:pPr>
              <w:rPr>
                <w:rFonts w:cs="Arial"/>
                <w:sz w:val="20"/>
                <w:szCs w:val="20"/>
              </w:rPr>
            </w:pPr>
          </w:p>
          <w:p w14:paraId="54937654" w14:textId="0F0A219A" w:rsidR="00945FCB" w:rsidRPr="00426B41" w:rsidRDefault="00945FCB" w:rsidP="002F2717">
            <w:pPr>
              <w:rPr>
                <w:rFonts w:cs="Arial"/>
                <w:sz w:val="20"/>
                <w:szCs w:val="20"/>
              </w:rPr>
            </w:pPr>
          </w:p>
        </w:tc>
      </w:tr>
      <w:tr w:rsidR="004D7999" w:rsidRPr="003F50BB" w14:paraId="458BED03" w14:textId="77777777" w:rsidTr="004D7999">
        <w:tc>
          <w:tcPr>
            <w:tcW w:w="1736" w:type="pct"/>
          </w:tcPr>
          <w:p w14:paraId="7ACDA1D8" w14:textId="1725C26B" w:rsidR="004D7999" w:rsidRPr="00084B50" w:rsidRDefault="004D7999" w:rsidP="005F2E79">
            <w:pPr>
              <w:rPr>
                <w:rFonts w:cs="Arial"/>
                <w:b/>
                <w:color w:val="FF0000"/>
                <w:sz w:val="20"/>
                <w:szCs w:val="20"/>
              </w:rPr>
            </w:pPr>
            <w:r w:rsidRPr="003642EA">
              <w:rPr>
                <w:rFonts w:cs="Arial"/>
                <w:b/>
                <w:sz w:val="20"/>
                <w:szCs w:val="20"/>
              </w:rPr>
              <w:t>Proposed m</w:t>
            </w:r>
            <w:r w:rsidR="00084B50" w:rsidRPr="003642EA">
              <w:rPr>
                <w:rFonts w:cs="Arial"/>
                <w:b/>
                <w:sz w:val="20"/>
                <w:szCs w:val="20"/>
              </w:rPr>
              <w:t>aximum levels</w:t>
            </w:r>
          </w:p>
        </w:tc>
        <w:tc>
          <w:tcPr>
            <w:tcW w:w="844" w:type="pct"/>
          </w:tcPr>
          <w:p w14:paraId="3DC6DA9F" w14:textId="77777777" w:rsidR="004D7999" w:rsidRPr="00084B50" w:rsidRDefault="004D7999" w:rsidP="005F2E79">
            <w:pPr>
              <w:rPr>
                <w:rFonts w:cs="Arial"/>
                <w:sz w:val="20"/>
                <w:szCs w:val="20"/>
              </w:rPr>
            </w:pPr>
          </w:p>
        </w:tc>
        <w:tc>
          <w:tcPr>
            <w:tcW w:w="2420" w:type="pct"/>
          </w:tcPr>
          <w:p w14:paraId="60A21852" w14:textId="77777777" w:rsidR="004D7999" w:rsidRPr="003F50BB" w:rsidRDefault="004D7999" w:rsidP="005F2E79">
            <w:pPr>
              <w:rPr>
                <w:rFonts w:cs="Arial"/>
                <w:sz w:val="20"/>
                <w:szCs w:val="20"/>
                <w:highlight w:val="lightGray"/>
              </w:rPr>
            </w:pPr>
          </w:p>
        </w:tc>
      </w:tr>
      <w:tr w:rsidR="004D7999" w:rsidRPr="003F50BB" w14:paraId="56E496C6" w14:textId="77777777" w:rsidTr="00865BA6">
        <w:tc>
          <w:tcPr>
            <w:tcW w:w="1736" w:type="pct"/>
            <w:shd w:val="clear" w:color="auto" w:fill="EAF1DD" w:themeFill="accent3" w:themeFillTint="33"/>
          </w:tcPr>
          <w:p w14:paraId="24106329" w14:textId="5ECBEB6B" w:rsidR="00072A22" w:rsidRPr="00426B41" w:rsidRDefault="004D7999" w:rsidP="00945FCB">
            <w:pPr>
              <w:widowControl/>
              <w:rPr>
                <w:rFonts w:cs="Arial"/>
                <w:sz w:val="20"/>
                <w:szCs w:val="20"/>
              </w:rPr>
            </w:pPr>
            <w:r w:rsidRPr="00426B41">
              <w:rPr>
                <w:rFonts w:cs="Arial"/>
                <w:sz w:val="20"/>
                <w:szCs w:val="20"/>
              </w:rPr>
              <w:t>Supports maximum use levels proposed</w:t>
            </w:r>
            <w:r>
              <w:rPr>
                <w:rFonts w:cs="Arial"/>
                <w:sz w:val="20"/>
                <w:szCs w:val="20"/>
              </w:rPr>
              <w:t xml:space="preserve"> for </w:t>
            </w:r>
            <w:r w:rsidR="00B51870">
              <w:rPr>
                <w:rFonts w:cs="Arial"/>
                <w:sz w:val="20"/>
                <w:szCs w:val="20"/>
              </w:rPr>
              <w:t>2′</w:t>
            </w:r>
            <w:r>
              <w:rPr>
                <w:rFonts w:cs="Arial"/>
                <w:sz w:val="20"/>
                <w:szCs w:val="20"/>
              </w:rPr>
              <w:t>-FL alone and combined with LNnT.</w:t>
            </w:r>
          </w:p>
        </w:tc>
        <w:tc>
          <w:tcPr>
            <w:tcW w:w="844" w:type="pct"/>
            <w:shd w:val="clear" w:color="auto" w:fill="EAF1DD" w:themeFill="accent3" w:themeFillTint="33"/>
          </w:tcPr>
          <w:p w14:paraId="23B8D1EB" w14:textId="77777777" w:rsidR="004D7999" w:rsidRPr="00084B50" w:rsidRDefault="004D7999" w:rsidP="005F2E79">
            <w:pPr>
              <w:rPr>
                <w:rFonts w:cs="Arial"/>
                <w:sz w:val="20"/>
                <w:szCs w:val="20"/>
              </w:rPr>
            </w:pPr>
            <w:r w:rsidRPr="00084B50">
              <w:rPr>
                <w:rFonts w:cs="Arial"/>
                <w:sz w:val="20"/>
                <w:szCs w:val="20"/>
              </w:rPr>
              <w:t>INC, Glycom, Nestle, NZFGC, Abbott, NZMPI</w:t>
            </w:r>
          </w:p>
        </w:tc>
        <w:tc>
          <w:tcPr>
            <w:tcW w:w="2420" w:type="pct"/>
            <w:shd w:val="clear" w:color="auto" w:fill="EAF1DD" w:themeFill="accent3" w:themeFillTint="33"/>
          </w:tcPr>
          <w:p w14:paraId="0A616ECE" w14:textId="578C7192" w:rsidR="004D7999" w:rsidRPr="003F50BB" w:rsidRDefault="003642EA" w:rsidP="005F2E79">
            <w:pPr>
              <w:rPr>
                <w:rFonts w:cs="Arial"/>
                <w:sz w:val="20"/>
                <w:szCs w:val="20"/>
                <w:highlight w:val="lightGray"/>
              </w:rPr>
            </w:pPr>
            <w:r w:rsidRPr="00601520">
              <w:rPr>
                <w:rFonts w:cs="Arial"/>
                <w:sz w:val="20"/>
                <w:szCs w:val="20"/>
              </w:rPr>
              <w:t>Noted.</w:t>
            </w:r>
          </w:p>
        </w:tc>
      </w:tr>
      <w:tr w:rsidR="004D7999" w:rsidRPr="003F50BB" w14:paraId="2E815803" w14:textId="77777777" w:rsidTr="004D7999">
        <w:tc>
          <w:tcPr>
            <w:tcW w:w="1736" w:type="pct"/>
          </w:tcPr>
          <w:p w14:paraId="1A78FDC7" w14:textId="77777777" w:rsidR="004D7999" w:rsidRPr="00426B41" w:rsidRDefault="004D7999" w:rsidP="005F2E79">
            <w:pPr>
              <w:rPr>
                <w:rFonts w:cs="Arial"/>
                <w:sz w:val="20"/>
                <w:szCs w:val="20"/>
              </w:rPr>
            </w:pPr>
            <w:r>
              <w:rPr>
                <w:rFonts w:cs="Arial"/>
                <w:sz w:val="20"/>
                <w:szCs w:val="20"/>
              </w:rPr>
              <w:t>Although would</w:t>
            </w:r>
            <w:r w:rsidRPr="00426B41">
              <w:rPr>
                <w:rFonts w:cs="Arial"/>
                <w:sz w:val="20"/>
                <w:szCs w:val="20"/>
              </w:rPr>
              <w:t xml:space="preserve"> prefer </w:t>
            </w:r>
            <w:r>
              <w:rPr>
                <w:rFonts w:cs="Arial"/>
                <w:sz w:val="20"/>
                <w:szCs w:val="20"/>
              </w:rPr>
              <w:t xml:space="preserve">the </w:t>
            </w:r>
            <w:r w:rsidRPr="00426B41">
              <w:rPr>
                <w:rFonts w:cs="Arial"/>
                <w:sz w:val="20"/>
                <w:szCs w:val="20"/>
              </w:rPr>
              <w:t xml:space="preserve">levels to be based on g/L </w:t>
            </w:r>
            <w:r>
              <w:rPr>
                <w:rFonts w:cs="Arial"/>
                <w:sz w:val="20"/>
                <w:szCs w:val="20"/>
              </w:rPr>
              <w:t xml:space="preserve">units as used internationally, can support the </w:t>
            </w:r>
            <w:r w:rsidRPr="00426B41">
              <w:rPr>
                <w:rFonts w:cs="Arial"/>
                <w:sz w:val="20"/>
                <w:szCs w:val="20"/>
              </w:rPr>
              <w:t>units of measure proposed (mg/100 kJ and g/serving)</w:t>
            </w:r>
          </w:p>
        </w:tc>
        <w:tc>
          <w:tcPr>
            <w:tcW w:w="844" w:type="pct"/>
          </w:tcPr>
          <w:p w14:paraId="2EAC7896" w14:textId="77777777" w:rsidR="004D7999" w:rsidRPr="00084B50" w:rsidRDefault="004D7999" w:rsidP="005F2E79">
            <w:pPr>
              <w:rPr>
                <w:rFonts w:cs="Arial"/>
                <w:sz w:val="20"/>
                <w:szCs w:val="20"/>
              </w:rPr>
            </w:pPr>
            <w:r w:rsidRPr="00084B50">
              <w:rPr>
                <w:rFonts w:cs="Arial"/>
                <w:sz w:val="20"/>
                <w:szCs w:val="20"/>
              </w:rPr>
              <w:t>INC, Nestle</w:t>
            </w:r>
          </w:p>
        </w:tc>
        <w:tc>
          <w:tcPr>
            <w:tcW w:w="2420" w:type="pct"/>
          </w:tcPr>
          <w:p w14:paraId="3502263A" w14:textId="77777777" w:rsidR="004D7999" w:rsidRPr="003F50BB" w:rsidRDefault="004D7999" w:rsidP="005F2E79">
            <w:pPr>
              <w:rPr>
                <w:rFonts w:cs="Arial"/>
                <w:sz w:val="20"/>
                <w:szCs w:val="20"/>
                <w:highlight w:val="lightGray"/>
              </w:rPr>
            </w:pPr>
            <w:r w:rsidRPr="00523E07">
              <w:rPr>
                <w:rFonts w:cs="Arial"/>
                <w:sz w:val="20"/>
                <w:szCs w:val="20"/>
              </w:rPr>
              <w:t>Noted.</w:t>
            </w:r>
          </w:p>
        </w:tc>
      </w:tr>
      <w:tr w:rsidR="003642EA" w:rsidRPr="00735E45" w14:paraId="3CC5E625" w14:textId="77777777" w:rsidTr="00865BA6">
        <w:tc>
          <w:tcPr>
            <w:tcW w:w="1736" w:type="pct"/>
            <w:shd w:val="clear" w:color="auto" w:fill="EAF1DD" w:themeFill="accent3" w:themeFillTint="33"/>
          </w:tcPr>
          <w:p w14:paraId="331A35DF" w14:textId="12AD60F8" w:rsidR="003642EA" w:rsidRPr="00426B41" w:rsidRDefault="003642EA" w:rsidP="003642EA">
            <w:pPr>
              <w:rPr>
                <w:rFonts w:cs="Arial"/>
                <w:sz w:val="20"/>
                <w:szCs w:val="20"/>
              </w:rPr>
            </w:pPr>
            <w:r w:rsidRPr="00426B41">
              <w:rPr>
                <w:rFonts w:cs="Arial"/>
                <w:sz w:val="20"/>
                <w:szCs w:val="20"/>
              </w:rPr>
              <w:t xml:space="preserve">Does not support </w:t>
            </w:r>
            <w:r>
              <w:rPr>
                <w:rFonts w:cs="Arial"/>
                <w:sz w:val="20"/>
                <w:szCs w:val="20"/>
              </w:rPr>
              <w:t xml:space="preserve">proposed </w:t>
            </w:r>
            <w:r w:rsidR="00C8052F">
              <w:rPr>
                <w:rFonts w:cs="Arial"/>
                <w:sz w:val="20"/>
                <w:szCs w:val="20"/>
              </w:rPr>
              <w:t>higher maximum use level</w:t>
            </w:r>
            <w:r w:rsidRPr="00426B41">
              <w:rPr>
                <w:rFonts w:cs="Arial"/>
                <w:sz w:val="20"/>
                <w:szCs w:val="20"/>
              </w:rPr>
              <w:t xml:space="preserve"> </w:t>
            </w:r>
            <w:r>
              <w:rPr>
                <w:rFonts w:cs="Arial"/>
                <w:sz w:val="20"/>
                <w:szCs w:val="20"/>
              </w:rPr>
              <w:t xml:space="preserve">for </w:t>
            </w:r>
            <w:r w:rsidR="00B51870">
              <w:rPr>
                <w:rFonts w:cs="Arial"/>
                <w:sz w:val="20"/>
                <w:szCs w:val="20"/>
              </w:rPr>
              <w:t>2′</w:t>
            </w:r>
            <w:r>
              <w:rPr>
                <w:rFonts w:cs="Arial"/>
                <w:sz w:val="20"/>
                <w:szCs w:val="20"/>
              </w:rPr>
              <w:t>-FL alone or combined with LNnT; reasons provided include</w:t>
            </w:r>
            <w:r w:rsidRPr="00426B41">
              <w:rPr>
                <w:rFonts w:cs="Arial"/>
                <w:sz w:val="20"/>
                <w:szCs w:val="20"/>
              </w:rPr>
              <w:t>:</w:t>
            </w:r>
          </w:p>
          <w:p w14:paraId="0F916A21" w14:textId="77777777" w:rsidR="003642EA" w:rsidRPr="00257CB2" w:rsidRDefault="003642EA" w:rsidP="003642EA">
            <w:pPr>
              <w:pStyle w:val="ListParagraph"/>
              <w:widowControl/>
              <w:numPr>
                <w:ilvl w:val="0"/>
                <w:numId w:val="37"/>
              </w:numPr>
              <w:ind w:left="589" w:hanging="567"/>
              <w:rPr>
                <w:rFonts w:cs="Arial"/>
                <w:sz w:val="20"/>
                <w:szCs w:val="20"/>
              </w:rPr>
            </w:pPr>
            <w:r>
              <w:rPr>
                <w:rFonts w:cs="Arial"/>
                <w:sz w:val="20"/>
                <w:szCs w:val="20"/>
              </w:rPr>
              <w:t>Literature</w:t>
            </w:r>
            <w:r w:rsidRPr="00257CB2">
              <w:rPr>
                <w:rFonts w:cs="Arial"/>
                <w:sz w:val="20"/>
                <w:szCs w:val="20"/>
              </w:rPr>
              <w:t xml:space="preserve"> </w:t>
            </w:r>
            <w:r>
              <w:rPr>
                <w:rFonts w:cs="Arial"/>
                <w:sz w:val="20"/>
                <w:szCs w:val="20"/>
              </w:rPr>
              <w:t>(</w:t>
            </w:r>
            <w:r w:rsidRPr="00257CB2">
              <w:rPr>
                <w:rFonts w:cs="Arial"/>
                <w:sz w:val="20"/>
                <w:szCs w:val="20"/>
              </w:rPr>
              <w:t>Plaza-Diaz et al 2018</w:t>
            </w:r>
            <w:r>
              <w:rPr>
                <w:rFonts w:cs="Arial"/>
                <w:sz w:val="20"/>
                <w:szCs w:val="20"/>
              </w:rPr>
              <w:t>) states there is a lack of evidence to support the proposed combination</w:t>
            </w:r>
            <w:r w:rsidRPr="00257CB2">
              <w:rPr>
                <w:rFonts w:cs="Arial"/>
                <w:sz w:val="20"/>
                <w:szCs w:val="20"/>
              </w:rPr>
              <w:t xml:space="preserve">. </w:t>
            </w:r>
          </w:p>
          <w:p w14:paraId="58A13DB7" w14:textId="77777777" w:rsidR="003642EA" w:rsidRPr="00426B41" w:rsidRDefault="003642EA" w:rsidP="003642EA">
            <w:pPr>
              <w:pStyle w:val="ListParagraph"/>
              <w:widowControl/>
              <w:numPr>
                <w:ilvl w:val="0"/>
                <w:numId w:val="37"/>
              </w:numPr>
              <w:ind w:left="589" w:hanging="567"/>
              <w:rPr>
                <w:rFonts w:cs="Arial"/>
                <w:sz w:val="20"/>
                <w:szCs w:val="20"/>
              </w:rPr>
            </w:pPr>
            <w:r>
              <w:rPr>
                <w:rFonts w:cs="Arial"/>
                <w:sz w:val="20"/>
                <w:szCs w:val="20"/>
              </w:rPr>
              <w:t>There are no studies at the higher level in the target populations (infant and young children).</w:t>
            </w:r>
          </w:p>
          <w:p w14:paraId="3CC98B7E" w14:textId="24465A68" w:rsidR="003642EA" w:rsidRDefault="003642EA" w:rsidP="003642EA">
            <w:pPr>
              <w:pStyle w:val="ListParagraph"/>
              <w:widowControl/>
              <w:numPr>
                <w:ilvl w:val="0"/>
                <w:numId w:val="37"/>
              </w:numPr>
              <w:ind w:left="589" w:hanging="567"/>
              <w:rPr>
                <w:rFonts w:cs="Arial"/>
                <w:sz w:val="20"/>
                <w:szCs w:val="20"/>
              </w:rPr>
            </w:pPr>
            <w:r>
              <w:rPr>
                <w:rFonts w:cs="Arial"/>
                <w:sz w:val="20"/>
                <w:szCs w:val="20"/>
              </w:rPr>
              <w:t xml:space="preserve">There is no history of </w:t>
            </w:r>
            <w:r w:rsidRPr="00426B41">
              <w:rPr>
                <w:rFonts w:cs="Arial"/>
                <w:sz w:val="20"/>
                <w:szCs w:val="20"/>
              </w:rPr>
              <w:t xml:space="preserve">use </w:t>
            </w:r>
            <w:r>
              <w:rPr>
                <w:rFonts w:cs="Arial"/>
                <w:sz w:val="20"/>
                <w:szCs w:val="20"/>
              </w:rPr>
              <w:t xml:space="preserve">in Australia and NZ </w:t>
            </w:r>
            <w:r w:rsidRPr="00426B41">
              <w:rPr>
                <w:rFonts w:cs="Arial"/>
                <w:sz w:val="20"/>
                <w:szCs w:val="20"/>
              </w:rPr>
              <w:t xml:space="preserve">of microbially produced </w:t>
            </w:r>
            <w:r w:rsidR="00B51870" w:rsidRPr="00B51870">
              <w:rPr>
                <w:rFonts w:cs="Arial"/>
                <w:sz w:val="20"/>
                <w:szCs w:val="20"/>
              </w:rPr>
              <w:t>2′</w:t>
            </w:r>
            <w:r w:rsidRPr="00B51870">
              <w:rPr>
                <w:rFonts w:cs="Arial"/>
                <w:sz w:val="20"/>
                <w:szCs w:val="20"/>
              </w:rPr>
              <w:t>-FL</w:t>
            </w:r>
            <w:r w:rsidRPr="00426B41">
              <w:rPr>
                <w:rFonts w:cs="Arial"/>
                <w:sz w:val="20"/>
                <w:szCs w:val="20"/>
              </w:rPr>
              <w:t xml:space="preserve"> and LNnT</w:t>
            </w:r>
            <w:r>
              <w:rPr>
                <w:rFonts w:cs="Arial"/>
                <w:sz w:val="20"/>
                <w:szCs w:val="20"/>
              </w:rPr>
              <w:t>.</w:t>
            </w:r>
          </w:p>
          <w:p w14:paraId="1AF93DD6" w14:textId="77777777" w:rsidR="003642EA" w:rsidRDefault="003642EA" w:rsidP="003642EA">
            <w:pPr>
              <w:pStyle w:val="ListParagraph"/>
              <w:widowControl/>
              <w:numPr>
                <w:ilvl w:val="0"/>
                <w:numId w:val="37"/>
              </w:numPr>
              <w:ind w:left="589" w:hanging="567"/>
              <w:rPr>
                <w:rFonts w:cs="Arial"/>
                <w:sz w:val="20"/>
                <w:szCs w:val="20"/>
              </w:rPr>
            </w:pPr>
            <w:r>
              <w:rPr>
                <w:rFonts w:cs="Arial"/>
                <w:sz w:val="20"/>
                <w:szCs w:val="20"/>
              </w:rPr>
              <w:t>GOS permissions were determined prior to introduction of the Regulation of Infant Formula Products Ministerial Policy Guideline.</w:t>
            </w:r>
          </w:p>
          <w:p w14:paraId="66C60525" w14:textId="77777777" w:rsidR="003642EA" w:rsidRPr="00426B41" w:rsidRDefault="003642EA" w:rsidP="003642EA">
            <w:pPr>
              <w:pStyle w:val="ListParagraph"/>
              <w:widowControl/>
              <w:numPr>
                <w:ilvl w:val="0"/>
                <w:numId w:val="37"/>
              </w:numPr>
              <w:ind w:left="589" w:hanging="567"/>
              <w:rPr>
                <w:rFonts w:cs="Arial"/>
                <w:sz w:val="20"/>
                <w:szCs w:val="20"/>
              </w:rPr>
            </w:pPr>
            <w:r>
              <w:rPr>
                <w:rFonts w:cs="Arial"/>
                <w:sz w:val="20"/>
                <w:szCs w:val="20"/>
              </w:rPr>
              <w:t>Extrapolation of human milk and breastfed infant health data to determine safety introduces some uncertainty which is not aligned with the specific policy principle that infant formula regulation should recognise the physiological vulnerability of infants.</w:t>
            </w:r>
          </w:p>
        </w:tc>
        <w:tc>
          <w:tcPr>
            <w:tcW w:w="844" w:type="pct"/>
            <w:shd w:val="clear" w:color="auto" w:fill="EAF1DD" w:themeFill="accent3" w:themeFillTint="33"/>
          </w:tcPr>
          <w:p w14:paraId="55C04471" w14:textId="77777777" w:rsidR="003642EA" w:rsidRPr="00084B50" w:rsidRDefault="003642EA" w:rsidP="003642EA">
            <w:pPr>
              <w:rPr>
                <w:rFonts w:cs="Arial"/>
                <w:sz w:val="20"/>
                <w:szCs w:val="20"/>
              </w:rPr>
            </w:pPr>
            <w:r w:rsidRPr="00084B50">
              <w:rPr>
                <w:rFonts w:cs="Arial"/>
                <w:sz w:val="20"/>
                <w:szCs w:val="20"/>
              </w:rPr>
              <w:t>SA Health</w:t>
            </w:r>
          </w:p>
          <w:p w14:paraId="410219E2" w14:textId="77777777" w:rsidR="00836844" w:rsidRPr="00084B50" w:rsidRDefault="00836844" w:rsidP="00836844">
            <w:pPr>
              <w:rPr>
                <w:rFonts w:cs="Arial"/>
                <w:sz w:val="20"/>
                <w:szCs w:val="20"/>
              </w:rPr>
            </w:pPr>
            <w:r w:rsidRPr="00084B50">
              <w:rPr>
                <w:rFonts w:cs="Arial"/>
                <w:sz w:val="20"/>
                <w:szCs w:val="20"/>
              </w:rPr>
              <w:t>DHHS &amp; DJPR Vic</w:t>
            </w:r>
          </w:p>
          <w:p w14:paraId="4C0E8163" w14:textId="51FEE8FC" w:rsidR="003642EA" w:rsidRPr="00084B50" w:rsidRDefault="003642EA" w:rsidP="003642EA">
            <w:pPr>
              <w:rPr>
                <w:rFonts w:cs="Arial"/>
                <w:sz w:val="20"/>
                <w:szCs w:val="20"/>
              </w:rPr>
            </w:pPr>
          </w:p>
        </w:tc>
        <w:tc>
          <w:tcPr>
            <w:tcW w:w="2420" w:type="pct"/>
            <w:shd w:val="clear" w:color="auto" w:fill="EAF1DD" w:themeFill="accent3" w:themeFillTint="33"/>
          </w:tcPr>
          <w:p w14:paraId="108880FD" w14:textId="67B75F56" w:rsidR="003642EA" w:rsidRPr="00601520" w:rsidRDefault="003642EA" w:rsidP="003642EA">
            <w:pPr>
              <w:pStyle w:val="Default"/>
              <w:rPr>
                <w:rFonts w:ascii="Arial" w:hAnsi="Arial" w:cs="Arial"/>
                <w:sz w:val="20"/>
                <w:szCs w:val="20"/>
              </w:rPr>
            </w:pPr>
            <w:r w:rsidRPr="00601520">
              <w:rPr>
                <w:rFonts w:ascii="Arial" w:hAnsi="Arial" w:cs="Arial"/>
                <w:sz w:val="20"/>
                <w:szCs w:val="20"/>
              </w:rPr>
              <w:t xml:space="preserve">FSANZ notes the paper by Plaza-Diaz et al (2018) does not raise concerns </w:t>
            </w:r>
            <w:r>
              <w:rPr>
                <w:rFonts w:ascii="Arial" w:hAnsi="Arial" w:cs="Arial"/>
                <w:sz w:val="20"/>
                <w:szCs w:val="20"/>
              </w:rPr>
              <w:t>as to</w:t>
            </w:r>
            <w:r w:rsidRPr="00601520">
              <w:rPr>
                <w:rFonts w:ascii="Arial" w:hAnsi="Arial" w:cs="Arial"/>
                <w:sz w:val="20"/>
                <w:szCs w:val="20"/>
              </w:rPr>
              <w:t xml:space="preserve"> the safety of </w:t>
            </w:r>
            <w:r w:rsidR="00B51870">
              <w:rPr>
                <w:rFonts w:ascii="Arial" w:hAnsi="Arial" w:cs="Arial"/>
                <w:sz w:val="20"/>
                <w:szCs w:val="20"/>
              </w:rPr>
              <w:t>2′</w:t>
            </w:r>
            <w:r w:rsidRPr="00601520">
              <w:rPr>
                <w:rFonts w:ascii="Arial" w:hAnsi="Arial" w:cs="Arial"/>
                <w:sz w:val="20"/>
                <w:szCs w:val="20"/>
              </w:rPr>
              <w:t xml:space="preserve">-FL and LNnT. The proposed higher level of </w:t>
            </w:r>
            <w:r w:rsidR="00B51870">
              <w:rPr>
                <w:rFonts w:ascii="Arial" w:hAnsi="Arial" w:cs="Arial"/>
                <w:sz w:val="20"/>
                <w:szCs w:val="20"/>
              </w:rPr>
              <w:t>2′</w:t>
            </w:r>
            <w:r w:rsidRPr="00601520">
              <w:rPr>
                <w:rFonts w:ascii="Arial" w:hAnsi="Arial" w:cs="Arial"/>
                <w:sz w:val="20"/>
                <w:szCs w:val="20"/>
              </w:rPr>
              <w:t>-FL, alone or in combination with LNnT, does not raise public health and safety concerns based on the following evidence</w:t>
            </w:r>
            <w:r>
              <w:rPr>
                <w:rFonts w:ascii="Arial" w:hAnsi="Arial" w:cs="Arial"/>
                <w:sz w:val="20"/>
                <w:szCs w:val="20"/>
              </w:rPr>
              <w:t xml:space="preserve"> as discussed in SD1</w:t>
            </w:r>
            <w:r w:rsidRPr="00601520">
              <w:rPr>
                <w:rFonts w:ascii="Arial" w:hAnsi="Arial" w:cs="Arial"/>
                <w:sz w:val="20"/>
                <w:szCs w:val="20"/>
              </w:rPr>
              <w:t>:</w:t>
            </w:r>
          </w:p>
          <w:p w14:paraId="5FC91C56" w14:textId="76AE088F" w:rsidR="003642EA" w:rsidRPr="00601520" w:rsidRDefault="00B51870" w:rsidP="003642EA">
            <w:pPr>
              <w:pStyle w:val="Default"/>
              <w:numPr>
                <w:ilvl w:val="0"/>
                <w:numId w:val="23"/>
              </w:numPr>
              <w:ind w:left="550" w:hanging="550"/>
              <w:rPr>
                <w:rFonts w:ascii="Arial" w:hAnsi="Arial" w:cs="Arial"/>
                <w:sz w:val="20"/>
                <w:szCs w:val="20"/>
              </w:rPr>
            </w:pPr>
            <w:r>
              <w:rPr>
                <w:rFonts w:ascii="Arial" w:hAnsi="Arial" w:cs="Arial"/>
                <w:sz w:val="20"/>
                <w:szCs w:val="20"/>
              </w:rPr>
              <w:t>2′</w:t>
            </w:r>
            <w:r w:rsidR="003642EA" w:rsidRPr="00601520">
              <w:rPr>
                <w:rFonts w:ascii="Arial" w:hAnsi="Arial" w:cs="Arial"/>
                <w:sz w:val="20"/>
                <w:szCs w:val="20"/>
              </w:rPr>
              <w:t>-FL</w:t>
            </w:r>
            <w:r w:rsidR="003642EA" w:rsidRPr="00601520">
              <w:rPr>
                <w:rFonts w:ascii="Arial" w:hAnsi="Arial" w:cs="Arial"/>
                <w:sz w:val="20"/>
                <w:szCs w:val="20"/>
                <w:vertAlign w:val="subscript"/>
              </w:rPr>
              <w:t>micro</w:t>
            </w:r>
            <w:r w:rsidR="003642EA" w:rsidRPr="00601520">
              <w:rPr>
                <w:rFonts w:ascii="Arial" w:hAnsi="Arial" w:cs="Arial"/>
                <w:sz w:val="20"/>
                <w:szCs w:val="20"/>
              </w:rPr>
              <w:t xml:space="preserve">  and LNnT</w:t>
            </w:r>
            <w:r w:rsidR="003642EA" w:rsidRPr="00601520">
              <w:rPr>
                <w:rFonts w:ascii="Arial" w:hAnsi="Arial" w:cs="Arial"/>
                <w:sz w:val="20"/>
                <w:szCs w:val="20"/>
                <w:vertAlign w:val="subscript"/>
              </w:rPr>
              <w:t>micro</w:t>
            </w:r>
            <w:r w:rsidR="003642EA" w:rsidRPr="00601520">
              <w:rPr>
                <w:rFonts w:ascii="Arial" w:hAnsi="Arial" w:cs="Arial"/>
                <w:sz w:val="20"/>
                <w:szCs w:val="20"/>
              </w:rPr>
              <w:t xml:space="preserve"> </w:t>
            </w:r>
            <w:r w:rsidR="005E63E6" w:rsidRPr="00601520">
              <w:rPr>
                <w:rFonts w:ascii="Arial" w:hAnsi="Arial" w:cs="Arial"/>
                <w:sz w:val="20"/>
                <w:szCs w:val="20"/>
              </w:rPr>
              <w:t xml:space="preserve">respectively </w:t>
            </w:r>
            <w:r w:rsidR="003642EA" w:rsidRPr="00601520">
              <w:rPr>
                <w:rFonts w:ascii="Arial" w:hAnsi="Arial" w:cs="Arial"/>
                <w:sz w:val="20"/>
                <w:szCs w:val="20"/>
              </w:rPr>
              <w:t xml:space="preserve">are structurally and chemically identical to </w:t>
            </w:r>
            <w:r>
              <w:rPr>
                <w:rFonts w:ascii="Arial" w:hAnsi="Arial" w:cs="Arial"/>
                <w:sz w:val="20"/>
                <w:szCs w:val="20"/>
              </w:rPr>
              <w:t>2′</w:t>
            </w:r>
            <w:r w:rsidR="003642EA" w:rsidRPr="00601520">
              <w:rPr>
                <w:rFonts w:ascii="Arial" w:hAnsi="Arial" w:cs="Arial"/>
                <w:sz w:val="20"/>
                <w:szCs w:val="20"/>
              </w:rPr>
              <w:t>-FL and LNnT present in human milk, and the proposed concentrations to be added to infant formula products are within the range of concentrations found in mature human milk. This provides a history of safe human use.</w:t>
            </w:r>
          </w:p>
          <w:p w14:paraId="4150F273" w14:textId="533424F9" w:rsidR="003642EA" w:rsidRPr="00601520" w:rsidRDefault="003642EA" w:rsidP="003642EA">
            <w:pPr>
              <w:pStyle w:val="Default"/>
              <w:numPr>
                <w:ilvl w:val="0"/>
                <w:numId w:val="23"/>
              </w:numPr>
              <w:ind w:left="550" w:hanging="550"/>
              <w:rPr>
                <w:rFonts w:ascii="Arial" w:hAnsi="Arial" w:cs="Arial"/>
                <w:sz w:val="20"/>
                <w:szCs w:val="20"/>
              </w:rPr>
            </w:pPr>
            <w:r w:rsidRPr="00601520">
              <w:rPr>
                <w:rFonts w:ascii="Arial" w:hAnsi="Arial" w:cs="Arial"/>
                <w:sz w:val="20"/>
                <w:szCs w:val="20"/>
              </w:rPr>
              <w:t xml:space="preserve">Intestinal absorption of </w:t>
            </w:r>
            <w:r w:rsidR="00B51870">
              <w:rPr>
                <w:rFonts w:ascii="Arial" w:hAnsi="Arial" w:cs="Arial"/>
                <w:sz w:val="20"/>
                <w:szCs w:val="20"/>
              </w:rPr>
              <w:t>2′</w:t>
            </w:r>
            <w:r w:rsidRPr="00601520">
              <w:rPr>
                <w:rFonts w:ascii="Arial" w:hAnsi="Arial" w:cs="Arial"/>
                <w:sz w:val="20"/>
                <w:szCs w:val="20"/>
              </w:rPr>
              <w:t>-FL and LNnT is limited and a large proportion of these substances passes to the large intestine, where they are fermented by the intestinal microbiota or excreted intact in the faeces.</w:t>
            </w:r>
          </w:p>
          <w:p w14:paraId="5971EC22" w14:textId="4C69A7C3" w:rsidR="003642EA" w:rsidRPr="00601520" w:rsidRDefault="003642EA" w:rsidP="003642EA">
            <w:pPr>
              <w:pStyle w:val="Default"/>
              <w:numPr>
                <w:ilvl w:val="0"/>
                <w:numId w:val="23"/>
              </w:numPr>
              <w:ind w:left="550" w:hanging="550"/>
              <w:rPr>
                <w:rFonts w:ascii="Arial" w:hAnsi="Arial" w:cs="Arial"/>
                <w:sz w:val="20"/>
                <w:szCs w:val="20"/>
              </w:rPr>
            </w:pPr>
            <w:r w:rsidRPr="00601520">
              <w:rPr>
                <w:rFonts w:ascii="Arial" w:hAnsi="Arial" w:cs="Arial"/>
                <w:sz w:val="20"/>
                <w:szCs w:val="20"/>
              </w:rPr>
              <w:t xml:space="preserve">No adverse effects were observed at high doses in subchronic studies with </w:t>
            </w:r>
            <w:r w:rsidR="00B51870">
              <w:rPr>
                <w:rFonts w:ascii="Arial" w:hAnsi="Arial" w:cs="Arial"/>
                <w:sz w:val="20"/>
                <w:szCs w:val="20"/>
              </w:rPr>
              <w:t>2′</w:t>
            </w:r>
            <w:r w:rsidRPr="00601520">
              <w:rPr>
                <w:rFonts w:ascii="Arial" w:hAnsi="Arial" w:cs="Arial"/>
                <w:sz w:val="20"/>
                <w:szCs w:val="20"/>
              </w:rPr>
              <w:t xml:space="preserve">-FL or LNnT in juvenile rats, or in studies with </w:t>
            </w:r>
            <w:r w:rsidR="00B51870">
              <w:rPr>
                <w:rFonts w:ascii="Arial" w:hAnsi="Arial" w:cs="Arial"/>
                <w:sz w:val="20"/>
                <w:szCs w:val="20"/>
              </w:rPr>
              <w:t>2′</w:t>
            </w:r>
            <w:r w:rsidR="002065DB">
              <w:rPr>
                <w:rFonts w:ascii="Arial" w:hAnsi="Arial" w:cs="Arial"/>
                <w:sz w:val="20"/>
                <w:szCs w:val="20"/>
              </w:rPr>
              <w:t>-FL in neonatal piglets.</w:t>
            </w:r>
          </w:p>
          <w:p w14:paraId="027CC3B3" w14:textId="6ADEC1C2" w:rsidR="003642EA" w:rsidRPr="00601520" w:rsidRDefault="003642EA" w:rsidP="003642EA">
            <w:pPr>
              <w:pStyle w:val="Default"/>
              <w:numPr>
                <w:ilvl w:val="0"/>
                <w:numId w:val="23"/>
              </w:numPr>
              <w:ind w:left="550" w:hanging="550"/>
              <w:rPr>
                <w:rFonts w:ascii="Arial" w:hAnsi="Arial" w:cs="Arial"/>
                <w:sz w:val="20"/>
                <w:szCs w:val="20"/>
              </w:rPr>
            </w:pPr>
            <w:r w:rsidRPr="00601520">
              <w:rPr>
                <w:rFonts w:ascii="Arial" w:hAnsi="Arial" w:cs="Arial"/>
                <w:sz w:val="20"/>
                <w:szCs w:val="20"/>
              </w:rPr>
              <w:t xml:space="preserve">Clinical studies with </w:t>
            </w:r>
            <w:r w:rsidR="00B51870">
              <w:rPr>
                <w:rFonts w:ascii="Arial" w:hAnsi="Arial" w:cs="Arial"/>
                <w:sz w:val="20"/>
                <w:szCs w:val="20"/>
              </w:rPr>
              <w:t>2′</w:t>
            </w:r>
            <w:r w:rsidRPr="00601520">
              <w:rPr>
                <w:rFonts w:ascii="Arial" w:hAnsi="Arial" w:cs="Arial"/>
                <w:sz w:val="20"/>
                <w:szCs w:val="20"/>
              </w:rPr>
              <w:t>-FL at concentrations up to 1.2 g/L, either alone or in combination with LNnT, GOS or scFOS,</w:t>
            </w:r>
            <w:r w:rsidR="002065DB">
              <w:rPr>
                <w:rFonts w:ascii="Arial" w:hAnsi="Arial" w:cs="Arial"/>
                <w:sz w:val="20"/>
                <w:szCs w:val="20"/>
              </w:rPr>
              <w:t xml:space="preserve"> also found no adverse effects.</w:t>
            </w:r>
          </w:p>
          <w:p w14:paraId="076C5A5C" w14:textId="37968AD9" w:rsidR="003642EA" w:rsidRDefault="003642EA" w:rsidP="003642EA">
            <w:pPr>
              <w:pStyle w:val="Default"/>
              <w:numPr>
                <w:ilvl w:val="0"/>
                <w:numId w:val="23"/>
              </w:numPr>
              <w:ind w:left="550" w:hanging="550"/>
              <w:rPr>
                <w:rFonts w:ascii="Arial" w:hAnsi="Arial" w:cs="Arial"/>
                <w:sz w:val="20"/>
                <w:szCs w:val="20"/>
              </w:rPr>
            </w:pPr>
            <w:r w:rsidRPr="00601520">
              <w:rPr>
                <w:rFonts w:ascii="Arial" w:hAnsi="Arial" w:cs="Arial"/>
                <w:sz w:val="20"/>
                <w:szCs w:val="20"/>
              </w:rPr>
              <w:t xml:space="preserve">Taken together, the evidence on chemical identity and concentration range in human milk, limited absorption and lack of effects at high doses in suitable animal models of an appropriate age and in infants is sufficient to conclude with reasonable certainty that </w:t>
            </w:r>
            <w:r w:rsidR="00B51870">
              <w:rPr>
                <w:rFonts w:ascii="Arial" w:hAnsi="Arial" w:cs="Arial"/>
                <w:sz w:val="20"/>
                <w:szCs w:val="20"/>
              </w:rPr>
              <w:t>2′</w:t>
            </w:r>
            <w:r w:rsidRPr="00601520">
              <w:rPr>
                <w:rFonts w:ascii="Arial" w:hAnsi="Arial" w:cs="Arial"/>
                <w:sz w:val="20"/>
                <w:szCs w:val="20"/>
              </w:rPr>
              <w:t xml:space="preserve">-FL or LNnT </w:t>
            </w:r>
            <w:r w:rsidR="002065DB">
              <w:rPr>
                <w:rFonts w:ascii="Arial" w:hAnsi="Arial" w:cs="Arial"/>
                <w:sz w:val="20"/>
                <w:szCs w:val="20"/>
              </w:rPr>
              <w:t>will not cause harm in infants.</w:t>
            </w:r>
          </w:p>
          <w:p w14:paraId="40F56FB3" w14:textId="77777777" w:rsidR="00833D36" w:rsidRPr="00601520" w:rsidRDefault="00833D36" w:rsidP="008A6993">
            <w:pPr>
              <w:pStyle w:val="Default"/>
              <w:ind w:left="550"/>
              <w:rPr>
                <w:rFonts w:ascii="Arial" w:hAnsi="Arial" w:cs="Arial"/>
                <w:sz w:val="20"/>
                <w:szCs w:val="20"/>
              </w:rPr>
            </w:pPr>
          </w:p>
          <w:p w14:paraId="57B677F1" w14:textId="45208BB6" w:rsidR="00833D36" w:rsidRDefault="003642EA" w:rsidP="003642EA">
            <w:pPr>
              <w:pStyle w:val="Default"/>
              <w:rPr>
                <w:rFonts w:ascii="Arial" w:hAnsi="Arial" w:cs="Arial"/>
                <w:sz w:val="20"/>
                <w:szCs w:val="20"/>
              </w:rPr>
            </w:pPr>
            <w:r>
              <w:rPr>
                <w:rFonts w:ascii="Arial" w:hAnsi="Arial" w:cs="Arial"/>
                <w:sz w:val="20"/>
                <w:szCs w:val="20"/>
              </w:rPr>
              <w:t>The policy g</w:t>
            </w:r>
            <w:r w:rsidRPr="00601520">
              <w:rPr>
                <w:rFonts w:ascii="Arial" w:hAnsi="Arial" w:cs="Arial"/>
                <w:sz w:val="20"/>
                <w:szCs w:val="20"/>
              </w:rPr>
              <w:t xml:space="preserve">uideline for infant formula products </w:t>
            </w:r>
            <w:r>
              <w:rPr>
                <w:rFonts w:ascii="Arial" w:hAnsi="Arial" w:cs="Arial"/>
                <w:sz w:val="20"/>
                <w:szCs w:val="20"/>
              </w:rPr>
              <w:t>refers to breastmilk as the</w:t>
            </w:r>
            <w:r w:rsidRPr="00601520">
              <w:rPr>
                <w:rFonts w:ascii="Arial" w:hAnsi="Arial" w:cs="Arial"/>
                <w:sz w:val="20"/>
                <w:szCs w:val="20"/>
              </w:rPr>
              <w:t xml:space="preserve"> primary reference for determining the composition </w:t>
            </w:r>
            <w:r>
              <w:rPr>
                <w:rFonts w:ascii="Arial" w:hAnsi="Arial" w:cs="Arial"/>
                <w:sz w:val="20"/>
                <w:szCs w:val="20"/>
              </w:rPr>
              <w:t>of infant formula and follow-on formula;</w:t>
            </w:r>
            <w:r w:rsidRPr="00601520">
              <w:rPr>
                <w:rFonts w:ascii="Arial" w:hAnsi="Arial" w:cs="Arial"/>
                <w:sz w:val="20"/>
                <w:szCs w:val="20"/>
              </w:rPr>
              <w:t xml:space="preserve"> and </w:t>
            </w:r>
            <w:r>
              <w:rPr>
                <w:rFonts w:ascii="Arial" w:hAnsi="Arial" w:cs="Arial"/>
                <w:sz w:val="20"/>
                <w:szCs w:val="20"/>
              </w:rPr>
              <w:t>to</w:t>
            </w:r>
            <w:r w:rsidRPr="00601520">
              <w:rPr>
                <w:rFonts w:ascii="Arial" w:hAnsi="Arial" w:cs="Arial"/>
                <w:sz w:val="20"/>
                <w:szCs w:val="20"/>
              </w:rPr>
              <w:t xml:space="preserve"> take account of levels of </w:t>
            </w:r>
            <w:r>
              <w:rPr>
                <w:rFonts w:ascii="Arial" w:hAnsi="Arial" w:cs="Arial"/>
                <w:sz w:val="20"/>
                <w:szCs w:val="20"/>
              </w:rPr>
              <w:t>comparable substances in breast</w:t>
            </w:r>
            <w:r w:rsidRPr="00601520">
              <w:rPr>
                <w:rFonts w:ascii="Arial" w:hAnsi="Arial" w:cs="Arial"/>
                <w:sz w:val="20"/>
                <w:szCs w:val="20"/>
              </w:rPr>
              <w:t>milk (specific policy principles h and j</w:t>
            </w:r>
            <w:r>
              <w:rPr>
                <w:rFonts w:ascii="Arial" w:hAnsi="Arial" w:cs="Arial"/>
                <w:sz w:val="20"/>
                <w:szCs w:val="20"/>
              </w:rPr>
              <w:t xml:space="preserve">). As discussed in </w:t>
            </w:r>
            <w:r w:rsidRPr="00D25027">
              <w:rPr>
                <w:rFonts w:ascii="Arial" w:hAnsi="Arial" w:cs="Arial"/>
                <w:sz w:val="20"/>
                <w:szCs w:val="20"/>
              </w:rPr>
              <w:t xml:space="preserve">section </w:t>
            </w:r>
            <w:r w:rsidR="00EC030F" w:rsidRPr="00D25027">
              <w:rPr>
                <w:rFonts w:ascii="Arial" w:hAnsi="Arial" w:cs="Arial"/>
                <w:sz w:val="20"/>
                <w:szCs w:val="20"/>
              </w:rPr>
              <w:t>2.</w:t>
            </w:r>
            <w:r w:rsidR="004D6D62" w:rsidRPr="00D25027">
              <w:rPr>
                <w:rFonts w:ascii="Arial" w:hAnsi="Arial" w:cs="Arial"/>
                <w:sz w:val="20"/>
                <w:szCs w:val="20"/>
              </w:rPr>
              <w:t>3</w:t>
            </w:r>
            <w:r w:rsidR="00EC030F" w:rsidRPr="00D25027">
              <w:rPr>
                <w:rFonts w:ascii="Arial" w:hAnsi="Arial" w:cs="Arial"/>
                <w:sz w:val="20"/>
                <w:szCs w:val="20"/>
              </w:rPr>
              <w:t>.</w:t>
            </w:r>
            <w:r w:rsidR="004D6D62" w:rsidRPr="00D25027">
              <w:rPr>
                <w:rFonts w:ascii="Arial" w:hAnsi="Arial" w:cs="Arial"/>
                <w:sz w:val="20"/>
                <w:szCs w:val="20"/>
              </w:rPr>
              <w:t>3</w:t>
            </w:r>
            <w:r w:rsidRPr="00D25027">
              <w:rPr>
                <w:rFonts w:ascii="Arial" w:hAnsi="Arial" w:cs="Arial"/>
                <w:sz w:val="20"/>
                <w:szCs w:val="20"/>
              </w:rPr>
              <w:t xml:space="preserve">, the proposed higher level of </w:t>
            </w:r>
            <w:r w:rsidR="00B51870">
              <w:rPr>
                <w:rFonts w:ascii="Arial" w:hAnsi="Arial" w:cs="Arial"/>
                <w:sz w:val="20"/>
                <w:szCs w:val="20"/>
              </w:rPr>
              <w:t>2′</w:t>
            </w:r>
            <w:r w:rsidRPr="00D25027">
              <w:rPr>
                <w:rFonts w:ascii="Arial" w:hAnsi="Arial" w:cs="Arial"/>
                <w:sz w:val="20"/>
                <w:szCs w:val="20"/>
              </w:rPr>
              <w:t>-FL provides dietary intakes sim</w:t>
            </w:r>
            <w:r w:rsidRPr="00601520">
              <w:rPr>
                <w:rFonts w:ascii="Arial" w:hAnsi="Arial" w:cs="Arial"/>
                <w:sz w:val="20"/>
                <w:szCs w:val="20"/>
              </w:rPr>
              <w:t xml:space="preserve">ilar to </w:t>
            </w:r>
            <w:r w:rsidR="004D7BFC">
              <w:rPr>
                <w:rFonts w:ascii="Arial" w:hAnsi="Arial" w:cs="Arial"/>
                <w:sz w:val="20"/>
                <w:szCs w:val="20"/>
              </w:rPr>
              <w:t xml:space="preserve">those of </w:t>
            </w:r>
            <w:r w:rsidRPr="00601520">
              <w:rPr>
                <w:rFonts w:ascii="Arial" w:hAnsi="Arial" w:cs="Arial"/>
                <w:sz w:val="20"/>
                <w:szCs w:val="20"/>
              </w:rPr>
              <w:t>3 and 9 month old breastfed infants.</w:t>
            </w:r>
          </w:p>
          <w:p w14:paraId="0C9CADA5" w14:textId="77777777" w:rsidR="00072A22" w:rsidRPr="00601520" w:rsidRDefault="00072A22" w:rsidP="003642EA">
            <w:pPr>
              <w:pStyle w:val="Default"/>
              <w:rPr>
                <w:rFonts w:ascii="Arial" w:hAnsi="Arial" w:cs="Arial"/>
                <w:sz w:val="20"/>
                <w:szCs w:val="20"/>
              </w:rPr>
            </w:pPr>
          </w:p>
          <w:p w14:paraId="3A0083E0" w14:textId="5921FBA1" w:rsidR="003642EA" w:rsidRDefault="003642EA" w:rsidP="003642EA">
            <w:pPr>
              <w:pStyle w:val="Default"/>
              <w:rPr>
                <w:rFonts w:ascii="Arial" w:hAnsi="Arial" w:cs="Arial"/>
                <w:color w:val="auto"/>
                <w:sz w:val="20"/>
                <w:szCs w:val="20"/>
              </w:rPr>
            </w:pPr>
            <w:r w:rsidRPr="00601520">
              <w:rPr>
                <w:rFonts w:ascii="Arial" w:hAnsi="Arial" w:cs="Arial"/>
                <w:sz w:val="20"/>
                <w:szCs w:val="20"/>
              </w:rPr>
              <w:t xml:space="preserve">Although </w:t>
            </w:r>
            <w:r>
              <w:rPr>
                <w:rFonts w:ascii="Arial" w:hAnsi="Arial" w:cs="Arial"/>
                <w:sz w:val="20"/>
                <w:szCs w:val="20"/>
              </w:rPr>
              <w:t>the relevant policy guidelines</w:t>
            </w:r>
            <w:r w:rsidRPr="00601520">
              <w:rPr>
                <w:rFonts w:ascii="Arial" w:hAnsi="Arial" w:cs="Arial"/>
                <w:sz w:val="20"/>
                <w:szCs w:val="20"/>
              </w:rPr>
              <w:t xml:space="preserve"> did not apply when GOS was permitted in the Code, these oligosaccharides are currently </w:t>
            </w:r>
            <w:r w:rsidRPr="00601520">
              <w:rPr>
                <w:rFonts w:ascii="Arial" w:hAnsi="Arial" w:cs="Arial"/>
                <w:color w:val="auto"/>
                <w:sz w:val="20"/>
                <w:szCs w:val="20"/>
              </w:rPr>
              <w:t>permitted for safe use in infant formula products and FSFYC at levels</w:t>
            </w:r>
            <w:r>
              <w:rPr>
                <w:rFonts w:ascii="Arial" w:hAnsi="Arial" w:cs="Arial"/>
                <w:color w:val="auto"/>
                <w:sz w:val="20"/>
                <w:szCs w:val="20"/>
              </w:rPr>
              <w:t xml:space="preserve"> several times higher than those </w:t>
            </w:r>
            <w:r w:rsidRPr="00601520">
              <w:rPr>
                <w:rFonts w:ascii="Arial" w:hAnsi="Arial" w:cs="Arial"/>
                <w:color w:val="auto"/>
                <w:sz w:val="20"/>
                <w:szCs w:val="20"/>
              </w:rPr>
              <w:t>proposed</w:t>
            </w:r>
            <w:r w:rsidR="00036A3D">
              <w:rPr>
                <w:rFonts w:ascii="Arial" w:hAnsi="Arial" w:cs="Arial"/>
                <w:color w:val="auto"/>
                <w:sz w:val="20"/>
                <w:szCs w:val="20"/>
              </w:rPr>
              <w:t xml:space="preserve"> (</w:t>
            </w:r>
            <w:r w:rsidR="00C8052F">
              <w:rPr>
                <w:rFonts w:ascii="Arial" w:hAnsi="Arial" w:cs="Arial"/>
                <w:color w:val="auto"/>
                <w:sz w:val="20"/>
                <w:szCs w:val="20"/>
              </w:rPr>
              <w:t>see</w:t>
            </w:r>
            <w:r w:rsidR="00EC030F">
              <w:rPr>
                <w:rFonts w:ascii="Arial" w:hAnsi="Arial" w:cs="Arial"/>
                <w:color w:val="auto"/>
                <w:sz w:val="20"/>
                <w:szCs w:val="20"/>
              </w:rPr>
              <w:t xml:space="preserve"> section</w:t>
            </w:r>
            <w:r w:rsidR="00036A3D">
              <w:rPr>
                <w:rFonts w:ascii="Arial" w:hAnsi="Arial" w:cs="Arial"/>
                <w:color w:val="auto"/>
                <w:sz w:val="20"/>
                <w:szCs w:val="20"/>
              </w:rPr>
              <w:t xml:space="preserve"> </w:t>
            </w:r>
            <w:r w:rsidR="004D6D62">
              <w:rPr>
                <w:rFonts w:ascii="Arial" w:hAnsi="Arial" w:cs="Arial"/>
                <w:color w:val="auto"/>
                <w:sz w:val="20"/>
                <w:szCs w:val="20"/>
              </w:rPr>
              <w:t>2.3.3</w:t>
            </w:r>
            <w:r w:rsidR="00036A3D">
              <w:rPr>
                <w:rFonts w:ascii="Arial" w:hAnsi="Arial" w:cs="Arial"/>
                <w:color w:val="auto"/>
                <w:sz w:val="20"/>
                <w:szCs w:val="20"/>
              </w:rPr>
              <w:t>).</w:t>
            </w:r>
          </w:p>
          <w:p w14:paraId="07BF46EE" w14:textId="77777777" w:rsidR="00072A22" w:rsidRDefault="00072A22" w:rsidP="003642EA">
            <w:pPr>
              <w:pStyle w:val="Default"/>
              <w:rPr>
                <w:rFonts w:ascii="Arial" w:hAnsi="Arial" w:cs="Arial"/>
                <w:color w:val="auto"/>
                <w:sz w:val="20"/>
                <w:szCs w:val="20"/>
              </w:rPr>
            </w:pPr>
          </w:p>
          <w:p w14:paraId="5753969D" w14:textId="31CD6E77" w:rsidR="003642EA" w:rsidRPr="00735E45" w:rsidRDefault="003642EA" w:rsidP="00357A3E">
            <w:pPr>
              <w:rPr>
                <w:sz w:val="20"/>
                <w:szCs w:val="20"/>
              </w:rPr>
            </w:pPr>
            <w:r w:rsidRPr="00601520">
              <w:rPr>
                <w:rFonts w:cs="Arial"/>
                <w:sz w:val="20"/>
                <w:szCs w:val="20"/>
              </w:rPr>
              <w:t>The pro</w:t>
            </w:r>
            <w:r>
              <w:rPr>
                <w:rFonts w:cs="Arial"/>
                <w:sz w:val="20"/>
                <w:szCs w:val="20"/>
              </w:rPr>
              <w:t xml:space="preserve">posed higher maximum level also </w:t>
            </w:r>
            <w:r w:rsidRPr="00601520">
              <w:rPr>
                <w:rFonts w:cs="Arial"/>
                <w:sz w:val="20"/>
                <w:szCs w:val="20"/>
              </w:rPr>
              <w:t xml:space="preserve">provides </w:t>
            </w:r>
            <w:r>
              <w:rPr>
                <w:rFonts w:cs="Arial"/>
                <w:sz w:val="20"/>
                <w:szCs w:val="20"/>
              </w:rPr>
              <w:t xml:space="preserve">for </w:t>
            </w:r>
            <w:r w:rsidRPr="00601520">
              <w:rPr>
                <w:rFonts w:cs="Arial"/>
                <w:sz w:val="20"/>
                <w:szCs w:val="20"/>
              </w:rPr>
              <w:t xml:space="preserve">a more </w:t>
            </w:r>
            <w:r w:rsidR="00357A3E">
              <w:rPr>
                <w:rFonts w:cs="Arial"/>
                <w:sz w:val="20"/>
                <w:szCs w:val="20"/>
              </w:rPr>
              <w:t>efficient and internationally competi</w:t>
            </w:r>
            <w:r w:rsidR="003C5C0F">
              <w:rPr>
                <w:rFonts w:cs="Arial"/>
                <w:sz w:val="20"/>
                <w:szCs w:val="20"/>
              </w:rPr>
              <w:t>ti</w:t>
            </w:r>
            <w:r w:rsidR="00357A3E">
              <w:rPr>
                <w:rFonts w:cs="Arial"/>
                <w:sz w:val="20"/>
                <w:szCs w:val="20"/>
              </w:rPr>
              <w:t>ve food industry</w:t>
            </w:r>
            <w:r>
              <w:rPr>
                <w:rFonts w:cs="Arial"/>
                <w:sz w:val="20"/>
                <w:szCs w:val="20"/>
              </w:rPr>
              <w:t>, noting h</w:t>
            </w:r>
            <w:r w:rsidRPr="00601520">
              <w:rPr>
                <w:rFonts w:cs="Arial"/>
                <w:sz w:val="20"/>
                <w:szCs w:val="20"/>
              </w:rPr>
              <w:t xml:space="preserve">igher levels of </w:t>
            </w:r>
            <w:r w:rsidR="00B51870">
              <w:rPr>
                <w:rFonts w:cs="Arial"/>
                <w:sz w:val="20"/>
                <w:szCs w:val="20"/>
              </w:rPr>
              <w:t>2′</w:t>
            </w:r>
            <w:r w:rsidRPr="00601520">
              <w:rPr>
                <w:rFonts w:cs="Arial"/>
                <w:sz w:val="20"/>
                <w:szCs w:val="20"/>
              </w:rPr>
              <w:t>-FL, up to that proposed, are permitt</w:t>
            </w:r>
            <w:r>
              <w:rPr>
                <w:rFonts w:cs="Arial"/>
                <w:sz w:val="20"/>
                <w:szCs w:val="20"/>
              </w:rPr>
              <w:t>ed for use internationally (e.g.</w:t>
            </w:r>
            <w:r w:rsidR="00357A3E">
              <w:rPr>
                <w:rFonts w:cs="Arial"/>
                <w:sz w:val="20"/>
                <w:szCs w:val="20"/>
              </w:rPr>
              <w:t xml:space="preserve"> in the US) (see section 2.3.3)</w:t>
            </w:r>
            <w:r w:rsidR="000622C9">
              <w:rPr>
                <w:rFonts w:cs="Arial"/>
                <w:sz w:val="20"/>
                <w:szCs w:val="20"/>
              </w:rPr>
              <w:t>.</w:t>
            </w:r>
          </w:p>
        </w:tc>
      </w:tr>
      <w:tr w:rsidR="004D7999" w:rsidRPr="00426B41" w14:paraId="5EACA2FE" w14:textId="77777777" w:rsidTr="004D7999">
        <w:tc>
          <w:tcPr>
            <w:tcW w:w="1736" w:type="pct"/>
          </w:tcPr>
          <w:p w14:paraId="3156C115" w14:textId="458A0FF4" w:rsidR="004D7999" w:rsidRPr="00084B50" w:rsidRDefault="00084B50" w:rsidP="005F2E79">
            <w:pPr>
              <w:rPr>
                <w:rFonts w:cs="Arial"/>
                <w:b/>
                <w:sz w:val="20"/>
                <w:szCs w:val="20"/>
              </w:rPr>
            </w:pPr>
            <w:r w:rsidRPr="003642EA">
              <w:rPr>
                <w:rFonts w:cs="Arial"/>
                <w:b/>
                <w:sz w:val="20"/>
                <w:szCs w:val="20"/>
              </w:rPr>
              <w:t>Labelling</w:t>
            </w:r>
            <w:r w:rsidR="003642EA" w:rsidRPr="003642EA">
              <w:rPr>
                <w:rFonts w:cs="Arial"/>
                <w:b/>
                <w:sz w:val="20"/>
                <w:szCs w:val="20"/>
              </w:rPr>
              <w:t xml:space="preserve"> issues</w:t>
            </w:r>
          </w:p>
        </w:tc>
        <w:tc>
          <w:tcPr>
            <w:tcW w:w="844" w:type="pct"/>
          </w:tcPr>
          <w:p w14:paraId="683A0829" w14:textId="77777777" w:rsidR="004D7999" w:rsidRPr="00084B50" w:rsidRDefault="004D7999" w:rsidP="005F2E79">
            <w:pPr>
              <w:rPr>
                <w:rFonts w:cs="Arial"/>
                <w:sz w:val="20"/>
                <w:szCs w:val="20"/>
              </w:rPr>
            </w:pPr>
          </w:p>
        </w:tc>
        <w:tc>
          <w:tcPr>
            <w:tcW w:w="2420" w:type="pct"/>
          </w:tcPr>
          <w:p w14:paraId="6B7766B8" w14:textId="77777777" w:rsidR="004D7999" w:rsidRPr="00426B41" w:rsidRDefault="004D7999" w:rsidP="005F2E79">
            <w:pPr>
              <w:rPr>
                <w:rFonts w:cs="Arial"/>
                <w:sz w:val="20"/>
                <w:szCs w:val="20"/>
              </w:rPr>
            </w:pPr>
          </w:p>
        </w:tc>
      </w:tr>
      <w:tr w:rsidR="004D7999" w:rsidRPr="00426B41" w14:paraId="31464957" w14:textId="77777777" w:rsidTr="00865BA6">
        <w:tc>
          <w:tcPr>
            <w:tcW w:w="1736" w:type="pct"/>
            <w:shd w:val="clear" w:color="auto" w:fill="EAF1DD" w:themeFill="accent3" w:themeFillTint="33"/>
          </w:tcPr>
          <w:p w14:paraId="1FF5D7BF" w14:textId="2B317145" w:rsidR="004D7999" w:rsidRPr="00426B41" w:rsidRDefault="004D7999" w:rsidP="005F2E79">
            <w:pPr>
              <w:rPr>
                <w:rFonts w:cs="Arial"/>
                <w:sz w:val="20"/>
                <w:szCs w:val="20"/>
              </w:rPr>
            </w:pPr>
            <w:r>
              <w:rPr>
                <w:rFonts w:cs="Arial"/>
                <w:sz w:val="20"/>
                <w:szCs w:val="20"/>
              </w:rPr>
              <w:t xml:space="preserve">To retain consistency with section </w:t>
            </w:r>
            <w:r w:rsidRPr="00426B41">
              <w:rPr>
                <w:rFonts w:cs="Arial"/>
                <w:sz w:val="20"/>
                <w:szCs w:val="20"/>
              </w:rPr>
              <w:t>2.9.1</w:t>
            </w:r>
            <w:r>
              <w:rPr>
                <w:rFonts w:cs="Arial"/>
                <w:szCs w:val="20"/>
              </w:rPr>
              <w:t>—</w:t>
            </w:r>
            <w:r w:rsidRPr="00426B41">
              <w:rPr>
                <w:rFonts w:cs="Arial"/>
                <w:sz w:val="20"/>
                <w:szCs w:val="20"/>
              </w:rPr>
              <w:t>21</w:t>
            </w:r>
            <w:r>
              <w:rPr>
                <w:rFonts w:cs="Arial"/>
                <w:sz w:val="20"/>
                <w:szCs w:val="20"/>
              </w:rPr>
              <w:t>(1)(a)(iv), r</w:t>
            </w:r>
            <w:r w:rsidRPr="00426B41">
              <w:rPr>
                <w:rFonts w:cs="Arial"/>
                <w:sz w:val="20"/>
                <w:szCs w:val="20"/>
              </w:rPr>
              <w:t xml:space="preserve">ecommends </w:t>
            </w:r>
            <w:r w:rsidR="00B51870">
              <w:rPr>
                <w:rFonts w:cs="Arial"/>
                <w:sz w:val="20"/>
                <w:szCs w:val="20"/>
              </w:rPr>
              <w:t>2′</w:t>
            </w:r>
            <w:r w:rsidRPr="00426B41">
              <w:rPr>
                <w:rFonts w:cs="Arial"/>
                <w:sz w:val="20"/>
                <w:szCs w:val="20"/>
              </w:rPr>
              <w:t>-FL and LNnT be subject to same nutrition declaration requirements as ITF and GOS</w:t>
            </w:r>
            <w:r>
              <w:rPr>
                <w:rFonts w:cs="Arial"/>
                <w:sz w:val="20"/>
                <w:szCs w:val="20"/>
              </w:rPr>
              <w:t>.</w:t>
            </w:r>
          </w:p>
        </w:tc>
        <w:tc>
          <w:tcPr>
            <w:tcW w:w="844" w:type="pct"/>
            <w:shd w:val="clear" w:color="auto" w:fill="EAF1DD" w:themeFill="accent3" w:themeFillTint="33"/>
          </w:tcPr>
          <w:p w14:paraId="35627C53" w14:textId="6FB793E5"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tc>
        <w:tc>
          <w:tcPr>
            <w:tcW w:w="2420" w:type="pct"/>
            <w:shd w:val="clear" w:color="auto" w:fill="EAF1DD" w:themeFill="accent3" w:themeFillTint="33"/>
          </w:tcPr>
          <w:p w14:paraId="2C9D800D" w14:textId="0EC3F877" w:rsidR="004D7999" w:rsidRPr="00DC75B7" w:rsidRDefault="00CA67F0" w:rsidP="005E63E6">
            <w:pPr>
              <w:rPr>
                <w:rFonts w:cs="Arial"/>
                <w:sz w:val="20"/>
                <w:szCs w:val="20"/>
              </w:rPr>
            </w:pPr>
            <w:r w:rsidRPr="00DC75B7">
              <w:rPr>
                <w:rFonts w:cs="Arial"/>
                <w:sz w:val="20"/>
                <w:szCs w:val="20"/>
              </w:rPr>
              <w:t xml:space="preserve">The </w:t>
            </w:r>
            <w:r w:rsidR="004D7999" w:rsidRPr="00DC75B7">
              <w:rPr>
                <w:rFonts w:cs="Arial"/>
                <w:sz w:val="20"/>
                <w:szCs w:val="20"/>
              </w:rPr>
              <w:t xml:space="preserve">addition of </w:t>
            </w:r>
            <w:r w:rsidR="00B51870">
              <w:rPr>
                <w:rFonts w:cs="Arial"/>
                <w:sz w:val="20"/>
                <w:szCs w:val="20"/>
              </w:rPr>
              <w:t>2′</w:t>
            </w:r>
            <w:r w:rsidR="004D7999" w:rsidRPr="00DC75B7">
              <w:rPr>
                <w:rFonts w:cs="Arial"/>
                <w:sz w:val="20"/>
                <w:szCs w:val="20"/>
              </w:rPr>
              <w:t xml:space="preserve">-FL and LNnT would trigger a mandatory declaration in the nutrition information statement in accordance with section </w:t>
            </w:r>
            <w:r w:rsidR="004D7999" w:rsidRPr="00DC75B7">
              <w:rPr>
                <w:sz w:val="20"/>
                <w:szCs w:val="20"/>
              </w:rPr>
              <w:t>2.9.1</w:t>
            </w:r>
            <w:r w:rsidR="004D7999" w:rsidRPr="00DC75B7">
              <w:rPr>
                <w:rFonts w:cs="Arial"/>
                <w:sz w:val="20"/>
                <w:szCs w:val="20"/>
              </w:rPr>
              <w:t>—</w:t>
            </w:r>
            <w:r w:rsidR="004D7999" w:rsidRPr="00DC75B7">
              <w:rPr>
                <w:sz w:val="20"/>
                <w:szCs w:val="20"/>
              </w:rPr>
              <w:t xml:space="preserve"> 21(1)(iii)</w:t>
            </w:r>
            <w:r w:rsidR="00CA71D2" w:rsidRPr="00DC75B7">
              <w:rPr>
                <w:sz w:val="20"/>
                <w:szCs w:val="20"/>
              </w:rPr>
              <w:t xml:space="preserve"> (see section </w:t>
            </w:r>
            <w:r w:rsidR="00937F8F" w:rsidRPr="00DC75B7">
              <w:rPr>
                <w:sz w:val="20"/>
                <w:szCs w:val="20"/>
              </w:rPr>
              <w:t>2.3.5.3</w:t>
            </w:r>
            <w:r w:rsidR="00CA71D2" w:rsidRPr="00DC75B7">
              <w:rPr>
                <w:sz w:val="20"/>
                <w:szCs w:val="20"/>
              </w:rPr>
              <w:t>).</w:t>
            </w:r>
            <w:r w:rsidR="004D7999" w:rsidRPr="00DC75B7" w:rsidDel="00CA71D2">
              <w:rPr>
                <w:rFonts w:cs="Arial"/>
                <w:sz w:val="20"/>
                <w:szCs w:val="20"/>
              </w:rPr>
              <w:t xml:space="preserve"> </w:t>
            </w:r>
            <w:r w:rsidR="00CA71D2" w:rsidRPr="00DC75B7">
              <w:rPr>
                <w:rFonts w:cs="Arial"/>
                <w:sz w:val="20"/>
                <w:szCs w:val="20"/>
              </w:rPr>
              <w:t xml:space="preserve">This declaration is </w:t>
            </w:r>
            <w:r w:rsidR="00036A3D" w:rsidRPr="00DC75B7">
              <w:rPr>
                <w:rFonts w:cs="Arial"/>
                <w:sz w:val="20"/>
                <w:szCs w:val="20"/>
              </w:rPr>
              <w:t>similar to</w:t>
            </w:r>
            <w:r w:rsidR="004D7999" w:rsidRPr="00DC75B7">
              <w:rPr>
                <w:rFonts w:cs="Arial"/>
                <w:sz w:val="20"/>
                <w:szCs w:val="20"/>
              </w:rPr>
              <w:t xml:space="preserve"> the requirements for ITF and GOS</w:t>
            </w:r>
            <w:r w:rsidR="00CA71D2" w:rsidRPr="00DC75B7">
              <w:rPr>
                <w:rFonts w:cs="Arial"/>
                <w:sz w:val="20"/>
                <w:szCs w:val="20"/>
              </w:rPr>
              <w:t xml:space="preserve"> in section </w:t>
            </w:r>
            <w:r w:rsidR="00937F8F" w:rsidRPr="00DC75B7">
              <w:rPr>
                <w:rFonts w:cs="Arial"/>
                <w:sz w:val="20"/>
                <w:szCs w:val="20"/>
              </w:rPr>
              <w:t xml:space="preserve">2.9.1—21(1)(a)(iv) </w:t>
            </w:r>
            <w:r w:rsidR="00CA71D2" w:rsidRPr="00DC75B7">
              <w:rPr>
                <w:rFonts w:cs="Arial"/>
                <w:sz w:val="20"/>
                <w:szCs w:val="20"/>
              </w:rPr>
              <w:t xml:space="preserve">- </w:t>
            </w:r>
            <w:r w:rsidR="004D7999" w:rsidRPr="00DC75B7">
              <w:rPr>
                <w:rFonts w:cs="Arial"/>
                <w:sz w:val="20"/>
                <w:szCs w:val="20"/>
              </w:rPr>
              <w:t>i.e. expressed in weight/100 m</w:t>
            </w:r>
            <w:r w:rsidR="005E63E6" w:rsidRPr="00DC75B7">
              <w:rPr>
                <w:rFonts w:cs="Arial"/>
                <w:sz w:val="20"/>
                <w:szCs w:val="20"/>
              </w:rPr>
              <w:t>L</w:t>
            </w:r>
            <w:r w:rsidR="004D7999" w:rsidRPr="00DC75B7">
              <w:rPr>
                <w:rFonts w:cs="Arial"/>
                <w:sz w:val="20"/>
                <w:szCs w:val="20"/>
              </w:rPr>
              <w:t>.</w:t>
            </w:r>
          </w:p>
        </w:tc>
      </w:tr>
      <w:tr w:rsidR="004D7999" w:rsidRPr="00426B41" w14:paraId="0843EEA1" w14:textId="77777777" w:rsidTr="004D7999">
        <w:tc>
          <w:tcPr>
            <w:tcW w:w="1736" w:type="pct"/>
            <w:shd w:val="clear" w:color="auto" w:fill="auto"/>
          </w:tcPr>
          <w:p w14:paraId="7078678B" w14:textId="77777777" w:rsidR="004D7999" w:rsidRPr="00426B41" w:rsidRDefault="004D7999" w:rsidP="005F2E79">
            <w:pPr>
              <w:rPr>
                <w:rFonts w:cs="Arial"/>
                <w:sz w:val="20"/>
                <w:szCs w:val="20"/>
              </w:rPr>
            </w:pPr>
            <w:r w:rsidRPr="00426B41">
              <w:rPr>
                <w:rFonts w:cs="Arial"/>
                <w:sz w:val="20"/>
                <w:szCs w:val="20"/>
              </w:rPr>
              <w:t xml:space="preserve">Further labelling restrictions are required to prevent reference to </w:t>
            </w:r>
            <w:r>
              <w:rPr>
                <w:rFonts w:cs="Arial"/>
                <w:sz w:val="20"/>
                <w:szCs w:val="20"/>
              </w:rPr>
              <w:t>‘</w:t>
            </w:r>
            <w:r w:rsidRPr="00426B41">
              <w:rPr>
                <w:rFonts w:cs="Arial"/>
                <w:sz w:val="20"/>
                <w:szCs w:val="20"/>
              </w:rPr>
              <w:t xml:space="preserve">human milk </w:t>
            </w:r>
            <w:r>
              <w:rPr>
                <w:rFonts w:cs="Arial"/>
                <w:sz w:val="20"/>
                <w:szCs w:val="20"/>
              </w:rPr>
              <w:t>identical’, ‘human milk oligosaccharides’ or abbreviations (or words of similar effect) on infant formula</w:t>
            </w:r>
            <w:r w:rsidRPr="00426B41">
              <w:rPr>
                <w:rFonts w:cs="Arial"/>
                <w:sz w:val="20"/>
                <w:szCs w:val="20"/>
              </w:rPr>
              <w:t xml:space="preserve"> products</w:t>
            </w:r>
            <w:r>
              <w:rPr>
                <w:rFonts w:cs="Arial"/>
                <w:sz w:val="20"/>
                <w:szCs w:val="20"/>
              </w:rPr>
              <w:t>.</w:t>
            </w:r>
          </w:p>
        </w:tc>
        <w:tc>
          <w:tcPr>
            <w:tcW w:w="844" w:type="pct"/>
            <w:shd w:val="clear" w:color="auto" w:fill="auto"/>
          </w:tcPr>
          <w:p w14:paraId="562930A3" w14:textId="77777777" w:rsidR="004D7999" w:rsidRPr="00084B50" w:rsidRDefault="004D7999" w:rsidP="005F2E79">
            <w:pPr>
              <w:rPr>
                <w:rFonts w:cs="Arial"/>
                <w:sz w:val="20"/>
                <w:szCs w:val="20"/>
              </w:rPr>
            </w:pPr>
            <w:r w:rsidRPr="00084B50">
              <w:rPr>
                <w:rFonts w:cs="Arial"/>
                <w:sz w:val="20"/>
                <w:szCs w:val="20"/>
              </w:rPr>
              <w:t>DHHS &amp; DJPR Vic</w:t>
            </w:r>
          </w:p>
          <w:p w14:paraId="053BC1D9" w14:textId="77777777" w:rsidR="004D7999" w:rsidRPr="00084B50" w:rsidRDefault="004D7999" w:rsidP="005F2E79">
            <w:pPr>
              <w:rPr>
                <w:rFonts w:cs="Arial"/>
                <w:sz w:val="20"/>
                <w:szCs w:val="20"/>
              </w:rPr>
            </w:pPr>
            <w:r w:rsidRPr="00084B50">
              <w:rPr>
                <w:rFonts w:cs="Arial"/>
                <w:sz w:val="20"/>
                <w:szCs w:val="20"/>
              </w:rPr>
              <w:t>NSWFA</w:t>
            </w:r>
          </w:p>
          <w:p w14:paraId="60885322" w14:textId="77777777" w:rsidR="004D7999" w:rsidRPr="00084B50" w:rsidDel="00E7689B" w:rsidRDefault="004D7999" w:rsidP="005F2E79">
            <w:pPr>
              <w:rPr>
                <w:rFonts w:cs="Arial"/>
                <w:sz w:val="20"/>
                <w:szCs w:val="20"/>
              </w:rPr>
            </w:pPr>
            <w:r w:rsidRPr="00084B50" w:rsidDel="00E7689B">
              <w:rPr>
                <w:rFonts w:cs="Arial"/>
                <w:sz w:val="20"/>
                <w:szCs w:val="20"/>
              </w:rPr>
              <w:t>SA Health</w:t>
            </w:r>
          </w:p>
          <w:p w14:paraId="68EA2D1F" w14:textId="77777777" w:rsidR="004D7999" w:rsidRPr="00084B50" w:rsidRDefault="004D7999" w:rsidP="005F2E79">
            <w:pPr>
              <w:rPr>
                <w:rFonts w:cs="Arial"/>
                <w:sz w:val="20"/>
                <w:szCs w:val="20"/>
              </w:rPr>
            </w:pPr>
          </w:p>
        </w:tc>
        <w:tc>
          <w:tcPr>
            <w:tcW w:w="2420" w:type="pct"/>
            <w:shd w:val="clear" w:color="auto" w:fill="auto"/>
          </w:tcPr>
          <w:p w14:paraId="1D134B7E" w14:textId="63806F3C" w:rsidR="004D7999" w:rsidRPr="00FA5474" w:rsidRDefault="008070B1" w:rsidP="008070B1">
            <w:pPr>
              <w:rPr>
                <w:rFonts w:cs="Arial"/>
                <w:sz w:val="20"/>
                <w:szCs w:val="20"/>
              </w:rPr>
            </w:pPr>
            <w:r>
              <w:rPr>
                <w:rFonts w:cs="Arial"/>
                <w:sz w:val="20"/>
                <w:szCs w:val="20"/>
              </w:rPr>
              <w:t>In response to</w:t>
            </w:r>
            <w:r w:rsidR="004D4534">
              <w:rPr>
                <w:rFonts w:cs="Arial"/>
                <w:sz w:val="20"/>
                <w:szCs w:val="20"/>
              </w:rPr>
              <w:t xml:space="preserve"> submitter comments, </w:t>
            </w:r>
            <w:r w:rsidR="004D7999" w:rsidRPr="00FA5474">
              <w:rPr>
                <w:rFonts w:cs="Arial"/>
                <w:sz w:val="20"/>
                <w:szCs w:val="20"/>
              </w:rPr>
              <w:t>FSANZ is now proposing to specifically prohibit reference to ‘human milk identical</w:t>
            </w:r>
            <w:r w:rsidR="0060465E" w:rsidRPr="00FA5474">
              <w:rPr>
                <w:rFonts w:cs="Arial"/>
                <w:sz w:val="20"/>
                <w:szCs w:val="20"/>
              </w:rPr>
              <w:t xml:space="preserve"> oligosaccharide</w:t>
            </w:r>
            <w:r w:rsidR="004D7999" w:rsidRPr="00FA5474">
              <w:rPr>
                <w:rFonts w:cs="Arial"/>
                <w:sz w:val="20"/>
                <w:szCs w:val="20"/>
              </w:rPr>
              <w:t xml:space="preserve">’, ‘human milk oligosaccharide’, ‘HiMO’ or ‘HMO’ (or words </w:t>
            </w:r>
            <w:r w:rsidR="000052DB" w:rsidRPr="00FA5474">
              <w:rPr>
                <w:rFonts w:cs="Arial"/>
                <w:sz w:val="20"/>
                <w:szCs w:val="20"/>
              </w:rPr>
              <w:t xml:space="preserve">or abbreviations </w:t>
            </w:r>
            <w:r w:rsidR="004D7999" w:rsidRPr="00FA5474">
              <w:rPr>
                <w:rFonts w:cs="Arial"/>
                <w:sz w:val="20"/>
                <w:szCs w:val="20"/>
              </w:rPr>
              <w:t>of similar effect) on infant formula products</w:t>
            </w:r>
            <w:r w:rsidR="00CA71D2" w:rsidRPr="00FA5474">
              <w:rPr>
                <w:rFonts w:cs="Arial"/>
                <w:sz w:val="20"/>
                <w:szCs w:val="20"/>
              </w:rPr>
              <w:t xml:space="preserve"> as di</w:t>
            </w:r>
            <w:r w:rsidR="004D4534">
              <w:rPr>
                <w:rFonts w:cs="Arial"/>
                <w:sz w:val="20"/>
                <w:szCs w:val="20"/>
              </w:rPr>
              <w:t>s</w:t>
            </w:r>
            <w:r w:rsidR="00CA71D2" w:rsidRPr="00FA5474">
              <w:rPr>
                <w:rFonts w:cs="Arial"/>
                <w:sz w:val="20"/>
                <w:szCs w:val="20"/>
              </w:rPr>
              <w:t xml:space="preserve">cussed in section </w:t>
            </w:r>
            <w:r w:rsidR="004D7999" w:rsidRPr="00FA5474" w:rsidDel="00CA71D2">
              <w:rPr>
                <w:rFonts w:cs="Arial"/>
                <w:sz w:val="20"/>
                <w:szCs w:val="20"/>
              </w:rPr>
              <w:t>2.</w:t>
            </w:r>
            <w:r w:rsidR="00937F8F" w:rsidRPr="00FA5474">
              <w:rPr>
                <w:rFonts w:cs="Arial"/>
                <w:sz w:val="20"/>
                <w:szCs w:val="20"/>
              </w:rPr>
              <w:t>3.5.2</w:t>
            </w:r>
            <w:r w:rsidR="004D7999" w:rsidRPr="00FA5474" w:rsidDel="00CA67F0">
              <w:rPr>
                <w:rFonts w:cs="Arial"/>
                <w:sz w:val="20"/>
                <w:szCs w:val="20"/>
              </w:rPr>
              <w:t>.</w:t>
            </w:r>
          </w:p>
        </w:tc>
      </w:tr>
      <w:tr w:rsidR="004D7999" w:rsidRPr="00426B41" w14:paraId="544674D6" w14:textId="77777777" w:rsidTr="00865BA6">
        <w:tc>
          <w:tcPr>
            <w:tcW w:w="1736" w:type="pct"/>
            <w:shd w:val="clear" w:color="auto" w:fill="EAF1DD" w:themeFill="accent3" w:themeFillTint="33"/>
          </w:tcPr>
          <w:p w14:paraId="31263F66" w14:textId="77777777" w:rsidR="004D7999" w:rsidRDefault="004D7999" w:rsidP="005F2E79">
            <w:pPr>
              <w:rPr>
                <w:rFonts w:cs="Arial"/>
                <w:sz w:val="20"/>
                <w:szCs w:val="20"/>
              </w:rPr>
            </w:pPr>
            <w:r>
              <w:rPr>
                <w:rFonts w:cs="Arial"/>
                <w:sz w:val="20"/>
                <w:szCs w:val="20"/>
              </w:rPr>
              <w:t>Additional labelling measures are required</w:t>
            </w:r>
            <w:r w:rsidRPr="00426B41">
              <w:rPr>
                <w:rFonts w:cs="Arial"/>
                <w:sz w:val="20"/>
                <w:szCs w:val="20"/>
              </w:rPr>
              <w:t xml:space="preserve"> to prohibit reference to ‘human milk’ equivalency </w:t>
            </w:r>
            <w:r>
              <w:rPr>
                <w:rFonts w:cs="Arial"/>
                <w:sz w:val="20"/>
                <w:szCs w:val="20"/>
              </w:rPr>
              <w:t xml:space="preserve">(e.g. ‘human milk identical’ or ‘HMO’ abbreviation) </w:t>
            </w:r>
            <w:r w:rsidRPr="00426B41">
              <w:rPr>
                <w:rFonts w:cs="Arial"/>
                <w:sz w:val="20"/>
                <w:szCs w:val="20"/>
              </w:rPr>
              <w:t xml:space="preserve">on the label of </w:t>
            </w:r>
            <w:r>
              <w:rPr>
                <w:rFonts w:cs="Arial"/>
                <w:sz w:val="20"/>
                <w:szCs w:val="20"/>
              </w:rPr>
              <w:t>FSFYC. Submitters noted:</w:t>
            </w:r>
          </w:p>
          <w:p w14:paraId="235B0CA4" w14:textId="77777777" w:rsidR="004D7999" w:rsidRDefault="004D7999" w:rsidP="004D7999">
            <w:pPr>
              <w:pStyle w:val="ListParagraph"/>
              <w:widowControl/>
              <w:numPr>
                <w:ilvl w:val="0"/>
                <w:numId w:val="38"/>
              </w:numPr>
              <w:ind w:left="589" w:hanging="567"/>
              <w:rPr>
                <w:rFonts w:cs="Arial"/>
                <w:sz w:val="20"/>
                <w:szCs w:val="20"/>
              </w:rPr>
            </w:pPr>
            <w:r>
              <w:rPr>
                <w:rFonts w:cs="Arial"/>
                <w:sz w:val="20"/>
                <w:szCs w:val="20"/>
              </w:rPr>
              <w:t>Prescribed ingredients names do not prevent the use of such terms elsewhere on FSFYC</w:t>
            </w:r>
            <w:r w:rsidRPr="00A243EF">
              <w:rPr>
                <w:rFonts w:cs="Arial"/>
                <w:sz w:val="20"/>
                <w:szCs w:val="20"/>
              </w:rPr>
              <w:t>.</w:t>
            </w:r>
          </w:p>
          <w:p w14:paraId="7700A839" w14:textId="77777777" w:rsidR="004D7999" w:rsidRDefault="004D7999" w:rsidP="004D7999">
            <w:pPr>
              <w:pStyle w:val="ListParagraph"/>
              <w:widowControl/>
              <w:numPr>
                <w:ilvl w:val="0"/>
                <w:numId w:val="38"/>
              </w:numPr>
              <w:ind w:left="589" w:hanging="567"/>
              <w:rPr>
                <w:rFonts w:cs="Arial"/>
                <w:sz w:val="20"/>
                <w:szCs w:val="20"/>
              </w:rPr>
            </w:pPr>
            <w:r>
              <w:rPr>
                <w:rFonts w:cs="Arial"/>
                <w:sz w:val="20"/>
                <w:szCs w:val="20"/>
              </w:rPr>
              <w:t>This approach is a logical extension of policy for infant formula products.</w:t>
            </w:r>
          </w:p>
          <w:p w14:paraId="64227365" w14:textId="75D77C94" w:rsidR="004D7999" w:rsidRPr="00146101" w:rsidRDefault="004D7999" w:rsidP="002065DB">
            <w:pPr>
              <w:pStyle w:val="ListParagraph"/>
              <w:widowControl/>
              <w:numPr>
                <w:ilvl w:val="0"/>
                <w:numId w:val="38"/>
              </w:numPr>
              <w:ind w:left="589" w:hanging="567"/>
              <w:rPr>
                <w:rFonts w:cs="Arial"/>
                <w:sz w:val="20"/>
                <w:szCs w:val="20"/>
              </w:rPr>
            </w:pPr>
            <w:r>
              <w:rPr>
                <w:rFonts w:cs="Arial"/>
                <w:sz w:val="20"/>
                <w:szCs w:val="20"/>
              </w:rPr>
              <w:t>Codex is currently discussing a</w:t>
            </w:r>
            <w:r w:rsidDel="00F01427">
              <w:rPr>
                <w:rFonts w:cs="Arial"/>
                <w:sz w:val="20"/>
                <w:szCs w:val="20"/>
              </w:rPr>
              <w:t xml:space="preserve"> </w:t>
            </w:r>
            <w:r>
              <w:rPr>
                <w:rFonts w:cs="Arial"/>
                <w:sz w:val="20"/>
                <w:szCs w:val="20"/>
              </w:rPr>
              <w:t>new food standard for toddler milks which will shape global and national regulation.</w:t>
            </w:r>
          </w:p>
        </w:tc>
        <w:tc>
          <w:tcPr>
            <w:tcW w:w="844" w:type="pct"/>
            <w:shd w:val="clear" w:color="auto" w:fill="EAF1DD" w:themeFill="accent3" w:themeFillTint="33"/>
          </w:tcPr>
          <w:p w14:paraId="18B1D8D0" w14:textId="5B23CA55" w:rsidR="004D7999" w:rsidRPr="00084B50" w:rsidRDefault="00836844" w:rsidP="005F2E79">
            <w:pPr>
              <w:rPr>
                <w:rFonts w:cs="Arial"/>
                <w:sz w:val="20"/>
                <w:szCs w:val="20"/>
              </w:rPr>
            </w:pPr>
            <w:r>
              <w:rPr>
                <w:rFonts w:cs="Arial"/>
                <w:sz w:val="20"/>
                <w:szCs w:val="20"/>
              </w:rPr>
              <w:t>NZ</w:t>
            </w:r>
            <w:r w:rsidR="004D7999" w:rsidRPr="00084B50">
              <w:rPr>
                <w:rFonts w:cs="Arial"/>
                <w:sz w:val="20"/>
                <w:szCs w:val="20"/>
              </w:rPr>
              <w:t>MPI</w:t>
            </w:r>
          </w:p>
          <w:p w14:paraId="79D76559" w14:textId="005579A8"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p w14:paraId="5757F39A" w14:textId="77777777" w:rsidR="004D7999" w:rsidRPr="00084B50" w:rsidRDefault="004D7999" w:rsidP="005F2E79">
            <w:pPr>
              <w:rPr>
                <w:rFonts w:cs="Arial"/>
                <w:sz w:val="20"/>
                <w:szCs w:val="20"/>
              </w:rPr>
            </w:pPr>
            <w:r w:rsidRPr="00084B50">
              <w:rPr>
                <w:rFonts w:cs="Arial"/>
                <w:sz w:val="20"/>
                <w:szCs w:val="20"/>
              </w:rPr>
              <w:t>NSWFA</w:t>
            </w:r>
          </w:p>
          <w:p w14:paraId="642946EA" w14:textId="77777777" w:rsidR="004D7999" w:rsidRPr="00084B50" w:rsidRDefault="004D7999" w:rsidP="005F2E79">
            <w:pPr>
              <w:rPr>
                <w:rFonts w:cs="Arial"/>
                <w:sz w:val="20"/>
                <w:szCs w:val="20"/>
              </w:rPr>
            </w:pPr>
            <w:r w:rsidRPr="00084B50">
              <w:rPr>
                <w:rFonts w:cs="Arial"/>
                <w:sz w:val="20"/>
                <w:szCs w:val="20"/>
              </w:rPr>
              <w:t>DHHS &amp; DJPR Vic</w:t>
            </w:r>
          </w:p>
          <w:p w14:paraId="1E927566" w14:textId="77777777" w:rsidR="004D7999" w:rsidRPr="00084B50" w:rsidRDefault="004D7999" w:rsidP="005F2E79">
            <w:pPr>
              <w:rPr>
                <w:rFonts w:cs="Arial"/>
                <w:sz w:val="20"/>
                <w:szCs w:val="20"/>
              </w:rPr>
            </w:pPr>
            <w:r w:rsidRPr="00084B50">
              <w:rPr>
                <w:rFonts w:cs="Arial"/>
                <w:sz w:val="20"/>
                <w:szCs w:val="20"/>
              </w:rPr>
              <w:t>SA Health</w:t>
            </w:r>
          </w:p>
          <w:p w14:paraId="73AE7D3A" w14:textId="77777777" w:rsidR="004D7999" w:rsidRPr="00084B50" w:rsidRDefault="004D7999" w:rsidP="005F2E79">
            <w:pPr>
              <w:rPr>
                <w:rFonts w:cs="Arial"/>
                <w:sz w:val="20"/>
                <w:szCs w:val="20"/>
              </w:rPr>
            </w:pPr>
          </w:p>
        </w:tc>
        <w:tc>
          <w:tcPr>
            <w:tcW w:w="2420" w:type="pct"/>
            <w:shd w:val="clear" w:color="auto" w:fill="EAF1DD" w:themeFill="accent3" w:themeFillTint="33"/>
          </w:tcPr>
          <w:p w14:paraId="7DD44ACC" w14:textId="33F98A1B" w:rsidR="004D7999" w:rsidRPr="00FA5474" w:rsidRDefault="008070B1" w:rsidP="0035090A">
            <w:pPr>
              <w:rPr>
                <w:rFonts w:cs="Arial"/>
                <w:sz w:val="20"/>
                <w:szCs w:val="20"/>
              </w:rPr>
            </w:pPr>
            <w:r>
              <w:rPr>
                <w:rFonts w:cs="Arial"/>
                <w:sz w:val="20"/>
                <w:szCs w:val="20"/>
              </w:rPr>
              <w:t>In addition to</w:t>
            </w:r>
            <w:r w:rsidR="00CA71D2" w:rsidRPr="00FA5474" w:rsidDel="008070B1">
              <w:rPr>
                <w:rFonts w:cs="Arial"/>
                <w:sz w:val="20"/>
                <w:szCs w:val="20"/>
              </w:rPr>
              <w:t xml:space="preserve"> </w:t>
            </w:r>
            <w:r w:rsidR="00CA71D2" w:rsidRPr="00FA5474">
              <w:rPr>
                <w:rFonts w:cs="Arial"/>
                <w:sz w:val="20"/>
                <w:szCs w:val="20"/>
              </w:rPr>
              <w:t xml:space="preserve">infant </w:t>
            </w:r>
            <w:r w:rsidR="004D7999" w:rsidRPr="00FA5474">
              <w:rPr>
                <w:rFonts w:cs="Arial"/>
                <w:sz w:val="20"/>
                <w:szCs w:val="20"/>
              </w:rPr>
              <w:t>formula products</w:t>
            </w:r>
            <w:r w:rsidR="00CA71D2" w:rsidRPr="00FA5474">
              <w:rPr>
                <w:rFonts w:cs="Arial"/>
                <w:sz w:val="20"/>
                <w:szCs w:val="20"/>
              </w:rPr>
              <w:t xml:space="preserve"> </w:t>
            </w:r>
            <w:r>
              <w:rPr>
                <w:rFonts w:cs="Arial"/>
                <w:sz w:val="20"/>
                <w:szCs w:val="20"/>
              </w:rPr>
              <w:t xml:space="preserve">as </w:t>
            </w:r>
            <w:r w:rsidR="00CA71D2" w:rsidRPr="00FA5474">
              <w:rPr>
                <w:rFonts w:cs="Arial"/>
                <w:sz w:val="20"/>
                <w:szCs w:val="20"/>
              </w:rPr>
              <w:t xml:space="preserve">discussed above, </w:t>
            </w:r>
            <w:r w:rsidR="004D7999" w:rsidRPr="00FA5474">
              <w:rPr>
                <w:rFonts w:cs="Arial"/>
                <w:sz w:val="20"/>
                <w:szCs w:val="20"/>
              </w:rPr>
              <w:t xml:space="preserve">FSANZ is now </w:t>
            </w:r>
            <w:r>
              <w:rPr>
                <w:rFonts w:cs="Arial"/>
                <w:sz w:val="20"/>
                <w:szCs w:val="20"/>
              </w:rPr>
              <w:t xml:space="preserve">also </w:t>
            </w:r>
            <w:r w:rsidR="004D7999" w:rsidRPr="00FA5474">
              <w:rPr>
                <w:rFonts w:cs="Arial"/>
                <w:sz w:val="20"/>
                <w:szCs w:val="20"/>
              </w:rPr>
              <w:t>proposing to specifically prohibit reference to ‘human milk identical</w:t>
            </w:r>
            <w:r w:rsidR="0060465E" w:rsidRPr="00FA5474">
              <w:rPr>
                <w:rFonts w:cs="Arial"/>
                <w:sz w:val="20"/>
                <w:szCs w:val="20"/>
              </w:rPr>
              <w:t xml:space="preserve"> oligosaccharide</w:t>
            </w:r>
            <w:r w:rsidR="004D7999" w:rsidRPr="00FA5474">
              <w:rPr>
                <w:rFonts w:cs="Arial"/>
                <w:sz w:val="20"/>
                <w:szCs w:val="20"/>
              </w:rPr>
              <w:t>’, ‘human milk</w:t>
            </w:r>
            <w:r w:rsidR="000052DB" w:rsidRPr="00FA5474">
              <w:rPr>
                <w:rFonts w:cs="Arial"/>
                <w:sz w:val="20"/>
                <w:szCs w:val="20"/>
              </w:rPr>
              <w:t>’</w:t>
            </w:r>
            <w:r w:rsidR="004D7999" w:rsidRPr="00FA5474">
              <w:rPr>
                <w:rFonts w:cs="Arial"/>
                <w:sz w:val="20"/>
                <w:szCs w:val="20"/>
              </w:rPr>
              <w:t xml:space="preserve"> oligosaccharide’, ‘HiMO’ or ‘HMO’ (or words </w:t>
            </w:r>
            <w:r w:rsidR="000052DB" w:rsidRPr="00FA5474">
              <w:rPr>
                <w:rFonts w:cs="Arial"/>
                <w:sz w:val="20"/>
                <w:szCs w:val="20"/>
              </w:rPr>
              <w:t>or abbreviations</w:t>
            </w:r>
            <w:r w:rsidR="004D7999" w:rsidRPr="00FA5474">
              <w:rPr>
                <w:rFonts w:cs="Arial"/>
                <w:sz w:val="20"/>
                <w:szCs w:val="20"/>
              </w:rPr>
              <w:t xml:space="preserve"> of similar effect) on FSFYC</w:t>
            </w:r>
            <w:r w:rsidR="00CA71D2" w:rsidRPr="00FA5474">
              <w:rPr>
                <w:rFonts w:cs="Arial"/>
                <w:sz w:val="20"/>
                <w:szCs w:val="20"/>
              </w:rPr>
              <w:t xml:space="preserve"> (see further discussion in section </w:t>
            </w:r>
            <w:r w:rsidR="00937F8F" w:rsidRPr="00FA5474">
              <w:rPr>
                <w:rFonts w:cs="Arial"/>
                <w:sz w:val="20"/>
                <w:szCs w:val="20"/>
              </w:rPr>
              <w:t>2.3.5.2</w:t>
            </w:r>
            <w:r w:rsidR="00CA71D2" w:rsidRPr="00FA5474">
              <w:rPr>
                <w:rFonts w:cs="Arial"/>
                <w:sz w:val="20"/>
                <w:szCs w:val="20"/>
              </w:rPr>
              <w:t>)</w:t>
            </w:r>
            <w:r w:rsidR="002065DB">
              <w:rPr>
                <w:rFonts w:cs="Arial"/>
                <w:sz w:val="20"/>
                <w:szCs w:val="20"/>
              </w:rPr>
              <w:t>.</w:t>
            </w:r>
          </w:p>
        </w:tc>
      </w:tr>
      <w:tr w:rsidR="004D7999" w:rsidRPr="00426B41" w14:paraId="66705AA8" w14:textId="77777777" w:rsidTr="004D7999">
        <w:tc>
          <w:tcPr>
            <w:tcW w:w="1736" w:type="pct"/>
            <w:shd w:val="clear" w:color="auto" w:fill="auto"/>
          </w:tcPr>
          <w:p w14:paraId="17FF065E" w14:textId="254D65F7" w:rsidR="004D7999" w:rsidRPr="00426B41" w:rsidRDefault="004D7999" w:rsidP="00072A22">
            <w:pPr>
              <w:rPr>
                <w:rFonts w:cs="Arial"/>
                <w:sz w:val="20"/>
                <w:szCs w:val="20"/>
              </w:rPr>
            </w:pPr>
            <w:r>
              <w:rPr>
                <w:rFonts w:cs="Arial"/>
                <w:sz w:val="20"/>
                <w:szCs w:val="20"/>
              </w:rPr>
              <w:t>Concern</w:t>
            </w:r>
            <w:r w:rsidR="00255FCF">
              <w:rPr>
                <w:rFonts w:cs="Arial"/>
                <w:sz w:val="20"/>
                <w:szCs w:val="20"/>
              </w:rPr>
              <w:t>ed</w:t>
            </w:r>
            <w:r w:rsidDel="00255FCF">
              <w:rPr>
                <w:rFonts w:cs="Arial"/>
                <w:sz w:val="20"/>
                <w:szCs w:val="20"/>
              </w:rPr>
              <w:t xml:space="preserve"> </w:t>
            </w:r>
            <w:r>
              <w:rPr>
                <w:rFonts w:cs="Arial"/>
                <w:sz w:val="20"/>
                <w:szCs w:val="20"/>
              </w:rPr>
              <w:t>about the</w:t>
            </w:r>
            <w:r w:rsidRPr="00426B41">
              <w:rPr>
                <w:rFonts w:cs="Arial"/>
                <w:sz w:val="20"/>
                <w:szCs w:val="20"/>
              </w:rPr>
              <w:t xml:space="preserve"> likelih</w:t>
            </w:r>
            <w:r>
              <w:rPr>
                <w:rFonts w:cs="Arial"/>
                <w:sz w:val="20"/>
                <w:szCs w:val="20"/>
              </w:rPr>
              <w:t xml:space="preserve">ood for cross promotion of infant formula </w:t>
            </w:r>
            <w:r w:rsidRPr="00426B41">
              <w:rPr>
                <w:rFonts w:cs="Arial"/>
                <w:sz w:val="20"/>
                <w:szCs w:val="20"/>
              </w:rPr>
              <w:t>t</w:t>
            </w:r>
            <w:r>
              <w:rPr>
                <w:rFonts w:cs="Arial"/>
                <w:sz w:val="20"/>
                <w:szCs w:val="20"/>
              </w:rPr>
              <w:t>hrough ‘line marketing’ from FSFYC</w:t>
            </w:r>
            <w:r w:rsidRPr="00426B41">
              <w:rPr>
                <w:rFonts w:cs="Arial"/>
                <w:sz w:val="20"/>
                <w:szCs w:val="20"/>
              </w:rPr>
              <w:t xml:space="preserve">, </w:t>
            </w:r>
            <w:r>
              <w:rPr>
                <w:rFonts w:cs="Arial"/>
                <w:sz w:val="20"/>
                <w:szCs w:val="20"/>
              </w:rPr>
              <w:t xml:space="preserve">which would negate any associated restrictions on labelling and reference to human identical milk </w:t>
            </w:r>
            <w:r w:rsidR="00255FCF">
              <w:rPr>
                <w:rFonts w:cs="Arial"/>
                <w:sz w:val="20"/>
                <w:szCs w:val="20"/>
              </w:rPr>
              <w:t>for</w:t>
            </w:r>
            <w:r>
              <w:rPr>
                <w:rFonts w:cs="Arial"/>
                <w:sz w:val="20"/>
                <w:szCs w:val="20"/>
              </w:rPr>
              <w:t xml:space="preserve"> infant formula.</w:t>
            </w:r>
          </w:p>
        </w:tc>
        <w:tc>
          <w:tcPr>
            <w:tcW w:w="844" w:type="pct"/>
            <w:shd w:val="clear" w:color="auto" w:fill="auto"/>
          </w:tcPr>
          <w:p w14:paraId="2DA3F800" w14:textId="77777777" w:rsidR="004D7999" w:rsidRPr="00084B50" w:rsidRDefault="004D7999" w:rsidP="005F2E79">
            <w:pPr>
              <w:rPr>
                <w:rFonts w:cs="Arial"/>
                <w:sz w:val="20"/>
                <w:szCs w:val="20"/>
              </w:rPr>
            </w:pPr>
            <w:r w:rsidRPr="00084B50">
              <w:rPr>
                <w:rFonts w:cs="Arial"/>
                <w:sz w:val="20"/>
                <w:szCs w:val="20"/>
              </w:rPr>
              <w:t>DHHS &amp; DJPR Vic</w:t>
            </w:r>
          </w:p>
          <w:p w14:paraId="066DE627" w14:textId="77777777" w:rsidR="004D7999" w:rsidRPr="00084B50" w:rsidRDefault="004D7999" w:rsidP="005F2E79">
            <w:pPr>
              <w:rPr>
                <w:rFonts w:cs="Arial"/>
                <w:sz w:val="20"/>
                <w:szCs w:val="20"/>
              </w:rPr>
            </w:pPr>
            <w:r w:rsidRPr="00084B50">
              <w:rPr>
                <w:rFonts w:cs="Arial"/>
                <w:sz w:val="20"/>
                <w:szCs w:val="20"/>
              </w:rPr>
              <w:t>SA Health</w:t>
            </w:r>
          </w:p>
          <w:p w14:paraId="41232AF4" w14:textId="77777777" w:rsidR="004D7999" w:rsidRPr="00084B50" w:rsidRDefault="004D7999" w:rsidP="005F2E79">
            <w:pPr>
              <w:rPr>
                <w:rFonts w:cs="Arial"/>
                <w:sz w:val="20"/>
                <w:szCs w:val="20"/>
              </w:rPr>
            </w:pPr>
          </w:p>
        </w:tc>
        <w:tc>
          <w:tcPr>
            <w:tcW w:w="2420" w:type="pct"/>
            <w:shd w:val="clear" w:color="auto" w:fill="auto"/>
          </w:tcPr>
          <w:p w14:paraId="41AB33EF" w14:textId="77777777" w:rsidR="004D7999" w:rsidRDefault="004D7999" w:rsidP="005F2E79">
            <w:pPr>
              <w:rPr>
                <w:rFonts w:cs="Arial"/>
                <w:sz w:val="20"/>
                <w:szCs w:val="20"/>
              </w:rPr>
            </w:pPr>
            <w:r>
              <w:rPr>
                <w:rFonts w:cs="Arial"/>
                <w:sz w:val="20"/>
                <w:szCs w:val="20"/>
              </w:rPr>
              <w:t xml:space="preserve">The broader issue of line marketing is out of scope. </w:t>
            </w:r>
          </w:p>
          <w:p w14:paraId="5FF43449" w14:textId="77777777" w:rsidR="004D7999" w:rsidRDefault="004D7999" w:rsidP="005F2E79">
            <w:pPr>
              <w:rPr>
                <w:rFonts w:cs="Arial"/>
                <w:sz w:val="20"/>
                <w:szCs w:val="20"/>
              </w:rPr>
            </w:pPr>
          </w:p>
          <w:p w14:paraId="0C2E4742" w14:textId="6D25E480" w:rsidR="00072A22" w:rsidRPr="00426B41" w:rsidRDefault="004D7999" w:rsidP="00072A22">
            <w:pPr>
              <w:rPr>
                <w:rFonts w:cs="Arial"/>
                <w:sz w:val="20"/>
                <w:szCs w:val="20"/>
              </w:rPr>
            </w:pPr>
            <w:r>
              <w:rPr>
                <w:rFonts w:cs="Arial"/>
                <w:sz w:val="20"/>
                <w:szCs w:val="20"/>
              </w:rPr>
              <w:t xml:space="preserve">Prohibiting the terms </w:t>
            </w:r>
            <w:r w:rsidR="006D08D7">
              <w:rPr>
                <w:rFonts w:cs="Arial"/>
                <w:sz w:val="20"/>
                <w:szCs w:val="20"/>
              </w:rPr>
              <w:t>‘</w:t>
            </w:r>
            <w:r w:rsidR="000052DB">
              <w:rPr>
                <w:rFonts w:cs="Arial"/>
                <w:sz w:val="20"/>
                <w:szCs w:val="20"/>
              </w:rPr>
              <w:t>human milk</w:t>
            </w:r>
            <w:r w:rsidR="0004633B">
              <w:rPr>
                <w:rFonts w:cs="Arial"/>
                <w:sz w:val="20"/>
                <w:szCs w:val="20"/>
              </w:rPr>
              <w:t xml:space="preserve"> oligosaccharide</w:t>
            </w:r>
            <w:r w:rsidR="000052DB">
              <w:rPr>
                <w:rFonts w:cs="Arial"/>
                <w:sz w:val="20"/>
                <w:szCs w:val="20"/>
              </w:rPr>
              <w:t>’, ‘human milk identical</w:t>
            </w:r>
            <w:r w:rsidR="0004633B">
              <w:rPr>
                <w:rFonts w:cs="Arial"/>
                <w:sz w:val="20"/>
                <w:szCs w:val="20"/>
              </w:rPr>
              <w:t xml:space="preserve"> oligosaccharide</w:t>
            </w:r>
            <w:r w:rsidR="000052DB">
              <w:rPr>
                <w:rFonts w:cs="Arial"/>
                <w:sz w:val="20"/>
                <w:szCs w:val="20"/>
              </w:rPr>
              <w:t>’ and abbreviations</w:t>
            </w:r>
            <w:r w:rsidR="000052DB" w:rsidDel="008B49DC">
              <w:rPr>
                <w:rFonts w:cs="Arial"/>
                <w:sz w:val="20"/>
                <w:szCs w:val="20"/>
              </w:rPr>
              <w:t xml:space="preserve"> </w:t>
            </w:r>
            <w:r w:rsidR="006D08D7">
              <w:rPr>
                <w:rFonts w:cs="Arial"/>
                <w:sz w:val="20"/>
                <w:szCs w:val="20"/>
              </w:rPr>
              <w:t>‘</w:t>
            </w:r>
            <w:r w:rsidR="00C22078">
              <w:rPr>
                <w:rFonts w:cs="Arial"/>
                <w:sz w:val="20"/>
                <w:szCs w:val="20"/>
              </w:rPr>
              <w:t>H</w:t>
            </w:r>
            <w:r w:rsidR="00933BA2">
              <w:rPr>
                <w:rFonts w:cs="Arial"/>
                <w:sz w:val="20"/>
                <w:szCs w:val="20"/>
              </w:rPr>
              <w:t>i</w:t>
            </w:r>
            <w:r w:rsidR="00C22078">
              <w:rPr>
                <w:rFonts w:cs="Arial"/>
                <w:sz w:val="20"/>
                <w:szCs w:val="20"/>
              </w:rPr>
              <w:t>MO</w:t>
            </w:r>
            <w:r w:rsidR="00592F99">
              <w:rPr>
                <w:rFonts w:cs="Arial"/>
                <w:sz w:val="20"/>
                <w:szCs w:val="20"/>
              </w:rPr>
              <w:t>’</w:t>
            </w:r>
            <w:r>
              <w:rPr>
                <w:rFonts w:cs="Arial"/>
                <w:sz w:val="20"/>
                <w:szCs w:val="20"/>
              </w:rPr>
              <w:t xml:space="preserve"> or </w:t>
            </w:r>
            <w:r w:rsidR="000052DB">
              <w:rPr>
                <w:rFonts w:cs="Arial"/>
                <w:sz w:val="20"/>
                <w:szCs w:val="20"/>
              </w:rPr>
              <w:t>‘</w:t>
            </w:r>
            <w:r>
              <w:rPr>
                <w:rFonts w:cs="Arial"/>
                <w:sz w:val="20"/>
                <w:szCs w:val="20"/>
              </w:rPr>
              <w:t>HMO</w:t>
            </w:r>
            <w:r w:rsidR="006D08D7">
              <w:rPr>
                <w:rFonts w:cs="Arial"/>
                <w:sz w:val="20"/>
                <w:szCs w:val="20"/>
              </w:rPr>
              <w:t>’</w:t>
            </w:r>
            <w:r>
              <w:rPr>
                <w:rFonts w:cs="Arial"/>
                <w:sz w:val="20"/>
                <w:szCs w:val="20"/>
              </w:rPr>
              <w:t xml:space="preserve"> or similar</w:t>
            </w:r>
            <w:r w:rsidR="0004633B">
              <w:rPr>
                <w:rFonts w:cs="Arial"/>
                <w:sz w:val="20"/>
                <w:szCs w:val="20"/>
              </w:rPr>
              <w:t>,</w:t>
            </w:r>
            <w:r>
              <w:rPr>
                <w:rFonts w:cs="Arial"/>
                <w:sz w:val="20"/>
                <w:szCs w:val="20"/>
              </w:rPr>
              <w:t xml:space="preserve"> for infant formula products and FSFYC</w:t>
            </w:r>
            <w:r w:rsidR="0004633B">
              <w:rPr>
                <w:rFonts w:cs="Arial"/>
                <w:sz w:val="20"/>
                <w:szCs w:val="20"/>
              </w:rPr>
              <w:t>,</w:t>
            </w:r>
            <w:r>
              <w:rPr>
                <w:rFonts w:cs="Arial"/>
                <w:sz w:val="20"/>
                <w:szCs w:val="20"/>
              </w:rPr>
              <w:t xml:space="preserve"> would constitute a limited restriction in relation to </w:t>
            </w:r>
            <w:r w:rsidR="005D193E">
              <w:rPr>
                <w:rFonts w:cs="Arial"/>
                <w:sz w:val="20"/>
                <w:szCs w:val="20"/>
              </w:rPr>
              <w:t xml:space="preserve">the potential for </w:t>
            </w:r>
            <w:r>
              <w:rPr>
                <w:rFonts w:cs="Arial"/>
                <w:sz w:val="20"/>
                <w:szCs w:val="20"/>
              </w:rPr>
              <w:t>cross promotion.</w:t>
            </w:r>
          </w:p>
        </w:tc>
      </w:tr>
      <w:tr w:rsidR="004D7999" w14:paraId="5BDDA6F6" w14:textId="77777777" w:rsidTr="00865BA6">
        <w:tc>
          <w:tcPr>
            <w:tcW w:w="1736" w:type="pct"/>
            <w:shd w:val="clear" w:color="auto" w:fill="EAF1DD" w:themeFill="accent3" w:themeFillTint="33"/>
          </w:tcPr>
          <w:p w14:paraId="29E246EB" w14:textId="79856072" w:rsidR="004D7999" w:rsidRPr="00426B41" w:rsidRDefault="004D7999" w:rsidP="002F2717">
            <w:pPr>
              <w:widowControl/>
              <w:autoSpaceDE w:val="0"/>
              <w:autoSpaceDN w:val="0"/>
              <w:adjustRightInd w:val="0"/>
              <w:rPr>
                <w:rFonts w:cs="Arial"/>
                <w:sz w:val="20"/>
                <w:szCs w:val="20"/>
              </w:rPr>
            </w:pPr>
            <w:r w:rsidRPr="00426B41">
              <w:rPr>
                <w:rFonts w:cs="Arial"/>
                <w:sz w:val="20"/>
                <w:szCs w:val="20"/>
              </w:rPr>
              <w:t xml:space="preserve">FSANZ should consider </w:t>
            </w:r>
            <w:r w:rsidRPr="00426B41">
              <w:rPr>
                <w:rFonts w:cs="Arial"/>
                <w:color w:val="000000"/>
                <w:sz w:val="20"/>
                <w:szCs w:val="20"/>
              </w:rPr>
              <w:t xml:space="preserve">a prohibition on </w:t>
            </w:r>
            <w:r>
              <w:rPr>
                <w:rFonts w:cs="Arial"/>
                <w:color w:val="000000"/>
                <w:sz w:val="20"/>
                <w:szCs w:val="20"/>
              </w:rPr>
              <w:t>terms such</w:t>
            </w:r>
            <w:r w:rsidRPr="00426B41">
              <w:rPr>
                <w:rFonts w:cs="Arial"/>
                <w:color w:val="000000"/>
                <w:sz w:val="20"/>
                <w:szCs w:val="20"/>
              </w:rPr>
              <w:t xml:space="preserve"> as ‘human milk identical’ more generally</w:t>
            </w:r>
            <w:r w:rsidR="00FB037E">
              <w:rPr>
                <w:rFonts w:cs="Arial"/>
                <w:color w:val="000000"/>
                <w:sz w:val="20"/>
                <w:szCs w:val="20"/>
              </w:rPr>
              <w:t xml:space="preserve"> for </w:t>
            </w:r>
            <w:r w:rsidRPr="00426B41">
              <w:rPr>
                <w:rFonts w:cs="Arial"/>
                <w:color w:val="000000"/>
                <w:sz w:val="20"/>
                <w:szCs w:val="20"/>
              </w:rPr>
              <w:t xml:space="preserve">foods for other purposes </w:t>
            </w:r>
            <w:r w:rsidR="00FB037E">
              <w:rPr>
                <w:rFonts w:cs="Arial"/>
                <w:color w:val="000000"/>
                <w:sz w:val="20"/>
                <w:szCs w:val="20"/>
              </w:rPr>
              <w:t>(</w:t>
            </w:r>
            <w:r w:rsidRPr="00426B41">
              <w:rPr>
                <w:rFonts w:cs="Arial"/>
                <w:color w:val="000000"/>
                <w:sz w:val="20"/>
                <w:szCs w:val="20"/>
              </w:rPr>
              <w:t>e.g. sports supplements</w:t>
            </w:r>
            <w:r w:rsidR="00FB037E">
              <w:rPr>
                <w:rFonts w:cs="Arial"/>
                <w:color w:val="000000"/>
                <w:sz w:val="20"/>
                <w:szCs w:val="20"/>
              </w:rPr>
              <w:t>)</w:t>
            </w:r>
            <w:r w:rsidRPr="00426B41">
              <w:rPr>
                <w:rFonts w:cs="Arial"/>
                <w:color w:val="000000"/>
                <w:sz w:val="20"/>
                <w:szCs w:val="20"/>
              </w:rPr>
              <w:t>.</w:t>
            </w:r>
          </w:p>
        </w:tc>
        <w:tc>
          <w:tcPr>
            <w:tcW w:w="844" w:type="pct"/>
            <w:shd w:val="clear" w:color="auto" w:fill="EAF1DD" w:themeFill="accent3" w:themeFillTint="33"/>
          </w:tcPr>
          <w:p w14:paraId="68C781AE" w14:textId="7EB73280"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tc>
        <w:tc>
          <w:tcPr>
            <w:tcW w:w="2420" w:type="pct"/>
            <w:shd w:val="clear" w:color="auto" w:fill="EAF1DD" w:themeFill="accent3" w:themeFillTint="33"/>
          </w:tcPr>
          <w:p w14:paraId="0BCD3E5A" w14:textId="74C20764" w:rsidR="004D7999" w:rsidRDefault="004D7999" w:rsidP="00072A22">
            <w:pPr>
              <w:rPr>
                <w:rFonts w:cs="Arial"/>
                <w:sz w:val="20"/>
                <w:szCs w:val="20"/>
              </w:rPr>
            </w:pPr>
            <w:r>
              <w:rPr>
                <w:rFonts w:cs="Arial"/>
                <w:sz w:val="20"/>
                <w:szCs w:val="20"/>
              </w:rPr>
              <w:t xml:space="preserve">Extending the proposed prohibition to other foods is beyond </w:t>
            </w:r>
            <w:r w:rsidR="002065DB">
              <w:rPr>
                <w:rFonts w:cs="Arial"/>
                <w:sz w:val="20"/>
                <w:szCs w:val="20"/>
              </w:rPr>
              <w:t>the scope of this application.</w:t>
            </w:r>
          </w:p>
        </w:tc>
      </w:tr>
      <w:tr w:rsidR="004D7999" w14:paraId="69118118" w14:textId="77777777" w:rsidTr="004D7999">
        <w:tc>
          <w:tcPr>
            <w:tcW w:w="1736" w:type="pct"/>
            <w:shd w:val="clear" w:color="auto" w:fill="auto"/>
          </w:tcPr>
          <w:p w14:paraId="615B01E8" w14:textId="311AF7EE" w:rsidR="004D7999" w:rsidRPr="00426B41" w:rsidRDefault="004D7999" w:rsidP="00072A22">
            <w:pPr>
              <w:widowControl/>
              <w:autoSpaceDE w:val="0"/>
              <w:autoSpaceDN w:val="0"/>
              <w:adjustRightInd w:val="0"/>
              <w:rPr>
                <w:rFonts w:cs="Arial"/>
                <w:color w:val="000000"/>
                <w:sz w:val="20"/>
                <w:szCs w:val="20"/>
              </w:rPr>
            </w:pPr>
            <w:r w:rsidRPr="00426B41">
              <w:rPr>
                <w:rFonts w:cs="Arial"/>
                <w:sz w:val="20"/>
                <w:szCs w:val="20"/>
              </w:rPr>
              <w:t>Does not support prescribing use of ingredient names ‘2-fucosyllactose’ and ‘lacto-N-neotetraose’,</w:t>
            </w:r>
            <w:r>
              <w:rPr>
                <w:rFonts w:cs="Arial"/>
                <w:sz w:val="20"/>
                <w:szCs w:val="20"/>
              </w:rPr>
              <w:t xml:space="preserve"> </w:t>
            </w:r>
            <w:r w:rsidR="004B63B3">
              <w:rPr>
                <w:rFonts w:cs="Arial"/>
                <w:sz w:val="20"/>
                <w:szCs w:val="20"/>
              </w:rPr>
              <w:t>relying on section 1.2.4</w:t>
            </w:r>
            <w:r w:rsidR="004B63B3" w:rsidRPr="00DC75B7">
              <w:rPr>
                <w:rFonts w:cs="Arial"/>
                <w:sz w:val="20"/>
                <w:szCs w:val="20"/>
              </w:rPr>
              <w:t>—</w:t>
            </w:r>
            <w:r>
              <w:rPr>
                <w:rFonts w:cs="Arial"/>
                <w:sz w:val="20"/>
                <w:szCs w:val="20"/>
              </w:rPr>
              <w:t>4 instead noting this is consistent with the general approach in the Code and other oligosaccharides GOS and ITF.</w:t>
            </w:r>
          </w:p>
        </w:tc>
        <w:tc>
          <w:tcPr>
            <w:tcW w:w="844" w:type="pct"/>
            <w:shd w:val="clear" w:color="auto" w:fill="auto"/>
          </w:tcPr>
          <w:p w14:paraId="7B65199D" w14:textId="77777777" w:rsidR="004D7999" w:rsidRPr="00084B50" w:rsidRDefault="004D7999" w:rsidP="005F2E79">
            <w:pPr>
              <w:rPr>
                <w:rFonts w:cs="Arial"/>
                <w:sz w:val="20"/>
                <w:szCs w:val="20"/>
              </w:rPr>
            </w:pPr>
            <w:r w:rsidRPr="00084B50">
              <w:rPr>
                <w:rFonts w:cs="Arial"/>
                <w:sz w:val="20"/>
                <w:szCs w:val="20"/>
              </w:rPr>
              <w:t>NZFGC, Fonterra, INC, Nestle</w:t>
            </w:r>
          </w:p>
        </w:tc>
        <w:tc>
          <w:tcPr>
            <w:tcW w:w="2420" w:type="pct"/>
            <w:shd w:val="clear" w:color="auto" w:fill="auto"/>
          </w:tcPr>
          <w:p w14:paraId="4A6235B2" w14:textId="763C6EE3" w:rsidR="004D7999" w:rsidRDefault="004D7999" w:rsidP="005F2E79">
            <w:pPr>
              <w:rPr>
                <w:rFonts w:cs="Arial"/>
                <w:sz w:val="20"/>
                <w:szCs w:val="20"/>
              </w:rPr>
            </w:pPr>
            <w:r>
              <w:rPr>
                <w:rFonts w:cs="Arial"/>
                <w:sz w:val="20"/>
                <w:szCs w:val="20"/>
              </w:rPr>
              <w:t xml:space="preserve">FSANZ has reconsidered the approach to prescribe ingredient names and is now of the view that generic ingredient naming requirements should apply, consistent with the general approach in the Code. </w:t>
            </w:r>
            <w:r w:rsidR="00CA71D2">
              <w:rPr>
                <w:rFonts w:cs="Arial"/>
                <w:sz w:val="20"/>
                <w:szCs w:val="20"/>
              </w:rPr>
              <w:t xml:space="preserve">See further discussion in </w:t>
            </w:r>
            <w:r w:rsidR="00CA71D2" w:rsidRPr="00F47044">
              <w:rPr>
                <w:rFonts w:cs="Arial"/>
                <w:sz w:val="20"/>
                <w:szCs w:val="20"/>
              </w:rPr>
              <w:t xml:space="preserve">section </w:t>
            </w:r>
            <w:r w:rsidR="00C22078" w:rsidRPr="00F47044">
              <w:rPr>
                <w:rFonts w:cs="Arial"/>
                <w:sz w:val="20"/>
                <w:szCs w:val="20"/>
              </w:rPr>
              <w:t>2.3.5.1</w:t>
            </w:r>
            <w:r w:rsidR="00CA71D2">
              <w:rPr>
                <w:rFonts w:cs="Arial"/>
                <w:sz w:val="20"/>
                <w:szCs w:val="20"/>
              </w:rPr>
              <w:t>.</w:t>
            </w:r>
          </w:p>
          <w:p w14:paraId="0776F247" w14:textId="77777777" w:rsidR="00072A22" w:rsidRDefault="00072A22" w:rsidP="005F2E79">
            <w:pPr>
              <w:rPr>
                <w:rFonts w:cs="Arial"/>
                <w:sz w:val="20"/>
                <w:szCs w:val="20"/>
              </w:rPr>
            </w:pPr>
          </w:p>
          <w:p w14:paraId="60B3B41C" w14:textId="278E4CE0" w:rsidR="004D7999" w:rsidRDefault="004D7999" w:rsidP="00933BA2">
            <w:pPr>
              <w:rPr>
                <w:rFonts w:cs="Arial"/>
                <w:sz w:val="20"/>
                <w:szCs w:val="20"/>
              </w:rPr>
            </w:pPr>
            <w:r>
              <w:rPr>
                <w:rFonts w:cs="Arial"/>
                <w:sz w:val="20"/>
                <w:szCs w:val="20"/>
              </w:rPr>
              <w:t xml:space="preserve">However, </w:t>
            </w:r>
            <w:r w:rsidR="00933BA2">
              <w:rPr>
                <w:rFonts w:cs="Arial"/>
                <w:sz w:val="20"/>
                <w:szCs w:val="20"/>
              </w:rPr>
              <w:t xml:space="preserve">as discussed above, </w:t>
            </w:r>
            <w:r>
              <w:rPr>
                <w:rFonts w:cs="Arial"/>
                <w:sz w:val="20"/>
                <w:szCs w:val="20"/>
              </w:rPr>
              <w:t>suppliers would be prohibited from using the terms ‘human milk</w:t>
            </w:r>
            <w:r w:rsidR="0004633B">
              <w:rPr>
                <w:rFonts w:cs="Arial"/>
                <w:sz w:val="20"/>
                <w:szCs w:val="20"/>
              </w:rPr>
              <w:t xml:space="preserve"> oligosaccharide</w:t>
            </w:r>
            <w:r w:rsidR="000052DB">
              <w:rPr>
                <w:rFonts w:cs="Arial"/>
                <w:sz w:val="20"/>
                <w:szCs w:val="20"/>
              </w:rPr>
              <w:t xml:space="preserve">’, ‘human </w:t>
            </w:r>
            <w:r>
              <w:rPr>
                <w:rFonts w:cs="Arial"/>
                <w:sz w:val="20"/>
                <w:szCs w:val="20"/>
              </w:rPr>
              <w:t>milk identical</w:t>
            </w:r>
            <w:r w:rsidR="000052DB">
              <w:rPr>
                <w:rFonts w:cs="Arial"/>
                <w:sz w:val="20"/>
                <w:szCs w:val="20"/>
              </w:rPr>
              <w:t>’</w:t>
            </w:r>
            <w:r>
              <w:rPr>
                <w:rFonts w:cs="Arial"/>
                <w:sz w:val="20"/>
                <w:szCs w:val="20"/>
              </w:rPr>
              <w:t xml:space="preserve"> oligosaccharide’, ‘H</w:t>
            </w:r>
            <w:r w:rsidR="00933BA2">
              <w:rPr>
                <w:rFonts w:cs="Arial"/>
                <w:sz w:val="20"/>
                <w:szCs w:val="20"/>
              </w:rPr>
              <w:t>i</w:t>
            </w:r>
            <w:r>
              <w:rPr>
                <w:rFonts w:cs="Arial"/>
                <w:sz w:val="20"/>
                <w:szCs w:val="20"/>
              </w:rPr>
              <w:t xml:space="preserve">MO’ or ‘HMO’ (or words </w:t>
            </w:r>
            <w:r w:rsidR="000052DB">
              <w:rPr>
                <w:rFonts w:cs="Arial"/>
                <w:sz w:val="20"/>
                <w:szCs w:val="20"/>
              </w:rPr>
              <w:t xml:space="preserve">or </w:t>
            </w:r>
            <w:r w:rsidR="00F45AD0">
              <w:rPr>
                <w:rFonts w:cs="Arial"/>
                <w:sz w:val="20"/>
                <w:szCs w:val="20"/>
              </w:rPr>
              <w:t>abbreviations</w:t>
            </w:r>
            <w:r w:rsidR="000052DB">
              <w:rPr>
                <w:rFonts w:cs="Arial"/>
                <w:sz w:val="20"/>
                <w:szCs w:val="20"/>
              </w:rPr>
              <w:t xml:space="preserve"> </w:t>
            </w:r>
            <w:r>
              <w:rPr>
                <w:rFonts w:cs="Arial"/>
                <w:sz w:val="20"/>
                <w:szCs w:val="20"/>
              </w:rPr>
              <w:t>of similar effect) anywhere on the label of inf</w:t>
            </w:r>
            <w:r w:rsidR="002065DB">
              <w:rPr>
                <w:rFonts w:cs="Arial"/>
                <w:sz w:val="20"/>
                <w:szCs w:val="20"/>
              </w:rPr>
              <w:t>ant formula products and FSFYC.</w:t>
            </w:r>
          </w:p>
        </w:tc>
      </w:tr>
      <w:tr w:rsidR="004D7999" w14:paraId="4346EA89" w14:textId="77777777" w:rsidTr="00865BA6">
        <w:tc>
          <w:tcPr>
            <w:tcW w:w="1736" w:type="pct"/>
            <w:shd w:val="clear" w:color="auto" w:fill="EAF1DD" w:themeFill="accent3" w:themeFillTint="33"/>
          </w:tcPr>
          <w:p w14:paraId="5F925746" w14:textId="3C297B9A" w:rsidR="004D7999" w:rsidRDefault="004D7999" w:rsidP="005F2E79">
            <w:pPr>
              <w:autoSpaceDE w:val="0"/>
              <w:autoSpaceDN w:val="0"/>
              <w:adjustRightInd w:val="0"/>
              <w:rPr>
                <w:rFonts w:cs="Arial"/>
                <w:color w:val="000000"/>
                <w:sz w:val="20"/>
                <w:szCs w:val="20"/>
              </w:rPr>
            </w:pPr>
            <w:r w:rsidRPr="00426B41">
              <w:rPr>
                <w:rFonts w:cs="Arial"/>
                <w:sz w:val="20"/>
                <w:szCs w:val="20"/>
              </w:rPr>
              <w:t xml:space="preserve">Supports prescribing ingredient names for ingredient list </w:t>
            </w:r>
            <w:r w:rsidR="002065DB">
              <w:rPr>
                <w:rFonts w:cs="Arial"/>
                <w:sz w:val="20"/>
                <w:szCs w:val="20"/>
              </w:rPr>
              <w:t>declaration.</w:t>
            </w:r>
          </w:p>
        </w:tc>
        <w:tc>
          <w:tcPr>
            <w:tcW w:w="844" w:type="pct"/>
            <w:shd w:val="clear" w:color="auto" w:fill="EAF1DD" w:themeFill="accent3" w:themeFillTint="33"/>
          </w:tcPr>
          <w:p w14:paraId="0C2B054E" w14:textId="1B105FE1" w:rsidR="004D7999" w:rsidRPr="00084B50" w:rsidRDefault="00FB037E" w:rsidP="005F2E79">
            <w:pPr>
              <w:rPr>
                <w:rFonts w:cs="Arial"/>
                <w:sz w:val="20"/>
                <w:szCs w:val="20"/>
              </w:rPr>
            </w:pPr>
            <w:r>
              <w:rPr>
                <w:rFonts w:cs="Arial"/>
                <w:sz w:val="20"/>
                <w:szCs w:val="20"/>
              </w:rPr>
              <w:t>NZ</w:t>
            </w:r>
            <w:r w:rsidR="004D7999" w:rsidRPr="00084B50">
              <w:rPr>
                <w:rFonts w:cs="Arial"/>
                <w:sz w:val="20"/>
                <w:szCs w:val="20"/>
              </w:rPr>
              <w:t>MPI</w:t>
            </w:r>
          </w:p>
          <w:p w14:paraId="697731E3" w14:textId="77777777" w:rsidR="004D7999" w:rsidRPr="00084B50" w:rsidRDefault="004D7999" w:rsidP="005F2E79">
            <w:pPr>
              <w:rPr>
                <w:rFonts w:cs="Arial"/>
                <w:sz w:val="20"/>
                <w:szCs w:val="20"/>
              </w:rPr>
            </w:pPr>
            <w:r w:rsidRPr="00084B50">
              <w:rPr>
                <w:rFonts w:cs="Arial"/>
                <w:sz w:val="20"/>
                <w:szCs w:val="20"/>
              </w:rPr>
              <w:t>DHHS &amp; DJPR Vic</w:t>
            </w:r>
          </w:p>
          <w:p w14:paraId="1CC1C648" w14:textId="6E4BC75D"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p w14:paraId="50E07273" w14:textId="77777777" w:rsidR="004D7999" w:rsidRPr="00084B50" w:rsidRDefault="004D7999" w:rsidP="005F2E79">
            <w:pPr>
              <w:rPr>
                <w:rFonts w:cs="Arial"/>
                <w:sz w:val="20"/>
                <w:szCs w:val="20"/>
              </w:rPr>
            </w:pPr>
            <w:r w:rsidRPr="00084B50">
              <w:rPr>
                <w:rFonts w:cs="Arial"/>
                <w:sz w:val="20"/>
                <w:szCs w:val="20"/>
              </w:rPr>
              <w:t>NSWFA</w:t>
            </w:r>
          </w:p>
          <w:p w14:paraId="4D938BC1" w14:textId="77777777" w:rsidR="004D7999" w:rsidRPr="00084B50" w:rsidRDefault="004D7999" w:rsidP="005F2E79">
            <w:pPr>
              <w:rPr>
                <w:rFonts w:cs="Arial"/>
                <w:sz w:val="20"/>
                <w:szCs w:val="20"/>
              </w:rPr>
            </w:pPr>
            <w:r w:rsidRPr="00084B50">
              <w:rPr>
                <w:rFonts w:cs="Arial"/>
                <w:sz w:val="20"/>
                <w:szCs w:val="20"/>
              </w:rPr>
              <w:t>SA Health</w:t>
            </w:r>
          </w:p>
        </w:tc>
        <w:tc>
          <w:tcPr>
            <w:tcW w:w="2420" w:type="pct"/>
            <w:shd w:val="clear" w:color="auto" w:fill="EAF1DD" w:themeFill="accent3" w:themeFillTint="33"/>
          </w:tcPr>
          <w:p w14:paraId="394C6837" w14:textId="358C64DA" w:rsidR="004D7999" w:rsidRDefault="004D7999" w:rsidP="005F2E79">
            <w:pPr>
              <w:rPr>
                <w:rFonts w:cs="Arial"/>
                <w:sz w:val="20"/>
                <w:szCs w:val="20"/>
              </w:rPr>
            </w:pPr>
            <w:r>
              <w:rPr>
                <w:rFonts w:cs="Arial"/>
                <w:sz w:val="20"/>
                <w:szCs w:val="20"/>
              </w:rPr>
              <w:t>See above</w:t>
            </w:r>
            <w:r w:rsidR="00FB037E">
              <w:rPr>
                <w:rFonts w:cs="Arial"/>
                <w:sz w:val="20"/>
                <w:szCs w:val="20"/>
              </w:rPr>
              <w:t xml:space="preserve"> response</w:t>
            </w:r>
            <w:r w:rsidR="002065DB">
              <w:rPr>
                <w:rFonts w:cs="Arial"/>
                <w:sz w:val="20"/>
                <w:szCs w:val="20"/>
              </w:rPr>
              <w:t>.</w:t>
            </w:r>
          </w:p>
        </w:tc>
      </w:tr>
      <w:tr w:rsidR="004D7999" w14:paraId="645D1495" w14:textId="77777777" w:rsidTr="004D7999">
        <w:tc>
          <w:tcPr>
            <w:tcW w:w="1736" w:type="pct"/>
            <w:shd w:val="clear" w:color="auto" w:fill="auto"/>
          </w:tcPr>
          <w:p w14:paraId="12A05A78" w14:textId="77A4A4E2" w:rsidR="004D7999" w:rsidRDefault="004D7999" w:rsidP="00892286">
            <w:pPr>
              <w:autoSpaceDE w:val="0"/>
              <w:autoSpaceDN w:val="0"/>
              <w:adjustRightInd w:val="0"/>
              <w:rPr>
                <w:rFonts w:cs="Arial"/>
                <w:color w:val="000000"/>
                <w:sz w:val="20"/>
                <w:szCs w:val="20"/>
              </w:rPr>
            </w:pPr>
            <w:r>
              <w:rPr>
                <w:rFonts w:cs="Arial"/>
                <w:sz w:val="20"/>
                <w:szCs w:val="20"/>
              </w:rPr>
              <w:t>Prescribing ingredient names would preclude the use of acronyms (</w:t>
            </w:r>
            <w:r w:rsidR="00B51870">
              <w:rPr>
                <w:rFonts w:cs="Arial"/>
                <w:sz w:val="20"/>
                <w:szCs w:val="20"/>
              </w:rPr>
              <w:t>2′</w:t>
            </w:r>
            <w:r>
              <w:rPr>
                <w:rFonts w:cs="Arial"/>
                <w:sz w:val="20"/>
                <w:szCs w:val="20"/>
              </w:rPr>
              <w:t xml:space="preserve">-FL and LNnT) in the </w:t>
            </w:r>
            <w:r w:rsidR="00892286">
              <w:rPr>
                <w:rFonts w:cs="Arial"/>
                <w:sz w:val="20"/>
                <w:szCs w:val="20"/>
              </w:rPr>
              <w:t>nutrition information panel (</w:t>
            </w:r>
            <w:r>
              <w:rPr>
                <w:rFonts w:cs="Arial"/>
                <w:sz w:val="20"/>
                <w:szCs w:val="20"/>
              </w:rPr>
              <w:t>NIP</w:t>
            </w:r>
            <w:r w:rsidR="00892286">
              <w:rPr>
                <w:rFonts w:cs="Arial"/>
                <w:sz w:val="20"/>
                <w:szCs w:val="20"/>
              </w:rPr>
              <w:t>)</w:t>
            </w:r>
            <w:r w:rsidR="002065DB">
              <w:rPr>
                <w:rFonts w:cs="Arial"/>
                <w:sz w:val="20"/>
                <w:szCs w:val="20"/>
              </w:rPr>
              <w:t>.</w:t>
            </w:r>
          </w:p>
        </w:tc>
        <w:tc>
          <w:tcPr>
            <w:tcW w:w="844" w:type="pct"/>
            <w:shd w:val="clear" w:color="auto" w:fill="auto"/>
          </w:tcPr>
          <w:p w14:paraId="2CBB791F" w14:textId="77777777" w:rsidR="004D7999" w:rsidRPr="00084B50" w:rsidRDefault="004D7999" w:rsidP="005F2E79">
            <w:pPr>
              <w:rPr>
                <w:rFonts w:cs="Arial"/>
                <w:sz w:val="20"/>
                <w:szCs w:val="20"/>
              </w:rPr>
            </w:pPr>
            <w:r w:rsidRPr="00084B50">
              <w:rPr>
                <w:rFonts w:cs="Arial"/>
                <w:sz w:val="20"/>
                <w:szCs w:val="20"/>
              </w:rPr>
              <w:t>INC</w:t>
            </w:r>
          </w:p>
        </w:tc>
        <w:tc>
          <w:tcPr>
            <w:tcW w:w="2420" w:type="pct"/>
            <w:shd w:val="clear" w:color="auto" w:fill="auto"/>
          </w:tcPr>
          <w:p w14:paraId="3693EFA3" w14:textId="5DF1BC8A" w:rsidR="004D7999" w:rsidRDefault="004D7999" w:rsidP="005F2E79">
            <w:pPr>
              <w:rPr>
                <w:rFonts w:cs="Arial"/>
                <w:sz w:val="20"/>
                <w:szCs w:val="20"/>
              </w:rPr>
            </w:pPr>
            <w:r>
              <w:rPr>
                <w:rFonts w:cs="Arial"/>
                <w:sz w:val="20"/>
                <w:szCs w:val="20"/>
              </w:rPr>
              <w:t xml:space="preserve">The proposed revised approach in which the ingredient names are not prescribed would also mean that the use of </w:t>
            </w:r>
            <w:r w:rsidR="000052DB">
              <w:rPr>
                <w:rFonts w:cs="Arial"/>
                <w:sz w:val="20"/>
                <w:szCs w:val="20"/>
              </w:rPr>
              <w:t xml:space="preserve">their </w:t>
            </w:r>
            <w:r w:rsidR="002065DB">
              <w:rPr>
                <w:rFonts w:cs="Arial"/>
                <w:sz w:val="20"/>
                <w:szCs w:val="20"/>
              </w:rPr>
              <w:t>acronyms is not prohibited.</w:t>
            </w:r>
          </w:p>
        </w:tc>
      </w:tr>
      <w:tr w:rsidR="004D7999" w14:paraId="68F46FFC" w14:textId="77777777" w:rsidTr="00865BA6">
        <w:tc>
          <w:tcPr>
            <w:tcW w:w="1736" w:type="pct"/>
            <w:shd w:val="clear" w:color="auto" w:fill="EAF1DD" w:themeFill="accent3" w:themeFillTint="33"/>
          </w:tcPr>
          <w:p w14:paraId="61EB8632" w14:textId="76DE78CE" w:rsidR="004D7999" w:rsidRDefault="006D08D7" w:rsidP="006D08D7">
            <w:pPr>
              <w:autoSpaceDE w:val="0"/>
              <w:autoSpaceDN w:val="0"/>
              <w:adjustRightInd w:val="0"/>
              <w:rPr>
                <w:rFonts w:cs="Arial"/>
                <w:color w:val="000000"/>
                <w:sz w:val="20"/>
                <w:szCs w:val="20"/>
              </w:rPr>
            </w:pPr>
            <w:r>
              <w:rPr>
                <w:rFonts w:cs="Arial"/>
                <w:sz w:val="20"/>
                <w:szCs w:val="20"/>
              </w:rPr>
              <w:t>Disagrees</w:t>
            </w:r>
            <w:r w:rsidR="004D7999">
              <w:rPr>
                <w:rFonts w:cs="Arial"/>
                <w:sz w:val="20"/>
                <w:szCs w:val="20"/>
              </w:rPr>
              <w:t xml:space="preserve"> with FSANZ’s view that term</w:t>
            </w:r>
            <w:r>
              <w:rPr>
                <w:rFonts w:cs="Arial"/>
                <w:sz w:val="20"/>
                <w:szCs w:val="20"/>
              </w:rPr>
              <w:t>s</w:t>
            </w:r>
            <w:r w:rsidR="004D7999">
              <w:rPr>
                <w:rFonts w:cs="Arial"/>
                <w:sz w:val="20"/>
                <w:szCs w:val="20"/>
              </w:rPr>
              <w:t xml:space="preserve"> ‘human identical milk oligosaccharides’ or ‘HiMO’ is prohibited under 2.9.1 – 24; or considers that this terminology should be able to be used. This terminology is technically correct, is used internationally, and is helpful to consumers.</w:t>
            </w:r>
          </w:p>
        </w:tc>
        <w:tc>
          <w:tcPr>
            <w:tcW w:w="844" w:type="pct"/>
            <w:shd w:val="clear" w:color="auto" w:fill="EAF1DD" w:themeFill="accent3" w:themeFillTint="33"/>
          </w:tcPr>
          <w:p w14:paraId="238825DA" w14:textId="77777777" w:rsidR="004D7999" w:rsidRPr="00084B50" w:rsidRDefault="004D7999" w:rsidP="005F2E79">
            <w:pPr>
              <w:rPr>
                <w:rFonts w:cs="Arial"/>
                <w:sz w:val="20"/>
                <w:szCs w:val="20"/>
              </w:rPr>
            </w:pPr>
            <w:r w:rsidRPr="00084B50">
              <w:rPr>
                <w:rFonts w:cs="Arial"/>
                <w:sz w:val="20"/>
                <w:szCs w:val="20"/>
              </w:rPr>
              <w:t>NZFGC, INC, Nestle</w:t>
            </w:r>
          </w:p>
        </w:tc>
        <w:tc>
          <w:tcPr>
            <w:tcW w:w="2420" w:type="pct"/>
            <w:shd w:val="clear" w:color="auto" w:fill="EAF1DD" w:themeFill="accent3" w:themeFillTint="33"/>
          </w:tcPr>
          <w:p w14:paraId="2E25532B" w14:textId="6C40ED4B" w:rsidR="004D7999" w:rsidRDefault="00D27EE4" w:rsidP="005F2E79">
            <w:pPr>
              <w:rPr>
                <w:rFonts w:cs="Arial"/>
                <w:sz w:val="20"/>
                <w:szCs w:val="20"/>
              </w:rPr>
            </w:pPr>
            <w:r>
              <w:rPr>
                <w:rFonts w:cs="Arial"/>
                <w:sz w:val="20"/>
                <w:szCs w:val="20"/>
              </w:rPr>
              <w:t>Noted, see approach above to specifically prohibit such terms.</w:t>
            </w:r>
          </w:p>
        </w:tc>
      </w:tr>
      <w:tr w:rsidR="004D7999" w14:paraId="086F60AF" w14:textId="77777777" w:rsidTr="004D7999">
        <w:tc>
          <w:tcPr>
            <w:tcW w:w="1736" w:type="pct"/>
          </w:tcPr>
          <w:p w14:paraId="04790ED0" w14:textId="0F67857E" w:rsidR="004D7999" w:rsidRPr="00C928EB" w:rsidRDefault="004D7999" w:rsidP="005F2E79">
            <w:pPr>
              <w:rPr>
                <w:rFonts w:cs="Arial"/>
                <w:sz w:val="20"/>
                <w:szCs w:val="20"/>
              </w:rPr>
            </w:pPr>
            <w:r w:rsidRPr="00C928EB">
              <w:rPr>
                <w:rFonts w:cs="Arial"/>
                <w:sz w:val="20"/>
                <w:szCs w:val="20"/>
              </w:rPr>
              <w:t>Propos</w:t>
            </w:r>
            <w:r>
              <w:rPr>
                <w:rFonts w:cs="Arial"/>
                <w:sz w:val="20"/>
                <w:szCs w:val="20"/>
              </w:rPr>
              <w:t>ed</w:t>
            </w:r>
            <w:r w:rsidRPr="00C928EB">
              <w:rPr>
                <w:rFonts w:cs="Arial"/>
                <w:sz w:val="20"/>
                <w:szCs w:val="20"/>
              </w:rPr>
              <w:t xml:space="preserve"> additions to Schedule 4</w:t>
            </w:r>
            <w:r>
              <w:rPr>
                <w:rFonts w:cs="Arial"/>
                <w:sz w:val="20"/>
                <w:szCs w:val="20"/>
              </w:rPr>
              <w:t>:</w:t>
            </w:r>
          </w:p>
          <w:p w14:paraId="7F962852" w14:textId="28C13347" w:rsidR="00B171B0" w:rsidRDefault="004D7999" w:rsidP="00B171B0">
            <w:pPr>
              <w:pStyle w:val="ListParagraph"/>
              <w:widowControl/>
              <w:numPr>
                <w:ilvl w:val="0"/>
                <w:numId w:val="34"/>
              </w:numPr>
              <w:ind w:left="589" w:hanging="589"/>
              <w:rPr>
                <w:rFonts w:cs="Arial"/>
                <w:sz w:val="20"/>
                <w:szCs w:val="20"/>
              </w:rPr>
            </w:pPr>
            <w:r w:rsidRPr="00435FB6">
              <w:rPr>
                <w:rFonts w:cs="Arial"/>
                <w:sz w:val="20"/>
                <w:szCs w:val="20"/>
              </w:rPr>
              <w:t xml:space="preserve">Advocates a pre-approved listing in Schedule 4 for any substantiated food-health relationships to underpin any health claims that may appear on FSFYC products containing </w:t>
            </w:r>
            <w:r w:rsidR="00B51870">
              <w:rPr>
                <w:rFonts w:cs="Arial"/>
                <w:sz w:val="20"/>
                <w:szCs w:val="20"/>
              </w:rPr>
              <w:t>2′</w:t>
            </w:r>
            <w:r w:rsidRPr="00435FB6">
              <w:rPr>
                <w:rFonts w:cs="Arial"/>
                <w:sz w:val="20"/>
                <w:szCs w:val="20"/>
              </w:rPr>
              <w:t>-FL and LNnT, to provide national consistency and</w:t>
            </w:r>
            <w:r w:rsidR="00B171B0">
              <w:rPr>
                <w:rFonts w:cs="Arial"/>
                <w:sz w:val="20"/>
                <w:szCs w:val="20"/>
              </w:rPr>
              <w:t xml:space="preserve"> clarity on permissible claims.</w:t>
            </w:r>
          </w:p>
          <w:p w14:paraId="594AB09F" w14:textId="59CF44FB" w:rsidR="004D7999" w:rsidRDefault="0063484E" w:rsidP="00B171B0">
            <w:pPr>
              <w:pStyle w:val="ListParagraph"/>
              <w:widowControl/>
              <w:numPr>
                <w:ilvl w:val="0"/>
                <w:numId w:val="34"/>
              </w:numPr>
              <w:ind w:left="589" w:hanging="589"/>
              <w:rPr>
                <w:rFonts w:cs="Arial"/>
                <w:sz w:val="20"/>
                <w:szCs w:val="20"/>
              </w:rPr>
            </w:pPr>
            <w:r>
              <w:rPr>
                <w:rFonts w:cs="Arial"/>
                <w:sz w:val="20"/>
                <w:szCs w:val="20"/>
              </w:rPr>
              <w:t>A</w:t>
            </w:r>
            <w:r w:rsidR="004D7999" w:rsidRPr="00435FB6">
              <w:rPr>
                <w:rFonts w:cs="Arial"/>
                <w:sz w:val="20"/>
                <w:szCs w:val="20"/>
              </w:rPr>
              <w:t>dvocates a listing in Schedule 4 for any permissible nutrition content claims (e.g. contains ‘HMO’ or contains ‘X</w:t>
            </w:r>
            <w:r w:rsidR="004D7999">
              <w:rPr>
                <w:rFonts w:cs="Arial"/>
                <w:sz w:val="20"/>
                <w:szCs w:val="20"/>
              </w:rPr>
              <w:t xml:space="preserve"> </w:t>
            </w:r>
            <w:r w:rsidR="004D7999" w:rsidRPr="00435FB6">
              <w:rPr>
                <w:rFonts w:cs="Arial"/>
                <w:sz w:val="20"/>
                <w:szCs w:val="20"/>
              </w:rPr>
              <w:t>g of human milk oligosaccharides’) that may arise.</w:t>
            </w:r>
          </w:p>
        </w:tc>
        <w:tc>
          <w:tcPr>
            <w:tcW w:w="844" w:type="pct"/>
          </w:tcPr>
          <w:p w14:paraId="2166B14F" w14:textId="77777777" w:rsidR="004D7999" w:rsidRPr="00084B50" w:rsidRDefault="004D7999" w:rsidP="005F2E79">
            <w:pPr>
              <w:rPr>
                <w:rFonts w:cs="Arial"/>
                <w:sz w:val="20"/>
                <w:szCs w:val="20"/>
              </w:rPr>
            </w:pPr>
            <w:r w:rsidRPr="00084B50">
              <w:rPr>
                <w:rFonts w:cs="Arial"/>
                <w:sz w:val="20"/>
                <w:szCs w:val="20"/>
              </w:rPr>
              <w:t>NSWFA</w:t>
            </w:r>
          </w:p>
        </w:tc>
        <w:tc>
          <w:tcPr>
            <w:tcW w:w="2420" w:type="pct"/>
            <w:shd w:val="clear" w:color="auto" w:fill="auto"/>
          </w:tcPr>
          <w:p w14:paraId="3ED3B0F8" w14:textId="34879E35" w:rsidR="004D7999" w:rsidRPr="0063484E" w:rsidRDefault="004D7999" w:rsidP="005F2E79">
            <w:pPr>
              <w:pStyle w:val="Default"/>
              <w:rPr>
                <w:rFonts w:ascii="Arial" w:hAnsi="Arial" w:cs="Arial"/>
                <w:sz w:val="20"/>
                <w:szCs w:val="20"/>
              </w:rPr>
            </w:pPr>
            <w:r w:rsidRPr="0063484E">
              <w:rPr>
                <w:rFonts w:ascii="Arial" w:hAnsi="Arial" w:cs="Arial"/>
                <w:sz w:val="20"/>
                <w:szCs w:val="20"/>
              </w:rPr>
              <w:t>The applicant has not sought to add a food-health relationship to Schedule 4</w:t>
            </w:r>
            <w:r w:rsidR="00F310F5">
              <w:rPr>
                <w:rFonts w:ascii="Arial" w:hAnsi="Arial" w:cs="Arial"/>
                <w:sz w:val="20"/>
                <w:szCs w:val="20"/>
              </w:rPr>
              <w:t xml:space="preserve"> for FSFYC</w:t>
            </w:r>
            <w:r w:rsidRPr="0063484E">
              <w:rPr>
                <w:rFonts w:ascii="Arial" w:hAnsi="Arial" w:cs="Arial"/>
                <w:sz w:val="20"/>
                <w:szCs w:val="20"/>
              </w:rPr>
              <w:t xml:space="preserve">, for either a general level health or a high level health claim. </w:t>
            </w:r>
          </w:p>
          <w:p w14:paraId="5A38F4FB" w14:textId="77777777" w:rsidR="004D7999" w:rsidRPr="0063484E" w:rsidRDefault="004D7999" w:rsidP="005F2E79">
            <w:pPr>
              <w:pStyle w:val="Default"/>
              <w:rPr>
                <w:rFonts w:ascii="Arial" w:hAnsi="Arial" w:cs="Arial"/>
                <w:sz w:val="20"/>
                <w:szCs w:val="20"/>
              </w:rPr>
            </w:pPr>
          </w:p>
          <w:p w14:paraId="6ACE50FE" w14:textId="696234F8" w:rsidR="004D7999" w:rsidRDefault="00D64E0E" w:rsidP="005F2E79">
            <w:pPr>
              <w:pStyle w:val="Default"/>
              <w:rPr>
                <w:rFonts w:ascii="Arial" w:hAnsi="Arial" w:cs="Arial"/>
                <w:sz w:val="20"/>
                <w:szCs w:val="20"/>
              </w:rPr>
            </w:pPr>
            <w:r>
              <w:rPr>
                <w:rFonts w:ascii="Arial" w:hAnsi="Arial" w:cs="Arial"/>
                <w:sz w:val="20"/>
                <w:szCs w:val="20"/>
              </w:rPr>
              <w:t>The proposed</w:t>
            </w:r>
            <w:r w:rsidR="002771E6">
              <w:rPr>
                <w:rFonts w:ascii="Arial" w:hAnsi="Arial" w:cs="Arial"/>
                <w:sz w:val="20"/>
                <w:szCs w:val="20"/>
              </w:rPr>
              <w:t xml:space="preserve"> prohibition of </w:t>
            </w:r>
            <w:r w:rsidR="004D7999" w:rsidRPr="0063484E">
              <w:rPr>
                <w:rFonts w:ascii="Arial" w:hAnsi="Arial" w:cs="Arial"/>
                <w:sz w:val="20"/>
                <w:szCs w:val="20"/>
              </w:rPr>
              <w:t>terms ‘human milk identical</w:t>
            </w:r>
            <w:r w:rsidR="0004633B">
              <w:rPr>
                <w:rFonts w:ascii="Arial" w:hAnsi="Arial" w:cs="Arial"/>
                <w:sz w:val="20"/>
                <w:szCs w:val="20"/>
              </w:rPr>
              <w:t xml:space="preserve"> oligosaccharide</w:t>
            </w:r>
            <w:r w:rsidR="004D7999" w:rsidRPr="0063484E">
              <w:rPr>
                <w:rFonts w:ascii="Arial" w:hAnsi="Arial" w:cs="Arial"/>
                <w:sz w:val="20"/>
                <w:szCs w:val="20"/>
              </w:rPr>
              <w:t>’, ‘human milk</w:t>
            </w:r>
            <w:r w:rsidR="00325C3F">
              <w:rPr>
                <w:rFonts w:ascii="Arial" w:hAnsi="Arial" w:cs="Arial"/>
                <w:sz w:val="20"/>
                <w:szCs w:val="20"/>
              </w:rPr>
              <w:t>’</w:t>
            </w:r>
            <w:r w:rsidR="004D7999" w:rsidRPr="0063484E">
              <w:rPr>
                <w:rFonts w:ascii="Arial" w:hAnsi="Arial" w:cs="Arial"/>
                <w:sz w:val="20"/>
                <w:szCs w:val="20"/>
              </w:rPr>
              <w:t xml:space="preserve"> oligosaccharide’, ‘HiMO’ or ‘HMO’ (or words </w:t>
            </w:r>
            <w:r w:rsidR="00325C3F">
              <w:rPr>
                <w:rFonts w:ascii="Arial" w:hAnsi="Arial" w:cs="Arial"/>
                <w:sz w:val="20"/>
                <w:szCs w:val="20"/>
              </w:rPr>
              <w:t>or abbreviations</w:t>
            </w:r>
            <w:r w:rsidR="004D7999" w:rsidRPr="0063484E">
              <w:rPr>
                <w:rFonts w:ascii="Arial" w:hAnsi="Arial" w:cs="Arial"/>
                <w:sz w:val="20"/>
                <w:szCs w:val="20"/>
              </w:rPr>
              <w:t xml:space="preserve"> of similar effect) on FSFYC would mean a nutrition content claim or health claim using this terminology could not be made. </w:t>
            </w:r>
          </w:p>
          <w:p w14:paraId="01393740" w14:textId="77777777" w:rsidR="00DC75B7" w:rsidRPr="0063484E" w:rsidRDefault="00DC75B7" w:rsidP="005F2E79">
            <w:pPr>
              <w:pStyle w:val="Default"/>
              <w:rPr>
                <w:rFonts w:ascii="Arial" w:hAnsi="Arial" w:cs="Arial"/>
                <w:sz w:val="20"/>
                <w:szCs w:val="20"/>
              </w:rPr>
            </w:pPr>
          </w:p>
          <w:p w14:paraId="24B63919" w14:textId="0A78E3E0" w:rsidR="00B171B0" w:rsidRDefault="004D7999" w:rsidP="0063484E">
            <w:pPr>
              <w:pStyle w:val="Default"/>
              <w:rPr>
                <w:rFonts w:ascii="Arial" w:hAnsi="Arial" w:cs="Arial"/>
                <w:sz w:val="20"/>
                <w:szCs w:val="20"/>
              </w:rPr>
            </w:pPr>
            <w:r w:rsidRPr="0063484E">
              <w:rPr>
                <w:rFonts w:ascii="Arial" w:hAnsi="Arial" w:cs="Arial"/>
                <w:sz w:val="20"/>
                <w:szCs w:val="20"/>
              </w:rPr>
              <w:t>FSANZ notes that listing a pre-approved claim</w:t>
            </w:r>
            <w:r w:rsidR="002771E6">
              <w:rPr>
                <w:rFonts w:ascii="Arial" w:hAnsi="Arial" w:cs="Arial"/>
                <w:sz w:val="20"/>
                <w:szCs w:val="20"/>
              </w:rPr>
              <w:t xml:space="preserve"> in</w:t>
            </w:r>
            <w:r w:rsidRPr="0063484E">
              <w:rPr>
                <w:rFonts w:ascii="Arial" w:hAnsi="Arial" w:cs="Arial"/>
                <w:sz w:val="20"/>
                <w:szCs w:val="20"/>
              </w:rPr>
              <w:t xml:space="preserve"> Schedule 4 does not preclude additio</w:t>
            </w:r>
            <w:r w:rsidR="0063484E" w:rsidRPr="0063484E">
              <w:rPr>
                <w:rFonts w:ascii="Arial" w:hAnsi="Arial" w:cs="Arial"/>
                <w:sz w:val="20"/>
                <w:szCs w:val="20"/>
              </w:rPr>
              <w:t>nal self-substantiated claims.</w:t>
            </w:r>
          </w:p>
          <w:p w14:paraId="5ACAAD2A" w14:textId="77777777" w:rsidR="00072A22" w:rsidRDefault="00072A22" w:rsidP="0063484E">
            <w:pPr>
              <w:pStyle w:val="Default"/>
              <w:rPr>
                <w:rFonts w:ascii="Arial" w:hAnsi="Arial" w:cs="Arial"/>
                <w:sz w:val="20"/>
                <w:szCs w:val="20"/>
              </w:rPr>
            </w:pPr>
          </w:p>
          <w:p w14:paraId="2848B5B3" w14:textId="2C78F7E3" w:rsidR="002C72C1" w:rsidRPr="00F310F5" w:rsidRDefault="002C72C1" w:rsidP="001B4126">
            <w:pPr>
              <w:pStyle w:val="Default"/>
              <w:rPr>
                <w:rFonts w:ascii="Arial" w:hAnsi="Arial" w:cs="Arial"/>
                <w:sz w:val="20"/>
                <w:szCs w:val="20"/>
              </w:rPr>
            </w:pPr>
            <w:r w:rsidRPr="00F310F5">
              <w:rPr>
                <w:rFonts w:ascii="Arial" w:hAnsi="Arial" w:cs="Arial"/>
                <w:sz w:val="20"/>
                <w:szCs w:val="20"/>
              </w:rPr>
              <w:t xml:space="preserve">A voluntary nutrition content claim about </w:t>
            </w:r>
            <w:r w:rsidR="00B51870">
              <w:rPr>
                <w:rFonts w:ascii="Arial" w:hAnsi="Arial" w:cs="Arial"/>
                <w:sz w:val="20"/>
                <w:szCs w:val="20"/>
              </w:rPr>
              <w:t>2′</w:t>
            </w:r>
            <w:r w:rsidRPr="00F310F5">
              <w:rPr>
                <w:rFonts w:ascii="Arial" w:hAnsi="Arial" w:cs="Arial"/>
                <w:sz w:val="20"/>
                <w:szCs w:val="20"/>
              </w:rPr>
              <w:t xml:space="preserve">-FL or LNnT on the label of FSFYC would be subject to the requirements in </w:t>
            </w:r>
            <w:r w:rsidRPr="00B171B0">
              <w:rPr>
                <w:rFonts w:ascii="Arial" w:hAnsi="Arial" w:cs="Arial"/>
                <w:sz w:val="20"/>
                <w:szCs w:val="20"/>
              </w:rPr>
              <w:t>Standard 1.2.7</w:t>
            </w:r>
            <w:r w:rsidR="00155CC2" w:rsidRPr="00B171B0">
              <w:rPr>
                <w:rFonts w:ascii="Arial" w:hAnsi="Arial" w:cs="Arial"/>
                <w:sz w:val="20"/>
                <w:szCs w:val="20"/>
              </w:rPr>
              <w:t>—13 (Nutrition content claims about properties of food not in section S4—3)</w:t>
            </w:r>
            <w:r w:rsidRPr="00F310F5">
              <w:rPr>
                <w:rFonts w:ascii="Arial" w:hAnsi="Arial" w:cs="Arial"/>
                <w:sz w:val="20"/>
                <w:szCs w:val="20"/>
              </w:rPr>
              <w:t xml:space="preserve"> and nutrition information requirements in Standard 1.2.8 (the latter includes the requirement for a declaration in the NIP).</w:t>
            </w:r>
          </w:p>
        </w:tc>
      </w:tr>
      <w:tr w:rsidR="004D7999" w:rsidRPr="00426B41" w14:paraId="6CD8FA2B" w14:textId="77777777" w:rsidTr="00865BA6">
        <w:tc>
          <w:tcPr>
            <w:tcW w:w="1736" w:type="pct"/>
            <w:shd w:val="clear" w:color="auto" w:fill="EAF1DD" w:themeFill="accent3" w:themeFillTint="33"/>
          </w:tcPr>
          <w:p w14:paraId="33DCC615" w14:textId="2CED50EE" w:rsidR="004D7999" w:rsidRDefault="004D7999" w:rsidP="005F2E79">
            <w:pPr>
              <w:rPr>
                <w:rFonts w:cs="Arial"/>
                <w:sz w:val="20"/>
                <w:szCs w:val="20"/>
              </w:rPr>
            </w:pPr>
            <w:r>
              <w:rPr>
                <w:rFonts w:cs="Arial"/>
                <w:sz w:val="20"/>
                <w:szCs w:val="20"/>
              </w:rPr>
              <w:t>Seeks clarity about the nature of claims that could be made</w:t>
            </w:r>
            <w:r w:rsidR="0063484E">
              <w:rPr>
                <w:rFonts w:cs="Arial"/>
                <w:sz w:val="20"/>
                <w:szCs w:val="20"/>
              </w:rPr>
              <w:t>:</w:t>
            </w:r>
          </w:p>
          <w:p w14:paraId="3FB2AD40" w14:textId="1466A3F5" w:rsidR="004D7999" w:rsidRPr="0063484E" w:rsidRDefault="004D7999" w:rsidP="0063484E">
            <w:pPr>
              <w:pStyle w:val="ListParagraph"/>
              <w:widowControl/>
              <w:numPr>
                <w:ilvl w:val="0"/>
                <w:numId w:val="33"/>
              </w:numPr>
              <w:ind w:left="589" w:hanging="589"/>
              <w:rPr>
                <w:rFonts w:cs="Arial"/>
                <w:sz w:val="20"/>
                <w:szCs w:val="20"/>
              </w:rPr>
            </w:pPr>
            <w:r>
              <w:rPr>
                <w:rFonts w:cs="Arial"/>
                <w:sz w:val="20"/>
                <w:szCs w:val="20"/>
              </w:rPr>
              <w:t>Considers t</w:t>
            </w:r>
            <w:r w:rsidRPr="00426B41">
              <w:rPr>
                <w:rFonts w:cs="Arial"/>
                <w:sz w:val="20"/>
                <w:szCs w:val="20"/>
              </w:rPr>
              <w:t xml:space="preserve">he evidence provided for the anti-infective </w:t>
            </w:r>
            <w:r>
              <w:rPr>
                <w:rFonts w:cs="Arial"/>
                <w:sz w:val="20"/>
                <w:szCs w:val="20"/>
              </w:rPr>
              <w:t xml:space="preserve">and </w:t>
            </w:r>
            <w:r w:rsidRPr="00320255">
              <w:rPr>
                <w:rFonts w:cs="Arial"/>
                <w:sz w:val="20"/>
                <w:szCs w:val="20"/>
              </w:rPr>
              <w:t>bifidogenic effect</w:t>
            </w:r>
            <w:r>
              <w:rPr>
                <w:rFonts w:cs="Arial"/>
                <w:sz w:val="20"/>
                <w:szCs w:val="20"/>
              </w:rPr>
              <w:t>s are</w:t>
            </w:r>
            <w:r w:rsidRPr="00320255">
              <w:rPr>
                <w:rFonts w:cs="Arial"/>
                <w:sz w:val="20"/>
                <w:szCs w:val="20"/>
              </w:rPr>
              <w:t xml:space="preserve"> </w:t>
            </w:r>
            <w:r w:rsidRPr="00426B41">
              <w:rPr>
                <w:rFonts w:cs="Arial"/>
                <w:sz w:val="20"/>
                <w:szCs w:val="20"/>
              </w:rPr>
              <w:t xml:space="preserve">not satisfactory to permit </w:t>
            </w:r>
            <w:r w:rsidR="00892286">
              <w:rPr>
                <w:rFonts w:cs="Arial"/>
                <w:sz w:val="20"/>
                <w:szCs w:val="20"/>
              </w:rPr>
              <w:t xml:space="preserve">health </w:t>
            </w:r>
            <w:r w:rsidRPr="00426B41">
              <w:rPr>
                <w:rFonts w:cs="Arial"/>
                <w:sz w:val="20"/>
                <w:szCs w:val="20"/>
              </w:rPr>
              <w:t>claims</w:t>
            </w:r>
            <w:r>
              <w:rPr>
                <w:rFonts w:cs="Arial"/>
                <w:sz w:val="20"/>
                <w:szCs w:val="20"/>
              </w:rPr>
              <w:t xml:space="preserve"> (for FSFYC</w:t>
            </w:r>
            <w:r w:rsidRPr="00320255">
              <w:rPr>
                <w:rFonts w:cs="Arial"/>
                <w:sz w:val="20"/>
                <w:szCs w:val="20"/>
              </w:rPr>
              <w:t>)</w:t>
            </w:r>
            <w:r>
              <w:rPr>
                <w:rFonts w:cs="Arial"/>
                <w:sz w:val="20"/>
                <w:szCs w:val="20"/>
              </w:rPr>
              <w:t>.</w:t>
            </w:r>
          </w:p>
          <w:p w14:paraId="45C9B3FF" w14:textId="0D560FE3" w:rsidR="004D7999" w:rsidRPr="0063484E" w:rsidRDefault="004D7999" w:rsidP="0063484E">
            <w:pPr>
              <w:pStyle w:val="ListParagraph"/>
              <w:widowControl/>
              <w:numPr>
                <w:ilvl w:val="0"/>
                <w:numId w:val="33"/>
              </w:numPr>
              <w:ind w:left="589" w:hanging="589"/>
              <w:rPr>
                <w:rFonts w:cs="Arial"/>
                <w:sz w:val="20"/>
                <w:szCs w:val="20"/>
              </w:rPr>
            </w:pPr>
            <w:r>
              <w:rPr>
                <w:rFonts w:cs="Arial"/>
                <w:sz w:val="20"/>
                <w:szCs w:val="20"/>
              </w:rPr>
              <w:t xml:space="preserve">Requests clarification on whether a health claim concerning the anti-infective effect against </w:t>
            </w:r>
            <w:r w:rsidRPr="00A32DB6">
              <w:rPr>
                <w:rFonts w:cs="Arial"/>
                <w:i/>
                <w:sz w:val="20"/>
                <w:szCs w:val="20"/>
              </w:rPr>
              <w:t>C.jejuni</w:t>
            </w:r>
            <w:r w:rsidRPr="00426B41">
              <w:rPr>
                <w:rFonts w:cs="Arial"/>
                <w:sz w:val="20"/>
                <w:szCs w:val="20"/>
              </w:rPr>
              <w:t xml:space="preserve"> </w:t>
            </w:r>
            <w:r>
              <w:rPr>
                <w:rFonts w:cs="Arial"/>
                <w:sz w:val="20"/>
                <w:szCs w:val="20"/>
              </w:rPr>
              <w:t>is a therapeutic claim or a permissible high level health claim (HLHC).</w:t>
            </w:r>
          </w:p>
          <w:p w14:paraId="660B07BD" w14:textId="13D0CFAE" w:rsidR="004D7999" w:rsidRPr="00426B41" w:rsidRDefault="004D7999" w:rsidP="004D7999">
            <w:pPr>
              <w:pStyle w:val="ListParagraph"/>
              <w:widowControl/>
              <w:numPr>
                <w:ilvl w:val="0"/>
                <w:numId w:val="33"/>
              </w:numPr>
              <w:ind w:left="589" w:hanging="589"/>
              <w:rPr>
                <w:rFonts w:cs="Arial"/>
                <w:sz w:val="20"/>
                <w:szCs w:val="20"/>
              </w:rPr>
            </w:pPr>
            <w:r w:rsidRPr="00847D17">
              <w:rPr>
                <w:rFonts w:cs="Arial"/>
                <w:sz w:val="20"/>
                <w:szCs w:val="20"/>
              </w:rPr>
              <w:t xml:space="preserve">Queries the status of declaration of presence of </w:t>
            </w:r>
            <w:r w:rsidR="00B51870">
              <w:rPr>
                <w:rFonts w:cs="Arial"/>
                <w:sz w:val="20"/>
                <w:szCs w:val="20"/>
              </w:rPr>
              <w:t>2′-</w:t>
            </w:r>
            <w:r w:rsidRPr="00847D17">
              <w:rPr>
                <w:rFonts w:cs="Arial"/>
                <w:sz w:val="20"/>
                <w:szCs w:val="20"/>
              </w:rPr>
              <w:t xml:space="preserve">FL and LNnT in FSFYC </w:t>
            </w:r>
            <w:r w:rsidRPr="003719EB">
              <w:rPr>
                <w:rFonts w:cs="Arial"/>
                <w:sz w:val="20"/>
                <w:szCs w:val="20"/>
              </w:rPr>
              <w:t>that do not bear a claim regulated by Standard 1.2.7 of the Code but make a claim according to the definition of claim under Standard 1.1.2 of the Code</w:t>
            </w:r>
            <w:r w:rsidRPr="00847D17">
              <w:rPr>
                <w:rFonts w:cs="Arial"/>
                <w:sz w:val="20"/>
                <w:szCs w:val="20"/>
              </w:rPr>
              <w:t>. Any claim made should trigger a declaration in the NIP.</w:t>
            </w:r>
          </w:p>
        </w:tc>
        <w:tc>
          <w:tcPr>
            <w:tcW w:w="844" w:type="pct"/>
            <w:shd w:val="clear" w:color="auto" w:fill="EAF1DD" w:themeFill="accent3" w:themeFillTint="33"/>
          </w:tcPr>
          <w:p w14:paraId="5034D026" w14:textId="77777777" w:rsidR="004D7999" w:rsidRPr="00084B50" w:rsidRDefault="004D7999" w:rsidP="005F2E79">
            <w:pPr>
              <w:rPr>
                <w:rFonts w:cs="Arial"/>
                <w:sz w:val="20"/>
                <w:szCs w:val="20"/>
              </w:rPr>
            </w:pPr>
            <w:r w:rsidRPr="00084B50">
              <w:rPr>
                <w:rFonts w:cs="Arial"/>
                <w:sz w:val="20"/>
                <w:szCs w:val="20"/>
              </w:rPr>
              <w:t>NSWFA</w:t>
            </w:r>
          </w:p>
          <w:p w14:paraId="152230A0" w14:textId="77777777" w:rsidR="004D7999" w:rsidRPr="00084B50" w:rsidRDefault="004D7999" w:rsidP="005F2E79">
            <w:pPr>
              <w:rPr>
                <w:rFonts w:cs="Arial"/>
                <w:sz w:val="20"/>
                <w:szCs w:val="20"/>
              </w:rPr>
            </w:pPr>
            <w:r w:rsidRPr="00084B50">
              <w:rPr>
                <w:rFonts w:cs="Arial"/>
                <w:sz w:val="20"/>
                <w:szCs w:val="20"/>
              </w:rPr>
              <w:t>QLD Health</w:t>
            </w:r>
          </w:p>
        </w:tc>
        <w:tc>
          <w:tcPr>
            <w:tcW w:w="2420" w:type="pct"/>
            <w:shd w:val="clear" w:color="auto" w:fill="EAF1DD" w:themeFill="accent3" w:themeFillTint="33"/>
          </w:tcPr>
          <w:p w14:paraId="09B140D9" w14:textId="5F59B042" w:rsidR="004D7999" w:rsidRPr="0063484E" w:rsidRDefault="004D7999" w:rsidP="005F2E79">
            <w:pPr>
              <w:pStyle w:val="Default"/>
              <w:rPr>
                <w:rFonts w:ascii="Arial" w:hAnsi="Arial" w:cs="Arial"/>
                <w:sz w:val="20"/>
                <w:szCs w:val="20"/>
              </w:rPr>
            </w:pPr>
            <w:r w:rsidRPr="0063484E">
              <w:rPr>
                <w:rFonts w:ascii="Arial" w:hAnsi="Arial" w:cs="Arial"/>
                <w:sz w:val="20"/>
                <w:szCs w:val="20"/>
              </w:rPr>
              <w:t xml:space="preserve">The evidence provided </w:t>
            </w:r>
            <w:r w:rsidR="00AB2563">
              <w:rPr>
                <w:rFonts w:ascii="Arial" w:hAnsi="Arial" w:cs="Arial"/>
                <w:sz w:val="20"/>
                <w:szCs w:val="20"/>
              </w:rPr>
              <w:t>supports</w:t>
            </w:r>
            <w:r w:rsidRPr="0063484E">
              <w:rPr>
                <w:rFonts w:ascii="Arial" w:hAnsi="Arial" w:cs="Arial"/>
                <w:sz w:val="20"/>
                <w:szCs w:val="20"/>
              </w:rPr>
              <w:t xml:space="preserve"> permission to add </w:t>
            </w:r>
            <w:r w:rsidR="00B51870">
              <w:rPr>
                <w:rFonts w:ascii="Arial" w:hAnsi="Arial" w:cs="Arial"/>
                <w:sz w:val="20"/>
                <w:szCs w:val="20"/>
              </w:rPr>
              <w:t>2′</w:t>
            </w:r>
            <w:r w:rsidRPr="0063484E">
              <w:rPr>
                <w:rFonts w:ascii="Arial" w:hAnsi="Arial" w:cs="Arial"/>
                <w:sz w:val="20"/>
                <w:szCs w:val="20"/>
              </w:rPr>
              <w:t>-FL and LNnT to infant formula and FSFYC. The applicant has not sought to add a food-health relationship to Schedule 4</w:t>
            </w:r>
            <w:r w:rsidR="00F310F5">
              <w:rPr>
                <w:rFonts w:ascii="Arial" w:hAnsi="Arial" w:cs="Arial"/>
                <w:sz w:val="20"/>
                <w:szCs w:val="20"/>
              </w:rPr>
              <w:t xml:space="preserve"> for FSFYC</w:t>
            </w:r>
            <w:r w:rsidRPr="0063484E">
              <w:rPr>
                <w:rFonts w:ascii="Arial" w:hAnsi="Arial" w:cs="Arial"/>
                <w:sz w:val="20"/>
                <w:szCs w:val="20"/>
              </w:rPr>
              <w:t>, for either a general level health or a high level health claim</w:t>
            </w:r>
            <w:r w:rsidR="00F310F5">
              <w:rPr>
                <w:rFonts w:ascii="Arial" w:hAnsi="Arial" w:cs="Arial"/>
                <w:sz w:val="20"/>
                <w:szCs w:val="20"/>
              </w:rPr>
              <w:t xml:space="preserve"> (noting infant formula products are prohibited from making claims)</w:t>
            </w:r>
            <w:r w:rsidR="002065DB">
              <w:rPr>
                <w:rFonts w:ascii="Arial" w:hAnsi="Arial" w:cs="Arial"/>
                <w:sz w:val="20"/>
                <w:szCs w:val="20"/>
              </w:rPr>
              <w:t>.</w:t>
            </w:r>
          </w:p>
          <w:p w14:paraId="70116E0A" w14:textId="77777777" w:rsidR="004D7999" w:rsidRPr="0063484E" w:rsidRDefault="004D7999" w:rsidP="005F2E79">
            <w:pPr>
              <w:rPr>
                <w:rFonts w:cs="Arial"/>
                <w:sz w:val="20"/>
                <w:szCs w:val="20"/>
              </w:rPr>
            </w:pPr>
          </w:p>
          <w:p w14:paraId="67B77216" w14:textId="75CC2E9A" w:rsidR="004D7999" w:rsidRPr="0063484E" w:rsidRDefault="004D7999" w:rsidP="005F2E79">
            <w:pPr>
              <w:rPr>
                <w:rFonts w:cs="Arial"/>
                <w:sz w:val="20"/>
                <w:szCs w:val="20"/>
              </w:rPr>
            </w:pPr>
            <w:r w:rsidRPr="0063484E">
              <w:rPr>
                <w:rFonts w:cs="Arial"/>
                <w:sz w:val="20"/>
                <w:szCs w:val="20"/>
              </w:rPr>
              <w:t>In relation to FSFYC, the existing prohibition for therapeutic claims and provisions for high level health claim</w:t>
            </w:r>
            <w:r w:rsidR="0063484E">
              <w:rPr>
                <w:rFonts w:cs="Arial"/>
                <w:sz w:val="20"/>
                <w:szCs w:val="20"/>
              </w:rPr>
              <w:t xml:space="preserve">s (including preapproval) will </w:t>
            </w:r>
            <w:r w:rsidRPr="0063484E">
              <w:rPr>
                <w:rFonts w:cs="Arial"/>
                <w:sz w:val="20"/>
                <w:szCs w:val="20"/>
              </w:rPr>
              <w:t>apply.</w:t>
            </w:r>
          </w:p>
          <w:p w14:paraId="03A0AAF6" w14:textId="77777777" w:rsidR="004D7999" w:rsidRPr="0063484E" w:rsidRDefault="004D7999" w:rsidP="005F2E79">
            <w:pPr>
              <w:rPr>
                <w:rFonts w:cs="Arial"/>
                <w:sz w:val="20"/>
                <w:szCs w:val="20"/>
              </w:rPr>
            </w:pPr>
          </w:p>
          <w:p w14:paraId="45CB413C" w14:textId="495663FD" w:rsidR="004D7999" w:rsidRPr="0063484E" w:rsidRDefault="006E68BE" w:rsidP="005F2E79">
            <w:pPr>
              <w:rPr>
                <w:rFonts w:cs="Arial"/>
                <w:sz w:val="20"/>
                <w:szCs w:val="20"/>
              </w:rPr>
            </w:pPr>
            <w:r>
              <w:rPr>
                <w:rFonts w:cs="Arial"/>
                <w:sz w:val="20"/>
                <w:szCs w:val="20"/>
              </w:rPr>
              <w:t>As t</w:t>
            </w:r>
            <w:r w:rsidR="004D7999" w:rsidRPr="0063484E">
              <w:rPr>
                <w:rFonts w:cs="Arial"/>
                <w:sz w:val="20"/>
                <w:szCs w:val="20"/>
              </w:rPr>
              <w:t>he terms ‘human milk identical</w:t>
            </w:r>
            <w:r w:rsidR="0059429F">
              <w:rPr>
                <w:rFonts w:cs="Arial"/>
                <w:sz w:val="20"/>
                <w:szCs w:val="20"/>
              </w:rPr>
              <w:t xml:space="preserve"> </w:t>
            </w:r>
            <w:r w:rsidR="006A67C3">
              <w:rPr>
                <w:rFonts w:cs="Arial"/>
                <w:sz w:val="20"/>
                <w:szCs w:val="20"/>
              </w:rPr>
              <w:t>oligosaccharide</w:t>
            </w:r>
            <w:r w:rsidR="006A67C3" w:rsidRPr="0063484E">
              <w:rPr>
                <w:rFonts w:cs="Arial"/>
                <w:sz w:val="20"/>
                <w:szCs w:val="20"/>
              </w:rPr>
              <w:t>’</w:t>
            </w:r>
            <w:r w:rsidR="004D7999" w:rsidRPr="0063484E">
              <w:rPr>
                <w:rFonts w:cs="Arial"/>
                <w:sz w:val="20"/>
                <w:szCs w:val="20"/>
              </w:rPr>
              <w:t>, ‘human milk</w:t>
            </w:r>
            <w:r w:rsidR="00325C3F">
              <w:rPr>
                <w:rFonts w:cs="Arial"/>
                <w:sz w:val="20"/>
                <w:szCs w:val="20"/>
              </w:rPr>
              <w:t>’</w:t>
            </w:r>
            <w:r w:rsidR="004D7999" w:rsidRPr="0063484E">
              <w:rPr>
                <w:rFonts w:cs="Arial"/>
                <w:sz w:val="20"/>
                <w:szCs w:val="20"/>
              </w:rPr>
              <w:t xml:space="preserve"> oligosaccharide’, ‘HiMO’ or ‘HMO’ (or words </w:t>
            </w:r>
            <w:r w:rsidR="00325C3F">
              <w:rPr>
                <w:rFonts w:cs="Arial"/>
                <w:sz w:val="20"/>
                <w:szCs w:val="20"/>
              </w:rPr>
              <w:t>or abbreviations</w:t>
            </w:r>
            <w:r w:rsidR="004D7999" w:rsidRPr="0063484E">
              <w:rPr>
                <w:rFonts w:cs="Arial"/>
                <w:sz w:val="20"/>
                <w:szCs w:val="20"/>
              </w:rPr>
              <w:t xml:space="preserve"> of similar effect) would be prohibited</w:t>
            </w:r>
            <w:r>
              <w:rPr>
                <w:rFonts w:cs="Arial"/>
                <w:sz w:val="20"/>
                <w:szCs w:val="20"/>
              </w:rPr>
              <w:t>, these</w:t>
            </w:r>
            <w:r w:rsidR="004D7999" w:rsidRPr="0063484E" w:rsidDel="006E68BE">
              <w:rPr>
                <w:rFonts w:cs="Arial"/>
                <w:sz w:val="20"/>
                <w:szCs w:val="20"/>
              </w:rPr>
              <w:t xml:space="preserve"> </w:t>
            </w:r>
            <w:r w:rsidR="005D193E">
              <w:rPr>
                <w:rFonts w:cs="Arial"/>
                <w:sz w:val="20"/>
                <w:szCs w:val="20"/>
              </w:rPr>
              <w:t xml:space="preserve">terms </w:t>
            </w:r>
            <w:r w:rsidR="004D7999" w:rsidRPr="0063484E">
              <w:rPr>
                <w:rFonts w:cs="Arial"/>
                <w:sz w:val="20"/>
                <w:szCs w:val="20"/>
              </w:rPr>
              <w:t xml:space="preserve">could not be used </w:t>
            </w:r>
            <w:r w:rsidR="005D193E">
              <w:rPr>
                <w:rFonts w:cs="Arial"/>
                <w:sz w:val="20"/>
                <w:szCs w:val="20"/>
              </w:rPr>
              <w:t>for</w:t>
            </w:r>
            <w:r w:rsidR="004D7999" w:rsidRPr="0063484E">
              <w:rPr>
                <w:rFonts w:cs="Arial"/>
                <w:sz w:val="20"/>
                <w:szCs w:val="20"/>
              </w:rPr>
              <w:t xml:space="preserve"> the </w:t>
            </w:r>
            <w:r w:rsidR="005D193E">
              <w:rPr>
                <w:rFonts w:cs="Arial"/>
                <w:sz w:val="20"/>
                <w:szCs w:val="20"/>
              </w:rPr>
              <w:t>purpose</w:t>
            </w:r>
            <w:r w:rsidR="004D7999" w:rsidRPr="0063484E">
              <w:rPr>
                <w:rFonts w:cs="Arial"/>
                <w:sz w:val="20"/>
                <w:szCs w:val="20"/>
              </w:rPr>
              <w:t xml:space="preserve"> of </w:t>
            </w:r>
            <w:r w:rsidR="005D193E">
              <w:rPr>
                <w:rFonts w:cs="Arial"/>
                <w:sz w:val="20"/>
                <w:szCs w:val="20"/>
              </w:rPr>
              <w:t>making labelling claims</w:t>
            </w:r>
            <w:r w:rsidR="004D7999" w:rsidRPr="0063484E">
              <w:rPr>
                <w:rFonts w:cs="Arial"/>
                <w:sz w:val="20"/>
                <w:szCs w:val="20"/>
              </w:rPr>
              <w:t>.</w:t>
            </w:r>
          </w:p>
          <w:p w14:paraId="21927889" w14:textId="77777777" w:rsidR="004D7999" w:rsidRPr="0063484E" w:rsidRDefault="004D7999" w:rsidP="005F2E79">
            <w:pPr>
              <w:rPr>
                <w:rFonts w:cs="Arial"/>
                <w:sz w:val="20"/>
                <w:szCs w:val="20"/>
              </w:rPr>
            </w:pPr>
          </w:p>
          <w:p w14:paraId="0B26DC2A" w14:textId="1AC8C1AA" w:rsidR="00A204E4" w:rsidRPr="0063484E" w:rsidRDefault="004D7999" w:rsidP="00132BC0">
            <w:pPr>
              <w:rPr>
                <w:rFonts w:cs="Arial"/>
                <w:sz w:val="20"/>
                <w:szCs w:val="20"/>
              </w:rPr>
            </w:pPr>
            <w:r w:rsidRPr="0063484E">
              <w:rPr>
                <w:rFonts w:cs="Arial"/>
                <w:sz w:val="20"/>
                <w:szCs w:val="20"/>
              </w:rPr>
              <w:t xml:space="preserve">A voluntary nutrition content claim about </w:t>
            </w:r>
            <w:r w:rsidR="00B51870">
              <w:rPr>
                <w:rFonts w:cs="Arial"/>
                <w:sz w:val="20"/>
                <w:szCs w:val="20"/>
              </w:rPr>
              <w:t>2′</w:t>
            </w:r>
            <w:r w:rsidRPr="0063484E">
              <w:rPr>
                <w:rFonts w:cs="Arial"/>
                <w:sz w:val="20"/>
                <w:szCs w:val="20"/>
              </w:rPr>
              <w:t xml:space="preserve">-FL or LNnT on the label of FSFYC would be subject to the claim requirements in Standard 1.2.7 and nutrition information requirements in Standard 1.2.8 (the latter includes the requirement </w:t>
            </w:r>
            <w:r w:rsidR="002065DB">
              <w:rPr>
                <w:rFonts w:cs="Arial"/>
                <w:sz w:val="20"/>
                <w:szCs w:val="20"/>
              </w:rPr>
              <w:t>for a declaration in the NIP).</w:t>
            </w:r>
          </w:p>
        </w:tc>
      </w:tr>
      <w:tr w:rsidR="004D7999" w:rsidRPr="00426B41" w14:paraId="78A6EB84" w14:textId="77777777" w:rsidTr="004D7999">
        <w:tc>
          <w:tcPr>
            <w:tcW w:w="1736" w:type="pct"/>
          </w:tcPr>
          <w:p w14:paraId="5B022554" w14:textId="1E3C0DC3" w:rsidR="004D7999" w:rsidRPr="00426B41" w:rsidRDefault="004D7999" w:rsidP="00047FE0">
            <w:pPr>
              <w:rPr>
                <w:rFonts w:cs="Arial"/>
                <w:sz w:val="20"/>
                <w:szCs w:val="20"/>
              </w:rPr>
            </w:pPr>
            <w:r w:rsidRPr="00426B41">
              <w:rPr>
                <w:rFonts w:cs="Arial"/>
                <w:sz w:val="20"/>
                <w:szCs w:val="20"/>
              </w:rPr>
              <w:t>FSANZ</w:t>
            </w:r>
            <w:r>
              <w:rPr>
                <w:rFonts w:cs="Arial"/>
                <w:sz w:val="20"/>
                <w:szCs w:val="20"/>
              </w:rPr>
              <w:t xml:space="preserve"> should</w:t>
            </w:r>
            <w:r w:rsidRPr="00426B41">
              <w:rPr>
                <w:rFonts w:cs="Arial"/>
                <w:sz w:val="20"/>
                <w:szCs w:val="20"/>
              </w:rPr>
              <w:t xml:space="preserve"> seek advice from the ACCC on the possibility of consumers being misled </w:t>
            </w:r>
            <w:r w:rsidR="00D64E0E">
              <w:rPr>
                <w:rFonts w:cs="Arial"/>
                <w:sz w:val="20"/>
                <w:szCs w:val="20"/>
              </w:rPr>
              <w:t>about</w:t>
            </w:r>
            <w:r w:rsidR="00D64E0E" w:rsidRPr="00426B41">
              <w:rPr>
                <w:rFonts w:cs="Arial"/>
                <w:sz w:val="20"/>
                <w:szCs w:val="20"/>
              </w:rPr>
              <w:t xml:space="preserve"> </w:t>
            </w:r>
            <w:r w:rsidRPr="00426B41">
              <w:rPr>
                <w:rFonts w:cs="Arial"/>
                <w:sz w:val="20"/>
                <w:szCs w:val="20"/>
              </w:rPr>
              <w:t xml:space="preserve">the source of </w:t>
            </w:r>
            <w:r w:rsidR="00D64E0E">
              <w:rPr>
                <w:rFonts w:cs="Arial"/>
                <w:sz w:val="20"/>
                <w:szCs w:val="20"/>
              </w:rPr>
              <w:t>HMO</w:t>
            </w:r>
            <w:r w:rsidRPr="00426B41">
              <w:rPr>
                <w:rFonts w:cs="Arial"/>
                <w:sz w:val="20"/>
                <w:szCs w:val="20"/>
              </w:rPr>
              <w:t xml:space="preserve"> that may </w:t>
            </w:r>
            <w:r w:rsidR="00D64E0E">
              <w:rPr>
                <w:rFonts w:cs="Arial"/>
                <w:sz w:val="20"/>
                <w:szCs w:val="20"/>
              </w:rPr>
              <w:t>be added to</w:t>
            </w:r>
            <w:r w:rsidRPr="00426B41">
              <w:rPr>
                <w:rFonts w:cs="Arial"/>
                <w:sz w:val="20"/>
                <w:szCs w:val="20"/>
              </w:rPr>
              <w:t xml:space="preserve"> FSFYC. Any </w:t>
            </w:r>
            <w:r w:rsidR="00D64E0E">
              <w:rPr>
                <w:rFonts w:cs="Arial"/>
                <w:sz w:val="20"/>
                <w:szCs w:val="20"/>
              </w:rPr>
              <w:t xml:space="preserve">labelling </w:t>
            </w:r>
            <w:r w:rsidRPr="00426B41">
              <w:rPr>
                <w:rFonts w:cs="Arial"/>
                <w:sz w:val="20"/>
                <w:szCs w:val="20"/>
              </w:rPr>
              <w:t>claims on products concerning these substances should not create a misleading impression that the FSFYC is somehow related to human milk.</w:t>
            </w:r>
          </w:p>
        </w:tc>
        <w:tc>
          <w:tcPr>
            <w:tcW w:w="844" w:type="pct"/>
          </w:tcPr>
          <w:p w14:paraId="7C5EDBF5" w14:textId="77777777" w:rsidR="004D7999" w:rsidRPr="00084B50" w:rsidRDefault="004D7999" w:rsidP="005F2E79">
            <w:pPr>
              <w:rPr>
                <w:rFonts w:cs="Arial"/>
                <w:sz w:val="20"/>
                <w:szCs w:val="20"/>
              </w:rPr>
            </w:pPr>
            <w:r w:rsidRPr="00084B50">
              <w:rPr>
                <w:rFonts w:cs="Arial"/>
                <w:sz w:val="20"/>
                <w:szCs w:val="20"/>
              </w:rPr>
              <w:t>NSWFA</w:t>
            </w:r>
          </w:p>
        </w:tc>
        <w:tc>
          <w:tcPr>
            <w:tcW w:w="2420" w:type="pct"/>
          </w:tcPr>
          <w:p w14:paraId="6ECAE458" w14:textId="7E3F1A43" w:rsidR="004D7999" w:rsidRPr="0063484E" w:rsidRDefault="004D7999" w:rsidP="00047FE0">
            <w:pPr>
              <w:pStyle w:val="Default"/>
              <w:rPr>
                <w:rFonts w:ascii="Arial" w:hAnsi="Arial" w:cs="Arial"/>
                <w:sz w:val="20"/>
                <w:szCs w:val="20"/>
              </w:rPr>
            </w:pPr>
            <w:r w:rsidRPr="0063484E">
              <w:rPr>
                <w:rFonts w:ascii="Arial" w:hAnsi="Arial" w:cs="Arial"/>
                <w:sz w:val="20"/>
                <w:szCs w:val="20"/>
              </w:rPr>
              <w:t xml:space="preserve">FSANZ is now proposing a revised approach </w:t>
            </w:r>
            <w:r w:rsidR="00D64E0E">
              <w:rPr>
                <w:rFonts w:ascii="Arial" w:hAnsi="Arial" w:cs="Arial"/>
                <w:sz w:val="20"/>
                <w:szCs w:val="20"/>
              </w:rPr>
              <w:t>to</w:t>
            </w:r>
            <w:r w:rsidR="00D64E0E" w:rsidRPr="0063484E">
              <w:rPr>
                <w:rFonts w:ascii="Arial" w:hAnsi="Arial" w:cs="Arial"/>
                <w:sz w:val="20"/>
                <w:szCs w:val="20"/>
              </w:rPr>
              <w:t xml:space="preserve"> </w:t>
            </w:r>
            <w:r w:rsidRPr="0063484E">
              <w:rPr>
                <w:rFonts w:ascii="Arial" w:hAnsi="Arial" w:cs="Arial"/>
                <w:sz w:val="20"/>
                <w:szCs w:val="20"/>
              </w:rPr>
              <w:t>prohibit</w:t>
            </w:r>
            <w:r w:rsidRPr="0063484E" w:rsidDel="00D64E0E">
              <w:rPr>
                <w:rFonts w:ascii="Arial" w:hAnsi="Arial" w:cs="Arial"/>
                <w:sz w:val="20"/>
                <w:szCs w:val="20"/>
              </w:rPr>
              <w:t xml:space="preserve"> the </w:t>
            </w:r>
            <w:r w:rsidRPr="0063484E">
              <w:rPr>
                <w:rFonts w:ascii="Arial" w:hAnsi="Arial" w:cs="Arial"/>
                <w:sz w:val="20"/>
                <w:szCs w:val="20"/>
              </w:rPr>
              <w:t>terms</w:t>
            </w:r>
            <w:r w:rsidRPr="0063484E" w:rsidDel="00D64E0E">
              <w:rPr>
                <w:rFonts w:ascii="Arial" w:hAnsi="Arial" w:cs="Arial"/>
                <w:sz w:val="20"/>
                <w:szCs w:val="20"/>
              </w:rPr>
              <w:t xml:space="preserve"> </w:t>
            </w:r>
            <w:r w:rsidRPr="0063484E">
              <w:rPr>
                <w:rFonts w:ascii="Arial" w:hAnsi="Arial" w:cs="Arial"/>
                <w:sz w:val="20"/>
                <w:szCs w:val="20"/>
              </w:rPr>
              <w:t>‘human milk identical</w:t>
            </w:r>
            <w:r w:rsidR="00047FE0">
              <w:rPr>
                <w:rFonts w:ascii="Arial" w:hAnsi="Arial" w:cs="Arial"/>
                <w:sz w:val="20"/>
                <w:szCs w:val="20"/>
              </w:rPr>
              <w:t xml:space="preserve"> oligosaccharide</w:t>
            </w:r>
            <w:r w:rsidRPr="0063484E">
              <w:rPr>
                <w:rFonts w:ascii="Arial" w:hAnsi="Arial" w:cs="Arial"/>
                <w:sz w:val="20"/>
                <w:szCs w:val="20"/>
              </w:rPr>
              <w:t>’, ‘human milk</w:t>
            </w:r>
            <w:r w:rsidR="00325C3F">
              <w:rPr>
                <w:rFonts w:ascii="Arial" w:hAnsi="Arial" w:cs="Arial"/>
                <w:sz w:val="20"/>
                <w:szCs w:val="20"/>
              </w:rPr>
              <w:t>’</w:t>
            </w:r>
            <w:r w:rsidRPr="0063484E">
              <w:rPr>
                <w:rFonts w:ascii="Arial" w:hAnsi="Arial" w:cs="Arial"/>
                <w:sz w:val="20"/>
                <w:szCs w:val="20"/>
              </w:rPr>
              <w:t xml:space="preserve"> oligosaccharide’, ‘HiMO’ or ‘HMO’ (or words </w:t>
            </w:r>
            <w:r w:rsidR="00325C3F">
              <w:rPr>
                <w:rFonts w:ascii="Arial" w:hAnsi="Arial" w:cs="Arial"/>
                <w:sz w:val="20"/>
                <w:szCs w:val="20"/>
              </w:rPr>
              <w:t>or abbreviations</w:t>
            </w:r>
            <w:r w:rsidRPr="0063484E">
              <w:rPr>
                <w:rFonts w:ascii="Arial" w:hAnsi="Arial" w:cs="Arial"/>
                <w:sz w:val="20"/>
                <w:szCs w:val="20"/>
              </w:rPr>
              <w:t xml:space="preserve"> of similar effect) on both infant formula products and FSFYC.</w:t>
            </w:r>
            <w:r w:rsidR="00C22078">
              <w:rPr>
                <w:rFonts w:ascii="Arial" w:hAnsi="Arial" w:cs="Arial"/>
                <w:sz w:val="20"/>
                <w:szCs w:val="20"/>
              </w:rPr>
              <w:t xml:space="preserve"> </w:t>
            </w:r>
            <w:r w:rsidR="00C22078" w:rsidRPr="00C22078">
              <w:rPr>
                <w:rFonts w:ascii="Arial" w:hAnsi="Arial" w:cs="Arial"/>
                <w:sz w:val="20"/>
                <w:szCs w:val="20"/>
              </w:rPr>
              <w:t xml:space="preserve">See further discussion in </w:t>
            </w:r>
            <w:r w:rsidR="002771E6">
              <w:rPr>
                <w:rFonts w:ascii="Arial" w:hAnsi="Arial" w:cs="Arial"/>
                <w:sz w:val="20"/>
                <w:szCs w:val="20"/>
              </w:rPr>
              <w:t>section 2.3.5.2</w:t>
            </w:r>
            <w:r w:rsidR="00C22078" w:rsidRPr="00C22078">
              <w:rPr>
                <w:rFonts w:ascii="Arial" w:hAnsi="Arial" w:cs="Arial"/>
                <w:sz w:val="20"/>
                <w:szCs w:val="20"/>
              </w:rPr>
              <w:t>.</w:t>
            </w:r>
          </w:p>
        </w:tc>
      </w:tr>
      <w:tr w:rsidR="004D7999" w14:paraId="3357A088" w14:textId="77777777" w:rsidTr="00865BA6">
        <w:tc>
          <w:tcPr>
            <w:tcW w:w="1736" w:type="pct"/>
            <w:shd w:val="clear" w:color="auto" w:fill="EAF1DD" w:themeFill="accent3" w:themeFillTint="33"/>
          </w:tcPr>
          <w:p w14:paraId="36A6285B" w14:textId="77777777" w:rsidR="004D7999" w:rsidRPr="00426B41" w:rsidRDefault="004D7999" w:rsidP="005F2E79">
            <w:pPr>
              <w:rPr>
                <w:rFonts w:cs="Arial"/>
                <w:sz w:val="20"/>
                <w:szCs w:val="20"/>
              </w:rPr>
            </w:pPr>
            <w:r w:rsidRPr="00426B41">
              <w:rPr>
                <w:rFonts w:cs="Arial"/>
                <w:sz w:val="20"/>
                <w:szCs w:val="20"/>
              </w:rPr>
              <w:t xml:space="preserve">The general prohibition on health claims for infant formula </w:t>
            </w:r>
            <w:r>
              <w:rPr>
                <w:rFonts w:cs="Arial"/>
                <w:sz w:val="20"/>
                <w:szCs w:val="20"/>
              </w:rPr>
              <w:t xml:space="preserve">and indications of human breast milk equivalency </w:t>
            </w:r>
            <w:r w:rsidRPr="00426B41">
              <w:rPr>
                <w:rFonts w:cs="Arial"/>
                <w:sz w:val="20"/>
                <w:szCs w:val="20"/>
              </w:rPr>
              <w:t xml:space="preserve">should </w:t>
            </w:r>
            <w:r>
              <w:rPr>
                <w:rFonts w:cs="Arial"/>
                <w:sz w:val="20"/>
                <w:szCs w:val="20"/>
              </w:rPr>
              <w:t>extend to follow-on and</w:t>
            </w:r>
            <w:r w:rsidRPr="00426B41">
              <w:rPr>
                <w:rFonts w:cs="Arial"/>
                <w:sz w:val="20"/>
                <w:szCs w:val="20"/>
              </w:rPr>
              <w:t xml:space="preserve"> FSFYC.</w:t>
            </w:r>
          </w:p>
        </w:tc>
        <w:tc>
          <w:tcPr>
            <w:tcW w:w="844" w:type="pct"/>
            <w:shd w:val="clear" w:color="auto" w:fill="EAF1DD" w:themeFill="accent3" w:themeFillTint="33"/>
          </w:tcPr>
          <w:p w14:paraId="1F66F936" w14:textId="4F2A626A"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tc>
        <w:tc>
          <w:tcPr>
            <w:tcW w:w="2420" w:type="pct"/>
            <w:shd w:val="clear" w:color="auto" w:fill="EAF1DD" w:themeFill="accent3" w:themeFillTint="33"/>
          </w:tcPr>
          <w:p w14:paraId="7F06AC83" w14:textId="01A67C62" w:rsidR="004D7999" w:rsidRDefault="004D7999" w:rsidP="005F2E79">
            <w:pPr>
              <w:pStyle w:val="Default"/>
              <w:rPr>
                <w:rFonts w:ascii="Arial" w:hAnsi="Arial" w:cs="Arial"/>
                <w:color w:val="auto"/>
                <w:sz w:val="20"/>
                <w:szCs w:val="20"/>
              </w:rPr>
            </w:pPr>
            <w:r w:rsidRPr="0063484E">
              <w:rPr>
                <w:rFonts w:ascii="Arial" w:hAnsi="Arial" w:cs="Arial"/>
                <w:color w:val="auto"/>
                <w:sz w:val="20"/>
                <w:szCs w:val="20"/>
              </w:rPr>
              <w:t>Follow-on formula (and infant formula) is prohibited from making health claims in Standard 2.9.1.</w:t>
            </w:r>
          </w:p>
          <w:p w14:paraId="6AFE6E7A" w14:textId="77777777" w:rsidR="00D12847" w:rsidRPr="0063484E" w:rsidRDefault="00D12847" w:rsidP="005F2E79">
            <w:pPr>
              <w:pStyle w:val="Default"/>
              <w:rPr>
                <w:rFonts w:ascii="Arial" w:hAnsi="Arial" w:cs="Arial"/>
                <w:color w:val="auto"/>
                <w:sz w:val="20"/>
                <w:szCs w:val="20"/>
              </w:rPr>
            </w:pPr>
          </w:p>
          <w:p w14:paraId="4C249AE8" w14:textId="563D1A6F" w:rsidR="002065DB" w:rsidRPr="0063484E" w:rsidRDefault="004D7999" w:rsidP="00072A22">
            <w:pPr>
              <w:pStyle w:val="Default"/>
              <w:rPr>
                <w:rFonts w:ascii="Arial" w:hAnsi="Arial" w:cs="Arial"/>
                <w:sz w:val="20"/>
                <w:szCs w:val="20"/>
              </w:rPr>
            </w:pPr>
            <w:r w:rsidRPr="0063484E">
              <w:rPr>
                <w:rFonts w:ascii="Arial" w:hAnsi="Arial" w:cs="Arial"/>
                <w:sz w:val="20"/>
                <w:szCs w:val="20"/>
              </w:rPr>
              <w:t xml:space="preserve">The issue of whether the claims prohibition should extend to FSFYC is broader than what can be addressed in A1155. FSANZ notes there are other substances already permitted to be added to FSFYC, for which </w:t>
            </w:r>
            <w:r w:rsidR="00800379">
              <w:rPr>
                <w:rFonts w:ascii="Arial" w:hAnsi="Arial" w:cs="Arial"/>
                <w:sz w:val="20"/>
                <w:szCs w:val="20"/>
              </w:rPr>
              <w:t xml:space="preserve">nutrition content and health </w:t>
            </w:r>
            <w:r w:rsidRPr="0063484E">
              <w:rPr>
                <w:rFonts w:ascii="Arial" w:hAnsi="Arial" w:cs="Arial"/>
                <w:sz w:val="20"/>
                <w:szCs w:val="20"/>
              </w:rPr>
              <w:t xml:space="preserve">claims can be made (subject to meeting the requirements in </w:t>
            </w:r>
            <w:r w:rsidR="00800379">
              <w:rPr>
                <w:rFonts w:ascii="Arial" w:hAnsi="Arial" w:cs="Arial"/>
                <w:sz w:val="20"/>
                <w:szCs w:val="20"/>
              </w:rPr>
              <w:t>Standard 1.2.7</w:t>
            </w:r>
            <w:r w:rsidR="002065DB">
              <w:rPr>
                <w:rFonts w:ascii="Arial" w:hAnsi="Arial" w:cs="Arial"/>
                <w:sz w:val="20"/>
                <w:szCs w:val="20"/>
              </w:rPr>
              <w:t>).</w:t>
            </w:r>
          </w:p>
        </w:tc>
      </w:tr>
      <w:tr w:rsidR="00E5529C" w:rsidRPr="00426B41" w14:paraId="1297293C" w14:textId="77777777" w:rsidTr="00B74303">
        <w:tc>
          <w:tcPr>
            <w:tcW w:w="1736" w:type="pct"/>
            <w:shd w:val="clear" w:color="auto" w:fill="auto"/>
          </w:tcPr>
          <w:p w14:paraId="108D2B64" w14:textId="61DE9013" w:rsidR="00E5529C" w:rsidRPr="00426B41" w:rsidRDefault="00E5529C" w:rsidP="002065DB">
            <w:pPr>
              <w:widowControl/>
              <w:autoSpaceDE w:val="0"/>
              <w:autoSpaceDN w:val="0"/>
              <w:adjustRightInd w:val="0"/>
              <w:rPr>
                <w:rFonts w:cs="Arial"/>
                <w:sz w:val="20"/>
                <w:szCs w:val="20"/>
              </w:rPr>
            </w:pPr>
            <w:r w:rsidRPr="00426B41">
              <w:rPr>
                <w:rFonts w:cs="Arial"/>
                <w:color w:val="000000"/>
                <w:sz w:val="20"/>
                <w:szCs w:val="20"/>
              </w:rPr>
              <w:t xml:space="preserve">Code amendments </w:t>
            </w:r>
            <w:r>
              <w:rPr>
                <w:rFonts w:cs="Arial"/>
                <w:color w:val="000000"/>
                <w:sz w:val="20"/>
                <w:szCs w:val="20"/>
              </w:rPr>
              <w:t>for</w:t>
            </w:r>
            <w:r w:rsidR="007B7358">
              <w:rPr>
                <w:rFonts w:cs="Arial"/>
                <w:color w:val="000000"/>
                <w:sz w:val="20"/>
                <w:szCs w:val="20"/>
              </w:rPr>
              <w:t xml:space="preserve"> composition and labelling of</w:t>
            </w:r>
            <w:r w:rsidRPr="00426B41">
              <w:rPr>
                <w:rFonts w:cs="Arial"/>
                <w:color w:val="000000"/>
                <w:sz w:val="20"/>
                <w:szCs w:val="20"/>
              </w:rPr>
              <w:t xml:space="preserve"> infant formula and FSFYC should align with the </w:t>
            </w:r>
            <w:r w:rsidRPr="00426B41">
              <w:rPr>
                <w:rFonts w:cs="Arial"/>
                <w:i/>
                <w:iCs/>
                <w:color w:val="000000"/>
                <w:sz w:val="20"/>
                <w:szCs w:val="20"/>
              </w:rPr>
              <w:t>WHO International Code of Marketing of Breastmilk Substitutes</w:t>
            </w:r>
            <w:r w:rsidRPr="00426B41">
              <w:rPr>
                <w:rFonts w:cs="Arial"/>
                <w:color w:val="000000"/>
                <w:sz w:val="20"/>
                <w:szCs w:val="20"/>
              </w:rPr>
              <w:t>.</w:t>
            </w:r>
          </w:p>
        </w:tc>
        <w:tc>
          <w:tcPr>
            <w:tcW w:w="844" w:type="pct"/>
            <w:shd w:val="clear" w:color="auto" w:fill="auto"/>
          </w:tcPr>
          <w:p w14:paraId="12C649C9" w14:textId="0ADD484D" w:rsidR="00E5529C" w:rsidRPr="00084B50" w:rsidRDefault="00FF0480" w:rsidP="00B74303">
            <w:pPr>
              <w:rPr>
                <w:rFonts w:cs="Arial"/>
                <w:sz w:val="20"/>
                <w:szCs w:val="20"/>
              </w:rPr>
            </w:pPr>
            <w:r>
              <w:rPr>
                <w:rFonts w:cs="Arial"/>
                <w:sz w:val="20"/>
                <w:szCs w:val="20"/>
              </w:rPr>
              <w:t>QLD</w:t>
            </w:r>
            <w:r w:rsidR="00E5529C" w:rsidRPr="00084B50">
              <w:rPr>
                <w:rFonts w:cs="Arial"/>
                <w:sz w:val="20"/>
                <w:szCs w:val="20"/>
              </w:rPr>
              <w:t xml:space="preserve"> Health</w:t>
            </w:r>
          </w:p>
        </w:tc>
        <w:tc>
          <w:tcPr>
            <w:tcW w:w="2420" w:type="pct"/>
            <w:shd w:val="clear" w:color="auto" w:fill="auto"/>
          </w:tcPr>
          <w:p w14:paraId="182E5CB1" w14:textId="77777777" w:rsidR="007B7358" w:rsidRDefault="007B7358" w:rsidP="00CF229E">
            <w:pPr>
              <w:rPr>
                <w:rFonts w:cs="Arial"/>
                <w:sz w:val="20"/>
                <w:szCs w:val="20"/>
              </w:rPr>
            </w:pPr>
            <w:r>
              <w:rPr>
                <w:rFonts w:cs="Arial"/>
                <w:sz w:val="20"/>
                <w:szCs w:val="20"/>
              </w:rPr>
              <w:t>The WHO Code only relates to marketing and not composition.</w:t>
            </w:r>
          </w:p>
          <w:p w14:paraId="533B241F" w14:textId="77777777" w:rsidR="007B7358" w:rsidRDefault="007B7358" w:rsidP="00CF229E">
            <w:pPr>
              <w:rPr>
                <w:rFonts w:cs="Arial"/>
                <w:sz w:val="20"/>
                <w:szCs w:val="20"/>
              </w:rPr>
            </w:pPr>
          </w:p>
          <w:p w14:paraId="4FBCD43E" w14:textId="2D8D9393" w:rsidR="00180159" w:rsidRDefault="00180159" w:rsidP="002065DB">
            <w:pPr>
              <w:widowControl/>
              <w:rPr>
                <w:rFonts w:cs="Arial"/>
                <w:sz w:val="20"/>
                <w:szCs w:val="20"/>
              </w:rPr>
            </w:pPr>
            <w:r>
              <w:rPr>
                <w:rFonts w:cs="Arial"/>
                <w:sz w:val="20"/>
                <w:szCs w:val="20"/>
              </w:rPr>
              <w:t xml:space="preserve">The existing labelling requirements and specific prohibition of terms such as ‘human milk identical oligosaccharide’ for infant formula products </w:t>
            </w:r>
            <w:r w:rsidR="00FD6314">
              <w:rPr>
                <w:rFonts w:cs="Arial"/>
                <w:sz w:val="20"/>
                <w:szCs w:val="20"/>
              </w:rPr>
              <w:t>support</w:t>
            </w:r>
            <w:r>
              <w:rPr>
                <w:rFonts w:cs="Arial"/>
                <w:sz w:val="20"/>
                <w:szCs w:val="20"/>
              </w:rPr>
              <w:t xml:space="preserve"> the WHO Code (see also specific policy principle (k) in SD2).</w:t>
            </w:r>
          </w:p>
          <w:p w14:paraId="606EB809" w14:textId="44A281D5" w:rsidR="00E5529C" w:rsidRPr="00426B41" w:rsidRDefault="00E5529C" w:rsidP="002065DB">
            <w:pPr>
              <w:widowControl/>
              <w:rPr>
                <w:rFonts w:cs="Arial"/>
                <w:sz w:val="20"/>
                <w:szCs w:val="20"/>
              </w:rPr>
            </w:pPr>
            <w:r w:rsidRPr="00044942">
              <w:rPr>
                <w:rFonts w:cs="Arial"/>
                <w:sz w:val="20"/>
                <w:szCs w:val="20"/>
              </w:rPr>
              <w:t xml:space="preserve">FSFYC </w:t>
            </w:r>
            <w:r w:rsidR="000B486C" w:rsidRPr="00833D36">
              <w:rPr>
                <w:rFonts w:cs="Arial"/>
                <w:sz w:val="20"/>
                <w:szCs w:val="20"/>
              </w:rPr>
              <w:t>are not considered breastmilk substitutes in Australia and New Zealand</w:t>
            </w:r>
            <w:r w:rsidR="00044942" w:rsidRPr="00833D36">
              <w:rPr>
                <w:rFonts w:cs="Arial"/>
                <w:sz w:val="20"/>
                <w:szCs w:val="20"/>
              </w:rPr>
              <w:t>.</w:t>
            </w:r>
            <w:r w:rsidR="000B486C" w:rsidRPr="00833D36">
              <w:rPr>
                <w:rFonts w:cs="Arial"/>
                <w:sz w:val="20"/>
                <w:szCs w:val="20"/>
              </w:rPr>
              <w:t xml:space="preserve"> </w:t>
            </w:r>
            <w:r w:rsidR="00044942" w:rsidRPr="00833D36">
              <w:rPr>
                <w:rFonts w:cs="Arial"/>
                <w:sz w:val="20"/>
                <w:szCs w:val="20"/>
              </w:rPr>
              <w:t>A</w:t>
            </w:r>
            <w:r w:rsidRPr="00044942">
              <w:rPr>
                <w:rFonts w:cs="Arial"/>
                <w:sz w:val="20"/>
                <w:szCs w:val="20"/>
              </w:rPr>
              <w:t>ligning with the WHO Code</w:t>
            </w:r>
            <w:r w:rsidR="00D46900">
              <w:rPr>
                <w:rFonts w:cs="Arial"/>
                <w:sz w:val="20"/>
                <w:szCs w:val="20"/>
              </w:rPr>
              <w:t xml:space="preserve"> for FSFYC</w:t>
            </w:r>
            <w:r w:rsidRPr="00044942">
              <w:rPr>
                <w:rFonts w:cs="Arial"/>
                <w:sz w:val="20"/>
                <w:szCs w:val="20"/>
              </w:rPr>
              <w:t xml:space="preserve"> is </w:t>
            </w:r>
            <w:r w:rsidR="00044942" w:rsidRPr="00044942">
              <w:rPr>
                <w:rFonts w:cs="Arial"/>
                <w:sz w:val="20"/>
                <w:szCs w:val="20"/>
              </w:rPr>
              <w:t xml:space="preserve">therefore </w:t>
            </w:r>
            <w:r w:rsidRPr="00044942">
              <w:rPr>
                <w:rFonts w:cs="Arial"/>
                <w:sz w:val="20"/>
                <w:szCs w:val="20"/>
              </w:rPr>
              <w:t>beyond the scope of this application</w:t>
            </w:r>
            <w:r>
              <w:rPr>
                <w:rFonts w:cs="Arial"/>
                <w:sz w:val="20"/>
                <w:szCs w:val="20"/>
              </w:rPr>
              <w:t>.</w:t>
            </w:r>
          </w:p>
        </w:tc>
      </w:tr>
      <w:tr w:rsidR="008D64B7" w:rsidRPr="00426B41" w14:paraId="41962D4C" w14:textId="77777777" w:rsidTr="005F2E79">
        <w:tc>
          <w:tcPr>
            <w:tcW w:w="1736" w:type="pct"/>
          </w:tcPr>
          <w:p w14:paraId="2B161AB0" w14:textId="77777777" w:rsidR="008D64B7" w:rsidRPr="00084B50" w:rsidRDefault="008D64B7" w:rsidP="005F2E79">
            <w:pPr>
              <w:rPr>
                <w:rFonts w:cs="Arial"/>
                <w:b/>
                <w:color w:val="FF0000"/>
                <w:sz w:val="20"/>
                <w:szCs w:val="20"/>
              </w:rPr>
            </w:pPr>
            <w:r w:rsidRPr="00CF229E">
              <w:rPr>
                <w:rFonts w:cs="Arial"/>
                <w:b/>
                <w:sz w:val="20"/>
                <w:szCs w:val="20"/>
              </w:rPr>
              <w:t>Implications of P1024 &amp; P1028</w:t>
            </w:r>
          </w:p>
        </w:tc>
        <w:tc>
          <w:tcPr>
            <w:tcW w:w="844" w:type="pct"/>
          </w:tcPr>
          <w:p w14:paraId="0A0A971A" w14:textId="77777777" w:rsidR="008D64B7" w:rsidRPr="00084B50" w:rsidRDefault="008D64B7" w:rsidP="005F2E79">
            <w:pPr>
              <w:rPr>
                <w:rFonts w:cs="Arial"/>
                <w:sz w:val="20"/>
                <w:szCs w:val="20"/>
              </w:rPr>
            </w:pPr>
          </w:p>
        </w:tc>
        <w:tc>
          <w:tcPr>
            <w:tcW w:w="2420" w:type="pct"/>
          </w:tcPr>
          <w:p w14:paraId="535366A8" w14:textId="77777777" w:rsidR="008D64B7" w:rsidRPr="00426B41" w:rsidRDefault="008D64B7" w:rsidP="005F2E79">
            <w:pPr>
              <w:rPr>
                <w:rFonts w:cs="Arial"/>
                <w:sz w:val="20"/>
                <w:szCs w:val="20"/>
              </w:rPr>
            </w:pPr>
          </w:p>
        </w:tc>
      </w:tr>
      <w:tr w:rsidR="008D64B7" w:rsidRPr="00426B41" w14:paraId="4EC549C7" w14:textId="77777777" w:rsidTr="00865BA6">
        <w:tc>
          <w:tcPr>
            <w:tcW w:w="1736" w:type="pct"/>
            <w:shd w:val="clear" w:color="auto" w:fill="EAF1DD" w:themeFill="accent3" w:themeFillTint="33"/>
          </w:tcPr>
          <w:p w14:paraId="7D1F6B51" w14:textId="6380DAE3" w:rsidR="008D64B7" w:rsidRPr="00426B41" w:rsidRDefault="00472429" w:rsidP="00472429">
            <w:pPr>
              <w:rPr>
                <w:rFonts w:cs="Arial"/>
                <w:sz w:val="20"/>
                <w:szCs w:val="20"/>
              </w:rPr>
            </w:pPr>
            <w:r>
              <w:rPr>
                <w:rFonts w:cs="Arial"/>
                <w:sz w:val="20"/>
                <w:szCs w:val="20"/>
              </w:rPr>
              <w:t xml:space="preserve">FSANZ should consider </w:t>
            </w:r>
            <w:r w:rsidR="008D64B7" w:rsidRPr="00426B41">
              <w:rPr>
                <w:rFonts w:cs="Arial"/>
                <w:sz w:val="20"/>
                <w:szCs w:val="20"/>
              </w:rPr>
              <w:t xml:space="preserve">delaying a decision </w:t>
            </w:r>
            <w:r w:rsidR="008D64B7">
              <w:rPr>
                <w:rFonts w:cs="Arial"/>
                <w:sz w:val="20"/>
                <w:szCs w:val="20"/>
              </w:rPr>
              <w:t>on this a</w:t>
            </w:r>
            <w:r w:rsidR="008D64B7" w:rsidRPr="00426B41">
              <w:rPr>
                <w:rFonts w:cs="Arial"/>
                <w:sz w:val="20"/>
                <w:szCs w:val="20"/>
              </w:rPr>
              <w:t xml:space="preserve">pplication until the outcomes of P1024 and P2018 </w:t>
            </w:r>
            <w:r w:rsidR="008D64B7">
              <w:rPr>
                <w:rFonts w:cs="Arial"/>
                <w:sz w:val="20"/>
                <w:szCs w:val="20"/>
              </w:rPr>
              <w:t>are known. Alternatively, this a</w:t>
            </w:r>
            <w:r w:rsidR="008D64B7" w:rsidRPr="00426B41">
              <w:rPr>
                <w:rFonts w:cs="Arial"/>
                <w:sz w:val="20"/>
                <w:szCs w:val="20"/>
              </w:rPr>
              <w:t xml:space="preserve">pplication could be reviewed with respect to stakeholder input received </w:t>
            </w:r>
            <w:r w:rsidR="008D64B7">
              <w:rPr>
                <w:rFonts w:cs="Arial"/>
                <w:sz w:val="20"/>
                <w:szCs w:val="20"/>
              </w:rPr>
              <w:t>to date on P1024 and P1028</w:t>
            </w:r>
            <w:r w:rsidR="008D64B7" w:rsidRPr="00426B41">
              <w:rPr>
                <w:rFonts w:cs="Arial"/>
                <w:sz w:val="20"/>
                <w:szCs w:val="20"/>
              </w:rPr>
              <w:t>.</w:t>
            </w:r>
          </w:p>
        </w:tc>
        <w:tc>
          <w:tcPr>
            <w:tcW w:w="844" w:type="pct"/>
            <w:shd w:val="clear" w:color="auto" w:fill="EAF1DD" w:themeFill="accent3" w:themeFillTint="33"/>
          </w:tcPr>
          <w:p w14:paraId="3964FE0F" w14:textId="202B2312" w:rsidR="008D64B7" w:rsidRPr="00084B50" w:rsidRDefault="00FF0480" w:rsidP="005F2E79">
            <w:pPr>
              <w:rPr>
                <w:rFonts w:cs="Arial"/>
                <w:sz w:val="20"/>
                <w:szCs w:val="20"/>
              </w:rPr>
            </w:pPr>
            <w:r>
              <w:rPr>
                <w:rFonts w:cs="Arial"/>
                <w:sz w:val="20"/>
                <w:szCs w:val="20"/>
              </w:rPr>
              <w:t>QLD</w:t>
            </w:r>
            <w:r w:rsidR="008D64B7" w:rsidRPr="00084B50">
              <w:rPr>
                <w:rFonts w:cs="Arial"/>
                <w:sz w:val="20"/>
                <w:szCs w:val="20"/>
              </w:rPr>
              <w:t xml:space="preserve"> Health</w:t>
            </w:r>
          </w:p>
        </w:tc>
        <w:tc>
          <w:tcPr>
            <w:tcW w:w="2420" w:type="pct"/>
            <w:shd w:val="clear" w:color="auto" w:fill="EAF1DD" w:themeFill="accent3" w:themeFillTint="33"/>
          </w:tcPr>
          <w:p w14:paraId="2944C84F" w14:textId="4C7524FF" w:rsidR="008D64B7" w:rsidRPr="00426B41" w:rsidRDefault="00215A27" w:rsidP="00215A27">
            <w:pPr>
              <w:rPr>
                <w:rFonts w:cs="Arial"/>
                <w:sz w:val="20"/>
                <w:szCs w:val="20"/>
              </w:rPr>
            </w:pPr>
            <w:r>
              <w:rPr>
                <w:rFonts w:cs="Arial"/>
                <w:sz w:val="20"/>
                <w:szCs w:val="20"/>
              </w:rPr>
              <w:t>FSANZ does not consider a deferral of the application is justified and is progressing the application in accordance with the FSANZ Act</w:t>
            </w:r>
            <w:r w:rsidR="00263109">
              <w:rPr>
                <w:rFonts w:cs="Arial"/>
                <w:sz w:val="20"/>
                <w:szCs w:val="20"/>
              </w:rPr>
              <w:t xml:space="preserve">. </w:t>
            </w:r>
            <w:r w:rsidR="008D64B7">
              <w:rPr>
                <w:rFonts w:cs="Arial"/>
                <w:sz w:val="20"/>
                <w:szCs w:val="20"/>
              </w:rPr>
              <w:t xml:space="preserve">Considerations under Proposals P1024 and P1028 are still in progress. </w:t>
            </w:r>
            <w:r w:rsidR="008D64B7" w:rsidRPr="006B0190">
              <w:rPr>
                <w:rFonts w:cs="Arial"/>
                <w:sz w:val="20"/>
                <w:szCs w:val="20"/>
              </w:rPr>
              <w:t>Any</w:t>
            </w:r>
            <w:r w:rsidR="008D64B7" w:rsidRPr="00426B41">
              <w:rPr>
                <w:rFonts w:cs="Arial"/>
                <w:sz w:val="20"/>
                <w:szCs w:val="20"/>
              </w:rPr>
              <w:t xml:space="preserve"> </w:t>
            </w:r>
            <w:r w:rsidR="008D64B7">
              <w:rPr>
                <w:rFonts w:cs="Arial"/>
                <w:sz w:val="20"/>
                <w:szCs w:val="20"/>
              </w:rPr>
              <w:t xml:space="preserve">potential </w:t>
            </w:r>
            <w:r w:rsidR="008D64B7" w:rsidRPr="00426B41">
              <w:rPr>
                <w:rFonts w:cs="Arial"/>
                <w:sz w:val="20"/>
                <w:szCs w:val="20"/>
              </w:rPr>
              <w:t xml:space="preserve">changes </w:t>
            </w:r>
            <w:r w:rsidR="008D64B7">
              <w:rPr>
                <w:rFonts w:cs="Arial"/>
                <w:sz w:val="20"/>
                <w:szCs w:val="20"/>
              </w:rPr>
              <w:t xml:space="preserve">made under these Proposals </w:t>
            </w:r>
            <w:r w:rsidR="008D64B7" w:rsidRPr="00426B41">
              <w:rPr>
                <w:rFonts w:cs="Arial"/>
                <w:sz w:val="20"/>
                <w:szCs w:val="20"/>
              </w:rPr>
              <w:t>wil</w:t>
            </w:r>
            <w:r w:rsidR="008D64B7">
              <w:rPr>
                <w:rFonts w:cs="Arial"/>
                <w:sz w:val="20"/>
                <w:szCs w:val="20"/>
              </w:rPr>
              <w:t>l take account of existing</w:t>
            </w:r>
            <w:r>
              <w:rPr>
                <w:rFonts w:cs="Arial"/>
                <w:sz w:val="20"/>
                <w:szCs w:val="20"/>
              </w:rPr>
              <w:t xml:space="preserve"> </w:t>
            </w:r>
            <w:r w:rsidR="008D64B7">
              <w:rPr>
                <w:rFonts w:cs="Arial"/>
                <w:sz w:val="20"/>
                <w:szCs w:val="20"/>
              </w:rPr>
              <w:t>permissions in the Code.</w:t>
            </w:r>
          </w:p>
        </w:tc>
      </w:tr>
      <w:tr w:rsidR="004D7999" w:rsidRPr="00426B41" w14:paraId="6DFAEA53" w14:textId="77777777" w:rsidTr="004D7999">
        <w:tc>
          <w:tcPr>
            <w:tcW w:w="1736" w:type="pct"/>
          </w:tcPr>
          <w:p w14:paraId="13BCF2EC" w14:textId="0300673C" w:rsidR="004D7999" w:rsidRPr="0075563C" w:rsidRDefault="008D64B7" w:rsidP="008D64B7">
            <w:pPr>
              <w:rPr>
                <w:rFonts w:cs="Arial"/>
                <w:b/>
                <w:sz w:val="20"/>
                <w:szCs w:val="20"/>
              </w:rPr>
            </w:pPr>
            <w:r w:rsidRPr="0075563C">
              <w:rPr>
                <w:rFonts w:cs="Arial"/>
                <w:b/>
                <w:sz w:val="20"/>
                <w:szCs w:val="20"/>
              </w:rPr>
              <w:t>Food produced using gene technology</w:t>
            </w:r>
          </w:p>
        </w:tc>
        <w:tc>
          <w:tcPr>
            <w:tcW w:w="844" w:type="pct"/>
          </w:tcPr>
          <w:p w14:paraId="52BFF7C3" w14:textId="77777777" w:rsidR="004D7999" w:rsidRPr="00084B50" w:rsidRDefault="004D7999" w:rsidP="005F2E79">
            <w:pPr>
              <w:rPr>
                <w:rFonts w:cs="Arial"/>
                <w:sz w:val="20"/>
                <w:szCs w:val="20"/>
              </w:rPr>
            </w:pPr>
          </w:p>
        </w:tc>
        <w:tc>
          <w:tcPr>
            <w:tcW w:w="2420" w:type="pct"/>
          </w:tcPr>
          <w:p w14:paraId="35AAA14D" w14:textId="77777777" w:rsidR="004D7999" w:rsidRPr="00426B41" w:rsidRDefault="004D7999" w:rsidP="005F2E79">
            <w:pPr>
              <w:rPr>
                <w:rFonts w:cs="Arial"/>
                <w:sz w:val="20"/>
                <w:szCs w:val="20"/>
              </w:rPr>
            </w:pPr>
          </w:p>
        </w:tc>
      </w:tr>
      <w:tr w:rsidR="004D7999" w:rsidRPr="00426B41" w14:paraId="23F88B5D" w14:textId="77777777" w:rsidTr="00865BA6">
        <w:tc>
          <w:tcPr>
            <w:tcW w:w="1736" w:type="pct"/>
            <w:shd w:val="clear" w:color="auto" w:fill="EAF1DD" w:themeFill="accent3" w:themeFillTint="33"/>
          </w:tcPr>
          <w:p w14:paraId="4DFC6CCF" w14:textId="788C6FA5" w:rsidR="004D7999" w:rsidRDefault="004D7999" w:rsidP="005F2E79">
            <w:pPr>
              <w:rPr>
                <w:rFonts w:cs="Arial"/>
                <w:sz w:val="20"/>
                <w:szCs w:val="20"/>
              </w:rPr>
            </w:pPr>
            <w:r w:rsidRPr="00426B41">
              <w:rPr>
                <w:rFonts w:cs="Arial"/>
                <w:sz w:val="20"/>
                <w:szCs w:val="20"/>
              </w:rPr>
              <w:t xml:space="preserve">Does not support approval </w:t>
            </w:r>
            <w:r>
              <w:rPr>
                <w:rFonts w:cs="Arial"/>
                <w:sz w:val="20"/>
                <w:szCs w:val="20"/>
              </w:rPr>
              <w:t xml:space="preserve">of </w:t>
            </w:r>
            <w:r w:rsidR="00B51870">
              <w:rPr>
                <w:rFonts w:cs="Arial"/>
                <w:sz w:val="20"/>
                <w:szCs w:val="20"/>
              </w:rPr>
              <w:t>2′</w:t>
            </w:r>
            <w:r>
              <w:rPr>
                <w:rFonts w:cs="Arial"/>
                <w:sz w:val="20"/>
                <w:szCs w:val="20"/>
              </w:rPr>
              <w:t xml:space="preserve">-FL and LNnT as </w:t>
            </w:r>
            <w:r w:rsidRPr="0075563C">
              <w:rPr>
                <w:rFonts w:cs="Arial"/>
                <w:i/>
                <w:sz w:val="20"/>
                <w:szCs w:val="20"/>
              </w:rPr>
              <w:t>food produced using gene technology</w:t>
            </w:r>
            <w:r w:rsidR="0075563C">
              <w:rPr>
                <w:rFonts w:cs="Arial"/>
                <w:sz w:val="20"/>
                <w:szCs w:val="20"/>
              </w:rPr>
              <w:t xml:space="preserve">, and </w:t>
            </w:r>
            <w:r w:rsidR="005F6EB8">
              <w:rPr>
                <w:rFonts w:cs="Arial"/>
                <w:sz w:val="20"/>
                <w:szCs w:val="20"/>
              </w:rPr>
              <w:t>should instead be regulated as</w:t>
            </w:r>
            <w:r>
              <w:rPr>
                <w:rFonts w:cs="Arial"/>
                <w:sz w:val="20"/>
                <w:szCs w:val="20"/>
              </w:rPr>
              <w:t xml:space="preserve"> novel foods</w:t>
            </w:r>
            <w:r w:rsidR="005F6EB8">
              <w:rPr>
                <w:rFonts w:cs="Arial"/>
                <w:sz w:val="20"/>
                <w:szCs w:val="20"/>
              </w:rPr>
              <w:t xml:space="preserve">, </w:t>
            </w:r>
            <w:r w:rsidR="0075563C">
              <w:rPr>
                <w:rFonts w:cs="Arial"/>
                <w:sz w:val="20"/>
                <w:szCs w:val="20"/>
              </w:rPr>
              <w:t>noting:</w:t>
            </w:r>
          </w:p>
          <w:p w14:paraId="06F28059" w14:textId="1AC4EA93" w:rsidR="0035412F" w:rsidRDefault="00B51870" w:rsidP="004D7999">
            <w:pPr>
              <w:pStyle w:val="ListParagraph"/>
              <w:widowControl/>
              <w:numPr>
                <w:ilvl w:val="0"/>
                <w:numId w:val="39"/>
              </w:numPr>
              <w:ind w:left="589" w:hanging="589"/>
              <w:rPr>
                <w:rFonts w:cs="Arial"/>
                <w:sz w:val="20"/>
                <w:szCs w:val="20"/>
              </w:rPr>
            </w:pPr>
            <w:r>
              <w:rPr>
                <w:rFonts w:cs="Arial"/>
                <w:sz w:val="20"/>
                <w:szCs w:val="20"/>
              </w:rPr>
              <w:t>2′</w:t>
            </w:r>
            <w:r w:rsidR="0035412F">
              <w:rPr>
                <w:rFonts w:cs="Arial"/>
                <w:sz w:val="20"/>
                <w:szCs w:val="20"/>
              </w:rPr>
              <w:t>-FL and LNnT meet the definition of non-traditional foods.</w:t>
            </w:r>
          </w:p>
          <w:p w14:paraId="1E4AC685" w14:textId="6D8EA6C4" w:rsidR="0025349D" w:rsidRDefault="0025349D" w:rsidP="004D7999">
            <w:pPr>
              <w:pStyle w:val="ListParagraph"/>
              <w:widowControl/>
              <w:numPr>
                <w:ilvl w:val="0"/>
                <w:numId w:val="39"/>
              </w:numPr>
              <w:ind w:left="589" w:hanging="589"/>
              <w:rPr>
                <w:rFonts w:cs="Arial"/>
                <w:sz w:val="20"/>
                <w:szCs w:val="20"/>
              </w:rPr>
            </w:pPr>
            <w:r>
              <w:rPr>
                <w:rFonts w:cs="Arial"/>
                <w:sz w:val="20"/>
                <w:szCs w:val="20"/>
              </w:rPr>
              <w:t xml:space="preserve">The substances are </w:t>
            </w:r>
            <w:r w:rsidR="00E30AC9">
              <w:rPr>
                <w:rFonts w:cs="Arial"/>
                <w:sz w:val="20"/>
                <w:szCs w:val="20"/>
              </w:rPr>
              <w:t xml:space="preserve">highly </w:t>
            </w:r>
            <w:r w:rsidR="00F45AD0">
              <w:rPr>
                <w:rFonts w:cs="Arial"/>
                <w:sz w:val="20"/>
                <w:szCs w:val="20"/>
              </w:rPr>
              <w:t>purified</w:t>
            </w:r>
            <w:r w:rsidR="00E30AC9">
              <w:rPr>
                <w:rFonts w:cs="Arial"/>
                <w:sz w:val="20"/>
                <w:szCs w:val="20"/>
              </w:rPr>
              <w:t xml:space="preserve"> and </w:t>
            </w:r>
            <w:r>
              <w:rPr>
                <w:rFonts w:cs="Arial"/>
                <w:sz w:val="20"/>
                <w:szCs w:val="20"/>
              </w:rPr>
              <w:t xml:space="preserve">equivalent to same molecules from different sources. </w:t>
            </w:r>
          </w:p>
          <w:p w14:paraId="2A04C949" w14:textId="2CB900CE" w:rsidR="004D7999" w:rsidRDefault="00B51870" w:rsidP="004D7999">
            <w:pPr>
              <w:pStyle w:val="ListParagraph"/>
              <w:widowControl/>
              <w:numPr>
                <w:ilvl w:val="0"/>
                <w:numId w:val="39"/>
              </w:numPr>
              <w:ind w:left="589" w:hanging="589"/>
              <w:rPr>
                <w:rFonts w:cs="Arial"/>
                <w:sz w:val="20"/>
                <w:szCs w:val="20"/>
              </w:rPr>
            </w:pPr>
            <w:r>
              <w:rPr>
                <w:rFonts w:cs="Arial"/>
                <w:sz w:val="20"/>
                <w:szCs w:val="20"/>
              </w:rPr>
              <w:t>2′</w:t>
            </w:r>
            <w:r w:rsidR="004D7999">
              <w:rPr>
                <w:rFonts w:cs="Arial"/>
                <w:sz w:val="20"/>
                <w:szCs w:val="20"/>
              </w:rPr>
              <w:t>-FL and LNnT are substantially different to GM plants currently listed in Schedule 26.</w:t>
            </w:r>
          </w:p>
          <w:p w14:paraId="5D89599C" w14:textId="77777777" w:rsidR="00D673D0" w:rsidRDefault="00D673D0" w:rsidP="00D673D0">
            <w:pPr>
              <w:pStyle w:val="ListParagraph"/>
              <w:widowControl/>
              <w:numPr>
                <w:ilvl w:val="0"/>
                <w:numId w:val="39"/>
              </w:numPr>
              <w:ind w:left="589" w:hanging="589"/>
              <w:rPr>
                <w:rFonts w:cs="Arial"/>
                <w:sz w:val="20"/>
                <w:szCs w:val="20"/>
              </w:rPr>
            </w:pPr>
            <w:r>
              <w:rPr>
                <w:rFonts w:cs="Arial"/>
                <w:sz w:val="20"/>
                <w:szCs w:val="20"/>
              </w:rPr>
              <w:t xml:space="preserve">The substances are regulated as novel foods internationally (e.g. EU and US). </w:t>
            </w:r>
          </w:p>
          <w:p w14:paraId="771E56E3" w14:textId="434FAA8B" w:rsidR="004D7999" w:rsidRPr="00F67B97" w:rsidRDefault="00D673D0" w:rsidP="00D673D0">
            <w:pPr>
              <w:pStyle w:val="ListParagraph"/>
              <w:widowControl/>
              <w:numPr>
                <w:ilvl w:val="0"/>
                <w:numId w:val="39"/>
              </w:numPr>
              <w:ind w:left="589" w:hanging="589"/>
              <w:rPr>
                <w:rFonts w:cs="Arial"/>
                <w:sz w:val="20"/>
                <w:szCs w:val="20"/>
              </w:rPr>
            </w:pPr>
            <w:r>
              <w:rPr>
                <w:rFonts w:cs="Arial"/>
                <w:sz w:val="20"/>
                <w:szCs w:val="20"/>
              </w:rPr>
              <w:t>The proposed approach may introduce a barrier to trade.</w:t>
            </w:r>
          </w:p>
        </w:tc>
        <w:tc>
          <w:tcPr>
            <w:tcW w:w="844" w:type="pct"/>
            <w:shd w:val="clear" w:color="auto" w:fill="EAF1DD" w:themeFill="accent3" w:themeFillTint="33"/>
          </w:tcPr>
          <w:p w14:paraId="61F8278B" w14:textId="77777777" w:rsidR="004D7999" w:rsidRPr="00084B50" w:rsidRDefault="004D7999" w:rsidP="005F2E79">
            <w:pPr>
              <w:rPr>
                <w:rFonts w:cs="Arial"/>
                <w:sz w:val="20"/>
                <w:szCs w:val="20"/>
              </w:rPr>
            </w:pPr>
            <w:r w:rsidRPr="00084B50">
              <w:rPr>
                <w:rFonts w:cs="Arial"/>
                <w:sz w:val="20"/>
                <w:szCs w:val="20"/>
              </w:rPr>
              <w:t>Glycom, INC, NZFGC, Nestle</w:t>
            </w:r>
          </w:p>
        </w:tc>
        <w:tc>
          <w:tcPr>
            <w:tcW w:w="2420" w:type="pct"/>
            <w:shd w:val="clear" w:color="auto" w:fill="EAF1DD" w:themeFill="accent3" w:themeFillTint="33"/>
          </w:tcPr>
          <w:p w14:paraId="77F26556" w14:textId="039C358B" w:rsidR="0035412F" w:rsidRDefault="00EC2441" w:rsidP="005F2E79">
            <w:pPr>
              <w:rPr>
                <w:rFonts w:cs="Arial"/>
                <w:sz w:val="20"/>
                <w:szCs w:val="20"/>
              </w:rPr>
            </w:pPr>
            <w:r>
              <w:rPr>
                <w:rFonts w:cs="Arial"/>
                <w:sz w:val="20"/>
                <w:szCs w:val="20"/>
              </w:rPr>
              <w:t xml:space="preserve">As discussed in section 1.3.1, </w:t>
            </w:r>
            <w:r w:rsidR="004A42B8">
              <w:rPr>
                <w:rFonts w:cs="Arial"/>
                <w:sz w:val="20"/>
                <w:szCs w:val="20"/>
              </w:rPr>
              <w:t xml:space="preserve">express permission must be provided in the Code for any </w:t>
            </w:r>
            <w:r w:rsidR="004A42B8">
              <w:rPr>
                <w:rFonts w:cs="Arial"/>
                <w:i/>
                <w:sz w:val="20"/>
                <w:szCs w:val="20"/>
              </w:rPr>
              <w:t>food produced using gene technology</w:t>
            </w:r>
            <w:r w:rsidR="004A42B8">
              <w:rPr>
                <w:rFonts w:cs="Arial"/>
                <w:sz w:val="20"/>
                <w:szCs w:val="20"/>
              </w:rPr>
              <w:t xml:space="preserve"> to be sold, or used as an ingredient in a food for sale</w:t>
            </w:r>
            <w:r w:rsidR="0099667A">
              <w:rPr>
                <w:rFonts w:cs="Arial"/>
                <w:sz w:val="20"/>
                <w:szCs w:val="20"/>
              </w:rPr>
              <w:t>,</w:t>
            </w:r>
            <w:r w:rsidR="004A42B8">
              <w:rPr>
                <w:rFonts w:cs="Arial"/>
                <w:sz w:val="20"/>
                <w:szCs w:val="20"/>
              </w:rPr>
              <w:t xml:space="preserve"> in Australia and New Zealand (in accordance with section 1.1.1—10). </w:t>
            </w:r>
            <w:r w:rsidR="00B51870">
              <w:rPr>
                <w:rFonts w:cs="Arial"/>
                <w:sz w:val="20"/>
                <w:szCs w:val="20"/>
              </w:rPr>
              <w:t>2′</w:t>
            </w:r>
            <w:r w:rsidR="00DE11F0">
              <w:rPr>
                <w:rFonts w:cs="Arial"/>
                <w:sz w:val="20"/>
                <w:szCs w:val="20"/>
              </w:rPr>
              <w:t xml:space="preserve">-FL and LNnT </w:t>
            </w:r>
            <w:r>
              <w:rPr>
                <w:rFonts w:cs="Arial"/>
                <w:sz w:val="20"/>
                <w:szCs w:val="20"/>
              </w:rPr>
              <w:t>are</w:t>
            </w:r>
            <w:r w:rsidR="00DE11F0">
              <w:rPr>
                <w:rFonts w:cs="Arial"/>
                <w:sz w:val="20"/>
                <w:szCs w:val="20"/>
              </w:rPr>
              <w:t xml:space="preserve"> </w:t>
            </w:r>
            <w:r w:rsidR="00DE11F0">
              <w:rPr>
                <w:rFonts w:cs="Arial"/>
                <w:i/>
                <w:sz w:val="20"/>
                <w:szCs w:val="20"/>
              </w:rPr>
              <w:t xml:space="preserve">food produced using gene technology </w:t>
            </w:r>
            <w:r w:rsidR="00DE11F0" w:rsidRPr="00EC2441">
              <w:rPr>
                <w:rFonts w:cs="Arial"/>
                <w:sz w:val="20"/>
                <w:szCs w:val="20"/>
              </w:rPr>
              <w:t xml:space="preserve">as they are </w:t>
            </w:r>
            <w:r>
              <w:rPr>
                <w:rFonts w:cs="Arial"/>
                <w:sz w:val="20"/>
                <w:szCs w:val="20"/>
              </w:rPr>
              <w:t>derived</w:t>
            </w:r>
            <w:r w:rsidR="00DE11F0" w:rsidRPr="00EC2441">
              <w:rPr>
                <w:rFonts w:cs="Arial"/>
                <w:sz w:val="20"/>
                <w:szCs w:val="20"/>
              </w:rPr>
              <w:t xml:space="preserve"> from an organism modified by gene technology</w:t>
            </w:r>
            <w:r w:rsidR="002065DB">
              <w:rPr>
                <w:rFonts w:cs="Arial"/>
                <w:sz w:val="20"/>
                <w:szCs w:val="20"/>
              </w:rPr>
              <w:t>.</w:t>
            </w:r>
          </w:p>
          <w:p w14:paraId="05E54AA3" w14:textId="19B1C969" w:rsidR="00F67B97" w:rsidRDefault="00F67B97" w:rsidP="005F2E79">
            <w:pPr>
              <w:rPr>
                <w:rFonts w:cs="Arial"/>
                <w:sz w:val="20"/>
                <w:szCs w:val="20"/>
              </w:rPr>
            </w:pPr>
          </w:p>
          <w:p w14:paraId="548875F8" w14:textId="5C622716" w:rsidR="00F67B97" w:rsidRDefault="00F67B97" w:rsidP="005F2E79">
            <w:pPr>
              <w:rPr>
                <w:rFonts w:cs="Arial"/>
                <w:sz w:val="20"/>
                <w:szCs w:val="20"/>
              </w:rPr>
            </w:pPr>
            <w:r w:rsidRPr="00111AEE">
              <w:rPr>
                <w:rFonts w:cs="Arial"/>
                <w:sz w:val="20"/>
                <w:szCs w:val="20"/>
              </w:rPr>
              <w:t xml:space="preserve">Section 1.5.2—3 </w:t>
            </w:r>
            <w:r w:rsidR="00111AEE" w:rsidRPr="00111AEE">
              <w:rPr>
                <w:rFonts w:cs="Arial"/>
                <w:sz w:val="20"/>
                <w:szCs w:val="20"/>
              </w:rPr>
              <w:t xml:space="preserve">requires that a permitted </w:t>
            </w:r>
            <w:r w:rsidR="00111AEE" w:rsidRPr="00CD1B41">
              <w:rPr>
                <w:rFonts w:cs="Arial"/>
                <w:sz w:val="20"/>
                <w:szCs w:val="20"/>
              </w:rPr>
              <w:t xml:space="preserve">food produced using gene technology </w:t>
            </w:r>
            <w:r w:rsidR="00111AEE" w:rsidRPr="00111AEE">
              <w:rPr>
                <w:rFonts w:cs="Arial"/>
                <w:sz w:val="20"/>
                <w:szCs w:val="20"/>
              </w:rPr>
              <w:t>is</w:t>
            </w:r>
            <w:r w:rsidRPr="00111AEE">
              <w:rPr>
                <w:rFonts w:cs="Arial"/>
                <w:sz w:val="20"/>
                <w:szCs w:val="20"/>
              </w:rPr>
              <w:t xml:space="preserve"> listed in Schedule 26, or </w:t>
            </w:r>
            <w:r w:rsidR="00111AEE" w:rsidRPr="00111AEE">
              <w:rPr>
                <w:rFonts w:cs="Arial"/>
                <w:sz w:val="20"/>
                <w:szCs w:val="20"/>
              </w:rPr>
              <w:t>is a substance</w:t>
            </w:r>
            <w:r w:rsidRPr="00111AEE">
              <w:rPr>
                <w:rFonts w:cs="Arial"/>
                <w:sz w:val="20"/>
                <w:szCs w:val="20"/>
              </w:rPr>
              <w:t xml:space="preserve"> permitted </w:t>
            </w:r>
            <w:r w:rsidR="00111AEE" w:rsidRPr="00111AEE">
              <w:rPr>
                <w:rFonts w:cs="Arial"/>
                <w:sz w:val="20"/>
                <w:szCs w:val="20"/>
              </w:rPr>
              <w:t xml:space="preserve">for use </w:t>
            </w:r>
            <w:r w:rsidRPr="00111AEE">
              <w:rPr>
                <w:rFonts w:cs="Arial"/>
                <w:sz w:val="20"/>
                <w:szCs w:val="20"/>
              </w:rPr>
              <w:t>as a food additive (by Standard 1.3.1) or processing aid (by Standard 1.3.3)</w:t>
            </w:r>
            <w:r w:rsidR="00111AEE" w:rsidRPr="00111AEE">
              <w:rPr>
                <w:rFonts w:cs="Arial"/>
                <w:sz w:val="20"/>
                <w:szCs w:val="20"/>
              </w:rPr>
              <w:t xml:space="preserve">. </w:t>
            </w:r>
            <w:r w:rsidR="00B51870">
              <w:rPr>
                <w:rFonts w:cs="Arial"/>
                <w:sz w:val="20"/>
                <w:szCs w:val="20"/>
              </w:rPr>
              <w:t>2′</w:t>
            </w:r>
            <w:r w:rsidR="00111AEE" w:rsidRPr="00111AEE">
              <w:rPr>
                <w:rFonts w:cs="Arial"/>
                <w:sz w:val="20"/>
                <w:szCs w:val="20"/>
              </w:rPr>
              <w:t xml:space="preserve">-FL and LNnT are not food additives or processing aids and must therefore be listed in Schedule 26 to comply with the requirements of the Code. </w:t>
            </w:r>
          </w:p>
          <w:p w14:paraId="7A127FE8" w14:textId="41B3C118" w:rsidR="00111AEE" w:rsidRPr="00111AEE" w:rsidRDefault="004E7862" w:rsidP="005F2E79">
            <w:pPr>
              <w:rPr>
                <w:rFonts w:cs="Arial"/>
                <w:sz w:val="20"/>
                <w:szCs w:val="20"/>
              </w:rPr>
            </w:pPr>
            <w:r>
              <w:rPr>
                <w:rFonts w:cs="Arial"/>
                <w:sz w:val="20"/>
                <w:szCs w:val="20"/>
              </w:rPr>
              <w:t xml:space="preserve">As discussed in section 2.3.2, </w:t>
            </w:r>
            <w:r w:rsidR="006F2C24">
              <w:rPr>
                <w:rFonts w:cs="Arial"/>
                <w:sz w:val="20"/>
                <w:szCs w:val="20"/>
              </w:rPr>
              <w:t xml:space="preserve">FSANZ </w:t>
            </w:r>
            <w:r w:rsidR="00CD1B41">
              <w:rPr>
                <w:rFonts w:cs="Arial"/>
                <w:sz w:val="20"/>
                <w:szCs w:val="20"/>
              </w:rPr>
              <w:t xml:space="preserve">proposes </w:t>
            </w:r>
            <w:r w:rsidR="006F2C24">
              <w:rPr>
                <w:rFonts w:cs="Arial"/>
                <w:sz w:val="20"/>
                <w:szCs w:val="20"/>
              </w:rPr>
              <w:t>to</w:t>
            </w:r>
            <w:r w:rsidR="00FD5EAB">
              <w:rPr>
                <w:rFonts w:cs="Arial"/>
                <w:sz w:val="20"/>
                <w:szCs w:val="20"/>
              </w:rPr>
              <w:t xml:space="preserve"> add a</w:t>
            </w:r>
            <w:r w:rsidR="0099667A">
              <w:rPr>
                <w:rFonts w:cs="Arial"/>
                <w:sz w:val="20"/>
                <w:szCs w:val="20"/>
              </w:rPr>
              <w:t xml:space="preserve"> </w:t>
            </w:r>
            <w:r w:rsidR="00CD1B41">
              <w:rPr>
                <w:rFonts w:cs="Arial"/>
                <w:sz w:val="20"/>
                <w:szCs w:val="20"/>
              </w:rPr>
              <w:t xml:space="preserve">new, </w:t>
            </w:r>
            <w:r w:rsidR="0099667A">
              <w:rPr>
                <w:rFonts w:cs="Arial"/>
                <w:sz w:val="20"/>
                <w:szCs w:val="20"/>
              </w:rPr>
              <w:t xml:space="preserve">separate </w:t>
            </w:r>
            <w:r w:rsidR="00111AEE" w:rsidRPr="00111AEE">
              <w:rPr>
                <w:rFonts w:cs="Arial"/>
                <w:sz w:val="20"/>
                <w:szCs w:val="20"/>
              </w:rPr>
              <w:t>table</w:t>
            </w:r>
            <w:r w:rsidR="005F7872">
              <w:rPr>
                <w:rFonts w:cs="Arial"/>
                <w:sz w:val="20"/>
                <w:szCs w:val="20"/>
              </w:rPr>
              <w:t xml:space="preserve"> </w:t>
            </w:r>
            <w:r w:rsidR="0099667A">
              <w:rPr>
                <w:rFonts w:cs="Arial"/>
                <w:sz w:val="20"/>
                <w:szCs w:val="20"/>
              </w:rPr>
              <w:t>in S</w:t>
            </w:r>
            <w:r w:rsidR="00F541FC">
              <w:rPr>
                <w:rFonts w:cs="Arial"/>
                <w:sz w:val="20"/>
                <w:szCs w:val="20"/>
              </w:rPr>
              <w:t xml:space="preserve">chedule </w:t>
            </w:r>
            <w:r w:rsidR="0099667A">
              <w:rPr>
                <w:rFonts w:cs="Arial"/>
                <w:sz w:val="20"/>
                <w:szCs w:val="20"/>
              </w:rPr>
              <w:t>26</w:t>
            </w:r>
            <w:r w:rsidR="00CD1B41">
              <w:rPr>
                <w:rFonts w:cs="Arial"/>
                <w:sz w:val="20"/>
                <w:szCs w:val="20"/>
              </w:rPr>
              <w:t>,</w:t>
            </w:r>
            <w:r w:rsidR="0099667A">
              <w:rPr>
                <w:rFonts w:cs="Arial"/>
                <w:sz w:val="20"/>
                <w:szCs w:val="20"/>
              </w:rPr>
              <w:t xml:space="preserve"> </w:t>
            </w:r>
            <w:r w:rsidR="006518A9">
              <w:rPr>
                <w:rFonts w:cs="Arial"/>
                <w:sz w:val="20"/>
                <w:szCs w:val="20"/>
              </w:rPr>
              <w:t xml:space="preserve">to </w:t>
            </w:r>
            <w:r w:rsidR="00C9193A">
              <w:rPr>
                <w:rFonts w:cs="Arial"/>
                <w:sz w:val="20"/>
                <w:szCs w:val="20"/>
              </w:rPr>
              <w:t xml:space="preserve">clearly </w:t>
            </w:r>
            <w:r w:rsidR="00F45AD0">
              <w:rPr>
                <w:rFonts w:cs="Arial"/>
                <w:sz w:val="20"/>
                <w:szCs w:val="20"/>
              </w:rPr>
              <w:t>delineate</w:t>
            </w:r>
            <w:r w:rsidR="00C9193A">
              <w:rPr>
                <w:rFonts w:cs="Arial"/>
                <w:sz w:val="20"/>
                <w:szCs w:val="20"/>
              </w:rPr>
              <w:t xml:space="preserve"> </w:t>
            </w:r>
            <w:r w:rsidR="00B51870">
              <w:rPr>
                <w:rFonts w:cs="Arial"/>
                <w:sz w:val="20"/>
                <w:szCs w:val="20"/>
              </w:rPr>
              <w:t>2′</w:t>
            </w:r>
            <w:r w:rsidR="0000433D">
              <w:rPr>
                <w:rFonts w:cs="Arial"/>
                <w:sz w:val="20"/>
                <w:szCs w:val="20"/>
              </w:rPr>
              <w:t xml:space="preserve">-FL and LNnT of microbial origin from the </w:t>
            </w:r>
            <w:r w:rsidR="006518A9">
              <w:rPr>
                <w:rFonts w:cs="Arial"/>
                <w:sz w:val="20"/>
                <w:szCs w:val="20"/>
              </w:rPr>
              <w:t>exi</w:t>
            </w:r>
            <w:r w:rsidR="0000433D">
              <w:rPr>
                <w:rFonts w:cs="Arial"/>
                <w:sz w:val="20"/>
                <w:szCs w:val="20"/>
              </w:rPr>
              <w:t>sting approvals of plant origin</w:t>
            </w:r>
            <w:r w:rsidR="006518A9">
              <w:rPr>
                <w:rFonts w:cs="Arial"/>
                <w:sz w:val="20"/>
                <w:szCs w:val="20"/>
              </w:rPr>
              <w:t>. This approach</w:t>
            </w:r>
            <w:r w:rsidR="00F14175">
              <w:rPr>
                <w:rFonts w:cs="Arial"/>
                <w:sz w:val="20"/>
                <w:szCs w:val="20"/>
              </w:rPr>
              <w:t xml:space="preserve"> </w:t>
            </w:r>
            <w:r w:rsidR="00C9193A">
              <w:rPr>
                <w:rFonts w:cs="Arial"/>
                <w:sz w:val="20"/>
                <w:szCs w:val="20"/>
              </w:rPr>
              <w:t xml:space="preserve">does not change </w:t>
            </w:r>
            <w:r w:rsidR="0000433D">
              <w:rPr>
                <w:rFonts w:cs="Arial"/>
                <w:sz w:val="20"/>
                <w:szCs w:val="20"/>
              </w:rPr>
              <w:t xml:space="preserve">existing </w:t>
            </w:r>
            <w:r w:rsidR="00C9193A">
              <w:rPr>
                <w:rFonts w:cs="Arial"/>
                <w:sz w:val="20"/>
                <w:szCs w:val="20"/>
              </w:rPr>
              <w:t>pre-market assessment and approval requirements</w:t>
            </w:r>
            <w:r w:rsidR="00CD1B41">
              <w:rPr>
                <w:rFonts w:cs="Arial"/>
                <w:sz w:val="20"/>
                <w:szCs w:val="20"/>
              </w:rPr>
              <w:t>,</w:t>
            </w:r>
            <w:r w:rsidR="00C9193A">
              <w:rPr>
                <w:rFonts w:cs="Arial"/>
                <w:sz w:val="20"/>
                <w:szCs w:val="20"/>
              </w:rPr>
              <w:t xml:space="preserve"> or the existing approvals</w:t>
            </w:r>
            <w:r w:rsidR="0000433D">
              <w:rPr>
                <w:rFonts w:cs="Arial"/>
                <w:sz w:val="20"/>
                <w:szCs w:val="20"/>
              </w:rPr>
              <w:t xml:space="preserve"> of plant origin</w:t>
            </w:r>
            <w:r w:rsidR="00F14175">
              <w:rPr>
                <w:rFonts w:cs="Arial"/>
                <w:sz w:val="20"/>
                <w:szCs w:val="20"/>
              </w:rPr>
              <w:t>.</w:t>
            </w:r>
          </w:p>
          <w:p w14:paraId="01A2CAE9" w14:textId="7CDE9C4B" w:rsidR="0035412F" w:rsidRDefault="0035412F" w:rsidP="005F2E79">
            <w:pPr>
              <w:rPr>
                <w:rFonts w:cs="Arial"/>
                <w:sz w:val="20"/>
                <w:szCs w:val="20"/>
              </w:rPr>
            </w:pPr>
          </w:p>
          <w:p w14:paraId="51BB92B8" w14:textId="41EE82BD" w:rsidR="00D61E12" w:rsidRPr="00426B41" w:rsidRDefault="00DE11F0" w:rsidP="005A2026">
            <w:pPr>
              <w:rPr>
                <w:rFonts w:cs="Arial"/>
                <w:sz w:val="20"/>
                <w:szCs w:val="20"/>
              </w:rPr>
            </w:pPr>
            <w:r>
              <w:rPr>
                <w:rFonts w:cs="Arial"/>
                <w:sz w:val="20"/>
                <w:szCs w:val="20"/>
              </w:rPr>
              <w:t>FSANZ a</w:t>
            </w:r>
            <w:r w:rsidR="004D7999" w:rsidRPr="00426B41">
              <w:rPr>
                <w:rFonts w:cs="Arial"/>
                <w:sz w:val="20"/>
                <w:szCs w:val="20"/>
              </w:rPr>
              <w:t>cknowledge</w:t>
            </w:r>
            <w:r>
              <w:rPr>
                <w:rFonts w:cs="Arial"/>
                <w:sz w:val="20"/>
                <w:szCs w:val="20"/>
              </w:rPr>
              <w:t>s</w:t>
            </w:r>
            <w:r w:rsidR="004D7999" w:rsidRPr="00426B41">
              <w:rPr>
                <w:rFonts w:cs="Arial"/>
                <w:sz w:val="20"/>
                <w:szCs w:val="20"/>
              </w:rPr>
              <w:t xml:space="preserve"> </w:t>
            </w:r>
            <w:r>
              <w:rPr>
                <w:rFonts w:cs="Arial"/>
                <w:sz w:val="20"/>
                <w:szCs w:val="20"/>
              </w:rPr>
              <w:t xml:space="preserve">that </w:t>
            </w:r>
            <w:r w:rsidR="0035412F">
              <w:rPr>
                <w:rFonts w:cs="Arial"/>
                <w:sz w:val="20"/>
                <w:szCs w:val="20"/>
              </w:rPr>
              <w:t>the Code operates differently to the regulatory framework for G</w:t>
            </w:r>
            <w:r>
              <w:rPr>
                <w:rFonts w:cs="Arial"/>
                <w:sz w:val="20"/>
                <w:szCs w:val="20"/>
              </w:rPr>
              <w:t>M</w:t>
            </w:r>
            <w:r w:rsidR="004D6F0C">
              <w:rPr>
                <w:rFonts w:cs="Arial"/>
                <w:sz w:val="20"/>
                <w:szCs w:val="20"/>
              </w:rPr>
              <w:t xml:space="preserve">/novel </w:t>
            </w:r>
            <w:r>
              <w:rPr>
                <w:rFonts w:cs="Arial"/>
                <w:sz w:val="20"/>
                <w:szCs w:val="20"/>
              </w:rPr>
              <w:t xml:space="preserve">foods </w:t>
            </w:r>
            <w:r w:rsidR="0035412F">
              <w:rPr>
                <w:rFonts w:cs="Arial"/>
                <w:sz w:val="20"/>
                <w:szCs w:val="20"/>
              </w:rPr>
              <w:t xml:space="preserve">in </w:t>
            </w:r>
            <w:r>
              <w:rPr>
                <w:rFonts w:cs="Arial"/>
                <w:sz w:val="20"/>
                <w:szCs w:val="20"/>
              </w:rPr>
              <w:t xml:space="preserve">overseas regulations </w:t>
            </w:r>
            <w:r w:rsidR="0004633B">
              <w:rPr>
                <w:rFonts w:cs="Arial"/>
                <w:sz w:val="20"/>
                <w:szCs w:val="20"/>
              </w:rPr>
              <w:t>such as the EU and US</w:t>
            </w:r>
            <w:r>
              <w:rPr>
                <w:rFonts w:cs="Arial"/>
                <w:sz w:val="20"/>
                <w:szCs w:val="20"/>
              </w:rPr>
              <w:t>.</w:t>
            </w:r>
            <w:r w:rsidR="004D7999" w:rsidRPr="00426B41">
              <w:rPr>
                <w:rFonts w:cs="Arial"/>
                <w:sz w:val="20"/>
                <w:szCs w:val="20"/>
              </w:rPr>
              <w:t xml:space="preserve"> </w:t>
            </w:r>
            <w:r w:rsidR="00F67B97">
              <w:rPr>
                <w:rFonts w:cs="Arial"/>
                <w:sz w:val="20"/>
                <w:szCs w:val="20"/>
              </w:rPr>
              <w:t>However, food for sale in Australia and New Zealand must meet the requirements of the Code.</w:t>
            </w:r>
            <w:r w:rsidR="00696023">
              <w:rPr>
                <w:rFonts w:cs="Arial"/>
                <w:sz w:val="20"/>
                <w:szCs w:val="20"/>
              </w:rPr>
              <w:t xml:space="preserve"> </w:t>
            </w:r>
            <w:r w:rsidR="00104008">
              <w:rPr>
                <w:rFonts w:cs="Arial"/>
                <w:sz w:val="20"/>
                <w:szCs w:val="20"/>
              </w:rPr>
              <w:t>Regardless of approval as GM food in Australia and New Zealand, or as novel food overseas, the substances would be permitted to be used as ingredient</w:t>
            </w:r>
            <w:r w:rsidR="006D2E33">
              <w:rPr>
                <w:rFonts w:cs="Arial"/>
                <w:sz w:val="20"/>
                <w:szCs w:val="20"/>
              </w:rPr>
              <w:t>s</w:t>
            </w:r>
            <w:r w:rsidR="00104008">
              <w:rPr>
                <w:rFonts w:cs="Arial"/>
                <w:sz w:val="20"/>
                <w:szCs w:val="20"/>
              </w:rPr>
              <w:t xml:space="preserve"> in infant formula products and FSFYC which would support trade (noting,</w:t>
            </w:r>
            <w:r w:rsidR="002771E6">
              <w:rPr>
                <w:rFonts w:cs="Arial"/>
                <w:sz w:val="20"/>
                <w:szCs w:val="20"/>
              </w:rPr>
              <w:t xml:space="preserve"> as discussed in section 2.3.5.5</w:t>
            </w:r>
            <w:r w:rsidR="00104008">
              <w:rPr>
                <w:rFonts w:cs="Arial"/>
                <w:sz w:val="20"/>
                <w:szCs w:val="20"/>
              </w:rPr>
              <w:t xml:space="preserve">, it is highly unlikely that novel protein will be present </w:t>
            </w:r>
            <w:r w:rsidR="004D6F0C">
              <w:rPr>
                <w:rFonts w:cs="Arial"/>
                <w:sz w:val="20"/>
                <w:szCs w:val="20"/>
              </w:rPr>
              <w:t xml:space="preserve">in the final food </w:t>
            </w:r>
            <w:r w:rsidR="00104008">
              <w:rPr>
                <w:rFonts w:cs="Arial"/>
                <w:sz w:val="20"/>
                <w:szCs w:val="20"/>
              </w:rPr>
              <w:t xml:space="preserve">in regard to GM labelling requirements). </w:t>
            </w:r>
            <w:r w:rsidR="00696023" w:rsidRPr="002046F0">
              <w:rPr>
                <w:rFonts w:cs="Arial"/>
                <w:sz w:val="20"/>
                <w:szCs w:val="20"/>
              </w:rPr>
              <w:t xml:space="preserve">FSANZ </w:t>
            </w:r>
            <w:r w:rsidR="00104008">
              <w:rPr>
                <w:rFonts w:cs="Arial"/>
                <w:sz w:val="20"/>
                <w:szCs w:val="20"/>
              </w:rPr>
              <w:t xml:space="preserve">therefore </w:t>
            </w:r>
            <w:r w:rsidR="00696023" w:rsidRPr="002046F0">
              <w:rPr>
                <w:rFonts w:cs="Arial"/>
                <w:sz w:val="20"/>
                <w:szCs w:val="20"/>
              </w:rPr>
              <w:t>considers that the proposed permission is unlikely to</w:t>
            </w:r>
            <w:r w:rsidR="00104008">
              <w:rPr>
                <w:rFonts w:cs="Arial"/>
                <w:sz w:val="20"/>
                <w:szCs w:val="20"/>
              </w:rPr>
              <w:t xml:space="preserve"> negatively impact</w:t>
            </w:r>
            <w:r w:rsidR="00696023" w:rsidRPr="002046F0">
              <w:rPr>
                <w:rFonts w:cs="Arial"/>
                <w:sz w:val="20"/>
                <w:szCs w:val="20"/>
              </w:rPr>
              <w:t xml:space="preserve"> trade </w:t>
            </w:r>
            <w:r w:rsidR="00104008">
              <w:rPr>
                <w:rFonts w:cs="Arial"/>
                <w:sz w:val="20"/>
                <w:szCs w:val="20"/>
              </w:rPr>
              <w:t xml:space="preserve">as </w:t>
            </w:r>
            <w:r w:rsidR="005A2026">
              <w:rPr>
                <w:rFonts w:cs="Arial"/>
                <w:sz w:val="20"/>
                <w:szCs w:val="20"/>
              </w:rPr>
              <w:t>noted</w:t>
            </w:r>
            <w:r w:rsidR="00104008">
              <w:rPr>
                <w:rFonts w:cs="Arial"/>
                <w:sz w:val="20"/>
                <w:szCs w:val="20"/>
              </w:rPr>
              <w:t xml:space="preserve"> </w:t>
            </w:r>
            <w:r w:rsidR="00696023" w:rsidRPr="002046F0">
              <w:rPr>
                <w:rFonts w:cs="Arial"/>
                <w:sz w:val="20"/>
                <w:szCs w:val="20"/>
              </w:rPr>
              <w:t>in section 2.4.2.</w:t>
            </w:r>
          </w:p>
        </w:tc>
      </w:tr>
      <w:tr w:rsidR="004D7999" w:rsidRPr="00426B41" w14:paraId="01A5A358" w14:textId="77777777" w:rsidTr="004D7999">
        <w:tc>
          <w:tcPr>
            <w:tcW w:w="1736" w:type="pct"/>
          </w:tcPr>
          <w:p w14:paraId="17B767D7" w14:textId="718F1E49" w:rsidR="00F25C39" w:rsidRDefault="005F6EB8" w:rsidP="00F25C39">
            <w:pPr>
              <w:rPr>
                <w:rFonts w:cs="Arial"/>
                <w:sz w:val="20"/>
                <w:szCs w:val="20"/>
              </w:rPr>
            </w:pPr>
            <w:r>
              <w:rPr>
                <w:rFonts w:cs="Arial"/>
                <w:sz w:val="20"/>
                <w:szCs w:val="20"/>
              </w:rPr>
              <w:t>Suggests approval is based on</w:t>
            </w:r>
            <w:r w:rsidR="00F25C39">
              <w:rPr>
                <w:rFonts w:cs="Arial"/>
                <w:sz w:val="20"/>
                <w:szCs w:val="20"/>
              </w:rPr>
              <w:t xml:space="preserve"> a platform strain</w:t>
            </w:r>
            <w:r w:rsidR="004D7999" w:rsidRPr="00426B41">
              <w:rPr>
                <w:rFonts w:cs="Arial"/>
                <w:sz w:val="20"/>
                <w:szCs w:val="20"/>
              </w:rPr>
              <w:t xml:space="preserve"> </w:t>
            </w:r>
            <w:r w:rsidR="00F877AC">
              <w:rPr>
                <w:rFonts w:cs="Arial"/>
                <w:sz w:val="20"/>
                <w:szCs w:val="20"/>
              </w:rPr>
              <w:t>(iden</w:t>
            </w:r>
            <w:r w:rsidR="00C86C88">
              <w:rPr>
                <w:rFonts w:cs="Arial"/>
                <w:sz w:val="20"/>
                <w:szCs w:val="20"/>
              </w:rPr>
              <w:t>tified as RO-</w:t>
            </w:r>
            <w:r w:rsidR="00F877AC">
              <w:rPr>
                <w:rFonts w:cs="Arial"/>
                <w:sz w:val="20"/>
                <w:szCs w:val="20"/>
              </w:rPr>
              <w:t>1 in SD1)</w:t>
            </w:r>
            <w:r w:rsidR="004D7999">
              <w:rPr>
                <w:rFonts w:cs="Arial"/>
                <w:sz w:val="20"/>
                <w:szCs w:val="20"/>
              </w:rPr>
              <w:t xml:space="preserve">, </w:t>
            </w:r>
            <w:r w:rsidR="004D7999" w:rsidRPr="00426B41">
              <w:rPr>
                <w:rFonts w:cs="Arial"/>
                <w:sz w:val="20"/>
                <w:szCs w:val="20"/>
              </w:rPr>
              <w:t>rather th</w:t>
            </w:r>
            <w:r w:rsidR="004D7999">
              <w:rPr>
                <w:rFonts w:cs="Arial"/>
                <w:sz w:val="20"/>
                <w:szCs w:val="20"/>
              </w:rPr>
              <w:t xml:space="preserve">an </w:t>
            </w:r>
            <w:r>
              <w:rPr>
                <w:rFonts w:cs="Arial"/>
                <w:sz w:val="20"/>
                <w:szCs w:val="20"/>
              </w:rPr>
              <w:t>the</w:t>
            </w:r>
            <w:r w:rsidR="004D7999">
              <w:rPr>
                <w:rFonts w:cs="Arial"/>
                <w:sz w:val="20"/>
                <w:szCs w:val="20"/>
              </w:rPr>
              <w:t xml:space="preserve"> specific production strains</w:t>
            </w:r>
            <w:r>
              <w:rPr>
                <w:rFonts w:cs="Arial"/>
                <w:sz w:val="20"/>
                <w:szCs w:val="20"/>
              </w:rPr>
              <w:t xml:space="preserve"> proposed. This will</w:t>
            </w:r>
            <w:r w:rsidR="004D7999" w:rsidRPr="00426B41">
              <w:rPr>
                <w:rFonts w:cs="Arial"/>
                <w:sz w:val="20"/>
                <w:szCs w:val="20"/>
              </w:rPr>
              <w:t xml:space="preserve"> facilitate innovation at production strain variant level without any impact to the genes being expressed to produce </w:t>
            </w:r>
            <w:r w:rsidR="00B51870">
              <w:rPr>
                <w:rFonts w:cs="Arial"/>
                <w:sz w:val="20"/>
                <w:szCs w:val="20"/>
              </w:rPr>
              <w:t>2′</w:t>
            </w:r>
            <w:r w:rsidR="004D7999" w:rsidRPr="00426B41">
              <w:rPr>
                <w:rFonts w:cs="Arial"/>
                <w:sz w:val="20"/>
                <w:szCs w:val="20"/>
              </w:rPr>
              <w:t>-FL/LNnT</w:t>
            </w:r>
            <w:r w:rsidR="004D7999">
              <w:rPr>
                <w:rFonts w:cs="Arial"/>
                <w:sz w:val="20"/>
                <w:szCs w:val="20"/>
              </w:rPr>
              <w:t xml:space="preserve">. </w:t>
            </w:r>
          </w:p>
          <w:p w14:paraId="1107458E" w14:textId="58BAF78B" w:rsidR="004D7999" w:rsidRPr="00426B41" w:rsidRDefault="004D7999" w:rsidP="00F25C39">
            <w:pPr>
              <w:rPr>
                <w:rFonts w:cs="Arial"/>
                <w:sz w:val="20"/>
                <w:szCs w:val="20"/>
              </w:rPr>
            </w:pPr>
            <w:r>
              <w:rPr>
                <w:rFonts w:cs="Arial"/>
                <w:sz w:val="20"/>
                <w:szCs w:val="20"/>
              </w:rPr>
              <w:t>Also suggests the</w:t>
            </w:r>
            <w:r w:rsidRPr="00426B41">
              <w:rPr>
                <w:rFonts w:cs="Arial"/>
                <w:sz w:val="20"/>
                <w:szCs w:val="20"/>
              </w:rPr>
              <w:t xml:space="preserve"> platform stra</w:t>
            </w:r>
            <w:r>
              <w:rPr>
                <w:rFonts w:cs="Arial"/>
                <w:sz w:val="20"/>
                <w:szCs w:val="20"/>
              </w:rPr>
              <w:t xml:space="preserve">in be located with the specification in Schedule </w:t>
            </w:r>
            <w:r w:rsidRPr="00426B41">
              <w:rPr>
                <w:rFonts w:cs="Arial"/>
                <w:sz w:val="20"/>
                <w:szCs w:val="20"/>
              </w:rPr>
              <w:t>3.</w:t>
            </w:r>
          </w:p>
        </w:tc>
        <w:tc>
          <w:tcPr>
            <w:tcW w:w="844" w:type="pct"/>
          </w:tcPr>
          <w:p w14:paraId="5F041919" w14:textId="77777777" w:rsidR="004D7999" w:rsidRPr="00084B50" w:rsidRDefault="004D7999" w:rsidP="005F2E79">
            <w:pPr>
              <w:rPr>
                <w:rFonts w:cs="Arial"/>
                <w:sz w:val="20"/>
                <w:szCs w:val="20"/>
              </w:rPr>
            </w:pPr>
            <w:r w:rsidRPr="00084B50">
              <w:rPr>
                <w:rFonts w:cs="Arial"/>
                <w:sz w:val="20"/>
                <w:szCs w:val="20"/>
              </w:rPr>
              <w:t>Glycom, Nestle</w:t>
            </w:r>
          </w:p>
        </w:tc>
        <w:tc>
          <w:tcPr>
            <w:tcW w:w="2420" w:type="pct"/>
          </w:tcPr>
          <w:p w14:paraId="73514EA6" w14:textId="3E0F7722" w:rsidR="006E0E2E" w:rsidRDefault="00346147" w:rsidP="00F25C39">
            <w:pPr>
              <w:rPr>
                <w:rFonts w:cs="Arial"/>
                <w:sz w:val="20"/>
                <w:szCs w:val="20"/>
              </w:rPr>
            </w:pPr>
            <w:r>
              <w:rPr>
                <w:rFonts w:cs="Arial"/>
                <w:sz w:val="20"/>
                <w:szCs w:val="20"/>
              </w:rPr>
              <w:t xml:space="preserve">In the </w:t>
            </w:r>
            <w:r w:rsidR="00750EE7">
              <w:rPr>
                <w:rFonts w:cs="Arial"/>
                <w:sz w:val="20"/>
                <w:szCs w:val="20"/>
              </w:rPr>
              <w:t>1</w:t>
            </w:r>
            <w:r w:rsidR="00750EE7" w:rsidRPr="00750EE7">
              <w:rPr>
                <w:rFonts w:cs="Arial"/>
                <w:sz w:val="20"/>
                <w:szCs w:val="20"/>
                <w:vertAlign w:val="superscript"/>
              </w:rPr>
              <w:t>st</w:t>
            </w:r>
            <w:r w:rsidR="00750EE7">
              <w:rPr>
                <w:rFonts w:cs="Arial"/>
                <w:sz w:val="20"/>
                <w:szCs w:val="20"/>
              </w:rPr>
              <w:t xml:space="preserve"> CFS</w:t>
            </w:r>
            <w:r w:rsidR="009538AB">
              <w:rPr>
                <w:rFonts w:cs="Arial"/>
                <w:sz w:val="20"/>
                <w:szCs w:val="20"/>
              </w:rPr>
              <w:t xml:space="preserve">, FSANZ </w:t>
            </w:r>
            <w:r w:rsidR="00750EE7">
              <w:rPr>
                <w:rFonts w:cs="Arial"/>
                <w:sz w:val="20"/>
                <w:szCs w:val="20"/>
              </w:rPr>
              <w:t xml:space="preserve">proposed </w:t>
            </w:r>
            <w:r w:rsidR="00AB2563">
              <w:rPr>
                <w:rFonts w:cs="Arial"/>
                <w:sz w:val="20"/>
                <w:szCs w:val="20"/>
              </w:rPr>
              <w:t>linking</w:t>
            </w:r>
            <w:r>
              <w:rPr>
                <w:rFonts w:cs="Arial"/>
                <w:sz w:val="20"/>
                <w:szCs w:val="20"/>
              </w:rPr>
              <w:t xml:space="preserve"> </w:t>
            </w:r>
            <w:r w:rsidR="009538AB">
              <w:rPr>
                <w:rFonts w:cs="Arial"/>
                <w:sz w:val="20"/>
                <w:szCs w:val="20"/>
              </w:rPr>
              <w:t xml:space="preserve">approval of </w:t>
            </w:r>
            <w:r w:rsidR="00750EE7">
              <w:rPr>
                <w:rFonts w:cs="Arial"/>
                <w:sz w:val="20"/>
                <w:szCs w:val="20"/>
              </w:rPr>
              <w:t xml:space="preserve">the </w:t>
            </w:r>
            <w:r w:rsidR="009538AB">
              <w:rPr>
                <w:rFonts w:cs="Arial"/>
                <w:sz w:val="20"/>
                <w:szCs w:val="20"/>
              </w:rPr>
              <w:t xml:space="preserve">oligosaccharides to the </w:t>
            </w:r>
            <w:r>
              <w:rPr>
                <w:rFonts w:cs="Arial"/>
                <w:sz w:val="20"/>
                <w:szCs w:val="20"/>
              </w:rPr>
              <w:t>final production strains</w:t>
            </w:r>
            <w:r w:rsidR="009538AB">
              <w:rPr>
                <w:rFonts w:cs="Arial"/>
                <w:sz w:val="20"/>
                <w:szCs w:val="20"/>
              </w:rPr>
              <w:t xml:space="preserve"> (SCR6 and MP576). </w:t>
            </w:r>
            <w:r w:rsidR="00716FB2">
              <w:rPr>
                <w:rFonts w:cs="Arial"/>
                <w:sz w:val="20"/>
                <w:szCs w:val="20"/>
              </w:rPr>
              <w:t>As further discussed in sect</w:t>
            </w:r>
            <w:r w:rsidR="00995893">
              <w:rPr>
                <w:rFonts w:cs="Arial"/>
                <w:sz w:val="20"/>
                <w:szCs w:val="20"/>
              </w:rPr>
              <w:t>i</w:t>
            </w:r>
            <w:r w:rsidR="00716FB2">
              <w:rPr>
                <w:rFonts w:cs="Arial"/>
                <w:sz w:val="20"/>
                <w:szCs w:val="20"/>
              </w:rPr>
              <w:t xml:space="preserve">on 2.3.2, </w:t>
            </w:r>
            <w:r w:rsidR="00696023">
              <w:rPr>
                <w:rFonts w:cs="Arial"/>
                <w:sz w:val="20"/>
                <w:szCs w:val="20"/>
              </w:rPr>
              <w:t xml:space="preserve">FSANZ is now proposing to </w:t>
            </w:r>
            <w:r w:rsidR="00AA6DB4">
              <w:rPr>
                <w:rFonts w:cs="Arial"/>
                <w:sz w:val="20"/>
                <w:szCs w:val="20"/>
              </w:rPr>
              <w:t xml:space="preserve">link </w:t>
            </w:r>
            <w:r w:rsidR="00696023">
              <w:rPr>
                <w:rFonts w:cs="Arial"/>
                <w:sz w:val="20"/>
                <w:szCs w:val="20"/>
              </w:rPr>
              <w:t>approval</w:t>
            </w:r>
            <w:r w:rsidR="00F25C39">
              <w:rPr>
                <w:rFonts w:cs="Arial"/>
                <w:sz w:val="20"/>
                <w:szCs w:val="20"/>
              </w:rPr>
              <w:t xml:space="preserve"> </w:t>
            </w:r>
            <w:r w:rsidR="00AA6DB4">
              <w:rPr>
                <w:rFonts w:cs="Arial"/>
                <w:sz w:val="20"/>
                <w:szCs w:val="20"/>
              </w:rPr>
              <w:t>of</w:t>
            </w:r>
            <w:r w:rsidR="00F25C39">
              <w:rPr>
                <w:rFonts w:cs="Arial"/>
                <w:sz w:val="20"/>
                <w:szCs w:val="20"/>
              </w:rPr>
              <w:t xml:space="preserve"> </w:t>
            </w:r>
            <w:r w:rsidR="00B51870">
              <w:rPr>
                <w:rFonts w:cs="Arial"/>
                <w:sz w:val="20"/>
                <w:szCs w:val="20"/>
              </w:rPr>
              <w:t>2′</w:t>
            </w:r>
            <w:r w:rsidR="00F25C39">
              <w:rPr>
                <w:rFonts w:cs="Arial"/>
                <w:sz w:val="20"/>
                <w:szCs w:val="20"/>
              </w:rPr>
              <w:t>-FL and LNnT</w:t>
            </w:r>
            <w:r w:rsidR="00696023">
              <w:rPr>
                <w:rFonts w:cs="Arial"/>
                <w:sz w:val="20"/>
                <w:szCs w:val="20"/>
              </w:rPr>
              <w:t xml:space="preserve"> </w:t>
            </w:r>
            <w:r w:rsidR="00716FB2">
              <w:rPr>
                <w:rFonts w:cs="Arial"/>
                <w:sz w:val="20"/>
                <w:szCs w:val="20"/>
              </w:rPr>
              <w:t>to</w:t>
            </w:r>
            <w:r w:rsidR="00696023">
              <w:rPr>
                <w:rFonts w:cs="Arial"/>
                <w:sz w:val="20"/>
                <w:szCs w:val="20"/>
              </w:rPr>
              <w:t xml:space="preserve"> </w:t>
            </w:r>
            <w:r w:rsidR="00F25C39">
              <w:rPr>
                <w:rFonts w:cs="Arial"/>
                <w:sz w:val="20"/>
                <w:szCs w:val="20"/>
              </w:rPr>
              <w:t xml:space="preserve">the </w:t>
            </w:r>
            <w:r w:rsidR="00696023">
              <w:rPr>
                <w:rFonts w:cs="Arial"/>
                <w:sz w:val="20"/>
                <w:szCs w:val="20"/>
              </w:rPr>
              <w:t>gene-gene donor information</w:t>
            </w:r>
            <w:r w:rsidR="00F25C39">
              <w:rPr>
                <w:rFonts w:cs="Arial"/>
                <w:sz w:val="20"/>
                <w:szCs w:val="20"/>
              </w:rPr>
              <w:t xml:space="preserve"> specific to the production of the oligosaccharides,</w:t>
            </w:r>
            <w:r w:rsidR="00696023">
              <w:rPr>
                <w:rFonts w:cs="Arial"/>
                <w:sz w:val="20"/>
                <w:szCs w:val="20"/>
              </w:rPr>
              <w:t xml:space="preserve"> rather than specific production strains</w:t>
            </w:r>
            <w:r w:rsidR="00A00C2E">
              <w:rPr>
                <w:rFonts w:cs="Arial"/>
                <w:sz w:val="20"/>
                <w:szCs w:val="20"/>
              </w:rPr>
              <w:t>.</w:t>
            </w:r>
            <w:r w:rsidR="0035324F">
              <w:rPr>
                <w:rFonts w:cs="Arial"/>
                <w:sz w:val="20"/>
                <w:szCs w:val="20"/>
              </w:rPr>
              <w:t xml:space="preserve"> </w:t>
            </w:r>
            <w:r w:rsidR="00696023" w:rsidRPr="00F25C39">
              <w:rPr>
                <w:rFonts w:cs="Arial"/>
                <w:sz w:val="20"/>
                <w:szCs w:val="20"/>
              </w:rPr>
              <w:t xml:space="preserve">This </w:t>
            </w:r>
            <w:r w:rsidR="00F25C39" w:rsidRPr="00F25C39">
              <w:rPr>
                <w:rFonts w:cs="Arial"/>
                <w:sz w:val="20"/>
                <w:szCs w:val="20"/>
              </w:rPr>
              <w:t xml:space="preserve">approach </w:t>
            </w:r>
            <w:r w:rsidR="00CD1B41">
              <w:rPr>
                <w:rFonts w:cs="Arial"/>
                <w:sz w:val="20"/>
                <w:szCs w:val="20"/>
              </w:rPr>
              <w:t>allows</w:t>
            </w:r>
            <w:r w:rsidR="00CD1B41" w:rsidRPr="00F25C39">
              <w:rPr>
                <w:rFonts w:cs="Arial"/>
                <w:sz w:val="20"/>
                <w:szCs w:val="20"/>
              </w:rPr>
              <w:t xml:space="preserve"> </w:t>
            </w:r>
            <w:r w:rsidR="00696023" w:rsidRPr="00F25C39">
              <w:rPr>
                <w:rFonts w:cs="Arial"/>
                <w:sz w:val="20"/>
                <w:szCs w:val="20"/>
              </w:rPr>
              <w:t xml:space="preserve">some flexibility </w:t>
            </w:r>
            <w:r w:rsidR="00F25C39" w:rsidRPr="006E0E2E">
              <w:rPr>
                <w:rFonts w:cs="Arial"/>
                <w:sz w:val="20"/>
                <w:szCs w:val="20"/>
              </w:rPr>
              <w:t>to the production strain within a limited pool of gene-gene donor pairs specific to the production of the oligosaccharides which has been assessed by FSANZ. Any further optimisation</w:t>
            </w:r>
            <w:r w:rsidR="006E0E2E">
              <w:rPr>
                <w:rFonts w:cs="Arial"/>
                <w:sz w:val="20"/>
                <w:szCs w:val="20"/>
              </w:rPr>
              <w:t xml:space="preserve"> beyond these donor pairs</w:t>
            </w:r>
            <w:r w:rsidR="00F25C39" w:rsidRPr="006E0E2E">
              <w:rPr>
                <w:rFonts w:cs="Arial"/>
                <w:sz w:val="20"/>
                <w:szCs w:val="20"/>
              </w:rPr>
              <w:t xml:space="preserve"> would require a </w:t>
            </w:r>
            <w:r w:rsidR="002065DB">
              <w:rPr>
                <w:rFonts w:cs="Arial"/>
                <w:sz w:val="20"/>
                <w:szCs w:val="20"/>
              </w:rPr>
              <w:t>new application for assessment.</w:t>
            </w:r>
          </w:p>
          <w:p w14:paraId="696FD0AE" w14:textId="5A3ABF05" w:rsidR="004D7999" w:rsidRPr="00426B41" w:rsidRDefault="00F25C39" w:rsidP="00C226C9">
            <w:pPr>
              <w:rPr>
                <w:rFonts w:cs="Arial"/>
                <w:sz w:val="20"/>
                <w:szCs w:val="20"/>
              </w:rPr>
            </w:pPr>
            <w:r>
              <w:rPr>
                <w:sz w:val="20"/>
                <w:szCs w:val="20"/>
              </w:rPr>
              <w:t xml:space="preserve">As discussed in </w:t>
            </w:r>
            <w:r w:rsidR="006E0E2E">
              <w:rPr>
                <w:sz w:val="20"/>
                <w:szCs w:val="20"/>
              </w:rPr>
              <w:t xml:space="preserve">the </w:t>
            </w:r>
            <w:r w:rsidR="00754310">
              <w:rPr>
                <w:sz w:val="20"/>
                <w:szCs w:val="20"/>
              </w:rPr>
              <w:t>response above</w:t>
            </w:r>
            <w:r>
              <w:rPr>
                <w:sz w:val="20"/>
                <w:szCs w:val="20"/>
              </w:rPr>
              <w:t xml:space="preserve">, approval as </w:t>
            </w:r>
            <w:r>
              <w:rPr>
                <w:i/>
                <w:sz w:val="20"/>
                <w:szCs w:val="20"/>
              </w:rPr>
              <w:t>food produced using gene technology</w:t>
            </w:r>
            <w:r>
              <w:rPr>
                <w:sz w:val="20"/>
                <w:szCs w:val="20"/>
              </w:rPr>
              <w:t xml:space="preserve"> is required in Schedule 26</w:t>
            </w:r>
            <w:r w:rsidR="002065DB">
              <w:rPr>
                <w:sz w:val="20"/>
                <w:szCs w:val="20"/>
              </w:rPr>
              <w:t>, not Schedule 3.</w:t>
            </w:r>
          </w:p>
        </w:tc>
      </w:tr>
      <w:tr w:rsidR="004D7999" w:rsidRPr="00426B41" w14:paraId="0EFF612F" w14:textId="77777777" w:rsidTr="00865BA6">
        <w:tc>
          <w:tcPr>
            <w:tcW w:w="1736" w:type="pct"/>
            <w:shd w:val="clear" w:color="auto" w:fill="EAF1DD" w:themeFill="accent3" w:themeFillTint="33"/>
          </w:tcPr>
          <w:p w14:paraId="4A780B4F" w14:textId="0DEDA27D" w:rsidR="004D7999" w:rsidRPr="00426B41" w:rsidRDefault="004D7999" w:rsidP="005F6EB8">
            <w:pPr>
              <w:rPr>
                <w:rFonts w:cs="Arial"/>
                <w:sz w:val="20"/>
                <w:szCs w:val="20"/>
              </w:rPr>
            </w:pPr>
            <w:r w:rsidRPr="00426B41">
              <w:rPr>
                <w:rFonts w:cs="Arial"/>
                <w:sz w:val="20"/>
                <w:szCs w:val="20"/>
              </w:rPr>
              <w:t xml:space="preserve">Does not support approval </w:t>
            </w:r>
            <w:r>
              <w:rPr>
                <w:rFonts w:cs="Arial"/>
                <w:sz w:val="20"/>
                <w:szCs w:val="20"/>
              </w:rPr>
              <w:t xml:space="preserve">of </w:t>
            </w:r>
            <w:r w:rsidR="00B51870">
              <w:rPr>
                <w:rFonts w:cs="Arial"/>
                <w:sz w:val="20"/>
                <w:szCs w:val="20"/>
              </w:rPr>
              <w:t>2′</w:t>
            </w:r>
            <w:r>
              <w:rPr>
                <w:rFonts w:cs="Arial"/>
                <w:sz w:val="20"/>
                <w:szCs w:val="20"/>
              </w:rPr>
              <w:t xml:space="preserve">-FL </w:t>
            </w:r>
            <w:r w:rsidRPr="00426B41">
              <w:rPr>
                <w:rFonts w:cs="Arial"/>
                <w:sz w:val="20"/>
                <w:szCs w:val="20"/>
              </w:rPr>
              <w:t>based on spec</w:t>
            </w:r>
            <w:r>
              <w:rPr>
                <w:rFonts w:cs="Arial"/>
                <w:sz w:val="20"/>
                <w:szCs w:val="20"/>
              </w:rPr>
              <w:t xml:space="preserve">ific GM </w:t>
            </w:r>
            <w:r w:rsidR="005F6EB8">
              <w:rPr>
                <w:rFonts w:cs="Arial"/>
                <w:sz w:val="20"/>
                <w:szCs w:val="20"/>
              </w:rPr>
              <w:t>production strain; should instead</w:t>
            </w:r>
            <w:r>
              <w:rPr>
                <w:rFonts w:cs="Arial"/>
                <w:sz w:val="20"/>
                <w:szCs w:val="20"/>
              </w:rPr>
              <w:t xml:space="preserve"> be based on the production host </w:t>
            </w:r>
            <w:r w:rsidRPr="00CB75CE">
              <w:rPr>
                <w:rFonts w:cs="Arial"/>
                <w:i/>
                <w:sz w:val="20"/>
                <w:szCs w:val="20"/>
              </w:rPr>
              <w:t>E.coli</w:t>
            </w:r>
            <w:r w:rsidRPr="00426B41">
              <w:rPr>
                <w:rFonts w:cs="Arial"/>
                <w:sz w:val="20"/>
                <w:szCs w:val="20"/>
              </w:rPr>
              <w:t xml:space="preserve"> K</w:t>
            </w:r>
            <w:r>
              <w:rPr>
                <w:rFonts w:cs="Arial"/>
                <w:sz w:val="20"/>
                <w:szCs w:val="20"/>
              </w:rPr>
              <w:t xml:space="preserve">-12. This will support an efficient, internationally competitive food industry, noting </w:t>
            </w:r>
            <w:r w:rsidR="00B51870">
              <w:rPr>
                <w:rFonts w:cs="Arial"/>
                <w:sz w:val="20"/>
                <w:szCs w:val="20"/>
              </w:rPr>
              <w:t>2′</w:t>
            </w:r>
            <w:r>
              <w:rPr>
                <w:rFonts w:cs="Arial"/>
                <w:sz w:val="20"/>
                <w:szCs w:val="20"/>
              </w:rPr>
              <w:t>-FL is approved internationally from different sub-strains.</w:t>
            </w:r>
            <w:r w:rsidR="002909C8">
              <w:rPr>
                <w:rFonts w:cs="Arial"/>
                <w:sz w:val="20"/>
                <w:szCs w:val="20"/>
              </w:rPr>
              <w:t xml:space="preserve"> </w:t>
            </w:r>
          </w:p>
        </w:tc>
        <w:tc>
          <w:tcPr>
            <w:tcW w:w="844" w:type="pct"/>
            <w:shd w:val="clear" w:color="auto" w:fill="EAF1DD" w:themeFill="accent3" w:themeFillTint="33"/>
          </w:tcPr>
          <w:p w14:paraId="7A56B335" w14:textId="77777777" w:rsidR="004D7999" w:rsidRPr="00084B50" w:rsidRDefault="004D7999" w:rsidP="005F2E79">
            <w:pPr>
              <w:rPr>
                <w:rFonts w:cs="Arial"/>
                <w:sz w:val="20"/>
                <w:szCs w:val="20"/>
              </w:rPr>
            </w:pPr>
            <w:r w:rsidRPr="00084B50">
              <w:rPr>
                <w:rFonts w:cs="Arial"/>
                <w:sz w:val="20"/>
                <w:szCs w:val="20"/>
              </w:rPr>
              <w:t>BASF</w:t>
            </w:r>
          </w:p>
        </w:tc>
        <w:tc>
          <w:tcPr>
            <w:tcW w:w="2420" w:type="pct"/>
            <w:shd w:val="clear" w:color="auto" w:fill="EAF1DD" w:themeFill="accent3" w:themeFillTint="33"/>
          </w:tcPr>
          <w:p w14:paraId="624BBF86" w14:textId="63A6EA46" w:rsidR="0035324F" w:rsidRPr="00426B41" w:rsidRDefault="004D7999" w:rsidP="00CD1B41">
            <w:pPr>
              <w:pStyle w:val="CommentText"/>
              <w:rPr>
                <w:rFonts w:cs="Arial"/>
              </w:rPr>
            </w:pPr>
            <w:r>
              <w:rPr>
                <w:rFonts w:cs="Arial"/>
              </w:rPr>
              <w:t>FSANZ has</w:t>
            </w:r>
            <w:r w:rsidR="0035324F">
              <w:rPr>
                <w:rFonts w:cs="Arial"/>
              </w:rPr>
              <w:t xml:space="preserve"> conducted a GM safety assessment </w:t>
            </w:r>
            <w:r w:rsidR="00CD1B41">
              <w:rPr>
                <w:rFonts w:cs="Arial"/>
              </w:rPr>
              <w:t xml:space="preserve">for </w:t>
            </w:r>
            <w:r w:rsidR="0035324F">
              <w:rPr>
                <w:rFonts w:cs="Arial"/>
              </w:rPr>
              <w:t>the source organisms and gene-gene donor combinations</w:t>
            </w:r>
            <w:r w:rsidR="00F44C35">
              <w:rPr>
                <w:rFonts w:cs="Arial"/>
              </w:rPr>
              <w:t xml:space="preserve"> specific to this application. As discussed above and </w:t>
            </w:r>
            <w:r w:rsidR="00CD1B41">
              <w:rPr>
                <w:rFonts w:cs="Arial"/>
              </w:rPr>
              <w:t xml:space="preserve">in </w:t>
            </w:r>
            <w:r w:rsidR="00F44C35">
              <w:rPr>
                <w:rFonts w:cs="Arial"/>
              </w:rPr>
              <w:t xml:space="preserve">section 2.3.2, FSANZ proposes to link approval to </w:t>
            </w:r>
            <w:r w:rsidR="007511FB">
              <w:rPr>
                <w:rFonts w:cs="Arial"/>
              </w:rPr>
              <w:t xml:space="preserve">the specific gene-gene donor information as assessed by FSANZ. Any modifications to this gene-gene donor information would require </w:t>
            </w:r>
            <w:r w:rsidR="00CD1B41">
              <w:rPr>
                <w:rFonts w:cs="Arial"/>
              </w:rPr>
              <w:t>an application for assessment and approval</w:t>
            </w:r>
            <w:r w:rsidR="007511FB">
              <w:rPr>
                <w:rFonts w:cs="Arial"/>
              </w:rPr>
              <w:t xml:space="preserve">. </w:t>
            </w:r>
            <w:r w:rsidR="00F44C35">
              <w:rPr>
                <w:rFonts w:cs="Arial"/>
              </w:rPr>
              <w:t xml:space="preserve">This </w:t>
            </w:r>
            <w:r w:rsidR="00CD1B41">
              <w:rPr>
                <w:rFonts w:cs="Arial"/>
              </w:rPr>
              <w:t xml:space="preserve">could </w:t>
            </w:r>
            <w:r w:rsidR="00F44C35">
              <w:rPr>
                <w:rFonts w:cs="Arial"/>
              </w:rPr>
              <w:t>mean</w:t>
            </w:r>
            <w:r w:rsidR="00CD1B41">
              <w:rPr>
                <w:rFonts w:cs="Arial"/>
              </w:rPr>
              <w:t xml:space="preserve"> that</w:t>
            </w:r>
            <w:r w:rsidR="00F44C35">
              <w:rPr>
                <w:rFonts w:cs="Arial"/>
              </w:rPr>
              <w:t xml:space="preserve"> </w:t>
            </w:r>
            <w:r w:rsidR="00E72407">
              <w:rPr>
                <w:rFonts w:cs="Arial"/>
              </w:rPr>
              <w:t xml:space="preserve">a number of </w:t>
            </w:r>
            <w:r w:rsidR="00B51870">
              <w:rPr>
                <w:rFonts w:cs="Arial"/>
              </w:rPr>
              <w:t>2′</w:t>
            </w:r>
            <w:r w:rsidR="00E72407">
              <w:rPr>
                <w:rFonts w:cs="Arial"/>
              </w:rPr>
              <w:t>-FL approvals</w:t>
            </w:r>
            <w:r w:rsidR="00CD1B41">
              <w:rPr>
                <w:rFonts w:cs="Arial"/>
              </w:rPr>
              <w:t>,</w:t>
            </w:r>
            <w:r w:rsidR="00E72407">
              <w:rPr>
                <w:rFonts w:cs="Arial"/>
              </w:rPr>
              <w:t xml:space="preserve"> linked to different gene-gene donor information</w:t>
            </w:r>
            <w:r w:rsidR="00CD1B41">
              <w:rPr>
                <w:rFonts w:cs="Arial"/>
              </w:rPr>
              <w:t>,</w:t>
            </w:r>
            <w:r w:rsidR="00E72407">
              <w:rPr>
                <w:rFonts w:cs="Arial"/>
              </w:rPr>
              <w:t xml:space="preserve"> </w:t>
            </w:r>
            <w:r w:rsidR="00CD1B41">
              <w:rPr>
                <w:rFonts w:cs="Arial"/>
              </w:rPr>
              <w:t xml:space="preserve">may be </w:t>
            </w:r>
            <w:r w:rsidR="00E72407">
              <w:rPr>
                <w:rFonts w:cs="Arial"/>
              </w:rPr>
              <w:t>listed in Schedule 26</w:t>
            </w:r>
            <w:r w:rsidR="00CD1B41">
              <w:rPr>
                <w:rFonts w:cs="Arial"/>
              </w:rPr>
              <w:t xml:space="preserve"> in the future</w:t>
            </w:r>
            <w:r w:rsidR="00E72407">
              <w:rPr>
                <w:rFonts w:cs="Arial"/>
              </w:rPr>
              <w:t>.</w:t>
            </w:r>
          </w:p>
        </w:tc>
      </w:tr>
      <w:tr w:rsidR="004D7999" w:rsidRPr="00426B41" w14:paraId="6DA08EFE" w14:textId="77777777" w:rsidTr="004D7999">
        <w:tc>
          <w:tcPr>
            <w:tcW w:w="1736" w:type="pct"/>
          </w:tcPr>
          <w:p w14:paraId="763FF1F5" w14:textId="1A875113" w:rsidR="004D7999" w:rsidRPr="00426B41" w:rsidRDefault="004D7999" w:rsidP="005F2E79">
            <w:pPr>
              <w:rPr>
                <w:rFonts w:cs="Arial"/>
                <w:sz w:val="20"/>
                <w:szCs w:val="20"/>
              </w:rPr>
            </w:pPr>
            <w:r w:rsidRPr="00426B41">
              <w:rPr>
                <w:rFonts w:cs="Arial"/>
                <w:sz w:val="20"/>
                <w:szCs w:val="20"/>
              </w:rPr>
              <w:t>As proposed amendment represents first addition of GM microorganism-derived food</w:t>
            </w:r>
            <w:r>
              <w:rPr>
                <w:rFonts w:cs="Arial"/>
                <w:sz w:val="20"/>
                <w:szCs w:val="20"/>
              </w:rPr>
              <w:t xml:space="preserve"> to</w:t>
            </w:r>
            <w:r w:rsidRPr="00426B41">
              <w:rPr>
                <w:rFonts w:cs="Arial"/>
                <w:sz w:val="20"/>
                <w:szCs w:val="20"/>
              </w:rPr>
              <w:t xml:space="preserve"> </w:t>
            </w:r>
            <w:r w:rsidR="005D0D82">
              <w:rPr>
                <w:rFonts w:cs="Arial"/>
                <w:sz w:val="20"/>
                <w:szCs w:val="20"/>
              </w:rPr>
              <w:t>infant formula products</w:t>
            </w:r>
            <w:r w:rsidR="00995893">
              <w:rPr>
                <w:rFonts w:cs="Arial"/>
                <w:sz w:val="20"/>
                <w:szCs w:val="20"/>
              </w:rPr>
              <w:t xml:space="preserve"> </w:t>
            </w:r>
            <w:r w:rsidRPr="00426B41">
              <w:rPr>
                <w:rFonts w:cs="Arial"/>
                <w:sz w:val="20"/>
                <w:szCs w:val="20"/>
              </w:rPr>
              <w:t xml:space="preserve">and FSFYC, suggests FSANZ prepare an associated public communications strategy. </w:t>
            </w:r>
          </w:p>
        </w:tc>
        <w:tc>
          <w:tcPr>
            <w:tcW w:w="844" w:type="pct"/>
          </w:tcPr>
          <w:p w14:paraId="0E323274" w14:textId="475B5002" w:rsidR="004D7999" w:rsidRPr="00084B50" w:rsidRDefault="00FF0480" w:rsidP="005F2E79">
            <w:pPr>
              <w:rPr>
                <w:rFonts w:cs="Arial"/>
                <w:sz w:val="20"/>
                <w:szCs w:val="20"/>
              </w:rPr>
            </w:pPr>
            <w:r>
              <w:rPr>
                <w:rFonts w:cs="Arial"/>
                <w:sz w:val="20"/>
                <w:szCs w:val="20"/>
              </w:rPr>
              <w:t>QLD</w:t>
            </w:r>
            <w:r w:rsidR="004D7999" w:rsidRPr="00084B50">
              <w:rPr>
                <w:rFonts w:cs="Arial"/>
                <w:sz w:val="20"/>
                <w:szCs w:val="20"/>
              </w:rPr>
              <w:t xml:space="preserve"> Health</w:t>
            </w:r>
          </w:p>
        </w:tc>
        <w:tc>
          <w:tcPr>
            <w:tcW w:w="2420" w:type="pct"/>
          </w:tcPr>
          <w:p w14:paraId="65078C5C" w14:textId="3596AEE4" w:rsidR="004D7999" w:rsidRPr="00426B41" w:rsidRDefault="00215B97" w:rsidP="00215B97">
            <w:pPr>
              <w:rPr>
                <w:rFonts w:cs="Arial"/>
                <w:sz w:val="20"/>
                <w:szCs w:val="20"/>
              </w:rPr>
            </w:pPr>
            <w:r w:rsidRPr="00215B97">
              <w:rPr>
                <w:rFonts w:cs="Arial"/>
                <w:sz w:val="20"/>
                <w:szCs w:val="20"/>
              </w:rPr>
              <w:t>Noted. FSANZ has prepared a communication strategy for this application</w:t>
            </w:r>
            <w:r>
              <w:rPr>
                <w:rFonts w:cs="Arial"/>
                <w:sz w:val="20"/>
                <w:szCs w:val="20"/>
              </w:rPr>
              <w:t xml:space="preserve"> (see </w:t>
            </w:r>
            <w:r w:rsidRPr="00283C76">
              <w:rPr>
                <w:rFonts w:cs="Arial"/>
                <w:sz w:val="20"/>
                <w:szCs w:val="20"/>
              </w:rPr>
              <w:t>section 2.4.1).</w:t>
            </w:r>
          </w:p>
        </w:tc>
      </w:tr>
      <w:tr w:rsidR="004D7999" w:rsidRPr="00426B41" w14:paraId="1ED3DC63" w14:textId="77777777" w:rsidTr="004D7999">
        <w:tc>
          <w:tcPr>
            <w:tcW w:w="1736" w:type="pct"/>
          </w:tcPr>
          <w:p w14:paraId="439AA3DA" w14:textId="3B74E496" w:rsidR="004D7999" w:rsidRPr="00426B41" w:rsidRDefault="004D7999" w:rsidP="00CE5ABD">
            <w:pPr>
              <w:rPr>
                <w:rFonts w:cs="Arial"/>
                <w:b/>
                <w:sz w:val="20"/>
                <w:szCs w:val="20"/>
              </w:rPr>
            </w:pPr>
            <w:r w:rsidRPr="00B22DB7">
              <w:rPr>
                <w:rFonts w:cs="Arial"/>
                <w:b/>
                <w:sz w:val="20"/>
                <w:szCs w:val="20"/>
              </w:rPr>
              <w:t>Exclusiv</w:t>
            </w:r>
            <w:r w:rsidR="00CE5ABD">
              <w:rPr>
                <w:rFonts w:cs="Arial"/>
                <w:b/>
                <w:sz w:val="20"/>
                <w:szCs w:val="20"/>
              </w:rPr>
              <w:t xml:space="preserve">e permission </w:t>
            </w:r>
          </w:p>
        </w:tc>
        <w:tc>
          <w:tcPr>
            <w:tcW w:w="844" w:type="pct"/>
          </w:tcPr>
          <w:p w14:paraId="1E8CCC85" w14:textId="77777777" w:rsidR="004D7999" w:rsidRPr="00084B50" w:rsidRDefault="004D7999" w:rsidP="005F2E79">
            <w:pPr>
              <w:rPr>
                <w:rFonts w:cs="Arial"/>
                <w:sz w:val="20"/>
                <w:szCs w:val="20"/>
              </w:rPr>
            </w:pPr>
          </w:p>
        </w:tc>
        <w:tc>
          <w:tcPr>
            <w:tcW w:w="2420" w:type="pct"/>
          </w:tcPr>
          <w:p w14:paraId="7560D4E2" w14:textId="77777777" w:rsidR="004D7999" w:rsidRPr="00426B41" w:rsidRDefault="004D7999" w:rsidP="005F2E79">
            <w:pPr>
              <w:rPr>
                <w:rFonts w:cs="Arial"/>
                <w:sz w:val="20"/>
                <w:szCs w:val="20"/>
                <w:highlight w:val="yellow"/>
              </w:rPr>
            </w:pPr>
          </w:p>
        </w:tc>
      </w:tr>
      <w:tr w:rsidR="004D7999" w:rsidRPr="00426B41" w14:paraId="28D2AF58" w14:textId="77777777" w:rsidTr="00865BA6">
        <w:tc>
          <w:tcPr>
            <w:tcW w:w="1736" w:type="pct"/>
            <w:shd w:val="clear" w:color="auto" w:fill="EAF1DD" w:themeFill="accent3" w:themeFillTint="33"/>
          </w:tcPr>
          <w:p w14:paraId="40BA863A" w14:textId="3E15F523" w:rsidR="004D7999" w:rsidRPr="00426B41" w:rsidRDefault="004D7999" w:rsidP="005F2E79">
            <w:pPr>
              <w:rPr>
                <w:rFonts w:cs="Arial"/>
                <w:sz w:val="20"/>
                <w:szCs w:val="20"/>
              </w:rPr>
            </w:pPr>
            <w:r w:rsidRPr="00426B41">
              <w:rPr>
                <w:rFonts w:cs="Arial"/>
                <w:sz w:val="20"/>
                <w:szCs w:val="20"/>
              </w:rPr>
              <w:t>Exclusivity is required under novel food</w:t>
            </w:r>
            <w:r w:rsidR="008F7080">
              <w:rPr>
                <w:rFonts w:cs="Arial"/>
                <w:sz w:val="20"/>
                <w:szCs w:val="20"/>
              </w:rPr>
              <w:t xml:space="preserve"> provisions (Standard 1.5.1)</w:t>
            </w:r>
          </w:p>
        </w:tc>
        <w:tc>
          <w:tcPr>
            <w:tcW w:w="844" w:type="pct"/>
            <w:shd w:val="clear" w:color="auto" w:fill="EAF1DD" w:themeFill="accent3" w:themeFillTint="33"/>
          </w:tcPr>
          <w:p w14:paraId="4EBC24C1" w14:textId="77777777" w:rsidR="004D7999" w:rsidRPr="00084B50" w:rsidRDefault="004D7999" w:rsidP="005F2E79">
            <w:pPr>
              <w:rPr>
                <w:rFonts w:cs="Arial"/>
                <w:sz w:val="20"/>
                <w:szCs w:val="20"/>
              </w:rPr>
            </w:pPr>
            <w:r w:rsidRPr="00084B50">
              <w:rPr>
                <w:rFonts w:cs="Arial"/>
                <w:sz w:val="20"/>
                <w:szCs w:val="20"/>
              </w:rPr>
              <w:t>Glycom, NZFGC</w:t>
            </w:r>
          </w:p>
        </w:tc>
        <w:tc>
          <w:tcPr>
            <w:tcW w:w="2420" w:type="pct"/>
            <w:shd w:val="clear" w:color="auto" w:fill="EAF1DD" w:themeFill="accent3" w:themeFillTint="33"/>
          </w:tcPr>
          <w:p w14:paraId="4AF80B34" w14:textId="744BF5DE" w:rsidR="004D7999" w:rsidRPr="00426B41" w:rsidRDefault="001A6AC9" w:rsidP="00673857">
            <w:pPr>
              <w:rPr>
                <w:rFonts w:cs="Arial"/>
                <w:sz w:val="20"/>
                <w:szCs w:val="20"/>
              </w:rPr>
            </w:pPr>
            <w:r>
              <w:rPr>
                <w:rFonts w:cs="Arial"/>
                <w:sz w:val="20"/>
                <w:szCs w:val="20"/>
              </w:rPr>
              <w:t>There is n</w:t>
            </w:r>
            <w:r w:rsidRPr="00426B41">
              <w:rPr>
                <w:rFonts w:cs="Arial"/>
                <w:sz w:val="20"/>
                <w:szCs w:val="20"/>
              </w:rPr>
              <w:t xml:space="preserve">o limitation in </w:t>
            </w:r>
            <w:r>
              <w:rPr>
                <w:rFonts w:cs="Arial"/>
                <w:sz w:val="20"/>
                <w:szCs w:val="20"/>
              </w:rPr>
              <w:t xml:space="preserve">the </w:t>
            </w:r>
            <w:r w:rsidRPr="00426B41">
              <w:rPr>
                <w:rFonts w:cs="Arial"/>
                <w:sz w:val="20"/>
                <w:szCs w:val="20"/>
              </w:rPr>
              <w:t xml:space="preserve">Code or </w:t>
            </w:r>
            <w:r>
              <w:rPr>
                <w:rFonts w:cs="Arial"/>
                <w:sz w:val="20"/>
                <w:szCs w:val="20"/>
              </w:rPr>
              <w:t xml:space="preserve">FSANZ </w:t>
            </w:r>
            <w:r w:rsidRPr="00426B41">
              <w:rPr>
                <w:rFonts w:cs="Arial"/>
                <w:sz w:val="20"/>
                <w:szCs w:val="20"/>
              </w:rPr>
              <w:t xml:space="preserve">Act for </w:t>
            </w:r>
            <w:r>
              <w:rPr>
                <w:rFonts w:cs="Arial"/>
                <w:sz w:val="20"/>
                <w:szCs w:val="20"/>
              </w:rPr>
              <w:t xml:space="preserve">exclusivity to be provided </w:t>
            </w:r>
            <w:r w:rsidR="00260ADD">
              <w:rPr>
                <w:rFonts w:cs="Arial"/>
                <w:sz w:val="20"/>
                <w:szCs w:val="20"/>
              </w:rPr>
              <w:t xml:space="preserve">only </w:t>
            </w:r>
            <w:r>
              <w:rPr>
                <w:rFonts w:cs="Arial"/>
                <w:sz w:val="20"/>
                <w:szCs w:val="20"/>
              </w:rPr>
              <w:t xml:space="preserve">under the novel food standard. </w:t>
            </w:r>
            <w:r w:rsidR="008D55D9">
              <w:rPr>
                <w:rFonts w:cs="Arial"/>
                <w:sz w:val="20"/>
                <w:szCs w:val="20"/>
              </w:rPr>
              <w:t xml:space="preserve">FSANZ proposes to </w:t>
            </w:r>
            <w:r>
              <w:rPr>
                <w:rFonts w:cs="Arial"/>
                <w:sz w:val="20"/>
                <w:szCs w:val="20"/>
              </w:rPr>
              <w:t xml:space="preserve">provide 15 months exclusivity from the date of gazettal for the </w:t>
            </w:r>
            <w:r w:rsidR="00F45AD0">
              <w:rPr>
                <w:rFonts w:cs="Arial"/>
                <w:sz w:val="20"/>
                <w:szCs w:val="20"/>
              </w:rPr>
              <w:t>applicant’s</w:t>
            </w:r>
            <w:r>
              <w:rPr>
                <w:rFonts w:cs="Arial"/>
                <w:sz w:val="20"/>
                <w:szCs w:val="20"/>
              </w:rPr>
              <w:t xml:space="preserve"> brand of </w:t>
            </w:r>
            <w:r w:rsidR="00B51870">
              <w:rPr>
                <w:rFonts w:cs="Arial"/>
                <w:sz w:val="20"/>
                <w:szCs w:val="20"/>
              </w:rPr>
              <w:t>2′</w:t>
            </w:r>
            <w:r>
              <w:rPr>
                <w:rFonts w:cs="Arial"/>
                <w:sz w:val="20"/>
                <w:szCs w:val="20"/>
              </w:rPr>
              <w:t>-FL and LNnT</w:t>
            </w:r>
            <w:r w:rsidR="008D55D9">
              <w:rPr>
                <w:rFonts w:cs="Arial"/>
                <w:sz w:val="20"/>
                <w:szCs w:val="20"/>
              </w:rPr>
              <w:t xml:space="preserve"> in Schedule 26 of the Code</w:t>
            </w:r>
            <w:r>
              <w:rPr>
                <w:rFonts w:cs="Arial"/>
                <w:sz w:val="20"/>
                <w:szCs w:val="20"/>
              </w:rPr>
              <w:t xml:space="preserve"> (see section 2.3.7).</w:t>
            </w:r>
          </w:p>
        </w:tc>
      </w:tr>
      <w:tr w:rsidR="004D7999" w:rsidRPr="00426B41" w14:paraId="72A23F7E" w14:textId="77777777" w:rsidTr="004D7999">
        <w:tc>
          <w:tcPr>
            <w:tcW w:w="1736" w:type="pct"/>
          </w:tcPr>
          <w:p w14:paraId="53AB4D63" w14:textId="77777777" w:rsidR="004D7999" w:rsidRDefault="00A62C80" w:rsidP="00945FCB">
            <w:pPr>
              <w:rPr>
                <w:rFonts w:cs="Arial"/>
                <w:color w:val="000000"/>
                <w:sz w:val="20"/>
                <w:szCs w:val="20"/>
              </w:rPr>
            </w:pPr>
            <w:r>
              <w:rPr>
                <w:rFonts w:cs="Arial"/>
                <w:color w:val="000000"/>
                <w:sz w:val="20"/>
                <w:szCs w:val="20"/>
              </w:rPr>
              <w:t>Approval of</w:t>
            </w:r>
            <w:r w:rsidR="004D7999">
              <w:rPr>
                <w:rFonts w:cs="Arial"/>
                <w:color w:val="000000"/>
                <w:sz w:val="20"/>
                <w:szCs w:val="20"/>
              </w:rPr>
              <w:t xml:space="preserve"> </w:t>
            </w:r>
            <w:r w:rsidR="00B51870">
              <w:rPr>
                <w:rFonts w:cs="Arial"/>
                <w:color w:val="000000"/>
                <w:sz w:val="20"/>
                <w:szCs w:val="20"/>
              </w:rPr>
              <w:t>2′</w:t>
            </w:r>
            <w:r w:rsidR="004D7999">
              <w:rPr>
                <w:rFonts w:cs="Arial"/>
                <w:color w:val="000000"/>
                <w:sz w:val="20"/>
                <w:szCs w:val="20"/>
              </w:rPr>
              <w:t>-FL and LNnT linked to the specific production strain</w:t>
            </w:r>
            <w:r>
              <w:rPr>
                <w:rFonts w:cs="Arial"/>
                <w:color w:val="000000"/>
                <w:sz w:val="20"/>
                <w:szCs w:val="20"/>
              </w:rPr>
              <w:t>s</w:t>
            </w:r>
            <w:r w:rsidR="004D7999">
              <w:rPr>
                <w:rFonts w:cs="Arial"/>
                <w:color w:val="000000"/>
                <w:sz w:val="20"/>
                <w:szCs w:val="20"/>
              </w:rPr>
              <w:t xml:space="preserve"> would provide unlimited exclusivity </w:t>
            </w:r>
            <w:r w:rsidR="007203E5">
              <w:rPr>
                <w:rFonts w:cs="Arial"/>
                <w:color w:val="000000"/>
                <w:sz w:val="20"/>
                <w:szCs w:val="20"/>
              </w:rPr>
              <w:t xml:space="preserve">far </w:t>
            </w:r>
            <w:r w:rsidR="004D7999">
              <w:rPr>
                <w:rFonts w:cs="Arial"/>
                <w:color w:val="000000"/>
                <w:sz w:val="20"/>
                <w:szCs w:val="20"/>
              </w:rPr>
              <w:t xml:space="preserve">beyond the requested </w:t>
            </w:r>
            <w:r>
              <w:rPr>
                <w:rFonts w:cs="Arial"/>
                <w:color w:val="000000"/>
                <w:sz w:val="20"/>
                <w:szCs w:val="20"/>
              </w:rPr>
              <w:t xml:space="preserve">15 month </w:t>
            </w:r>
            <w:r w:rsidR="002065DB">
              <w:rPr>
                <w:rFonts w:cs="Arial"/>
                <w:color w:val="000000"/>
                <w:sz w:val="20"/>
                <w:szCs w:val="20"/>
              </w:rPr>
              <w:t>exclusivity period.</w:t>
            </w:r>
          </w:p>
          <w:p w14:paraId="359D9A90" w14:textId="46A56F4A" w:rsidR="00945FCB" w:rsidRPr="00426B41" w:rsidRDefault="00945FCB" w:rsidP="00945FCB">
            <w:pPr>
              <w:rPr>
                <w:rFonts w:cs="Arial"/>
                <w:color w:val="000000"/>
                <w:sz w:val="20"/>
                <w:szCs w:val="20"/>
              </w:rPr>
            </w:pPr>
          </w:p>
        </w:tc>
        <w:tc>
          <w:tcPr>
            <w:tcW w:w="844" w:type="pct"/>
          </w:tcPr>
          <w:p w14:paraId="7A3F46BF" w14:textId="77777777" w:rsidR="004D7999" w:rsidRPr="00084B50" w:rsidRDefault="004D7999" w:rsidP="005F2E79">
            <w:pPr>
              <w:rPr>
                <w:rFonts w:cs="Arial"/>
                <w:sz w:val="20"/>
                <w:szCs w:val="20"/>
              </w:rPr>
            </w:pPr>
            <w:r w:rsidRPr="00084B50">
              <w:rPr>
                <w:rFonts w:cs="Arial"/>
                <w:sz w:val="20"/>
                <w:szCs w:val="20"/>
              </w:rPr>
              <w:t>BASF</w:t>
            </w:r>
          </w:p>
        </w:tc>
        <w:tc>
          <w:tcPr>
            <w:tcW w:w="2420" w:type="pct"/>
          </w:tcPr>
          <w:p w14:paraId="146E9DA3" w14:textId="1E3511BD" w:rsidR="004D7999" w:rsidRPr="00426B41" w:rsidRDefault="001A6AC9" w:rsidP="00560217">
            <w:pPr>
              <w:rPr>
                <w:rFonts w:cs="Arial"/>
                <w:sz w:val="20"/>
                <w:szCs w:val="20"/>
              </w:rPr>
            </w:pPr>
            <w:r>
              <w:rPr>
                <w:rFonts w:cs="Arial"/>
                <w:sz w:val="20"/>
                <w:szCs w:val="20"/>
              </w:rPr>
              <w:t>See responses to above issues regarding change to GM drafting approach and exclusivity.</w:t>
            </w:r>
          </w:p>
        </w:tc>
      </w:tr>
      <w:tr w:rsidR="004D7999" w:rsidRPr="00426B41" w14:paraId="2AF2E7D9" w14:textId="77777777" w:rsidTr="004D7999">
        <w:tc>
          <w:tcPr>
            <w:tcW w:w="1736" w:type="pct"/>
          </w:tcPr>
          <w:p w14:paraId="556AB756" w14:textId="77777777" w:rsidR="004D7999" w:rsidRPr="00426B41" w:rsidRDefault="004D7999" w:rsidP="005F2E79">
            <w:pPr>
              <w:rPr>
                <w:rFonts w:cs="Arial"/>
                <w:b/>
                <w:sz w:val="20"/>
                <w:szCs w:val="20"/>
              </w:rPr>
            </w:pPr>
            <w:r w:rsidRPr="007203E5">
              <w:rPr>
                <w:rFonts w:cs="Arial"/>
                <w:b/>
                <w:sz w:val="20"/>
                <w:szCs w:val="20"/>
              </w:rPr>
              <w:t>Specifications</w:t>
            </w:r>
          </w:p>
        </w:tc>
        <w:tc>
          <w:tcPr>
            <w:tcW w:w="844" w:type="pct"/>
          </w:tcPr>
          <w:p w14:paraId="7A08541A" w14:textId="77777777" w:rsidR="004D7999" w:rsidRPr="00084B50" w:rsidRDefault="004D7999" w:rsidP="005F2E79">
            <w:pPr>
              <w:rPr>
                <w:rFonts w:cs="Arial"/>
                <w:sz w:val="20"/>
                <w:szCs w:val="20"/>
              </w:rPr>
            </w:pPr>
          </w:p>
        </w:tc>
        <w:tc>
          <w:tcPr>
            <w:tcW w:w="2420" w:type="pct"/>
          </w:tcPr>
          <w:p w14:paraId="1339C979" w14:textId="77777777" w:rsidR="004D7999" w:rsidRPr="00426B41" w:rsidRDefault="004D7999" w:rsidP="005F2E79">
            <w:pPr>
              <w:rPr>
                <w:rFonts w:cs="Arial"/>
                <w:sz w:val="20"/>
                <w:szCs w:val="20"/>
                <w:highlight w:val="yellow"/>
              </w:rPr>
            </w:pPr>
          </w:p>
        </w:tc>
      </w:tr>
      <w:tr w:rsidR="004D7999" w:rsidRPr="00426B41" w14:paraId="22687DA8" w14:textId="77777777" w:rsidTr="00865BA6">
        <w:tc>
          <w:tcPr>
            <w:tcW w:w="1736" w:type="pct"/>
            <w:shd w:val="clear" w:color="auto" w:fill="EAF1DD" w:themeFill="accent3" w:themeFillTint="33"/>
          </w:tcPr>
          <w:p w14:paraId="43B52ED9" w14:textId="3183AB38" w:rsidR="004D7999" w:rsidRPr="00426B41" w:rsidRDefault="007203E5" w:rsidP="002065DB">
            <w:pPr>
              <w:widowControl/>
              <w:rPr>
                <w:rFonts w:cs="Arial"/>
                <w:sz w:val="20"/>
                <w:szCs w:val="20"/>
              </w:rPr>
            </w:pPr>
            <w:r>
              <w:rPr>
                <w:rFonts w:cs="Arial"/>
                <w:sz w:val="20"/>
                <w:szCs w:val="20"/>
              </w:rPr>
              <w:t xml:space="preserve">Does not support </w:t>
            </w:r>
            <w:r w:rsidR="00F45AD0">
              <w:rPr>
                <w:rFonts w:cs="Arial"/>
                <w:sz w:val="20"/>
                <w:szCs w:val="20"/>
              </w:rPr>
              <w:t>methods</w:t>
            </w:r>
            <w:r>
              <w:rPr>
                <w:rFonts w:cs="Arial"/>
                <w:sz w:val="20"/>
                <w:szCs w:val="20"/>
              </w:rPr>
              <w:t xml:space="preserve"> of analysis</w:t>
            </w:r>
            <w:r w:rsidR="00A62C80">
              <w:rPr>
                <w:rFonts w:cs="Arial"/>
                <w:sz w:val="20"/>
                <w:szCs w:val="20"/>
              </w:rPr>
              <w:t xml:space="preserve"> (MOA)</w:t>
            </w:r>
            <w:r w:rsidR="004D7999" w:rsidRPr="00426B41">
              <w:rPr>
                <w:rFonts w:cs="Arial"/>
                <w:sz w:val="20"/>
                <w:szCs w:val="20"/>
              </w:rPr>
              <w:t xml:space="preserve"> in specifications</w:t>
            </w:r>
            <w:r w:rsidR="004D7999">
              <w:rPr>
                <w:rFonts w:cs="Arial"/>
                <w:sz w:val="20"/>
                <w:szCs w:val="20"/>
              </w:rPr>
              <w:t xml:space="preserve"> as this would limit future method improvements.</w:t>
            </w:r>
          </w:p>
        </w:tc>
        <w:tc>
          <w:tcPr>
            <w:tcW w:w="844" w:type="pct"/>
            <w:shd w:val="clear" w:color="auto" w:fill="EAF1DD" w:themeFill="accent3" w:themeFillTint="33"/>
          </w:tcPr>
          <w:p w14:paraId="18D30B75" w14:textId="77777777" w:rsidR="004D7999" w:rsidRPr="00084B50" w:rsidRDefault="004D7999" w:rsidP="005F2E79">
            <w:pPr>
              <w:rPr>
                <w:rFonts w:cs="Arial"/>
                <w:sz w:val="20"/>
                <w:szCs w:val="20"/>
              </w:rPr>
            </w:pPr>
            <w:r w:rsidRPr="00084B50">
              <w:rPr>
                <w:rFonts w:cs="Arial"/>
                <w:sz w:val="20"/>
                <w:szCs w:val="20"/>
              </w:rPr>
              <w:t>BASF, Fonterra, Glycom, INC, Nestle, NZFGC, Abbott (late)</w:t>
            </w:r>
          </w:p>
        </w:tc>
        <w:tc>
          <w:tcPr>
            <w:tcW w:w="2420" w:type="pct"/>
            <w:shd w:val="clear" w:color="auto" w:fill="EAF1DD" w:themeFill="accent3" w:themeFillTint="33"/>
          </w:tcPr>
          <w:p w14:paraId="099B35B8" w14:textId="1406388E" w:rsidR="004D7999" w:rsidRPr="00426B41" w:rsidRDefault="00A62C80" w:rsidP="00BA7897">
            <w:pPr>
              <w:rPr>
                <w:rFonts w:cs="Arial"/>
                <w:sz w:val="20"/>
                <w:szCs w:val="20"/>
              </w:rPr>
            </w:pPr>
            <w:r>
              <w:rPr>
                <w:rFonts w:cs="Arial"/>
                <w:sz w:val="20"/>
                <w:szCs w:val="20"/>
              </w:rPr>
              <w:t>The two</w:t>
            </w:r>
            <w:r w:rsidR="004D7999">
              <w:rPr>
                <w:rFonts w:cs="Arial"/>
                <w:sz w:val="20"/>
                <w:szCs w:val="20"/>
              </w:rPr>
              <w:t xml:space="preserve"> tables </w:t>
            </w:r>
            <w:r>
              <w:rPr>
                <w:rFonts w:cs="Arial"/>
                <w:sz w:val="20"/>
                <w:szCs w:val="20"/>
              </w:rPr>
              <w:t xml:space="preserve">provided in the application </w:t>
            </w:r>
            <w:r w:rsidR="004D7999">
              <w:rPr>
                <w:rFonts w:cs="Arial"/>
                <w:sz w:val="20"/>
                <w:szCs w:val="20"/>
              </w:rPr>
              <w:t xml:space="preserve">for </w:t>
            </w:r>
            <w:r w:rsidR="00B51870">
              <w:rPr>
                <w:rFonts w:cs="Arial"/>
                <w:sz w:val="20"/>
                <w:szCs w:val="20"/>
              </w:rPr>
              <w:t>2′</w:t>
            </w:r>
            <w:r>
              <w:rPr>
                <w:rFonts w:cs="Arial"/>
                <w:sz w:val="20"/>
                <w:szCs w:val="20"/>
              </w:rPr>
              <w:t xml:space="preserve">-FL and LNnT </w:t>
            </w:r>
            <w:r w:rsidR="00D25027">
              <w:rPr>
                <w:rFonts w:cs="Arial"/>
                <w:sz w:val="20"/>
                <w:szCs w:val="20"/>
              </w:rPr>
              <w:t>product specifications</w:t>
            </w:r>
            <w:r w:rsidR="004D7999">
              <w:rPr>
                <w:rFonts w:cs="Arial"/>
                <w:sz w:val="20"/>
                <w:szCs w:val="20"/>
              </w:rPr>
              <w:t xml:space="preserve"> included a method for each parameter</w:t>
            </w:r>
            <w:r>
              <w:rPr>
                <w:rFonts w:cs="Arial"/>
                <w:sz w:val="20"/>
                <w:szCs w:val="20"/>
              </w:rPr>
              <w:t>,</w:t>
            </w:r>
            <w:r w:rsidR="004D7999">
              <w:rPr>
                <w:rFonts w:cs="Arial"/>
                <w:sz w:val="20"/>
                <w:szCs w:val="20"/>
              </w:rPr>
              <w:t xml:space="preserve"> which was information that assisted in FSANZ’s assessment. The 1</w:t>
            </w:r>
            <w:r w:rsidR="004D7999" w:rsidRPr="00FF5F04">
              <w:rPr>
                <w:rFonts w:cs="Arial"/>
                <w:sz w:val="20"/>
                <w:szCs w:val="20"/>
                <w:vertAlign w:val="superscript"/>
              </w:rPr>
              <w:t>st</w:t>
            </w:r>
            <w:r w:rsidR="004D7999">
              <w:rPr>
                <w:rFonts w:cs="Arial"/>
                <w:sz w:val="20"/>
                <w:szCs w:val="20"/>
              </w:rPr>
              <w:t xml:space="preserve"> CFS </w:t>
            </w:r>
            <w:r>
              <w:rPr>
                <w:rFonts w:cs="Arial"/>
                <w:sz w:val="20"/>
                <w:szCs w:val="20"/>
              </w:rPr>
              <w:t xml:space="preserve">broadly </w:t>
            </w:r>
            <w:r w:rsidR="004D7999">
              <w:rPr>
                <w:rFonts w:cs="Arial"/>
                <w:sz w:val="20"/>
                <w:szCs w:val="20"/>
              </w:rPr>
              <w:t>proposed that the specification provided in the application would be inserted into the Code. Consistent with other specifications in the Code</w:t>
            </w:r>
            <w:r w:rsidR="00BA7897">
              <w:rPr>
                <w:rFonts w:cs="Arial"/>
                <w:sz w:val="20"/>
                <w:szCs w:val="20"/>
              </w:rPr>
              <w:t xml:space="preserve"> (Schedule 3)</w:t>
            </w:r>
            <w:r w:rsidR="004D7999">
              <w:rPr>
                <w:rFonts w:cs="Arial"/>
                <w:sz w:val="20"/>
                <w:szCs w:val="20"/>
              </w:rPr>
              <w:t xml:space="preserve">, </w:t>
            </w:r>
            <w:r w:rsidR="00BA7897">
              <w:rPr>
                <w:rFonts w:cs="Arial"/>
                <w:sz w:val="20"/>
                <w:szCs w:val="20"/>
              </w:rPr>
              <w:t>FSANZ</w:t>
            </w:r>
            <w:r>
              <w:rPr>
                <w:rFonts w:cs="Arial"/>
                <w:sz w:val="20"/>
                <w:szCs w:val="20"/>
              </w:rPr>
              <w:t xml:space="preserve"> does not</w:t>
            </w:r>
            <w:r w:rsidR="00BA7897">
              <w:rPr>
                <w:rFonts w:cs="Arial"/>
                <w:sz w:val="20"/>
                <w:szCs w:val="20"/>
              </w:rPr>
              <w:t xml:space="preserve"> propose to</w:t>
            </w:r>
            <w:r w:rsidR="004D7999">
              <w:rPr>
                <w:rFonts w:cs="Arial"/>
                <w:sz w:val="20"/>
                <w:szCs w:val="20"/>
              </w:rPr>
              <w:t xml:space="preserve"> include the applicant’s stated </w:t>
            </w:r>
            <w:r>
              <w:rPr>
                <w:rFonts w:cs="Arial"/>
                <w:sz w:val="20"/>
                <w:szCs w:val="20"/>
              </w:rPr>
              <w:t>MOA’s in the specifications</w:t>
            </w:r>
            <w:r w:rsidR="008B1E56">
              <w:rPr>
                <w:rFonts w:cs="Arial"/>
                <w:sz w:val="20"/>
                <w:szCs w:val="20"/>
              </w:rPr>
              <w:t xml:space="preserve"> (see also section 2.3.6)</w:t>
            </w:r>
            <w:r w:rsidR="004D7999">
              <w:rPr>
                <w:rFonts w:cs="Arial"/>
                <w:sz w:val="20"/>
                <w:szCs w:val="20"/>
              </w:rPr>
              <w:t>.</w:t>
            </w:r>
          </w:p>
        </w:tc>
      </w:tr>
      <w:tr w:rsidR="004D7999" w:rsidRPr="00426B41" w14:paraId="6AFC3D60" w14:textId="77777777" w:rsidTr="004D7999">
        <w:tc>
          <w:tcPr>
            <w:tcW w:w="1736" w:type="pct"/>
          </w:tcPr>
          <w:p w14:paraId="1DA95725" w14:textId="2ACB670F" w:rsidR="004D7999" w:rsidRPr="00426B41" w:rsidRDefault="004D7999" w:rsidP="005D0D82">
            <w:pPr>
              <w:rPr>
                <w:rFonts w:cs="Arial"/>
                <w:sz w:val="20"/>
                <w:szCs w:val="20"/>
              </w:rPr>
            </w:pPr>
            <w:r>
              <w:rPr>
                <w:rFonts w:cs="Arial"/>
                <w:sz w:val="20"/>
                <w:szCs w:val="20"/>
              </w:rPr>
              <w:t>Suggests the specifications are</w:t>
            </w:r>
            <w:r w:rsidRPr="00426B41">
              <w:rPr>
                <w:rFonts w:cs="Arial"/>
                <w:sz w:val="20"/>
                <w:szCs w:val="20"/>
              </w:rPr>
              <w:t xml:space="preserve"> consistent with </w:t>
            </w:r>
            <w:r>
              <w:rPr>
                <w:rFonts w:cs="Arial"/>
                <w:sz w:val="20"/>
                <w:szCs w:val="20"/>
              </w:rPr>
              <w:t xml:space="preserve">those </w:t>
            </w:r>
            <w:r w:rsidR="005D0D82">
              <w:rPr>
                <w:rFonts w:cs="Arial"/>
                <w:sz w:val="20"/>
                <w:szCs w:val="20"/>
              </w:rPr>
              <w:t xml:space="preserve">recently </w:t>
            </w:r>
            <w:r w:rsidR="00F45AD0">
              <w:rPr>
                <w:rFonts w:cs="Arial"/>
                <w:sz w:val="20"/>
                <w:szCs w:val="20"/>
              </w:rPr>
              <w:t>incorporated</w:t>
            </w:r>
            <w:r>
              <w:rPr>
                <w:rFonts w:cs="Arial"/>
                <w:sz w:val="20"/>
                <w:szCs w:val="20"/>
              </w:rPr>
              <w:t xml:space="preserve"> in </w:t>
            </w:r>
            <w:r w:rsidR="005D0D82">
              <w:rPr>
                <w:rFonts w:cs="Arial"/>
                <w:sz w:val="20"/>
                <w:szCs w:val="20"/>
              </w:rPr>
              <w:t xml:space="preserve">the </w:t>
            </w:r>
            <w:r>
              <w:rPr>
                <w:rFonts w:cs="Arial"/>
                <w:sz w:val="20"/>
                <w:szCs w:val="20"/>
              </w:rPr>
              <w:t>EU regulation (</w:t>
            </w:r>
            <w:r w:rsidRPr="00472301">
              <w:rPr>
                <w:rFonts w:cs="Arial"/>
                <w:sz w:val="20"/>
                <w:szCs w:val="20"/>
              </w:rPr>
              <w:t>EU 2018</w:t>
            </w:r>
            <w:r w:rsidRPr="005D0D82">
              <w:rPr>
                <w:rFonts w:cs="Arial"/>
                <w:sz w:val="20"/>
                <w:szCs w:val="20"/>
              </w:rPr>
              <w:t>)</w:t>
            </w:r>
            <w:r w:rsidR="00472301" w:rsidRPr="005D0D82">
              <w:rPr>
                <w:rFonts w:cs="Arial"/>
                <w:sz w:val="20"/>
                <w:szCs w:val="20"/>
              </w:rPr>
              <w:t>,</w:t>
            </w:r>
            <w:r w:rsidR="00472301">
              <w:rPr>
                <w:rFonts w:cs="Arial"/>
                <w:sz w:val="20"/>
                <w:szCs w:val="20"/>
              </w:rPr>
              <w:t xml:space="preserve"> </w:t>
            </w:r>
            <w:r>
              <w:rPr>
                <w:rFonts w:cs="Arial"/>
                <w:sz w:val="20"/>
                <w:szCs w:val="20"/>
              </w:rPr>
              <w:t xml:space="preserve">which now </w:t>
            </w:r>
            <w:r w:rsidR="00472301">
              <w:rPr>
                <w:rFonts w:cs="Arial"/>
                <w:sz w:val="20"/>
                <w:szCs w:val="20"/>
              </w:rPr>
              <w:t xml:space="preserve">provides a </w:t>
            </w:r>
            <w:r>
              <w:rPr>
                <w:rFonts w:cs="Arial"/>
                <w:sz w:val="20"/>
                <w:szCs w:val="20"/>
              </w:rPr>
              <w:t xml:space="preserve">generic specification based on </w:t>
            </w:r>
            <w:r w:rsidRPr="00CB75CE">
              <w:rPr>
                <w:rFonts w:cs="Arial"/>
                <w:i/>
                <w:sz w:val="20"/>
                <w:szCs w:val="20"/>
              </w:rPr>
              <w:t>E.coli</w:t>
            </w:r>
            <w:r>
              <w:rPr>
                <w:rFonts w:cs="Arial"/>
                <w:sz w:val="20"/>
                <w:szCs w:val="20"/>
              </w:rPr>
              <w:t xml:space="preserve"> K-12 to cover different </w:t>
            </w:r>
            <w:r w:rsidR="00F45AD0">
              <w:rPr>
                <w:rFonts w:cs="Arial"/>
                <w:sz w:val="20"/>
                <w:szCs w:val="20"/>
              </w:rPr>
              <w:t>manufacturers</w:t>
            </w:r>
            <w:r w:rsidR="001C78FB">
              <w:rPr>
                <w:rFonts w:cs="Arial"/>
                <w:sz w:val="20"/>
                <w:szCs w:val="20"/>
              </w:rPr>
              <w:t>’</w:t>
            </w:r>
            <w:r>
              <w:rPr>
                <w:rFonts w:cs="Arial"/>
                <w:sz w:val="20"/>
                <w:szCs w:val="20"/>
              </w:rPr>
              <w:t xml:space="preserve"> specifications.</w:t>
            </w:r>
          </w:p>
        </w:tc>
        <w:tc>
          <w:tcPr>
            <w:tcW w:w="844" w:type="pct"/>
          </w:tcPr>
          <w:p w14:paraId="0480FA5D" w14:textId="77777777" w:rsidR="004D7999" w:rsidRPr="00084B50" w:rsidRDefault="004D7999" w:rsidP="005F2E79">
            <w:pPr>
              <w:rPr>
                <w:rFonts w:cs="Arial"/>
                <w:sz w:val="20"/>
                <w:szCs w:val="20"/>
              </w:rPr>
            </w:pPr>
            <w:r w:rsidRPr="00084B50">
              <w:rPr>
                <w:rFonts w:cs="Arial"/>
                <w:sz w:val="20"/>
                <w:szCs w:val="20"/>
              </w:rPr>
              <w:t>BASF, Fonterra, INC, NZFGC, Abbott (late)</w:t>
            </w:r>
          </w:p>
        </w:tc>
        <w:tc>
          <w:tcPr>
            <w:tcW w:w="2420" w:type="pct"/>
          </w:tcPr>
          <w:p w14:paraId="68D4E919" w14:textId="709F3E0C" w:rsidR="00557FAE" w:rsidRDefault="005D0D82" w:rsidP="005F2E79">
            <w:pPr>
              <w:pStyle w:val="CommentText"/>
              <w:rPr>
                <w:rFonts w:cs="Arial"/>
              </w:rPr>
            </w:pPr>
            <w:r>
              <w:rPr>
                <w:rFonts w:cs="Arial"/>
              </w:rPr>
              <w:t xml:space="preserve">Australia and New Zealand regulations do not provide a substantial equivalence notification system as provided in the EU and used as the basis for the EU 2018 specification amendment. </w:t>
            </w:r>
            <w:r w:rsidR="002909C8">
              <w:rPr>
                <w:rFonts w:cs="Arial"/>
              </w:rPr>
              <w:t xml:space="preserve">FSANZ notes that since </w:t>
            </w:r>
            <w:r w:rsidR="003B6820">
              <w:rPr>
                <w:rFonts w:cs="Arial"/>
              </w:rPr>
              <w:t>the 1</w:t>
            </w:r>
            <w:r w:rsidR="003B6820" w:rsidRPr="003B6820">
              <w:rPr>
                <w:rFonts w:cs="Arial"/>
                <w:vertAlign w:val="superscript"/>
              </w:rPr>
              <w:t>st</w:t>
            </w:r>
            <w:r w:rsidR="003B6820">
              <w:rPr>
                <w:rFonts w:cs="Arial"/>
              </w:rPr>
              <w:t xml:space="preserve"> CFS submission period closed,</w:t>
            </w:r>
            <w:r w:rsidR="002909C8">
              <w:rPr>
                <w:rFonts w:cs="Arial"/>
              </w:rPr>
              <w:t xml:space="preserve"> a f</w:t>
            </w:r>
            <w:r w:rsidR="00857818">
              <w:rPr>
                <w:rFonts w:cs="Arial"/>
              </w:rPr>
              <w:t xml:space="preserve">urther amendment to the </w:t>
            </w:r>
            <w:r w:rsidR="003B6820">
              <w:rPr>
                <w:rFonts w:cs="Arial"/>
              </w:rPr>
              <w:t xml:space="preserve">EU </w:t>
            </w:r>
            <w:r w:rsidR="00B51870">
              <w:rPr>
                <w:rFonts w:cs="Arial"/>
              </w:rPr>
              <w:t>2′</w:t>
            </w:r>
            <w:r w:rsidR="00857818">
              <w:rPr>
                <w:rFonts w:cs="Arial"/>
              </w:rPr>
              <w:t xml:space="preserve">-FL </w:t>
            </w:r>
            <w:r w:rsidR="002909C8">
              <w:rPr>
                <w:rFonts w:cs="Arial"/>
              </w:rPr>
              <w:t>specification</w:t>
            </w:r>
            <w:r w:rsidR="00857818">
              <w:rPr>
                <w:rFonts w:cs="Arial"/>
              </w:rPr>
              <w:t xml:space="preserve"> </w:t>
            </w:r>
            <w:r w:rsidR="003B6820">
              <w:rPr>
                <w:rFonts w:cs="Arial"/>
              </w:rPr>
              <w:t>has come into force</w:t>
            </w:r>
            <w:r w:rsidR="00857818">
              <w:rPr>
                <w:rFonts w:cs="Arial"/>
              </w:rPr>
              <w:t xml:space="preserve"> </w:t>
            </w:r>
            <w:r>
              <w:rPr>
                <w:rFonts w:cs="Arial"/>
              </w:rPr>
              <w:t xml:space="preserve">(EU 2019) </w:t>
            </w:r>
            <w:r w:rsidR="00857818">
              <w:rPr>
                <w:rFonts w:cs="Arial"/>
              </w:rPr>
              <w:t xml:space="preserve">as </w:t>
            </w:r>
            <w:r>
              <w:rPr>
                <w:rFonts w:cs="Arial"/>
              </w:rPr>
              <w:t xml:space="preserve">further </w:t>
            </w:r>
            <w:r w:rsidR="00857818">
              <w:rPr>
                <w:rFonts w:cs="Arial"/>
              </w:rPr>
              <w:t xml:space="preserve">discussed in section 1.3.2.2. </w:t>
            </w:r>
          </w:p>
          <w:p w14:paraId="63C81AA4" w14:textId="77777777" w:rsidR="00557FAE" w:rsidRDefault="00557FAE" w:rsidP="005F2E79">
            <w:pPr>
              <w:pStyle w:val="CommentText"/>
              <w:rPr>
                <w:rFonts w:cs="Arial"/>
              </w:rPr>
            </w:pPr>
          </w:p>
          <w:p w14:paraId="471E2848" w14:textId="47C3695C" w:rsidR="004D7999" w:rsidRPr="00426B41" w:rsidRDefault="001A6AC9" w:rsidP="00AB2563">
            <w:pPr>
              <w:pStyle w:val="CommentText"/>
              <w:rPr>
                <w:rFonts w:cs="Arial"/>
              </w:rPr>
            </w:pPr>
            <w:r>
              <w:rPr>
                <w:rFonts w:cs="Arial"/>
              </w:rPr>
              <w:t xml:space="preserve">As </w:t>
            </w:r>
            <w:r w:rsidR="00472301">
              <w:rPr>
                <w:rFonts w:cs="Arial"/>
              </w:rPr>
              <w:t>FSANZ’</w:t>
            </w:r>
            <w:r w:rsidR="002909C8">
              <w:rPr>
                <w:rFonts w:cs="Arial"/>
              </w:rPr>
              <w:t>s assessment was</w:t>
            </w:r>
            <w:r w:rsidR="00472301">
              <w:rPr>
                <w:rFonts w:cs="Arial"/>
              </w:rPr>
              <w:t xml:space="preserve"> based on the specifications provided in the application, </w:t>
            </w:r>
            <w:r>
              <w:rPr>
                <w:rFonts w:cs="Arial"/>
              </w:rPr>
              <w:t xml:space="preserve">these </w:t>
            </w:r>
            <w:r w:rsidR="002909C8">
              <w:rPr>
                <w:rFonts w:cs="Arial"/>
              </w:rPr>
              <w:t xml:space="preserve">are the specifications proposed for insertion </w:t>
            </w:r>
            <w:r>
              <w:rPr>
                <w:rFonts w:cs="Arial"/>
              </w:rPr>
              <w:t>in Schedule 3</w:t>
            </w:r>
            <w:r w:rsidR="002909C8">
              <w:rPr>
                <w:rFonts w:cs="Arial"/>
              </w:rPr>
              <w:t xml:space="preserve"> </w:t>
            </w:r>
            <w:r>
              <w:rPr>
                <w:rFonts w:cs="Arial"/>
              </w:rPr>
              <w:t xml:space="preserve">(without MOA’s as discussed </w:t>
            </w:r>
            <w:r w:rsidR="004B0DAD">
              <w:rPr>
                <w:rFonts w:cs="Arial"/>
              </w:rPr>
              <w:t xml:space="preserve">in the response </w:t>
            </w:r>
            <w:r>
              <w:rPr>
                <w:rFonts w:cs="Arial"/>
              </w:rPr>
              <w:t xml:space="preserve">above). </w:t>
            </w:r>
            <w:r w:rsidR="003925A6">
              <w:rPr>
                <w:rFonts w:cs="Arial"/>
              </w:rPr>
              <w:t>As also</w:t>
            </w:r>
            <w:r>
              <w:rPr>
                <w:rFonts w:cs="Arial"/>
              </w:rPr>
              <w:t xml:space="preserve"> noted above,</w:t>
            </w:r>
            <w:r w:rsidR="00472301">
              <w:rPr>
                <w:rFonts w:cs="Arial"/>
              </w:rPr>
              <w:t xml:space="preserve"> </w:t>
            </w:r>
            <w:r w:rsidR="003925A6">
              <w:rPr>
                <w:rFonts w:cs="Arial"/>
              </w:rPr>
              <w:t xml:space="preserve">FSANZ proposes </w:t>
            </w:r>
            <w:r w:rsidR="00AB2563">
              <w:rPr>
                <w:rFonts w:cs="Arial"/>
              </w:rPr>
              <w:t>linking</w:t>
            </w:r>
            <w:r w:rsidR="003925A6">
              <w:rPr>
                <w:rFonts w:cs="Arial"/>
              </w:rPr>
              <w:t xml:space="preserve"> </w:t>
            </w:r>
            <w:r w:rsidR="00472301">
              <w:rPr>
                <w:rFonts w:cs="Arial"/>
              </w:rPr>
              <w:t xml:space="preserve">approval </w:t>
            </w:r>
            <w:r w:rsidR="003925A6">
              <w:rPr>
                <w:rFonts w:cs="Arial"/>
              </w:rPr>
              <w:t xml:space="preserve">to the </w:t>
            </w:r>
            <w:r w:rsidR="00472301">
              <w:rPr>
                <w:rFonts w:cs="Arial"/>
              </w:rPr>
              <w:t>specific gene-gene donor information</w:t>
            </w:r>
            <w:r>
              <w:rPr>
                <w:rFonts w:cs="Arial"/>
              </w:rPr>
              <w:t xml:space="preserve">, not the generic </w:t>
            </w:r>
            <w:r w:rsidRPr="001A6AC9">
              <w:rPr>
                <w:rFonts w:cs="Arial"/>
                <w:i/>
              </w:rPr>
              <w:t>E.coli</w:t>
            </w:r>
            <w:r>
              <w:rPr>
                <w:rFonts w:cs="Arial"/>
              </w:rPr>
              <w:t xml:space="preserve"> K-12 host.</w:t>
            </w:r>
            <w:r w:rsidR="004B0DAD">
              <w:rPr>
                <w:rFonts w:cs="Arial"/>
              </w:rPr>
              <w:t xml:space="preserve"> </w:t>
            </w:r>
            <w:r>
              <w:rPr>
                <w:rFonts w:cs="Arial"/>
              </w:rPr>
              <w:t>An application process exists for other companies to seek a</w:t>
            </w:r>
            <w:r w:rsidR="00E72407">
              <w:rPr>
                <w:rFonts w:cs="Arial"/>
              </w:rPr>
              <w:t xml:space="preserve">mendments to the Code for </w:t>
            </w:r>
            <w:r w:rsidR="00B51870">
              <w:rPr>
                <w:rFonts w:cs="Arial"/>
              </w:rPr>
              <w:t>2′</w:t>
            </w:r>
            <w:r w:rsidR="00E72407">
              <w:rPr>
                <w:rFonts w:cs="Arial"/>
              </w:rPr>
              <w:t>-FL or LNnT based</w:t>
            </w:r>
            <w:r>
              <w:rPr>
                <w:rFonts w:cs="Arial"/>
              </w:rPr>
              <w:t xml:space="preserve"> </w:t>
            </w:r>
            <w:r w:rsidR="00E72407">
              <w:rPr>
                <w:rFonts w:cs="Arial"/>
              </w:rPr>
              <w:t xml:space="preserve">on </w:t>
            </w:r>
            <w:r>
              <w:rPr>
                <w:rFonts w:cs="Arial"/>
              </w:rPr>
              <w:t>their gene-gene</w:t>
            </w:r>
            <w:r w:rsidR="00E72407">
              <w:rPr>
                <w:rFonts w:cs="Arial"/>
              </w:rPr>
              <w:t xml:space="preserve"> donor</w:t>
            </w:r>
            <w:r>
              <w:rPr>
                <w:rFonts w:cs="Arial"/>
              </w:rPr>
              <w:t xml:space="preserve"> information and relevant specification</w:t>
            </w:r>
            <w:r w:rsidR="002909C8">
              <w:rPr>
                <w:rFonts w:cs="Arial"/>
              </w:rPr>
              <w:t>s (or to seek a generic specification)</w:t>
            </w:r>
            <w:r w:rsidR="00E72407">
              <w:rPr>
                <w:rFonts w:cs="Arial"/>
              </w:rPr>
              <w:t>,</w:t>
            </w:r>
            <w:r w:rsidR="002909C8">
              <w:rPr>
                <w:rFonts w:cs="Arial"/>
              </w:rPr>
              <w:t xml:space="preserve"> providing</w:t>
            </w:r>
            <w:r>
              <w:rPr>
                <w:rFonts w:cs="Arial"/>
              </w:rPr>
              <w:t xml:space="preserve"> appropr</w:t>
            </w:r>
            <w:r w:rsidR="002909C8">
              <w:rPr>
                <w:rFonts w:cs="Arial"/>
              </w:rPr>
              <w:t>iate evidence and justification</w:t>
            </w:r>
            <w:r>
              <w:rPr>
                <w:rFonts w:cs="Arial"/>
              </w:rPr>
              <w:t xml:space="preserve">. </w:t>
            </w:r>
          </w:p>
        </w:tc>
      </w:tr>
      <w:tr w:rsidR="004D7999" w:rsidRPr="00426B41" w14:paraId="62B736C7" w14:textId="77777777" w:rsidTr="004D7999">
        <w:tc>
          <w:tcPr>
            <w:tcW w:w="1736" w:type="pct"/>
          </w:tcPr>
          <w:p w14:paraId="69CB894E" w14:textId="614A72FA" w:rsidR="004D7999" w:rsidRPr="00426B41" w:rsidRDefault="00CE5ABD" w:rsidP="005F2E79">
            <w:pPr>
              <w:rPr>
                <w:rFonts w:cs="Arial"/>
                <w:b/>
                <w:sz w:val="20"/>
                <w:szCs w:val="20"/>
              </w:rPr>
            </w:pPr>
            <w:r>
              <w:rPr>
                <w:rFonts w:cs="Arial"/>
                <w:b/>
                <w:sz w:val="20"/>
                <w:szCs w:val="20"/>
              </w:rPr>
              <w:t>Prohibited</w:t>
            </w:r>
            <w:r w:rsidRPr="007203E5">
              <w:rPr>
                <w:rFonts w:cs="Arial"/>
                <w:b/>
                <w:sz w:val="20"/>
                <w:szCs w:val="20"/>
              </w:rPr>
              <w:t xml:space="preserve"> </w:t>
            </w:r>
            <w:r w:rsidR="008D64B7" w:rsidRPr="007203E5">
              <w:rPr>
                <w:rFonts w:cs="Arial"/>
                <w:b/>
                <w:sz w:val="20"/>
                <w:szCs w:val="20"/>
              </w:rPr>
              <w:t>use</w:t>
            </w:r>
            <w:r w:rsidR="004D7999" w:rsidRPr="007203E5">
              <w:rPr>
                <w:rFonts w:cs="Arial"/>
                <w:b/>
                <w:sz w:val="20"/>
                <w:szCs w:val="20"/>
              </w:rPr>
              <w:t xml:space="preserve"> with GOS/ITF</w:t>
            </w:r>
          </w:p>
        </w:tc>
        <w:tc>
          <w:tcPr>
            <w:tcW w:w="844" w:type="pct"/>
          </w:tcPr>
          <w:p w14:paraId="405F51DF" w14:textId="77777777" w:rsidR="004D7999" w:rsidRPr="00084B50" w:rsidRDefault="004D7999" w:rsidP="005F2E79">
            <w:pPr>
              <w:rPr>
                <w:rFonts w:cs="Arial"/>
                <w:sz w:val="20"/>
                <w:szCs w:val="20"/>
              </w:rPr>
            </w:pPr>
          </w:p>
        </w:tc>
        <w:tc>
          <w:tcPr>
            <w:tcW w:w="2420" w:type="pct"/>
          </w:tcPr>
          <w:p w14:paraId="3397D445" w14:textId="77777777" w:rsidR="004D7999" w:rsidRPr="00426B41" w:rsidRDefault="004D7999" w:rsidP="005F2E79">
            <w:pPr>
              <w:rPr>
                <w:rFonts w:cs="Arial"/>
                <w:sz w:val="20"/>
                <w:szCs w:val="20"/>
              </w:rPr>
            </w:pPr>
          </w:p>
        </w:tc>
      </w:tr>
      <w:tr w:rsidR="004D7999" w:rsidRPr="00426B41" w14:paraId="09302A9D" w14:textId="77777777" w:rsidTr="00EB44CF">
        <w:tc>
          <w:tcPr>
            <w:tcW w:w="1736" w:type="pct"/>
            <w:shd w:val="clear" w:color="auto" w:fill="EAF1DD" w:themeFill="accent3" w:themeFillTint="33"/>
          </w:tcPr>
          <w:p w14:paraId="29BD56B9" w14:textId="342990C9" w:rsidR="004D7999" w:rsidRDefault="004D7999" w:rsidP="005F2E79">
            <w:pPr>
              <w:rPr>
                <w:rFonts w:cs="Arial"/>
                <w:sz w:val="20"/>
                <w:szCs w:val="20"/>
              </w:rPr>
            </w:pPr>
            <w:r w:rsidRPr="00426B41">
              <w:rPr>
                <w:rFonts w:cs="Arial"/>
                <w:sz w:val="20"/>
                <w:szCs w:val="20"/>
              </w:rPr>
              <w:t>Should not prohibit combination</w:t>
            </w:r>
            <w:r>
              <w:rPr>
                <w:rFonts w:cs="Arial"/>
                <w:sz w:val="20"/>
                <w:szCs w:val="20"/>
              </w:rPr>
              <w:t>s</w:t>
            </w:r>
            <w:r w:rsidRPr="00426B41">
              <w:rPr>
                <w:rFonts w:cs="Arial"/>
                <w:sz w:val="20"/>
                <w:szCs w:val="20"/>
              </w:rPr>
              <w:t xml:space="preserve"> of GOS/ITF w</w:t>
            </w:r>
            <w:r w:rsidR="0010334F">
              <w:rPr>
                <w:rFonts w:cs="Arial"/>
                <w:sz w:val="20"/>
                <w:szCs w:val="20"/>
              </w:rPr>
              <w:t xml:space="preserve">ith </w:t>
            </w:r>
            <w:r w:rsidR="00B51870">
              <w:rPr>
                <w:rFonts w:cs="Arial"/>
                <w:sz w:val="20"/>
                <w:szCs w:val="20"/>
              </w:rPr>
              <w:t>2′</w:t>
            </w:r>
            <w:r w:rsidR="0010334F">
              <w:rPr>
                <w:rFonts w:cs="Arial"/>
                <w:sz w:val="20"/>
                <w:szCs w:val="20"/>
              </w:rPr>
              <w:t>-FL/LNnT in infant formula products and FSFYC</w:t>
            </w:r>
            <w:r>
              <w:rPr>
                <w:rFonts w:cs="Arial"/>
                <w:sz w:val="20"/>
                <w:szCs w:val="20"/>
              </w:rPr>
              <w:t>:</w:t>
            </w:r>
            <w:r w:rsidRPr="00426B41">
              <w:rPr>
                <w:rFonts w:cs="Arial"/>
                <w:sz w:val="20"/>
                <w:szCs w:val="20"/>
              </w:rPr>
              <w:t xml:space="preserve"> </w:t>
            </w:r>
          </w:p>
          <w:p w14:paraId="5FB4B64C" w14:textId="23280207" w:rsidR="004D7999" w:rsidRDefault="004D7999" w:rsidP="004D7999">
            <w:pPr>
              <w:pStyle w:val="ListParagraph"/>
              <w:widowControl/>
              <w:numPr>
                <w:ilvl w:val="0"/>
                <w:numId w:val="21"/>
              </w:numPr>
              <w:rPr>
                <w:rFonts w:cs="Arial"/>
                <w:sz w:val="20"/>
                <w:szCs w:val="20"/>
              </w:rPr>
            </w:pPr>
            <w:r>
              <w:rPr>
                <w:rFonts w:cs="Arial"/>
                <w:sz w:val="20"/>
                <w:szCs w:val="20"/>
              </w:rPr>
              <w:t xml:space="preserve">This is not consistent with the data for some combinations of GOS/scFOS with </w:t>
            </w:r>
            <w:r w:rsidR="00B51870">
              <w:rPr>
                <w:rFonts w:cs="Arial"/>
                <w:sz w:val="20"/>
                <w:szCs w:val="20"/>
              </w:rPr>
              <w:t>2′</w:t>
            </w:r>
            <w:r>
              <w:rPr>
                <w:rFonts w:cs="Arial"/>
                <w:sz w:val="20"/>
                <w:szCs w:val="20"/>
              </w:rPr>
              <w:t>-FL</w:t>
            </w:r>
            <w:r w:rsidR="00F8669F">
              <w:rPr>
                <w:rFonts w:cs="Arial"/>
                <w:sz w:val="20"/>
                <w:szCs w:val="20"/>
              </w:rPr>
              <w:t>.</w:t>
            </w:r>
          </w:p>
          <w:p w14:paraId="64E4E054" w14:textId="74B97FB9" w:rsidR="004D7999" w:rsidRDefault="004D7999" w:rsidP="00F26F8F">
            <w:pPr>
              <w:pStyle w:val="ListParagraph"/>
              <w:widowControl/>
              <w:numPr>
                <w:ilvl w:val="0"/>
                <w:numId w:val="21"/>
              </w:numPr>
              <w:rPr>
                <w:rFonts w:cs="Arial"/>
                <w:sz w:val="20"/>
                <w:szCs w:val="20"/>
              </w:rPr>
            </w:pPr>
            <w:r w:rsidRPr="0010334F">
              <w:rPr>
                <w:rFonts w:cs="Arial"/>
                <w:sz w:val="20"/>
                <w:szCs w:val="20"/>
              </w:rPr>
              <w:t>This is not consistent with international permissions.</w:t>
            </w:r>
          </w:p>
          <w:p w14:paraId="3B7ED873" w14:textId="2919B619" w:rsidR="004D7999" w:rsidRPr="00426B41" w:rsidRDefault="00F8669F" w:rsidP="00B078FC">
            <w:pPr>
              <w:pStyle w:val="ListParagraph"/>
              <w:widowControl/>
              <w:numPr>
                <w:ilvl w:val="0"/>
                <w:numId w:val="21"/>
              </w:numPr>
              <w:rPr>
                <w:rFonts w:cs="Arial"/>
                <w:sz w:val="20"/>
                <w:szCs w:val="20"/>
              </w:rPr>
            </w:pPr>
            <w:r>
              <w:rPr>
                <w:rFonts w:cs="Arial"/>
                <w:sz w:val="20"/>
                <w:szCs w:val="20"/>
              </w:rPr>
              <w:t xml:space="preserve">Suggests limit of 8 g/L could be set for combined use of </w:t>
            </w:r>
            <w:r w:rsidR="00B51870">
              <w:rPr>
                <w:rFonts w:cs="Arial"/>
                <w:sz w:val="20"/>
                <w:szCs w:val="20"/>
              </w:rPr>
              <w:t>2′</w:t>
            </w:r>
            <w:r>
              <w:rPr>
                <w:rFonts w:cs="Arial"/>
                <w:sz w:val="20"/>
                <w:szCs w:val="20"/>
              </w:rPr>
              <w:t>-FL/LNnT with existing GOS and ITF.</w:t>
            </w:r>
          </w:p>
        </w:tc>
        <w:tc>
          <w:tcPr>
            <w:tcW w:w="844" w:type="pct"/>
            <w:shd w:val="clear" w:color="auto" w:fill="EAF1DD" w:themeFill="accent3" w:themeFillTint="33"/>
          </w:tcPr>
          <w:p w14:paraId="0C4276C4" w14:textId="77777777" w:rsidR="004D7999" w:rsidRPr="00084B50" w:rsidRDefault="004D7999" w:rsidP="005F2E79">
            <w:pPr>
              <w:rPr>
                <w:rFonts w:cs="Arial"/>
                <w:sz w:val="20"/>
                <w:szCs w:val="20"/>
              </w:rPr>
            </w:pPr>
            <w:r w:rsidRPr="00084B50">
              <w:rPr>
                <w:rFonts w:cs="Arial"/>
                <w:sz w:val="20"/>
                <w:szCs w:val="20"/>
              </w:rPr>
              <w:t>Fonterra, Abbott (late)</w:t>
            </w:r>
          </w:p>
        </w:tc>
        <w:tc>
          <w:tcPr>
            <w:tcW w:w="2420" w:type="pct"/>
            <w:shd w:val="clear" w:color="auto" w:fill="EAF1DD" w:themeFill="accent3" w:themeFillTint="33"/>
          </w:tcPr>
          <w:p w14:paraId="73EC75E4" w14:textId="436E418C" w:rsidR="00F8669F" w:rsidRDefault="00F8669F" w:rsidP="005F2E79">
            <w:pPr>
              <w:rPr>
                <w:rFonts w:cs="Arial"/>
                <w:sz w:val="20"/>
                <w:szCs w:val="20"/>
              </w:rPr>
            </w:pPr>
            <w:r>
              <w:rPr>
                <w:rFonts w:cs="Arial"/>
                <w:sz w:val="20"/>
                <w:szCs w:val="20"/>
              </w:rPr>
              <w:t>As further discussed i</w:t>
            </w:r>
            <w:r w:rsidR="00B078FC">
              <w:rPr>
                <w:rFonts w:cs="Arial"/>
                <w:sz w:val="20"/>
                <w:szCs w:val="20"/>
              </w:rPr>
              <w:t>n section 2.3.4, the applicant</w:t>
            </w:r>
            <w:r>
              <w:rPr>
                <w:rFonts w:cs="Arial"/>
                <w:sz w:val="20"/>
                <w:szCs w:val="20"/>
              </w:rPr>
              <w:t xml:space="preserve"> has not sought to use </w:t>
            </w:r>
            <w:r w:rsidR="00B51870">
              <w:rPr>
                <w:rFonts w:cs="Arial"/>
                <w:sz w:val="20"/>
                <w:szCs w:val="20"/>
              </w:rPr>
              <w:t>2′</w:t>
            </w:r>
            <w:r>
              <w:rPr>
                <w:rFonts w:cs="Arial"/>
                <w:sz w:val="20"/>
                <w:szCs w:val="20"/>
              </w:rPr>
              <w:t>-FL alone or with LNnT, in any combination with existing ITF and GOS permissions</w:t>
            </w:r>
            <w:r w:rsidR="00B078FC">
              <w:rPr>
                <w:rFonts w:cs="Arial"/>
                <w:sz w:val="20"/>
                <w:szCs w:val="20"/>
              </w:rPr>
              <w:t xml:space="preserve">. </w:t>
            </w:r>
            <w:r w:rsidR="00F45AD0">
              <w:rPr>
                <w:rFonts w:cs="Arial"/>
                <w:sz w:val="20"/>
                <w:szCs w:val="20"/>
              </w:rPr>
              <w:t>Appropriate</w:t>
            </w:r>
            <w:r w:rsidR="00572E01">
              <w:rPr>
                <w:rFonts w:cs="Arial"/>
                <w:sz w:val="20"/>
                <w:szCs w:val="20"/>
              </w:rPr>
              <w:t xml:space="preserve"> evidence</w:t>
            </w:r>
            <w:r w:rsidR="00B078FC">
              <w:rPr>
                <w:rFonts w:cs="Arial"/>
                <w:sz w:val="20"/>
                <w:szCs w:val="20"/>
              </w:rPr>
              <w:t xml:space="preserve"> has not been </w:t>
            </w:r>
            <w:r w:rsidR="00572E01">
              <w:rPr>
                <w:rFonts w:cs="Arial"/>
                <w:sz w:val="20"/>
                <w:szCs w:val="20"/>
              </w:rPr>
              <w:t xml:space="preserve">specifically </w:t>
            </w:r>
            <w:r w:rsidR="00B078FC">
              <w:rPr>
                <w:rFonts w:cs="Arial"/>
                <w:sz w:val="20"/>
                <w:szCs w:val="20"/>
              </w:rPr>
              <w:t>provided</w:t>
            </w:r>
            <w:r w:rsidR="00DE2552">
              <w:rPr>
                <w:rFonts w:cs="Arial"/>
                <w:sz w:val="20"/>
                <w:szCs w:val="20"/>
              </w:rPr>
              <w:t xml:space="preserve"> in the application</w:t>
            </w:r>
            <w:r w:rsidR="00B078FC">
              <w:rPr>
                <w:rFonts w:cs="Arial"/>
                <w:sz w:val="20"/>
                <w:szCs w:val="20"/>
              </w:rPr>
              <w:t xml:space="preserve"> to support the combined use of </w:t>
            </w:r>
            <w:r w:rsidR="00572E01">
              <w:rPr>
                <w:rFonts w:cs="Arial"/>
                <w:sz w:val="20"/>
                <w:szCs w:val="20"/>
              </w:rPr>
              <w:t xml:space="preserve">existing GOS and ITF permissions </w:t>
            </w:r>
            <w:r w:rsidR="00B078FC">
              <w:rPr>
                <w:rFonts w:cs="Arial"/>
                <w:sz w:val="20"/>
                <w:szCs w:val="20"/>
              </w:rPr>
              <w:t xml:space="preserve">with </w:t>
            </w:r>
            <w:r w:rsidR="00B51870">
              <w:rPr>
                <w:rFonts w:cs="Arial"/>
                <w:sz w:val="20"/>
                <w:szCs w:val="20"/>
              </w:rPr>
              <w:t>2′</w:t>
            </w:r>
            <w:r w:rsidR="00B078FC">
              <w:rPr>
                <w:rFonts w:cs="Arial"/>
                <w:sz w:val="20"/>
                <w:szCs w:val="20"/>
              </w:rPr>
              <w:t xml:space="preserve">-FL/LNnT </w:t>
            </w:r>
            <w:r w:rsidR="00572E01">
              <w:rPr>
                <w:rFonts w:cs="Arial"/>
                <w:sz w:val="20"/>
                <w:szCs w:val="20"/>
              </w:rPr>
              <w:t>(noting also scFOS is only one form of ITF)</w:t>
            </w:r>
            <w:r w:rsidR="00B078FC">
              <w:rPr>
                <w:rFonts w:cs="Arial"/>
                <w:sz w:val="20"/>
                <w:szCs w:val="20"/>
              </w:rPr>
              <w:t xml:space="preserve">, or </w:t>
            </w:r>
            <w:r w:rsidR="00CE5ABD">
              <w:rPr>
                <w:rFonts w:cs="Arial"/>
                <w:sz w:val="20"/>
                <w:szCs w:val="20"/>
              </w:rPr>
              <w:t xml:space="preserve">a </w:t>
            </w:r>
            <w:r w:rsidR="00B078FC">
              <w:rPr>
                <w:rFonts w:cs="Arial"/>
                <w:sz w:val="20"/>
                <w:szCs w:val="20"/>
              </w:rPr>
              <w:t>limit of 8 g/L for total combined use</w:t>
            </w:r>
            <w:r w:rsidR="00CE5ABD">
              <w:rPr>
                <w:rFonts w:cs="Arial"/>
                <w:sz w:val="20"/>
                <w:szCs w:val="20"/>
              </w:rPr>
              <w:t xml:space="preserve"> suggested in submissions</w:t>
            </w:r>
            <w:r w:rsidR="00B078FC">
              <w:rPr>
                <w:rFonts w:cs="Arial"/>
                <w:sz w:val="20"/>
                <w:szCs w:val="20"/>
              </w:rPr>
              <w:t>.</w:t>
            </w:r>
          </w:p>
          <w:p w14:paraId="79A78A05" w14:textId="77777777" w:rsidR="00F8669F" w:rsidRDefault="00F8669F" w:rsidP="005F2E79">
            <w:pPr>
              <w:rPr>
                <w:rFonts w:cs="Arial"/>
                <w:sz w:val="20"/>
                <w:szCs w:val="20"/>
              </w:rPr>
            </w:pPr>
          </w:p>
          <w:p w14:paraId="66453C88" w14:textId="4D9AC06F" w:rsidR="00F8669F" w:rsidRPr="00426B41" w:rsidRDefault="00F8669F" w:rsidP="005F2E79">
            <w:pPr>
              <w:rPr>
                <w:rFonts w:cs="Arial"/>
                <w:sz w:val="20"/>
                <w:szCs w:val="20"/>
              </w:rPr>
            </w:pPr>
            <w:r>
              <w:rPr>
                <w:rFonts w:cs="Arial"/>
                <w:sz w:val="20"/>
                <w:szCs w:val="20"/>
              </w:rPr>
              <w:t xml:space="preserve">An application process exists for industry who wish to seek to </w:t>
            </w:r>
            <w:r w:rsidR="00B078FC">
              <w:rPr>
                <w:rFonts w:cs="Arial"/>
                <w:sz w:val="20"/>
                <w:szCs w:val="20"/>
              </w:rPr>
              <w:t>amend the Code to allow</w:t>
            </w:r>
            <w:r>
              <w:rPr>
                <w:rFonts w:cs="Arial"/>
                <w:sz w:val="20"/>
                <w:szCs w:val="20"/>
              </w:rPr>
              <w:t xml:space="preserve"> </w:t>
            </w:r>
            <w:r w:rsidR="00B078FC">
              <w:rPr>
                <w:rFonts w:cs="Arial"/>
                <w:sz w:val="20"/>
                <w:szCs w:val="20"/>
              </w:rPr>
              <w:t xml:space="preserve">such </w:t>
            </w:r>
            <w:r>
              <w:rPr>
                <w:rFonts w:cs="Arial"/>
                <w:sz w:val="20"/>
                <w:szCs w:val="20"/>
              </w:rPr>
              <w:t>combinations</w:t>
            </w:r>
            <w:r w:rsidR="00DE2552">
              <w:rPr>
                <w:rFonts w:cs="Arial"/>
                <w:sz w:val="20"/>
                <w:szCs w:val="20"/>
              </w:rPr>
              <w:t>,</w:t>
            </w:r>
            <w:r>
              <w:rPr>
                <w:rFonts w:cs="Arial"/>
                <w:sz w:val="20"/>
                <w:szCs w:val="20"/>
              </w:rPr>
              <w:t xml:space="preserve"> with appropriate supporting evidence.   </w:t>
            </w:r>
          </w:p>
        </w:tc>
      </w:tr>
      <w:tr w:rsidR="004D7999" w:rsidRPr="00426B41" w14:paraId="0C824A2C" w14:textId="77777777" w:rsidTr="004D7999">
        <w:tc>
          <w:tcPr>
            <w:tcW w:w="1736" w:type="pct"/>
          </w:tcPr>
          <w:p w14:paraId="17DF9085" w14:textId="69F3EE0F" w:rsidR="004D7999" w:rsidRPr="00426B41" w:rsidRDefault="004D7999" w:rsidP="0010334F">
            <w:pPr>
              <w:rPr>
                <w:rFonts w:cs="Arial"/>
                <w:sz w:val="20"/>
                <w:szCs w:val="20"/>
              </w:rPr>
            </w:pPr>
            <w:r w:rsidRPr="00426B41">
              <w:rPr>
                <w:rFonts w:cs="Arial"/>
                <w:sz w:val="20"/>
                <w:szCs w:val="20"/>
              </w:rPr>
              <w:t xml:space="preserve">Supports </w:t>
            </w:r>
            <w:r w:rsidR="0010334F">
              <w:rPr>
                <w:rFonts w:cs="Arial"/>
                <w:sz w:val="20"/>
                <w:szCs w:val="20"/>
              </w:rPr>
              <w:t>this prohibition</w:t>
            </w:r>
            <w:r w:rsidRPr="00426B41">
              <w:rPr>
                <w:rFonts w:cs="Arial"/>
                <w:sz w:val="20"/>
                <w:szCs w:val="20"/>
              </w:rPr>
              <w:t xml:space="preserve"> within</w:t>
            </w:r>
            <w:r w:rsidR="0010334F">
              <w:rPr>
                <w:rFonts w:cs="Arial"/>
                <w:sz w:val="20"/>
                <w:szCs w:val="20"/>
              </w:rPr>
              <w:t xml:space="preserve"> the scope of this application, but is</w:t>
            </w:r>
            <w:r>
              <w:rPr>
                <w:rFonts w:cs="Arial"/>
                <w:sz w:val="20"/>
                <w:szCs w:val="20"/>
              </w:rPr>
              <w:t xml:space="preserve"> n</w:t>
            </w:r>
            <w:r w:rsidR="0010334F">
              <w:rPr>
                <w:rFonts w:cs="Arial"/>
                <w:sz w:val="20"/>
                <w:szCs w:val="20"/>
              </w:rPr>
              <w:t>ot opposed to future permitted combined use</w:t>
            </w:r>
            <w:r>
              <w:rPr>
                <w:rFonts w:cs="Arial"/>
                <w:sz w:val="20"/>
                <w:szCs w:val="20"/>
              </w:rPr>
              <w:t xml:space="preserve"> with appropriate scientific evidence.</w:t>
            </w:r>
          </w:p>
        </w:tc>
        <w:tc>
          <w:tcPr>
            <w:tcW w:w="844" w:type="pct"/>
          </w:tcPr>
          <w:p w14:paraId="76B7FCBB" w14:textId="77777777" w:rsidR="004D7999" w:rsidRPr="00084B50" w:rsidRDefault="004D7999" w:rsidP="005F2E79">
            <w:pPr>
              <w:rPr>
                <w:rFonts w:cs="Arial"/>
                <w:sz w:val="20"/>
                <w:szCs w:val="20"/>
              </w:rPr>
            </w:pPr>
            <w:r w:rsidRPr="00084B50">
              <w:rPr>
                <w:rFonts w:cs="Arial"/>
                <w:sz w:val="20"/>
                <w:szCs w:val="20"/>
              </w:rPr>
              <w:t>Nestle</w:t>
            </w:r>
          </w:p>
        </w:tc>
        <w:tc>
          <w:tcPr>
            <w:tcW w:w="2420" w:type="pct"/>
          </w:tcPr>
          <w:p w14:paraId="1B61A84D" w14:textId="77777777" w:rsidR="004D7999" w:rsidRPr="00426B41" w:rsidRDefault="004D7999" w:rsidP="005F2E79">
            <w:pPr>
              <w:rPr>
                <w:rFonts w:cs="Arial"/>
                <w:sz w:val="20"/>
                <w:szCs w:val="20"/>
              </w:rPr>
            </w:pPr>
            <w:r>
              <w:rPr>
                <w:rFonts w:cs="Arial"/>
                <w:sz w:val="20"/>
                <w:szCs w:val="20"/>
              </w:rPr>
              <w:t>Noted</w:t>
            </w:r>
            <w:r w:rsidRPr="00426B41">
              <w:rPr>
                <w:rFonts w:cs="Arial"/>
                <w:sz w:val="20"/>
                <w:szCs w:val="20"/>
              </w:rPr>
              <w:t xml:space="preserve">. </w:t>
            </w:r>
          </w:p>
        </w:tc>
      </w:tr>
    </w:tbl>
    <w:p w14:paraId="69E8C9AB" w14:textId="77777777" w:rsidR="004D7999" w:rsidRDefault="004D7999" w:rsidP="00934E2E">
      <w:pPr>
        <w:rPr>
          <w:color w:val="00B050"/>
        </w:rPr>
        <w:sectPr w:rsidR="004D7999" w:rsidSect="00072A22">
          <w:pgSz w:w="16838" w:h="11906" w:orient="landscape"/>
          <w:pgMar w:top="1418" w:right="1418" w:bottom="1276" w:left="1134" w:header="709" w:footer="709" w:gutter="0"/>
          <w:pgNumType w:start="9"/>
          <w:cols w:space="708"/>
          <w:docGrid w:linePitch="360"/>
        </w:sectPr>
      </w:pPr>
    </w:p>
    <w:p w14:paraId="14E36579" w14:textId="2357B1E6" w:rsidR="004F69F6" w:rsidRPr="00932F14" w:rsidRDefault="00D3171B" w:rsidP="004646F8">
      <w:pPr>
        <w:pStyle w:val="Heading2"/>
      </w:pPr>
      <w:bookmarkStart w:id="79" w:name="_Toc11247901"/>
      <w:bookmarkStart w:id="80" w:name="_Toc14427194"/>
      <w:r>
        <w:t>2</w:t>
      </w:r>
      <w:r w:rsidR="00271F00">
        <w:t>.</w:t>
      </w:r>
      <w:r w:rsidR="00934E2E">
        <w:t>2</w:t>
      </w:r>
      <w:r w:rsidR="00271F00">
        <w:tab/>
      </w:r>
      <w:r w:rsidR="00D208F7">
        <w:t>Safety, technical and health effects</w:t>
      </w:r>
      <w:r w:rsidR="00D208F7" w:rsidRPr="00932F14">
        <w:t xml:space="preserve"> </w:t>
      </w:r>
      <w:r w:rsidR="00741EFE">
        <w:t>a</w:t>
      </w:r>
      <w:r w:rsidR="004F69F6" w:rsidRPr="00932F14">
        <w:t>ssessment</w:t>
      </w:r>
      <w:bookmarkEnd w:id="70"/>
      <w:bookmarkEnd w:id="71"/>
      <w:bookmarkEnd w:id="77"/>
      <w:bookmarkEnd w:id="78"/>
      <w:bookmarkEnd w:id="79"/>
      <w:bookmarkEnd w:id="80"/>
      <w:r w:rsidR="004F69F6" w:rsidRPr="00932F14">
        <w:t xml:space="preserve"> </w:t>
      </w:r>
      <w:bookmarkEnd w:id="72"/>
      <w:bookmarkEnd w:id="73"/>
    </w:p>
    <w:p w14:paraId="25ABFBC2" w14:textId="66886B39" w:rsidR="007D7CBF" w:rsidRDefault="00F6476B" w:rsidP="00F6476B">
      <w:bookmarkStart w:id="81" w:name="_Toc175381442"/>
      <w:bookmarkStart w:id="82" w:name="_Toc286391010"/>
      <w:bookmarkStart w:id="83" w:name="_Toc300933426"/>
      <w:bookmarkStart w:id="84" w:name="_Toc525729989"/>
      <w:r w:rsidRPr="00AE4CFF">
        <w:t xml:space="preserve">The </w:t>
      </w:r>
      <w:r>
        <w:t>safety,</w:t>
      </w:r>
      <w:r w:rsidRPr="00AE4CFF">
        <w:t xml:space="preserve"> technical </w:t>
      </w:r>
      <w:r>
        <w:t xml:space="preserve">and health effects </w:t>
      </w:r>
      <w:r w:rsidRPr="00AE4CFF">
        <w:t xml:space="preserve">assessment </w:t>
      </w:r>
      <w:r w:rsidR="00536C88">
        <w:t xml:space="preserve">(see SD1) </w:t>
      </w:r>
      <w:r w:rsidR="007D7CBF">
        <w:t>comprised</w:t>
      </w:r>
      <w:r w:rsidRPr="00AE4CFF">
        <w:t xml:space="preserve">: </w:t>
      </w:r>
    </w:p>
    <w:p w14:paraId="2864002D" w14:textId="77777777" w:rsidR="007D7CBF" w:rsidRDefault="007D7CBF" w:rsidP="00F6476B"/>
    <w:p w14:paraId="7C69149E" w14:textId="709C0DAB" w:rsidR="007D7CBF" w:rsidRDefault="00F6476B" w:rsidP="008B2C1E">
      <w:pPr>
        <w:ind w:left="426" w:hanging="426"/>
      </w:pPr>
      <w:r w:rsidRPr="00AE4CFF">
        <w:t xml:space="preserve">(i) </w:t>
      </w:r>
      <w:r w:rsidR="008B2C1E">
        <w:tab/>
      </w:r>
      <w:r w:rsidRPr="00AE4CFF">
        <w:t xml:space="preserve">a food technology assessment </w:t>
      </w:r>
      <w:r>
        <w:t>of 2</w:t>
      </w:r>
      <w:r w:rsidR="000A17BB">
        <w:t>′</w:t>
      </w:r>
      <w:r>
        <w:t>-FL and LNnT</w:t>
      </w:r>
    </w:p>
    <w:p w14:paraId="643D9230" w14:textId="085C0E5C" w:rsidR="008B2C1E" w:rsidRDefault="00F6476B" w:rsidP="008B2C1E">
      <w:pPr>
        <w:ind w:left="426" w:hanging="426"/>
      </w:pPr>
      <w:r w:rsidRPr="00AE4CFF">
        <w:t xml:space="preserve">(ii) </w:t>
      </w:r>
      <w:r w:rsidR="008B2C1E">
        <w:tab/>
      </w:r>
      <w:r w:rsidRPr="00AE4CFF">
        <w:t xml:space="preserve">a </w:t>
      </w:r>
      <w:r>
        <w:t>safety</w:t>
      </w:r>
      <w:r w:rsidRPr="00AE4CFF">
        <w:t xml:space="preserve"> assessment to identify potential adverse effects associated with </w:t>
      </w:r>
      <w:r>
        <w:t>2</w:t>
      </w:r>
      <w:r w:rsidR="000A17BB">
        <w:t>′</w:t>
      </w:r>
      <w:r>
        <w:t>-FL and LNnT</w:t>
      </w:r>
    </w:p>
    <w:p w14:paraId="1100D1F3" w14:textId="4EA885BF" w:rsidR="007D7CBF" w:rsidRDefault="00F6476B" w:rsidP="008B2C1E">
      <w:pPr>
        <w:ind w:left="426" w:hanging="426"/>
      </w:pPr>
      <w:r w:rsidRPr="00AE4CFF">
        <w:t xml:space="preserve">(iii) </w:t>
      </w:r>
      <w:r w:rsidR="008B2C1E">
        <w:tab/>
      </w:r>
      <w:r w:rsidRPr="00AE4CFF">
        <w:t xml:space="preserve">a dietary intake assessment to estimate the total dietary intake of </w:t>
      </w:r>
      <w:r>
        <w:t>2</w:t>
      </w:r>
      <w:r w:rsidR="000A17BB">
        <w:t>′</w:t>
      </w:r>
      <w:r>
        <w:t xml:space="preserve">-FL and LNnT </w:t>
      </w:r>
      <w:r w:rsidR="00201E5C">
        <w:t>for</w:t>
      </w:r>
      <w:r>
        <w:t xml:space="preserve"> breastfed infants </w:t>
      </w:r>
      <w:r w:rsidRPr="00AE4CFF">
        <w:t xml:space="preserve">and </w:t>
      </w:r>
      <w:r w:rsidR="009B37CA">
        <w:t xml:space="preserve">the </w:t>
      </w:r>
      <w:r w:rsidRPr="00AE4CFF">
        <w:t xml:space="preserve">intake resulting from the addition of </w:t>
      </w:r>
      <w:r>
        <w:t>2</w:t>
      </w:r>
      <w:r w:rsidR="000A17BB">
        <w:t>′</w:t>
      </w:r>
      <w:r>
        <w:t>-FL and LNnT to infant formula products and FSFYC</w:t>
      </w:r>
      <w:r w:rsidRPr="00AE4CFF">
        <w:t xml:space="preserve"> </w:t>
      </w:r>
    </w:p>
    <w:p w14:paraId="1F50E3FE" w14:textId="2815EA6D" w:rsidR="00F6476B" w:rsidRDefault="00F6476B" w:rsidP="008B2C1E">
      <w:pPr>
        <w:ind w:left="426" w:hanging="426"/>
      </w:pPr>
      <w:r w:rsidRPr="00AE4CFF">
        <w:t xml:space="preserve">(iv) </w:t>
      </w:r>
      <w:r w:rsidR="008B2C1E">
        <w:tab/>
      </w:r>
      <w:r>
        <w:t>an assessment of the h</w:t>
      </w:r>
      <w:r w:rsidR="008007D3">
        <w:t xml:space="preserve">ealth effects </w:t>
      </w:r>
      <w:r w:rsidR="00D22F3E">
        <w:t xml:space="preserve">stated </w:t>
      </w:r>
      <w:r w:rsidR="008007D3">
        <w:t>by the a</w:t>
      </w:r>
      <w:r>
        <w:t>pplicant</w:t>
      </w:r>
      <w:r w:rsidRPr="00AE4CFF">
        <w:t>.</w:t>
      </w:r>
    </w:p>
    <w:p w14:paraId="763CAB07" w14:textId="4C079175" w:rsidR="00D22F3E" w:rsidRDefault="00D22F3E" w:rsidP="008B2C1E">
      <w:pPr>
        <w:ind w:left="426" w:hanging="426"/>
      </w:pPr>
    </w:p>
    <w:p w14:paraId="59640B72" w14:textId="3F6847D6" w:rsidR="00D22F3E" w:rsidRPr="00893334" w:rsidRDefault="00D22F3E" w:rsidP="00D22F3E">
      <w:r w:rsidRPr="00893334">
        <w:t xml:space="preserve">Regarding point (iv) above, FSANZ’s assessment of the favourable health effects stated in the application was for the purpose of </w:t>
      </w:r>
      <w:r w:rsidR="003D7A28" w:rsidRPr="00893334">
        <w:t xml:space="preserve">the requested </w:t>
      </w:r>
      <w:r w:rsidRPr="00893334">
        <w:t xml:space="preserve">compositional permission. </w:t>
      </w:r>
      <w:r w:rsidR="003D7A28" w:rsidRPr="00893334">
        <w:t>The term ‘health effect</w:t>
      </w:r>
      <w:r w:rsidR="00851905" w:rsidRPr="00893334">
        <w:t>(</w:t>
      </w:r>
      <w:r w:rsidR="003D7A28" w:rsidRPr="00893334">
        <w:t>s</w:t>
      </w:r>
      <w:r w:rsidR="00851905" w:rsidRPr="00893334">
        <w:t>)</w:t>
      </w:r>
      <w:r w:rsidRPr="00893334">
        <w:t xml:space="preserve">’ </w:t>
      </w:r>
      <w:r w:rsidR="00666517" w:rsidRPr="00893334">
        <w:t>used throughout this report is</w:t>
      </w:r>
      <w:r w:rsidR="003D7A28" w:rsidRPr="00893334">
        <w:t xml:space="preserve"> therefore</w:t>
      </w:r>
      <w:r w:rsidR="00666517" w:rsidRPr="00893334">
        <w:t xml:space="preserve"> in </w:t>
      </w:r>
      <w:r w:rsidRPr="00893334">
        <w:t xml:space="preserve">the context of our assessment for </w:t>
      </w:r>
      <w:r w:rsidR="003D7A28" w:rsidRPr="00893334">
        <w:t>compositional permission</w:t>
      </w:r>
      <w:r w:rsidRPr="00893334">
        <w:t xml:space="preserve">, and not for the purpose of </w:t>
      </w:r>
      <w:r w:rsidR="00CE2682" w:rsidRPr="00893334">
        <w:t>establishing a relationship between a food or property of food and</w:t>
      </w:r>
      <w:r w:rsidRPr="00893334">
        <w:t xml:space="preserve"> </w:t>
      </w:r>
      <w:r w:rsidR="00DC75B7" w:rsidRPr="00893334">
        <w:t xml:space="preserve">a </w:t>
      </w:r>
      <w:r w:rsidR="00DC75B7" w:rsidRPr="00893334">
        <w:rPr>
          <w:i/>
        </w:rPr>
        <w:t>health effect</w:t>
      </w:r>
      <w:r w:rsidR="00DC75B7" w:rsidRPr="00893334">
        <w:t xml:space="preserve"> in relation to making a health claim (as used in Standard 1.2.7 of the Code).</w:t>
      </w:r>
    </w:p>
    <w:p w14:paraId="2C7F53DF" w14:textId="7D4243D0" w:rsidR="00FE0331" w:rsidRPr="00893334" w:rsidRDefault="00FE0331" w:rsidP="008B2C1E">
      <w:pPr>
        <w:ind w:left="426" w:hanging="426"/>
      </w:pPr>
    </w:p>
    <w:p w14:paraId="72307DBE" w14:textId="0464E927" w:rsidR="00FE0331" w:rsidRDefault="00FE0331" w:rsidP="00FE0331">
      <w:r w:rsidRPr="00893334">
        <w:t>Subsequent to public</w:t>
      </w:r>
      <w:r w:rsidR="00BF742F" w:rsidRPr="00893334">
        <w:t xml:space="preserve"> release</w:t>
      </w:r>
      <w:r w:rsidRPr="00893334">
        <w:t xml:space="preserve"> of the 1</w:t>
      </w:r>
      <w:r w:rsidRPr="00893334">
        <w:rPr>
          <w:vertAlign w:val="superscript"/>
        </w:rPr>
        <w:t>st</w:t>
      </w:r>
      <w:r w:rsidRPr="00893334">
        <w:t xml:space="preserve"> CFS, the applicant provided an unpublished report on interim results of a clinical study of </w:t>
      </w:r>
      <w:r w:rsidR="00B51870" w:rsidRPr="00893334">
        <w:t>2′</w:t>
      </w:r>
      <w:r w:rsidRPr="00893334">
        <w:t xml:space="preserve">-FL and LNnT in 5-12 year old </w:t>
      </w:r>
      <w:r w:rsidR="00D540BB" w:rsidRPr="00893334">
        <w:t xml:space="preserve">obese </w:t>
      </w:r>
      <w:r w:rsidR="009E7F32" w:rsidRPr="00893334">
        <w:t>children. SD1 has</w:t>
      </w:r>
      <w:r w:rsidRPr="00893334">
        <w:t xml:space="preserve"> b</w:t>
      </w:r>
      <w:r w:rsidR="009520AD" w:rsidRPr="00893334">
        <w:t>een amended to in</w:t>
      </w:r>
      <w:r w:rsidR="002556A4" w:rsidRPr="00893334">
        <w:t>corporate assessment of this</w:t>
      </w:r>
      <w:r w:rsidR="009520AD" w:rsidRPr="00893334">
        <w:t xml:space="preserve"> report in both our safety and health effects assessments (see sections 3.2.6 and 4.2.3</w:t>
      </w:r>
      <w:r w:rsidRPr="00893334">
        <w:t xml:space="preserve"> </w:t>
      </w:r>
      <w:r w:rsidRPr="00893334">
        <w:rPr>
          <w:i/>
        </w:rPr>
        <w:t xml:space="preserve">Human </w:t>
      </w:r>
      <w:r w:rsidR="00F45AD0" w:rsidRPr="00893334">
        <w:rPr>
          <w:i/>
        </w:rPr>
        <w:t>studies</w:t>
      </w:r>
      <w:r w:rsidRPr="00893334">
        <w:rPr>
          <w:i/>
        </w:rPr>
        <w:t xml:space="preserve"> with </w:t>
      </w:r>
      <w:r w:rsidR="00B51870" w:rsidRPr="00893334">
        <w:rPr>
          <w:i/>
        </w:rPr>
        <w:t>2′</w:t>
      </w:r>
      <w:r w:rsidRPr="00893334">
        <w:rPr>
          <w:i/>
        </w:rPr>
        <w:t>-FL and/or LNnT</w:t>
      </w:r>
      <w:r w:rsidR="009520AD" w:rsidRPr="00893334">
        <w:t xml:space="preserve"> in SD1).</w:t>
      </w:r>
      <w:r w:rsidRPr="00893334">
        <w:t xml:space="preserve"> </w:t>
      </w:r>
      <w:r w:rsidR="00097503" w:rsidRPr="00893334">
        <w:t>These</w:t>
      </w:r>
      <w:r w:rsidR="007D2346" w:rsidRPr="00893334">
        <w:t xml:space="preserve"> </w:t>
      </w:r>
      <w:r w:rsidR="00003FA9" w:rsidRPr="00893334">
        <w:t xml:space="preserve">new </w:t>
      </w:r>
      <w:r w:rsidR="00785F38" w:rsidRPr="00893334">
        <w:t xml:space="preserve">data, contained in the </w:t>
      </w:r>
      <w:r w:rsidR="00003FA9" w:rsidRPr="00893334">
        <w:t>interim report</w:t>
      </w:r>
      <w:r w:rsidR="00785F38" w:rsidRPr="00893334">
        <w:t>,</w:t>
      </w:r>
      <w:r w:rsidR="00356274" w:rsidRPr="00893334">
        <w:t xml:space="preserve"> </w:t>
      </w:r>
      <w:r w:rsidR="002556A4" w:rsidRPr="00893334">
        <w:t xml:space="preserve">do not </w:t>
      </w:r>
      <w:r w:rsidR="00356274" w:rsidRPr="00893334">
        <w:t>amend</w:t>
      </w:r>
      <w:r w:rsidR="007D2346" w:rsidRPr="00893334">
        <w:t xml:space="preserve"> FSANZ’s </w:t>
      </w:r>
      <w:r w:rsidR="004A4694" w:rsidRPr="00893334">
        <w:t xml:space="preserve">overall </w:t>
      </w:r>
      <w:r w:rsidR="002556A4" w:rsidRPr="00893334">
        <w:t xml:space="preserve">safety and health effects </w:t>
      </w:r>
      <w:r w:rsidR="007D2346" w:rsidRPr="00893334">
        <w:t>conclusions</w:t>
      </w:r>
      <w:r w:rsidR="002556A4" w:rsidRPr="00893334">
        <w:t xml:space="preserve"> discussed in the following sections</w:t>
      </w:r>
      <w:r w:rsidR="007D2346" w:rsidRPr="00893334">
        <w:t>.</w:t>
      </w:r>
    </w:p>
    <w:p w14:paraId="536DE4AE" w14:textId="07EEF254" w:rsidR="007634C6" w:rsidRPr="00BB1DE2" w:rsidRDefault="00861572" w:rsidP="00BB1DE2">
      <w:pPr>
        <w:pStyle w:val="Heading3"/>
      </w:pPr>
      <w:bookmarkStart w:id="85" w:name="_Toc11247902"/>
      <w:bookmarkStart w:id="86" w:name="_Toc14427195"/>
      <w:r w:rsidRPr="00BB1DE2">
        <w:t>2.</w:t>
      </w:r>
      <w:r w:rsidR="00934E2E">
        <w:t>2</w:t>
      </w:r>
      <w:r w:rsidRPr="00BB1DE2">
        <w:t>.1</w:t>
      </w:r>
      <w:r w:rsidR="00C17415" w:rsidRPr="00BB1DE2">
        <w:tab/>
      </w:r>
      <w:r w:rsidR="007634C6" w:rsidRPr="00BB1DE2">
        <w:t>Safety and technical assessment</w:t>
      </w:r>
      <w:bookmarkEnd w:id="85"/>
      <w:bookmarkEnd w:id="86"/>
    </w:p>
    <w:p w14:paraId="14C12C28" w14:textId="0832AC17" w:rsidR="00F20A0C" w:rsidRDefault="00F20A0C" w:rsidP="00F20A0C">
      <w:r>
        <w:t>The food technology assessment concluded that the applicant’s</w:t>
      </w:r>
      <w:r w:rsidRPr="008D3229">
        <w:t xml:space="preserve"> </w:t>
      </w:r>
      <w:r w:rsidR="00B51870">
        <w:t>2′</w:t>
      </w:r>
      <w:r w:rsidRPr="008D3229">
        <w:t xml:space="preserve">-FL and LNnT are chemically and structurally identical to the naturally occurring </w:t>
      </w:r>
      <w:r>
        <w:t>oligosaccharides</w:t>
      </w:r>
      <w:r w:rsidRPr="008D3229">
        <w:t xml:space="preserve"> in human milk and to chemically synthesised </w:t>
      </w:r>
      <w:r>
        <w:t>oligosaccharides, using</w:t>
      </w:r>
      <w:r w:rsidRPr="008D3229">
        <w:t xml:space="preserve"> </w:t>
      </w:r>
      <w:r>
        <w:t>appropriate</w:t>
      </w:r>
      <w:r w:rsidRPr="008D3229">
        <w:t xml:space="preserve"> methods of analysis</w:t>
      </w:r>
      <w:r>
        <w:t>. The shelf-life and specifications are appropriate for addition to infant formula products and FSFYC</w:t>
      </w:r>
      <w:r w:rsidRPr="008D3229">
        <w:t>.</w:t>
      </w:r>
    </w:p>
    <w:p w14:paraId="63B8C291" w14:textId="77777777" w:rsidR="00F6476B" w:rsidRDefault="00F6476B" w:rsidP="00F6476B"/>
    <w:p w14:paraId="28ED1CFC" w14:textId="77777777" w:rsidR="00F34780" w:rsidRDefault="00F6476B" w:rsidP="009B37CA">
      <w:r>
        <w:t xml:space="preserve">The GM safety assessment concluded that no public health and safety concerns </w:t>
      </w:r>
      <w:r w:rsidR="003A154D">
        <w:t>are</w:t>
      </w:r>
      <w:r>
        <w:t xml:space="preserve"> identified for 2</w:t>
      </w:r>
      <w:r w:rsidR="000A17BB">
        <w:t>′</w:t>
      </w:r>
      <w:r>
        <w:t xml:space="preserve">-FL and LNnT derived from genetically modified </w:t>
      </w:r>
      <w:r w:rsidRPr="00A012C2">
        <w:rPr>
          <w:i/>
        </w:rPr>
        <w:t>E. coli</w:t>
      </w:r>
      <w:r>
        <w:t xml:space="preserve"> K-12, production strains </w:t>
      </w:r>
      <w:r w:rsidRPr="00F74F4E">
        <w:t>SCR6</w:t>
      </w:r>
      <w:r>
        <w:t xml:space="preserve"> and MP572, respectively.</w:t>
      </w:r>
    </w:p>
    <w:p w14:paraId="76715D8D" w14:textId="77777777" w:rsidR="00F34780" w:rsidRDefault="00F34780" w:rsidP="009B37CA"/>
    <w:p w14:paraId="000AA3D6" w14:textId="659F5876" w:rsidR="00F05027" w:rsidRDefault="00EC437D" w:rsidP="009B37CA">
      <w:r>
        <w:rPr>
          <w:color w:val="000000" w:themeColor="text1"/>
        </w:rPr>
        <w:t>A few</w:t>
      </w:r>
      <w:r w:rsidR="00F34780" w:rsidRPr="000B47CE">
        <w:rPr>
          <w:color w:val="000000" w:themeColor="text1"/>
        </w:rPr>
        <w:t xml:space="preserve"> changes </w:t>
      </w:r>
      <w:r w:rsidR="00F34780">
        <w:rPr>
          <w:color w:val="000000" w:themeColor="text1"/>
        </w:rPr>
        <w:t>were made to the</w:t>
      </w:r>
      <w:r w:rsidR="00F34780" w:rsidRPr="000B47CE">
        <w:rPr>
          <w:color w:val="000000" w:themeColor="text1"/>
        </w:rPr>
        <w:t xml:space="preserve"> SD1 released with the </w:t>
      </w:r>
      <w:r w:rsidR="00D50F1D">
        <w:rPr>
          <w:color w:val="000000" w:themeColor="text1"/>
        </w:rPr>
        <w:t>1</w:t>
      </w:r>
      <w:r w:rsidR="00D50F1D" w:rsidRPr="00FC1CC5">
        <w:rPr>
          <w:color w:val="000000" w:themeColor="text1"/>
          <w:vertAlign w:val="superscript"/>
        </w:rPr>
        <w:t>st</w:t>
      </w:r>
      <w:r w:rsidR="00D50F1D">
        <w:rPr>
          <w:color w:val="000000" w:themeColor="text1"/>
        </w:rPr>
        <w:t xml:space="preserve"> CFS</w:t>
      </w:r>
      <w:r w:rsidR="00F34780">
        <w:rPr>
          <w:color w:val="000000" w:themeColor="text1"/>
        </w:rPr>
        <w:t xml:space="preserve">. In section </w:t>
      </w:r>
      <w:r w:rsidR="00F34780" w:rsidRPr="00FE33F7">
        <w:rPr>
          <w:i/>
          <w:color w:val="000000" w:themeColor="text1"/>
        </w:rPr>
        <w:t>3.1.1 History of use</w:t>
      </w:r>
      <w:r w:rsidR="00F34780">
        <w:rPr>
          <w:i/>
          <w:color w:val="000000" w:themeColor="text1"/>
        </w:rPr>
        <w:t>: Gene donor organisms,</w:t>
      </w:r>
      <w:r w:rsidR="00F34780" w:rsidRPr="00F34780">
        <w:rPr>
          <w:color w:val="000000" w:themeColor="text1"/>
        </w:rPr>
        <w:t xml:space="preserve"> changes were made to</w:t>
      </w:r>
      <w:r w:rsidR="00F34780">
        <w:rPr>
          <w:color w:val="000000" w:themeColor="text1"/>
        </w:rPr>
        <w:t xml:space="preserve"> reflect the re</w:t>
      </w:r>
      <w:r>
        <w:rPr>
          <w:color w:val="000000" w:themeColor="text1"/>
        </w:rPr>
        <w:t>-</w:t>
      </w:r>
      <w:r w:rsidR="00F34780">
        <w:rPr>
          <w:color w:val="000000" w:themeColor="text1"/>
        </w:rPr>
        <w:t xml:space="preserve">evaluation of </w:t>
      </w:r>
      <w:r w:rsidR="00F65235">
        <w:rPr>
          <w:color w:val="000000" w:themeColor="text1"/>
        </w:rPr>
        <w:t xml:space="preserve">confidential commercial information </w:t>
      </w:r>
      <w:r w:rsidR="00F34780">
        <w:rPr>
          <w:color w:val="000000" w:themeColor="text1"/>
        </w:rPr>
        <w:t xml:space="preserve">by FSANZ, acknowledging information that is in the public </w:t>
      </w:r>
      <w:r w:rsidR="00F45AD0">
        <w:rPr>
          <w:color w:val="000000" w:themeColor="text1"/>
        </w:rPr>
        <w:t>domain.</w:t>
      </w:r>
      <w:r w:rsidR="00F45AD0">
        <w:t xml:space="preserve"> Two</w:t>
      </w:r>
      <w:r w:rsidR="00F34780">
        <w:t xml:space="preserve"> minor changes were also made to the enzyme names used in the LNnT production strain to be more consistent</w:t>
      </w:r>
      <w:r w:rsidR="00FE33F7">
        <w:t xml:space="preserve"> with how these enzymes are referenced in the literature.</w:t>
      </w:r>
    </w:p>
    <w:p w14:paraId="5854DB7B" w14:textId="77777777" w:rsidR="009B37CA" w:rsidRDefault="009B37CA" w:rsidP="009B37CA"/>
    <w:p w14:paraId="57E9BE3A" w14:textId="73111596" w:rsidR="008A3529" w:rsidRDefault="008A3529" w:rsidP="00F20A0C">
      <w:pPr>
        <w:widowControl/>
      </w:pPr>
      <w:r>
        <w:rPr>
          <w:lang w:val="en-AU"/>
        </w:rPr>
        <w:t xml:space="preserve">Based on an assessment of the available toxicological and clinical evidence for </w:t>
      </w:r>
      <w:r w:rsidR="00B51870">
        <w:rPr>
          <w:lang w:val="en-AU"/>
        </w:rPr>
        <w:t>2′</w:t>
      </w:r>
      <w:r>
        <w:rPr>
          <w:lang w:val="en-AU"/>
        </w:rPr>
        <w:t xml:space="preserve">-FL and LNnT, it was concluded that there were no public health and safety concerns associated with </w:t>
      </w:r>
      <w:r>
        <w:rPr>
          <w:rFonts w:cs="Arial"/>
        </w:rPr>
        <w:t xml:space="preserve">the addition of </w:t>
      </w:r>
      <w:r w:rsidR="00B51870">
        <w:rPr>
          <w:rFonts w:cs="Arial"/>
        </w:rPr>
        <w:t>2′</w:t>
      </w:r>
      <w:r>
        <w:rPr>
          <w:rFonts w:cs="Arial"/>
        </w:rPr>
        <w:t xml:space="preserve">-FL, alone or in combination with LNnT, to infant formula products and </w:t>
      </w:r>
      <w:r w:rsidR="00F20A0C">
        <w:rPr>
          <w:rFonts w:cs="Arial"/>
        </w:rPr>
        <w:t>FSFYC</w:t>
      </w:r>
      <w:r>
        <w:rPr>
          <w:rFonts w:cs="Arial"/>
        </w:rPr>
        <w:t xml:space="preserve">, </w:t>
      </w:r>
      <w:r>
        <w:rPr>
          <w:lang w:val="en-AU"/>
        </w:rPr>
        <w:t>at the levels</w:t>
      </w:r>
      <w:r w:rsidRPr="00332CC6">
        <w:rPr>
          <w:lang w:val="en-AU"/>
        </w:rPr>
        <w:t xml:space="preserve"> requested by the </w:t>
      </w:r>
      <w:r>
        <w:rPr>
          <w:lang w:val="en-AU"/>
        </w:rPr>
        <w:t>a</w:t>
      </w:r>
      <w:r w:rsidRPr="00332CC6">
        <w:rPr>
          <w:lang w:val="en-AU"/>
        </w:rPr>
        <w:t>pplicant</w:t>
      </w:r>
      <w:r>
        <w:rPr>
          <w:lang w:val="en-AU"/>
        </w:rPr>
        <w:t xml:space="preserve"> and</w:t>
      </w:r>
      <w:r w:rsidRPr="00332CC6">
        <w:rPr>
          <w:lang w:val="en-AU"/>
        </w:rPr>
        <w:t xml:space="preserve"> </w:t>
      </w:r>
      <w:r>
        <w:rPr>
          <w:lang w:val="en-AU"/>
        </w:rPr>
        <w:t xml:space="preserve">at the estimated levels of dietary intake based on 2.4 g/L of </w:t>
      </w:r>
      <w:r w:rsidR="00B51870">
        <w:rPr>
          <w:lang w:val="en-AU"/>
        </w:rPr>
        <w:t>2′</w:t>
      </w:r>
      <w:r>
        <w:rPr>
          <w:lang w:val="en-AU"/>
        </w:rPr>
        <w:t>-FL and 0.6 g/L of LNnT.</w:t>
      </w:r>
      <w:r>
        <w:rPr>
          <w:rFonts w:cs="Arial"/>
        </w:rPr>
        <w:t xml:space="preserve"> </w:t>
      </w:r>
      <w:r>
        <w:t>Since the</w:t>
      </w:r>
      <w:r w:rsidRPr="00B47E45" w:rsidDel="0022560A">
        <w:t xml:space="preserve"> </w:t>
      </w:r>
      <w:r>
        <w:t>applicant’</w:t>
      </w:r>
      <w:r w:rsidRPr="00B47E45">
        <w:t xml:space="preserve">s </w:t>
      </w:r>
      <w:r w:rsidR="00B51870">
        <w:t>2′</w:t>
      </w:r>
      <w:r w:rsidRPr="00B47E45">
        <w:t xml:space="preserve">-FL and LNnT are structurally and chemically identical to the forms of these substances present in </w:t>
      </w:r>
      <w:r>
        <w:t>human</w:t>
      </w:r>
      <w:r w:rsidRPr="00B47E45">
        <w:t xml:space="preserve"> milk</w:t>
      </w:r>
      <w:r>
        <w:t>,</w:t>
      </w:r>
      <w:r w:rsidRPr="00B47E45">
        <w:t xml:space="preserve"> </w:t>
      </w:r>
      <w:r>
        <w:t>no</w:t>
      </w:r>
      <w:r w:rsidRPr="00B47E45">
        <w:t xml:space="preserve"> differences in pharmacokinetics between naturally occurring and </w:t>
      </w:r>
      <w:r>
        <w:t>manufactured</w:t>
      </w:r>
      <w:r w:rsidRPr="00B47E45">
        <w:t xml:space="preserve"> forms of </w:t>
      </w:r>
      <w:r w:rsidR="00B51870">
        <w:t>2′</w:t>
      </w:r>
      <w:r>
        <w:t>-FL and LNnT are expected</w:t>
      </w:r>
      <w:r w:rsidRPr="00B47E45">
        <w:t>.</w:t>
      </w:r>
      <w:r>
        <w:t xml:space="preserve"> Overall, the available data indicated that intestinal absorption is limited, and a significant proportion of </w:t>
      </w:r>
      <w:r w:rsidR="00F20A0C">
        <w:t>human milk oligosaccharides (</w:t>
      </w:r>
      <w:r>
        <w:t>HMOs</w:t>
      </w:r>
      <w:r w:rsidR="00F20A0C">
        <w:t>)</w:t>
      </w:r>
      <w:r>
        <w:t xml:space="preserve"> including</w:t>
      </w:r>
      <w:r w:rsidRPr="00B47E45">
        <w:t xml:space="preserve"> </w:t>
      </w:r>
      <w:r w:rsidR="00B51870">
        <w:t>2′</w:t>
      </w:r>
      <w:r w:rsidRPr="00B47E45">
        <w:t>-FL and LNnT</w:t>
      </w:r>
      <w:r>
        <w:t xml:space="preserve"> reach the </w:t>
      </w:r>
      <w:r w:rsidRPr="008F090C">
        <w:t xml:space="preserve">large intestine where they are fermented by </w:t>
      </w:r>
      <w:r>
        <w:t xml:space="preserve">the </w:t>
      </w:r>
      <w:r w:rsidRPr="008F090C">
        <w:t xml:space="preserve">microbiota or excreted </w:t>
      </w:r>
      <w:r>
        <w:t>unchanged</w:t>
      </w:r>
      <w:r w:rsidRPr="008F090C">
        <w:t xml:space="preserve"> in the faeces.</w:t>
      </w:r>
    </w:p>
    <w:p w14:paraId="7534A852" w14:textId="77777777" w:rsidR="00183F9C" w:rsidRDefault="00183F9C" w:rsidP="00F20A0C">
      <w:pPr>
        <w:widowControl/>
      </w:pPr>
    </w:p>
    <w:p w14:paraId="75B6BF74" w14:textId="28EA4A63" w:rsidR="00832FC0" w:rsidRDefault="008A3529" w:rsidP="00F6476B">
      <w:pPr>
        <w:rPr>
          <w:lang w:val="en-AU"/>
        </w:rPr>
      </w:pPr>
      <w:r>
        <w:rPr>
          <w:lang w:val="en-AU"/>
        </w:rPr>
        <w:t xml:space="preserve">Both </w:t>
      </w:r>
      <w:r w:rsidR="00B51870">
        <w:rPr>
          <w:lang w:val="en-AU"/>
        </w:rPr>
        <w:t>2′</w:t>
      </w:r>
      <w:r>
        <w:rPr>
          <w:lang w:val="en-AU"/>
        </w:rPr>
        <w:t xml:space="preserve">-FL and LNnT produced by microbial fermentation were not genotoxic in </w:t>
      </w:r>
      <w:r w:rsidRPr="00DE7309">
        <w:rPr>
          <w:i/>
          <w:lang w:val="en-AU"/>
        </w:rPr>
        <w:t>in vitro</w:t>
      </w:r>
      <w:r>
        <w:rPr>
          <w:lang w:val="en-AU"/>
        </w:rPr>
        <w:t xml:space="preserve"> bacterial mutagenicity assays or in </w:t>
      </w:r>
      <w:r w:rsidRPr="000342AA">
        <w:rPr>
          <w:i/>
          <w:lang w:val="en-AU"/>
        </w:rPr>
        <w:t>in vitro</w:t>
      </w:r>
      <w:r w:rsidRPr="00EB0B51">
        <w:rPr>
          <w:lang w:val="en-AU"/>
        </w:rPr>
        <w:t xml:space="preserve"> micronucleus assay</w:t>
      </w:r>
      <w:r>
        <w:rPr>
          <w:lang w:val="en-AU"/>
        </w:rPr>
        <w:t>s</w:t>
      </w:r>
      <w:r w:rsidRPr="00EB0B51">
        <w:rPr>
          <w:lang w:val="en-AU"/>
        </w:rPr>
        <w:t xml:space="preserve"> in human lymphocytes</w:t>
      </w:r>
      <w:r>
        <w:rPr>
          <w:lang w:val="en-AU"/>
        </w:rPr>
        <w:t xml:space="preserve">. No adverse effects were observed in subchronic oral toxicity studies with </w:t>
      </w:r>
      <w:r w:rsidR="00B51870">
        <w:rPr>
          <w:lang w:val="en-AU"/>
        </w:rPr>
        <w:t>2′</w:t>
      </w:r>
      <w:r>
        <w:rPr>
          <w:lang w:val="en-AU"/>
        </w:rPr>
        <w:t xml:space="preserve">-FL or </w:t>
      </w:r>
      <w:r w:rsidRPr="00907E2A">
        <w:rPr>
          <w:lang w:val="en-AU"/>
        </w:rPr>
        <w:t>LNnT</w:t>
      </w:r>
      <w:r w:rsidRPr="00EB0B51">
        <w:rPr>
          <w:lang w:val="en-AU"/>
        </w:rPr>
        <w:t xml:space="preserve"> in juvenile rats</w:t>
      </w:r>
      <w:r>
        <w:rPr>
          <w:lang w:val="en-AU"/>
        </w:rPr>
        <w:t xml:space="preserve"> at doses up to 5000 mg/kg bw/day. In human studies, infant formula supplemented with </w:t>
      </w:r>
      <w:r w:rsidR="00B51870">
        <w:rPr>
          <w:lang w:val="en-AU"/>
        </w:rPr>
        <w:t>2′</w:t>
      </w:r>
      <w:r>
        <w:rPr>
          <w:lang w:val="en-AU"/>
        </w:rPr>
        <w:t xml:space="preserve">-FL and LNnT was well tolerated with age-appropriate increases in body weight and other growth measures, and no significant increases in adverse events. </w:t>
      </w:r>
      <w:r w:rsidR="00B51870">
        <w:rPr>
          <w:lang w:val="en-AU"/>
        </w:rPr>
        <w:t>2′</w:t>
      </w:r>
      <w:r>
        <w:rPr>
          <w:lang w:val="en-AU"/>
        </w:rPr>
        <w:t xml:space="preserve">-FL and LNnT were also well tolerated in </w:t>
      </w:r>
      <w:r w:rsidR="00592F99">
        <w:rPr>
          <w:lang w:val="en-AU"/>
        </w:rPr>
        <w:t>studies</w:t>
      </w:r>
      <w:r>
        <w:rPr>
          <w:lang w:val="en-AU"/>
        </w:rPr>
        <w:t xml:space="preserve"> with</w:t>
      </w:r>
      <w:r w:rsidR="00592F99">
        <w:rPr>
          <w:lang w:val="en-AU"/>
        </w:rPr>
        <w:t xml:space="preserve"> obese children aged 5-12 years and</w:t>
      </w:r>
      <w:r>
        <w:rPr>
          <w:lang w:val="en-AU"/>
        </w:rPr>
        <w:t xml:space="preserve"> healthy adults. </w:t>
      </w:r>
    </w:p>
    <w:p w14:paraId="0D95421C" w14:textId="77777777" w:rsidR="0089445C" w:rsidRDefault="0089445C" w:rsidP="00F6476B">
      <w:pPr>
        <w:rPr>
          <w:rFonts w:cs="Arial"/>
          <w:iCs/>
          <w:lang w:val="en-AU" w:eastAsia="en-GB"/>
        </w:rPr>
      </w:pPr>
    </w:p>
    <w:p w14:paraId="5FC8E27D" w14:textId="23867D1A" w:rsidR="001B47BD" w:rsidRDefault="001B47BD" w:rsidP="001B47BD">
      <w:pPr>
        <w:rPr>
          <w:lang w:val="en-AU"/>
        </w:rPr>
      </w:pPr>
      <w:r>
        <w:rPr>
          <w:rFonts w:cs="Arial"/>
          <w:iCs/>
          <w:lang w:val="en-AU" w:eastAsia="en-GB"/>
        </w:rPr>
        <w:t xml:space="preserve">The assessment of effect on infant growth concluded that the addition of </w:t>
      </w:r>
      <w:r>
        <w:rPr>
          <w:lang w:val="en-AU"/>
        </w:rPr>
        <w:t>2</w:t>
      </w:r>
      <w:r w:rsidR="000A17BB">
        <w:rPr>
          <w:lang w:val="en-AU"/>
        </w:rPr>
        <w:t>′</w:t>
      </w:r>
      <w:r>
        <w:rPr>
          <w:lang w:val="en-AU"/>
        </w:rPr>
        <w:t xml:space="preserve">-FL, </w:t>
      </w:r>
      <w:r>
        <w:rPr>
          <w:rFonts w:cs="Arial"/>
        </w:rPr>
        <w:t>alone or in combination with</w:t>
      </w:r>
      <w:r>
        <w:rPr>
          <w:lang w:val="en-AU"/>
        </w:rPr>
        <w:t xml:space="preserve"> LNnT, to infant </w:t>
      </w:r>
      <w:r>
        <w:rPr>
          <w:rFonts w:cs="Arial"/>
          <w:iCs/>
          <w:lang w:val="en-AU" w:eastAsia="en-GB"/>
        </w:rPr>
        <w:t xml:space="preserve">formula products </w:t>
      </w:r>
      <w:r w:rsidR="00AB2563">
        <w:rPr>
          <w:rFonts w:cs="Arial"/>
          <w:iCs/>
          <w:lang w:val="en-AU" w:eastAsia="en-GB"/>
        </w:rPr>
        <w:t xml:space="preserve">(at the levels requested) </w:t>
      </w:r>
      <w:r>
        <w:rPr>
          <w:rFonts w:cs="Arial"/>
          <w:iCs/>
          <w:lang w:val="en-AU" w:eastAsia="en-GB"/>
        </w:rPr>
        <w:t>has no effect on growth</w:t>
      </w:r>
      <w:r w:rsidRPr="00D80AB5">
        <w:rPr>
          <w:rFonts w:cs="Arial"/>
          <w:iCs/>
          <w:lang w:val="en-AU" w:eastAsia="en-GB"/>
        </w:rPr>
        <w:t>.</w:t>
      </w:r>
      <w:r>
        <w:rPr>
          <w:rFonts w:cs="Arial"/>
          <w:iCs/>
          <w:lang w:val="en-AU" w:eastAsia="en-GB"/>
        </w:rPr>
        <w:t xml:space="preserve"> </w:t>
      </w:r>
      <w:r w:rsidR="006B3ADE">
        <w:rPr>
          <w:rFonts w:cs="Arial"/>
          <w:iCs/>
          <w:lang w:val="en-AU" w:eastAsia="en-GB"/>
        </w:rPr>
        <w:t xml:space="preserve">Also, </w:t>
      </w:r>
      <w:r w:rsidR="006B3ADE">
        <w:rPr>
          <w:lang w:val="en-AU"/>
        </w:rPr>
        <w:t>b</w:t>
      </w:r>
      <w:r>
        <w:rPr>
          <w:lang w:val="en-AU"/>
        </w:rPr>
        <w:t>ased on a lack of adverse effects on growth in the clinical studies reviewed and the limited gastrointestinal absorption of 2</w:t>
      </w:r>
      <w:r w:rsidR="000A17BB">
        <w:rPr>
          <w:lang w:val="en-AU"/>
        </w:rPr>
        <w:t>′</w:t>
      </w:r>
      <w:r>
        <w:rPr>
          <w:lang w:val="en-AU"/>
        </w:rPr>
        <w:t xml:space="preserve">-FL and LNnT, there is no evidence to indicate a nutritional concern at </w:t>
      </w:r>
      <w:r w:rsidR="009B37CA">
        <w:rPr>
          <w:lang w:val="en-AU"/>
        </w:rPr>
        <w:t>the</w:t>
      </w:r>
      <w:r w:rsidR="008E194F">
        <w:rPr>
          <w:lang w:val="en-AU"/>
        </w:rPr>
        <w:t xml:space="preserve"> </w:t>
      </w:r>
      <w:r>
        <w:rPr>
          <w:lang w:val="en-AU"/>
        </w:rPr>
        <w:t xml:space="preserve">concentrations </w:t>
      </w:r>
      <w:r w:rsidR="009B37CA">
        <w:rPr>
          <w:lang w:val="en-AU"/>
        </w:rPr>
        <w:t>of these oligosaccharides</w:t>
      </w:r>
      <w:r w:rsidR="00B223B8">
        <w:rPr>
          <w:lang w:val="en-AU"/>
        </w:rPr>
        <w:t xml:space="preserve"> </w:t>
      </w:r>
      <w:r w:rsidR="003C31D6">
        <w:rPr>
          <w:lang w:val="en-AU"/>
        </w:rPr>
        <w:t xml:space="preserve">that are </w:t>
      </w:r>
      <w:r>
        <w:rPr>
          <w:lang w:val="en-AU"/>
        </w:rPr>
        <w:t>typically observed in human milk.</w:t>
      </w:r>
    </w:p>
    <w:p w14:paraId="736EB63D" w14:textId="77777777" w:rsidR="00B13464" w:rsidRDefault="00B13464" w:rsidP="001B47BD">
      <w:pPr>
        <w:rPr>
          <w:rFonts w:cs="Arial"/>
          <w:iCs/>
          <w:lang w:val="en-AU" w:eastAsia="en-GB"/>
        </w:rPr>
      </w:pPr>
    </w:p>
    <w:p w14:paraId="25BA622E" w14:textId="7C4A3605" w:rsidR="00F6476B" w:rsidRDefault="00F6476B" w:rsidP="00F6476B">
      <w:r w:rsidDel="006B3ADE">
        <w:t xml:space="preserve">The </w:t>
      </w:r>
      <w:r>
        <w:rPr>
          <w:bCs/>
        </w:rPr>
        <w:t>concentration</w:t>
      </w:r>
      <w:r w:rsidR="008A3AC2">
        <w:rPr>
          <w:bCs/>
        </w:rPr>
        <w:t xml:space="preserve"> of 2</w:t>
      </w:r>
      <w:r w:rsidR="000A17BB">
        <w:rPr>
          <w:bCs/>
        </w:rPr>
        <w:t>′</w:t>
      </w:r>
      <w:r w:rsidR="008A3AC2">
        <w:rPr>
          <w:bCs/>
        </w:rPr>
        <w:t>-FL</w:t>
      </w:r>
      <w:r>
        <w:rPr>
          <w:bCs/>
        </w:rPr>
        <w:t xml:space="preserve"> in </w:t>
      </w:r>
      <w:r w:rsidDel="006B3ADE">
        <w:t xml:space="preserve">infant formula </w:t>
      </w:r>
      <w:r>
        <w:rPr>
          <w:bCs/>
        </w:rPr>
        <w:t>/ follow-on formula /</w:t>
      </w:r>
      <w:r w:rsidDel="006B3ADE">
        <w:t xml:space="preserve"> FSFYC</w:t>
      </w:r>
      <w:r>
        <w:rPr>
          <w:bCs/>
        </w:rPr>
        <w:t xml:space="preserve"> considered in the di</w:t>
      </w:r>
      <w:r w:rsidR="00856CBA">
        <w:rPr>
          <w:bCs/>
        </w:rPr>
        <w:t xml:space="preserve">etary intake assessment was 2.4 </w:t>
      </w:r>
      <w:r>
        <w:rPr>
          <w:bCs/>
        </w:rPr>
        <w:t xml:space="preserve">g/L </w:t>
      </w:r>
      <w:r w:rsidR="00BC1DC5">
        <w:rPr>
          <w:bCs/>
        </w:rPr>
        <w:t>(rather than 1.2 g/L</w:t>
      </w:r>
      <w:r w:rsidR="00EE025B">
        <w:rPr>
          <w:bCs/>
        </w:rPr>
        <w:t xml:space="preserve"> </w:t>
      </w:r>
      <w:r w:rsidR="009B37CA">
        <w:rPr>
          <w:bCs/>
        </w:rPr>
        <w:t xml:space="preserve">as </w:t>
      </w:r>
      <w:r w:rsidR="00EE025B">
        <w:rPr>
          <w:bCs/>
        </w:rPr>
        <w:t>requested</w:t>
      </w:r>
      <w:r w:rsidR="00BC1DC5">
        <w:rPr>
          <w:bCs/>
        </w:rPr>
        <w:t xml:space="preserve">) </w:t>
      </w:r>
      <w:r>
        <w:rPr>
          <w:bCs/>
        </w:rPr>
        <w:t xml:space="preserve">as </w:t>
      </w:r>
      <w:r w:rsidR="001B1A9D">
        <w:rPr>
          <w:bCs/>
        </w:rPr>
        <w:t>this</w:t>
      </w:r>
      <w:r w:rsidR="008627C4">
        <w:rPr>
          <w:bCs/>
        </w:rPr>
        <w:t xml:space="preserve"> level</w:t>
      </w:r>
      <w:r w:rsidR="001B1A9D">
        <w:rPr>
          <w:bCs/>
        </w:rPr>
        <w:t xml:space="preserve"> is </w:t>
      </w:r>
      <w:r>
        <w:rPr>
          <w:bCs/>
        </w:rPr>
        <w:t xml:space="preserve">similar </w:t>
      </w:r>
      <w:r w:rsidR="008E194F">
        <w:rPr>
          <w:bCs/>
        </w:rPr>
        <w:t>to the</w:t>
      </w:r>
      <w:r>
        <w:t xml:space="preserve"> mean concentration </w:t>
      </w:r>
      <w:r w:rsidR="008627C4">
        <w:rPr>
          <w:bCs/>
        </w:rPr>
        <w:t xml:space="preserve">in </w:t>
      </w:r>
      <w:r>
        <w:t xml:space="preserve">mature human milk </w:t>
      </w:r>
      <w:r w:rsidR="00EE025B">
        <w:rPr>
          <w:bCs/>
        </w:rPr>
        <w:t>(</w:t>
      </w:r>
      <w:r w:rsidR="00E33135">
        <w:t>2.4–</w:t>
      </w:r>
      <w:r>
        <w:t>3.0</w:t>
      </w:r>
      <w:r w:rsidR="00EE025B">
        <w:rPr>
          <w:bCs/>
        </w:rPr>
        <w:t xml:space="preserve"> </w:t>
      </w:r>
      <w:r>
        <w:t>g/L for 2</w:t>
      </w:r>
      <w:r w:rsidR="000A17BB">
        <w:t>′</w:t>
      </w:r>
      <w:r>
        <w:t xml:space="preserve">-FL secretors, which represents approximately 80% of women worldwide). </w:t>
      </w:r>
      <w:r w:rsidR="008A3AC2">
        <w:t>This is a</w:t>
      </w:r>
      <w:r w:rsidR="005340D2">
        <w:t>bout one fifth</w:t>
      </w:r>
      <w:r w:rsidR="008A3AC2" w:rsidDel="005340D2">
        <w:t xml:space="preserve"> </w:t>
      </w:r>
      <w:r w:rsidR="008A3AC2">
        <w:t>of the total concentration of oligosaccharides present in mature human milk</w:t>
      </w:r>
      <w:r w:rsidR="008A3AC2" w:rsidRPr="008A3AC2">
        <w:t xml:space="preserve"> </w:t>
      </w:r>
      <w:r w:rsidR="008A3AC2">
        <w:t>(10</w:t>
      </w:r>
      <w:r w:rsidR="00E33135">
        <w:t>–</w:t>
      </w:r>
      <w:r w:rsidR="00EE025B">
        <w:t>15 g/L).</w:t>
      </w:r>
      <w:r>
        <w:rPr>
          <w:bCs/>
        </w:rPr>
        <w:t xml:space="preserve"> </w:t>
      </w:r>
      <w:r>
        <w:t>The estimated dietary intake of 2</w:t>
      </w:r>
      <w:r w:rsidR="000A17BB">
        <w:t>′</w:t>
      </w:r>
      <w:r>
        <w:t>-FL</w:t>
      </w:r>
      <w:r>
        <w:rPr>
          <w:vertAlign w:val="subscript"/>
        </w:rPr>
        <w:t xml:space="preserve"> </w:t>
      </w:r>
      <w:r>
        <w:t xml:space="preserve">based on 2.4 g/L is </w:t>
      </w:r>
      <w:r w:rsidR="00856CBA">
        <w:t>similar to 2</w:t>
      </w:r>
      <w:r w:rsidR="000A17BB">
        <w:t>′</w:t>
      </w:r>
      <w:r w:rsidR="00856CBA">
        <w:t xml:space="preserve">-FL intakes for 3 and 9 </w:t>
      </w:r>
      <w:r>
        <w:t>month old breastfed infants. Estimated me</w:t>
      </w:r>
      <w:r w:rsidR="00C33601">
        <w:t>an intakes of 2</w:t>
      </w:r>
      <w:r w:rsidR="000A17BB">
        <w:t>′</w:t>
      </w:r>
      <w:r w:rsidR="00C33601">
        <w:t xml:space="preserve">-FL from FSFYC based on 2.4 g/L </w:t>
      </w:r>
      <w:r>
        <w:t>f</w:t>
      </w:r>
      <w:r w:rsidR="00856CBA">
        <w:t xml:space="preserve">or 12 month old infants and 2-3 </w:t>
      </w:r>
      <w:r>
        <w:t>year old children</w:t>
      </w:r>
      <w:r w:rsidR="006B3ADE">
        <w:t>,</w:t>
      </w:r>
      <w:r>
        <w:t xml:space="preserve"> are similar to or less than those for </w:t>
      </w:r>
      <w:r w:rsidR="008627C4">
        <w:t xml:space="preserve">younger </w:t>
      </w:r>
      <w:r w:rsidR="008007D3">
        <w:t>formula-fed</w:t>
      </w:r>
      <w:r w:rsidR="00182C0C">
        <w:t xml:space="preserve"> and breast-fed </w:t>
      </w:r>
      <w:r>
        <w:t xml:space="preserve">infants </w:t>
      </w:r>
      <w:r w:rsidR="006B3ADE">
        <w:t>(&lt;</w:t>
      </w:r>
      <w:r>
        <w:t>12 months</w:t>
      </w:r>
      <w:r w:rsidR="006B3ADE">
        <w:t>)</w:t>
      </w:r>
      <w:r>
        <w:t>.</w:t>
      </w:r>
    </w:p>
    <w:p w14:paraId="3BC1D74F" w14:textId="1A2A631E" w:rsidR="00C33601" w:rsidRDefault="00C33601" w:rsidP="00F6476B">
      <w:pPr>
        <w:rPr>
          <w:bCs/>
        </w:rPr>
      </w:pPr>
    </w:p>
    <w:p w14:paraId="653B9E58" w14:textId="345B0CDA" w:rsidR="00C33601" w:rsidRDefault="00C33601" w:rsidP="00C33601">
      <w:r>
        <w:t>The appli</w:t>
      </w:r>
      <w:r w:rsidR="00856CBA">
        <w:t>cant</w:t>
      </w:r>
      <w:r w:rsidR="003A473A">
        <w:t>’s</w:t>
      </w:r>
      <w:r w:rsidR="00856CBA">
        <w:t xml:space="preserve"> requested maximum of 0.6 </w:t>
      </w:r>
      <w:r>
        <w:t>g/L LNnT in in</w:t>
      </w:r>
      <w:r w:rsidR="003C31D6">
        <w:t>fant formula products and FSFYC</w:t>
      </w:r>
      <w:r>
        <w:rPr>
          <w:bCs/>
        </w:rPr>
        <w:t xml:space="preserve"> was considered in the dietary intake assessment. </w:t>
      </w:r>
      <w:r>
        <w:t>The mean concentration of LNnT in m</w:t>
      </w:r>
      <w:r w:rsidR="00856CBA">
        <w:t xml:space="preserve">ature human milk </w:t>
      </w:r>
      <w:r w:rsidR="00E33135">
        <w:t>is 0.28–</w:t>
      </w:r>
      <w:r w:rsidR="00856CBA" w:rsidRPr="00D83475">
        <w:t xml:space="preserve">0.31 </w:t>
      </w:r>
      <w:r w:rsidRPr="00D83475">
        <w:t>g/L,</w:t>
      </w:r>
      <w:r>
        <w:t xml:space="preserve"> noting all human milk contains LNnT. The estimated dietary intake of LNnT</w:t>
      </w:r>
      <w:r w:rsidRPr="008E5605">
        <w:t xml:space="preserve"> is</w:t>
      </w:r>
      <w:r>
        <w:t xml:space="preserve"> therefore hig</w:t>
      </w:r>
      <w:r w:rsidR="00856CBA">
        <w:t xml:space="preserve">her than that for 3 month and 9 </w:t>
      </w:r>
      <w:r>
        <w:t>month old breastfed infants due to the</w:t>
      </w:r>
      <w:r w:rsidRPr="008E5605">
        <w:t xml:space="preserve"> </w:t>
      </w:r>
      <w:r>
        <w:t xml:space="preserve">requested concentration being higher than the mean concentration in human milk. </w:t>
      </w:r>
      <w:r w:rsidR="00856CBA">
        <w:rPr>
          <w:bCs/>
        </w:rPr>
        <w:t xml:space="preserve">However, the use level of 0.6 </w:t>
      </w:r>
      <w:r>
        <w:rPr>
          <w:bCs/>
        </w:rPr>
        <w:t>g/L is within the range of LNnT concentrations in</w:t>
      </w:r>
      <w:r w:rsidR="00E33135">
        <w:rPr>
          <w:bCs/>
        </w:rPr>
        <w:t xml:space="preserve"> mature human milk (0.09–</w:t>
      </w:r>
      <w:r w:rsidR="00856CBA">
        <w:rPr>
          <w:bCs/>
        </w:rPr>
        <w:t xml:space="preserve">1.08 </w:t>
      </w:r>
      <w:r>
        <w:rPr>
          <w:bCs/>
        </w:rPr>
        <w:t>g/L).</w:t>
      </w:r>
      <w:r w:rsidRPr="00843338">
        <w:t xml:space="preserve"> </w:t>
      </w:r>
      <w:r>
        <w:t>Estimated mean intakes of LNnT from FSFYC f</w:t>
      </w:r>
      <w:r w:rsidR="00856CBA">
        <w:t>or 12</w:t>
      </w:r>
      <w:r w:rsidR="00AB2563">
        <w:t>-</w:t>
      </w:r>
      <w:r w:rsidR="00856CBA">
        <w:t>month</w:t>
      </w:r>
      <w:r w:rsidR="00AB2563">
        <w:t>-</w:t>
      </w:r>
      <w:r w:rsidR="00856CBA">
        <w:t>old infants and 2</w:t>
      </w:r>
      <w:r w:rsidR="003A154D">
        <w:t>–</w:t>
      </w:r>
      <w:r w:rsidR="00856CBA">
        <w:t xml:space="preserve">3 </w:t>
      </w:r>
      <w:r>
        <w:t>year old children are similar to or lower than those for younger formula-fed infants (&lt;12 months).</w:t>
      </w:r>
    </w:p>
    <w:p w14:paraId="45AFFAEC" w14:textId="0ABF1C7D" w:rsidR="00355D3C" w:rsidRDefault="00355D3C">
      <w:pPr>
        <w:widowControl/>
        <w:rPr>
          <w:lang w:val="en-AU"/>
        </w:rPr>
      </w:pPr>
    </w:p>
    <w:p w14:paraId="5E15000C" w14:textId="2A52B4A3" w:rsidR="00CA34DE" w:rsidRDefault="007634C6" w:rsidP="003A473A">
      <w:pPr>
        <w:rPr>
          <w:b/>
          <w:bCs/>
          <w:color w:val="000000" w:themeColor="text1"/>
          <w:lang w:eastAsia="en-AU" w:bidi="ar-SA"/>
        </w:rPr>
      </w:pPr>
      <w:r>
        <w:rPr>
          <w:lang w:val="en-AU"/>
        </w:rPr>
        <w:t xml:space="preserve">Overall, </w:t>
      </w:r>
      <w:r w:rsidRPr="00A012C2">
        <w:rPr>
          <w:lang w:val="en-AU"/>
        </w:rPr>
        <w:t>2</w:t>
      </w:r>
      <w:r w:rsidR="000A17BB">
        <w:rPr>
          <w:lang w:val="en-AU"/>
        </w:rPr>
        <w:t>′</w:t>
      </w:r>
      <w:r w:rsidRPr="00A012C2">
        <w:rPr>
          <w:lang w:val="en-AU"/>
        </w:rPr>
        <w:t xml:space="preserve">-FL and LNnT are naturally present in human milk in a range of concentrations and ratios, providing a history of </w:t>
      </w:r>
      <w:r>
        <w:rPr>
          <w:lang w:val="en-AU"/>
        </w:rPr>
        <w:t xml:space="preserve">safe </w:t>
      </w:r>
      <w:r w:rsidRPr="00A012C2">
        <w:rPr>
          <w:lang w:val="en-AU"/>
        </w:rPr>
        <w:t xml:space="preserve">human exposure to these substances for </w:t>
      </w:r>
      <w:r>
        <w:rPr>
          <w:lang w:val="en-AU"/>
        </w:rPr>
        <w:t>breastfed</w:t>
      </w:r>
      <w:r w:rsidRPr="00A012C2">
        <w:rPr>
          <w:lang w:val="en-AU"/>
        </w:rPr>
        <w:t xml:space="preserve"> infants.</w:t>
      </w:r>
      <w:r w:rsidR="00762ABD">
        <w:rPr>
          <w:lang w:val="en-AU"/>
        </w:rPr>
        <w:t xml:space="preserve"> </w:t>
      </w:r>
      <w:r>
        <w:rPr>
          <w:lang w:val="en-AU"/>
        </w:rPr>
        <w:t>FSANZ concludes there are n</w:t>
      </w:r>
      <w:r w:rsidRPr="006457EA">
        <w:rPr>
          <w:lang w:val="en-AU"/>
        </w:rPr>
        <w:t xml:space="preserve">o public health and safety concerns </w:t>
      </w:r>
      <w:r>
        <w:rPr>
          <w:lang w:val="en-AU"/>
        </w:rPr>
        <w:t>associated with the</w:t>
      </w:r>
      <w:r w:rsidRPr="006457EA">
        <w:rPr>
          <w:lang w:val="en-AU"/>
        </w:rPr>
        <w:t xml:space="preserve"> addition of 2</w:t>
      </w:r>
      <w:r w:rsidR="000A17BB">
        <w:rPr>
          <w:lang w:val="en-AU"/>
        </w:rPr>
        <w:t>′</w:t>
      </w:r>
      <w:r w:rsidRPr="006457EA">
        <w:rPr>
          <w:lang w:val="en-AU"/>
        </w:rPr>
        <w:t>-FL alone or in combination with LNnT to infant formula</w:t>
      </w:r>
      <w:r>
        <w:rPr>
          <w:lang w:val="en-AU"/>
        </w:rPr>
        <w:t xml:space="preserve"> products </w:t>
      </w:r>
      <w:r w:rsidRPr="006457EA">
        <w:rPr>
          <w:lang w:val="en-AU"/>
        </w:rPr>
        <w:t xml:space="preserve">and </w:t>
      </w:r>
      <w:r>
        <w:rPr>
          <w:lang w:val="en-AU"/>
        </w:rPr>
        <w:t xml:space="preserve">FSFYC </w:t>
      </w:r>
      <w:r w:rsidR="00CC27DA">
        <w:rPr>
          <w:lang w:val="en-AU"/>
        </w:rPr>
        <w:t xml:space="preserve">at the </w:t>
      </w:r>
      <w:r w:rsidR="00B6293B">
        <w:rPr>
          <w:lang w:val="en-AU"/>
        </w:rPr>
        <w:t xml:space="preserve">requested </w:t>
      </w:r>
      <w:r w:rsidR="00CC27DA">
        <w:rPr>
          <w:lang w:val="en-AU"/>
        </w:rPr>
        <w:t>levels</w:t>
      </w:r>
      <w:r>
        <w:rPr>
          <w:lang w:val="en-AU"/>
        </w:rPr>
        <w:t>,</w:t>
      </w:r>
      <w:r w:rsidRPr="00332CC6">
        <w:rPr>
          <w:lang w:val="en-AU"/>
        </w:rPr>
        <w:t xml:space="preserve"> or </w:t>
      </w:r>
      <w:r>
        <w:rPr>
          <w:lang w:val="en-AU"/>
        </w:rPr>
        <w:t xml:space="preserve">at </w:t>
      </w:r>
      <w:r w:rsidR="00C33601">
        <w:rPr>
          <w:lang w:val="en-AU"/>
        </w:rPr>
        <w:t xml:space="preserve">higher </w:t>
      </w:r>
      <w:r>
        <w:rPr>
          <w:lang w:val="en-AU"/>
        </w:rPr>
        <w:t>estimated levels of dietary intakes based on</w:t>
      </w:r>
      <w:r w:rsidR="00CC27DA">
        <w:rPr>
          <w:lang w:val="en-AU"/>
        </w:rPr>
        <w:t xml:space="preserve"> </w:t>
      </w:r>
      <w:r>
        <w:rPr>
          <w:lang w:val="en-AU"/>
        </w:rPr>
        <w:t>2.4 g/L</w:t>
      </w:r>
      <w:r w:rsidR="00D83475">
        <w:rPr>
          <w:lang w:val="en-AU"/>
        </w:rPr>
        <w:t xml:space="preserve"> </w:t>
      </w:r>
      <w:r w:rsidR="00947F07">
        <w:rPr>
          <w:lang w:val="en-AU"/>
        </w:rPr>
        <w:t>2</w:t>
      </w:r>
      <w:r w:rsidR="000A17BB">
        <w:rPr>
          <w:lang w:val="en-AU"/>
        </w:rPr>
        <w:t>′</w:t>
      </w:r>
      <w:r w:rsidR="00947F07">
        <w:rPr>
          <w:lang w:val="en-AU"/>
        </w:rPr>
        <w:t>-FL</w:t>
      </w:r>
      <w:r w:rsidRPr="006457EA">
        <w:rPr>
          <w:lang w:val="en-AU"/>
        </w:rPr>
        <w:t>.</w:t>
      </w:r>
    </w:p>
    <w:p w14:paraId="21A447A0" w14:textId="37D29CE0" w:rsidR="007634C6" w:rsidRPr="00893334" w:rsidRDefault="001A6FA2" w:rsidP="00BB1DE2">
      <w:pPr>
        <w:pStyle w:val="Heading3"/>
      </w:pPr>
      <w:bookmarkStart w:id="87" w:name="_Toc11247903"/>
      <w:bookmarkStart w:id="88" w:name="_Toc14427196"/>
      <w:r w:rsidRPr="00893334">
        <w:t>2.</w:t>
      </w:r>
      <w:r w:rsidR="00934E2E" w:rsidRPr="00893334">
        <w:t>2</w:t>
      </w:r>
      <w:r w:rsidRPr="00893334">
        <w:t>.2</w:t>
      </w:r>
      <w:r w:rsidR="00C17415" w:rsidRPr="00893334">
        <w:tab/>
      </w:r>
      <w:r w:rsidR="00A01DBA" w:rsidRPr="00893334">
        <w:t>Health effects assessment</w:t>
      </w:r>
      <w:bookmarkEnd w:id="87"/>
      <w:bookmarkEnd w:id="88"/>
    </w:p>
    <w:p w14:paraId="2082DDAF" w14:textId="69EF59DF" w:rsidR="00283C76" w:rsidRPr="00893334" w:rsidRDefault="00283C76" w:rsidP="003E7621">
      <w:bookmarkStart w:id="89" w:name="_Toc527018234"/>
      <w:r w:rsidRPr="00893334">
        <w:t xml:space="preserve">The assessment of anti-infective effect concluded that the addition of </w:t>
      </w:r>
      <w:r w:rsidR="00B51870" w:rsidRPr="00893334">
        <w:t>2′</w:t>
      </w:r>
      <w:r w:rsidRPr="00893334">
        <w:t xml:space="preserve">-FL to infant formula products and FSFYC may be detrimental to attachment and growth of invasive </w:t>
      </w:r>
      <w:r w:rsidRPr="00893334">
        <w:rPr>
          <w:i/>
        </w:rPr>
        <w:t>Campylobacter jejuni</w:t>
      </w:r>
      <w:r w:rsidRPr="00893334">
        <w:t xml:space="preserve"> </w:t>
      </w:r>
      <w:r w:rsidRPr="00893334">
        <w:rPr>
          <w:i/>
        </w:rPr>
        <w:t>(C. jejuni)</w:t>
      </w:r>
      <w:r w:rsidRPr="00893334">
        <w:t xml:space="preserve"> infection through binding inhibition. The biological and mechanistic plausibility of this health effect is supported by evidence from an </w:t>
      </w:r>
      <w:r w:rsidRPr="00893334">
        <w:rPr>
          <w:i/>
        </w:rPr>
        <w:t>in vivo</w:t>
      </w:r>
      <w:r w:rsidRPr="00893334">
        <w:t xml:space="preserve"> murine model demonstrating decreased disease severity in animals fed 5 g/L </w:t>
      </w:r>
      <w:r w:rsidR="00B51870" w:rsidRPr="00893334">
        <w:t>2′</w:t>
      </w:r>
      <w:r w:rsidRPr="00893334">
        <w:t xml:space="preserve">-FL, binding studies demonstrating a specific interaction between invasive </w:t>
      </w:r>
      <w:r w:rsidRPr="00893334">
        <w:rPr>
          <w:i/>
        </w:rPr>
        <w:t>C. jejuni</w:t>
      </w:r>
      <w:r w:rsidRPr="00893334">
        <w:t xml:space="preserve"> strains and </w:t>
      </w:r>
      <w:r w:rsidR="00B51870" w:rsidRPr="00893334">
        <w:t>2′</w:t>
      </w:r>
      <w:r w:rsidRPr="00893334">
        <w:t xml:space="preserve">-FL, and </w:t>
      </w:r>
      <w:r w:rsidRPr="00893334">
        <w:rPr>
          <w:i/>
        </w:rPr>
        <w:t xml:space="preserve">in vitro </w:t>
      </w:r>
      <w:r w:rsidRPr="00893334">
        <w:t xml:space="preserve">studies demonstrating </w:t>
      </w:r>
      <w:r w:rsidRPr="00893334">
        <w:rPr>
          <w:i/>
        </w:rPr>
        <w:t>C. jejuni</w:t>
      </w:r>
      <w:r w:rsidRPr="00893334">
        <w:t xml:space="preserve"> binding inhibition in multiple cell lines. Evidence from a human study showing a decreased incidence of </w:t>
      </w:r>
      <w:r w:rsidRPr="00893334">
        <w:rPr>
          <w:i/>
        </w:rPr>
        <w:t>Campylobacter</w:t>
      </w:r>
      <w:r w:rsidRPr="00893334">
        <w:t xml:space="preserve"> associated diarrhoea in infants of mothers with a higher proportion of </w:t>
      </w:r>
      <w:r w:rsidR="00B51870" w:rsidRPr="00893334">
        <w:t>2′</w:t>
      </w:r>
      <w:r w:rsidRPr="00893334">
        <w:t xml:space="preserve">-FL in their milk provides additional supporting evidence. </w:t>
      </w:r>
      <w:r w:rsidRPr="00893334">
        <w:rPr>
          <w:lang w:eastAsia="en-AU"/>
        </w:rPr>
        <w:t xml:space="preserve">Based on the evidence assessed, FSANZ considers that this health effect could occur at the level of </w:t>
      </w:r>
      <w:r w:rsidR="00B51870" w:rsidRPr="00893334">
        <w:rPr>
          <w:lang w:eastAsia="en-AU"/>
        </w:rPr>
        <w:t>2′</w:t>
      </w:r>
      <w:r w:rsidRPr="00893334">
        <w:rPr>
          <w:lang w:eastAsia="en-AU"/>
        </w:rPr>
        <w:t xml:space="preserve">-FL requested, although the extent of the effect in infants and toddlers at this level cannot be determined. The evidence for a health effect of </w:t>
      </w:r>
      <w:r w:rsidR="00B51870" w:rsidRPr="00893334">
        <w:rPr>
          <w:lang w:eastAsia="en-AU"/>
        </w:rPr>
        <w:t>2′</w:t>
      </w:r>
      <w:r w:rsidRPr="00893334">
        <w:rPr>
          <w:lang w:eastAsia="en-AU"/>
        </w:rPr>
        <w:t xml:space="preserve">-FL and LNnT protecting against other pathogens and toxins is inconclusive and is primarily limited to </w:t>
      </w:r>
      <w:r w:rsidRPr="00893334">
        <w:rPr>
          <w:i/>
          <w:lang w:eastAsia="en-AU"/>
        </w:rPr>
        <w:t>in vitro</w:t>
      </w:r>
      <w:r w:rsidRPr="00893334">
        <w:rPr>
          <w:lang w:eastAsia="en-AU"/>
        </w:rPr>
        <w:t xml:space="preserve"> inhibition studies with no specific mechanism of inhibition identified. </w:t>
      </w:r>
      <w:r w:rsidRPr="00893334">
        <w:t xml:space="preserve">A single human infant trial study provided limited evidence of a decreased rate of bronchitis and lower respiratory tract infection in infants fed formula supplemented with </w:t>
      </w:r>
      <w:r w:rsidR="00B51870" w:rsidRPr="00893334">
        <w:t>2′</w:t>
      </w:r>
      <w:r w:rsidRPr="00893334">
        <w:t xml:space="preserve">-FL and LNnT. </w:t>
      </w:r>
      <w:r w:rsidRPr="00893334">
        <w:rPr>
          <w:lang w:eastAsia="en-AU"/>
        </w:rPr>
        <w:t>However, the reproducibility of this finding in multiple populations has not been demonstrated and is therefore inconclusive.</w:t>
      </w:r>
    </w:p>
    <w:p w14:paraId="19575095" w14:textId="77777777" w:rsidR="00D83475" w:rsidRPr="00893334" w:rsidRDefault="00D83475" w:rsidP="00D83475"/>
    <w:p w14:paraId="1440E7C8" w14:textId="78504BFF" w:rsidR="00D83475" w:rsidRPr="00893334" w:rsidRDefault="00D83475" w:rsidP="00D83475">
      <w:r w:rsidRPr="00893334">
        <w:t xml:space="preserve">The assessment of bifidogenic effect concluded that the </w:t>
      </w:r>
      <w:r w:rsidRPr="00893334">
        <w:rPr>
          <w:lang w:eastAsia="en-AU" w:bidi="ar-SA"/>
        </w:rPr>
        <w:t xml:space="preserve">ability of </w:t>
      </w:r>
      <w:r w:rsidRPr="00893334">
        <w:rPr>
          <w:i/>
          <w:lang w:eastAsia="en-AU" w:bidi="ar-SA"/>
        </w:rPr>
        <w:t>Bifidobacterium</w:t>
      </w:r>
      <w:r w:rsidRPr="00893334">
        <w:rPr>
          <w:lang w:eastAsia="en-AU" w:bidi="ar-SA"/>
        </w:rPr>
        <w:t xml:space="preserve"> spp. to metabolise 2</w:t>
      </w:r>
      <w:r w:rsidR="000A17BB" w:rsidRPr="00893334">
        <w:rPr>
          <w:lang w:eastAsia="en-AU" w:bidi="ar-SA"/>
        </w:rPr>
        <w:t>′</w:t>
      </w:r>
      <w:r w:rsidRPr="00893334">
        <w:rPr>
          <w:lang w:eastAsia="en-AU" w:bidi="ar-SA"/>
        </w:rPr>
        <w:t>-FL and LNnT is variable within and between species</w:t>
      </w:r>
      <w:r w:rsidRPr="00893334">
        <w:t xml:space="preserve"> and that a bifidogenic effect is </w:t>
      </w:r>
      <w:r w:rsidR="00283C76" w:rsidRPr="00893334">
        <w:t>biologically and mechanistically plausible</w:t>
      </w:r>
      <w:r w:rsidR="00A07F2E" w:rsidRPr="00893334">
        <w:t xml:space="preserve"> </w:t>
      </w:r>
      <w:r w:rsidR="00283C76" w:rsidRPr="00893334">
        <w:t>i</w:t>
      </w:r>
      <w:r w:rsidRPr="00893334">
        <w:t xml:space="preserve">f the </w:t>
      </w:r>
      <w:r w:rsidRPr="00893334">
        <w:rPr>
          <w:i/>
        </w:rPr>
        <w:t>Bifidobacterium</w:t>
      </w:r>
      <w:r w:rsidRPr="00893334">
        <w:t xml:space="preserve"> strains present in the infant and toddler colon are able to metabolise 2</w:t>
      </w:r>
      <w:r w:rsidR="000A17BB" w:rsidRPr="00893334">
        <w:t>′-</w:t>
      </w:r>
      <w:r w:rsidRPr="00893334">
        <w:t>FL or LNnT. A single study, published as abstracts, demonstrated that infants fed formula supplemented with 2</w:t>
      </w:r>
      <w:r w:rsidR="000A17BB" w:rsidRPr="00893334">
        <w:t>′</w:t>
      </w:r>
      <w:r w:rsidRPr="00893334">
        <w:t xml:space="preserve">-FL and LNnT at levels similar to those requested, had a gut microbiome at 3 months of age that more closely resembled that of breastfed infants and with a higher relative abundance of </w:t>
      </w:r>
      <w:r w:rsidRPr="00893334">
        <w:rPr>
          <w:i/>
        </w:rPr>
        <w:t>Bifidobacterium</w:t>
      </w:r>
      <w:r w:rsidRPr="00893334">
        <w:t xml:space="preserve"> spp. compared to infants fed unsupplemented formula. As the reproducibility of this study has not been demonstrated in other populations the results are inconclusive. However, the</w:t>
      </w:r>
      <w:r w:rsidR="00A07F2E" w:rsidRPr="00893334">
        <w:t xml:space="preserve"> biological</w:t>
      </w:r>
      <w:r w:rsidRPr="00893334">
        <w:t xml:space="preserve"> plausibility of a bifidogenic effect occurring due to the requested addition of 2</w:t>
      </w:r>
      <w:r w:rsidR="000A17BB" w:rsidRPr="00893334">
        <w:t>′</w:t>
      </w:r>
      <w:r w:rsidRPr="00893334">
        <w:t xml:space="preserve">-FL alone or with LNnT is further supported by a single clinical feeding trial for adults that showed a shift in the gut microflora to a higher relative abundance of </w:t>
      </w:r>
      <w:r w:rsidR="008A72D3" w:rsidRPr="00893334">
        <w:t>b</w:t>
      </w:r>
      <w:r w:rsidRPr="00893334">
        <w:t>ifidobacteria in a dose dependent manner following supplementation with either 2</w:t>
      </w:r>
      <w:r w:rsidR="000A17BB" w:rsidRPr="00893334">
        <w:t>′</w:t>
      </w:r>
      <w:r w:rsidRPr="00893334">
        <w:t>-FL or LNnT alone or in combination at a 2:1 ratio of 2</w:t>
      </w:r>
      <w:r w:rsidR="000A17BB" w:rsidRPr="00893334">
        <w:t>′</w:t>
      </w:r>
      <w:r w:rsidRPr="00893334">
        <w:t>-FL:LNnT.</w:t>
      </w:r>
    </w:p>
    <w:p w14:paraId="4EDE2EF7" w14:textId="77777777" w:rsidR="00762ABD" w:rsidRPr="00893334" w:rsidRDefault="00762ABD" w:rsidP="00762ABD"/>
    <w:p w14:paraId="3CBCA674" w14:textId="6DBAC617" w:rsidR="00762ABD" w:rsidRPr="00893334" w:rsidRDefault="00762ABD" w:rsidP="00762ABD">
      <w:r w:rsidRPr="00893334">
        <w:t>The assessment of immune modulation and improved barrier function concluded that there is insufficient evidence to support the assertion that infant formula supplemented with 2</w:t>
      </w:r>
      <w:r w:rsidR="000A17BB" w:rsidRPr="00893334">
        <w:t>′</w:t>
      </w:r>
      <w:r w:rsidRPr="00893334">
        <w:t>-FL alone or</w:t>
      </w:r>
      <w:r w:rsidRPr="00893334" w:rsidDel="00BF44E5">
        <w:t xml:space="preserve"> </w:t>
      </w:r>
      <w:r w:rsidRPr="00893334">
        <w:t xml:space="preserve">with LNnT will have an immune modulating effect or improve barrier function in infants and toddlers. The evidence to support these proposed health effects are largely based on </w:t>
      </w:r>
      <w:r w:rsidRPr="00893334">
        <w:rPr>
          <w:i/>
        </w:rPr>
        <w:t>in vitro</w:t>
      </w:r>
      <w:r w:rsidRPr="00893334">
        <w:t xml:space="preserve"> studies and are not well supported by </w:t>
      </w:r>
      <w:r w:rsidRPr="00893334">
        <w:rPr>
          <w:i/>
        </w:rPr>
        <w:t>in vivo</w:t>
      </w:r>
      <w:r w:rsidRPr="00893334">
        <w:t xml:space="preserve"> animal models or infant feeding studies. Of clinical significance in the assessment of food allergies, the available evidence demonstrates that 2</w:t>
      </w:r>
      <w:r w:rsidR="000A17BB" w:rsidRPr="00893334">
        <w:t>′</w:t>
      </w:r>
      <w:r w:rsidRPr="00893334">
        <w:t>-FL does not prevent the production of allergen-specific IgE-immunoglobulins after sensitisation has occurred, and therefore 2</w:t>
      </w:r>
      <w:r w:rsidR="000A17BB" w:rsidRPr="00893334">
        <w:t>′</w:t>
      </w:r>
      <w:r w:rsidRPr="00893334">
        <w:t>-FL does not protect against anaphylaxis.</w:t>
      </w:r>
    </w:p>
    <w:p w14:paraId="50CDDF81" w14:textId="2754D93B" w:rsidR="00355D3C" w:rsidRPr="00893334" w:rsidRDefault="00355D3C" w:rsidP="003E7621">
      <w:pPr>
        <w:rPr>
          <w:lang w:val="en-AU"/>
        </w:rPr>
      </w:pPr>
    </w:p>
    <w:p w14:paraId="115C0A5E" w14:textId="6CC402C7" w:rsidR="00007959" w:rsidRPr="00893334" w:rsidRDefault="00007959" w:rsidP="003E7621">
      <w:pPr>
        <w:rPr>
          <w:lang w:val="en-AU"/>
        </w:rPr>
      </w:pPr>
      <w:r w:rsidRPr="00893334">
        <w:rPr>
          <w:lang w:val="en-AU"/>
        </w:rPr>
        <w:t xml:space="preserve">Overall, </w:t>
      </w:r>
      <w:r w:rsidRPr="00893334">
        <w:t xml:space="preserve">FSANZ concludes that the bifidogenic effect and anti-infective effect against invasive </w:t>
      </w:r>
      <w:r w:rsidRPr="00893334">
        <w:rPr>
          <w:i/>
        </w:rPr>
        <w:t>C. jejuni</w:t>
      </w:r>
      <w:r w:rsidRPr="00893334">
        <w:t xml:space="preserve"> are biologically plausible and the assessed evidence supports a mechanism for these effects, although direct and consistent evidence of association in infants and toddlers, as demonstrated by well-designed randomised control trials, are lacking. In reaching this conclusion, FSANZ has taken into consideration the complexity of definitively and reproducibly demonstrating a health effect for a substrate targeted at modulating gut microflora. Evidence from an </w:t>
      </w:r>
      <w:r w:rsidRPr="00893334">
        <w:rPr>
          <w:i/>
        </w:rPr>
        <w:t>in vitro</w:t>
      </w:r>
      <w:r w:rsidRPr="00893334">
        <w:t xml:space="preserve"> laboratory study for anti-infective effect and an adult study for bifidogenic effect, indicates that these health effects</w:t>
      </w:r>
      <w:r w:rsidRPr="00893334" w:rsidDel="00D81C78">
        <w:t xml:space="preserve"> </w:t>
      </w:r>
      <w:r w:rsidRPr="00893334">
        <w:t xml:space="preserve">may be enhanced as concentrations of </w:t>
      </w:r>
      <w:r w:rsidR="00B51870" w:rsidRPr="00893334">
        <w:t>2′</w:t>
      </w:r>
      <w:r w:rsidRPr="00893334">
        <w:t>-FL (or LNnT in the case of the bifidogenic effect only) are increased</w:t>
      </w:r>
      <w:r w:rsidRPr="00893334">
        <w:rPr>
          <w:lang w:val="en-AU"/>
        </w:rPr>
        <w:t xml:space="preserve">. </w:t>
      </w:r>
      <w:r w:rsidRPr="00893334">
        <w:t>Evidence to support the health effects of improved barrier function, immune modulation and alleviation of allergic responses are inconclusive.</w:t>
      </w:r>
      <w:r w:rsidRPr="00893334" w:rsidDel="001A64F1">
        <w:rPr>
          <w:lang w:val="en-AU"/>
        </w:rPr>
        <w:t xml:space="preserve"> </w:t>
      </w:r>
    </w:p>
    <w:p w14:paraId="2BFEA284" w14:textId="7DB3628F" w:rsidR="004F69F6" w:rsidRPr="00893334" w:rsidRDefault="00D3171B" w:rsidP="004646F8">
      <w:pPr>
        <w:pStyle w:val="Heading2"/>
        <w:rPr>
          <w:b w:val="0"/>
        </w:rPr>
      </w:pPr>
      <w:bookmarkStart w:id="90" w:name="_Toc11247904"/>
      <w:bookmarkStart w:id="91" w:name="_Toc14427197"/>
      <w:r w:rsidRPr="00893334">
        <w:t>2</w:t>
      </w:r>
      <w:r w:rsidR="0045556F" w:rsidRPr="00893334">
        <w:t>.</w:t>
      </w:r>
      <w:r w:rsidR="00934E2E" w:rsidRPr="00893334">
        <w:t>3</w:t>
      </w:r>
      <w:r w:rsidR="00271F00" w:rsidRPr="00893334">
        <w:tab/>
      </w:r>
      <w:bookmarkEnd w:id="81"/>
      <w:bookmarkEnd w:id="82"/>
      <w:bookmarkEnd w:id="83"/>
      <w:r w:rsidR="0045556F" w:rsidRPr="00893334">
        <w:t>R</w:t>
      </w:r>
      <w:r w:rsidR="00707E72" w:rsidRPr="00893334">
        <w:t>isk m</w:t>
      </w:r>
      <w:r w:rsidR="008A35FB" w:rsidRPr="00893334">
        <w:t>anagement</w:t>
      </w:r>
      <w:bookmarkEnd w:id="84"/>
      <w:bookmarkEnd w:id="89"/>
      <w:bookmarkEnd w:id="90"/>
      <w:bookmarkEnd w:id="91"/>
    </w:p>
    <w:p w14:paraId="53915DA9" w14:textId="49A21179" w:rsidR="00014BFA" w:rsidRPr="00893334" w:rsidRDefault="008A3AC2" w:rsidP="0055473F">
      <w:pPr>
        <w:widowControl/>
        <w:rPr>
          <w:rFonts w:cs="Arial"/>
          <w:szCs w:val="22"/>
        </w:rPr>
      </w:pPr>
      <w:bookmarkStart w:id="92" w:name="_Toc300761910"/>
      <w:r w:rsidRPr="00893334">
        <w:rPr>
          <w:lang w:bidi="ar-SA"/>
        </w:rPr>
        <w:t>B</w:t>
      </w:r>
      <w:r w:rsidR="00020D40" w:rsidRPr="00893334">
        <w:rPr>
          <w:lang w:bidi="ar-SA"/>
        </w:rPr>
        <w:t>reastfeeding is the recommended way to feed infants</w:t>
      </w:r>
      <w:r w:rsidR="00F36E2D" w:rsidRPr="00893334">
        <w:rPr>
          <w:lang w:bidi="ar-SA"/>
        </w:rPr>
        <w:t>.</w:t>
      </w:r>
      <w:r w:rsidR="00F36E2D" w:rsidRPr="00893334" w:rsidDel="00F36E2D">
        <w:rPr>
          <w:lang w:bidi="ar-SA"/>
        </w:rPr>
        <w:t xml:space="preserve"> </w:t>
      </w:r>
      <w:r w:rsidRPr="00893334">
        <w:rPr>
          <w:lang w:bidi="ar-SA"/>
        </w:rPr>
        <w:t>However,</w:t>
      </w:r>
      <w:r w:rsidR="00020D40" w:rsidRPr="00893334">
        <w:rPr>
          <w:lang w:bidi="ar-SA"/>
        </w:rPr>
        <w:t xml:space="preserve"> a safe and nutritious substitute for </w:t>
      </w:r>
      <w:r w:rsidR="00F87C2D" w:rsidRPr="00893334">
        <w:rPr>
          <w:lang w:bidi="ar-SA"/>
        </w:rPr>
        <w:t>human</w:t>
      </w:r>
      <w:r w:rsidR="002F77E7" w:rsidRPr="00893334">
        <w:rPr>
          <w:lang w:bidi="ar-SA"/>
        </w:rPr>
        <w:t xml:space="preserve"> </w:t>
      </w:r>
      <w:r w:rsidR="005E43B5" w:rsidRPr="00893334">
        <w:rPr>
          <w:lang w:bidi="ar-SA"/>
        </w:rPr>
        <w:t>milk is needed for infants who</w:t>
      </w:r>
      <w:r w:rsidR="00020D40" w:rsidRPr="00893334">
        <w:rPr>
          <w:lang w:bidi="ar-SA"/>
        </w:rPr>
        <w:t xml:space="preserve"> are not breastfed</w:t>
      </w:r>
      <w:r w:rsidR="00020D40" w:rsidRPr="00893334">
        <w:rPr>
          <w:rFonts w:cs="Arial"/>
          <w:szCs w:val="22"/>
        </w:rPr>
        <w:t xml:space="preserve">. </w:t>
      </w:r>
      <w:r w:rsidR="00AE6440" w:rsidRPr="00893334">
        <w:rPr>
          <w:rFonts w:cs="Arial"/>
          <w:szCs w:val="22"/>
        </w:rPr>
        <w:t xml:space="preserve">As infants and young children </w:t>
      </w:r>
      <w:r w:rsidR="00A34236" w:rsidRPr="00893334">
        <w:rPr>
          <w:rFonts w:cs="Arial"/>
          <w:szCs w:val="22"/>
        </w:rPr>
        <w:t xml:space="preserve">(i.e. </w:t>
      </w:r>
      <w:r w:rsidR="00A92F41" w:rsidRPr="00893334">
        <w:rPr>
          <w:rFonts w:cs="Arial"/>
          <w:szCs w:val="22"/>
        </w:rPr>
        <w:t>‘</w:t>
      </w:r>
      <w:r w:rsidR="00A34236" w:rsidRPr="00893334">
        <w:rPr>
          <w:rFonts w:cs="Arial"/>
          <w:szCs w:val="22"/>
        </w:rPr>
        <w:t>toddlers</w:t>
      </w:r>
      <w:r w:rsidR="00A92F41" w:rsidRPr="00893334">
        <w:rPr>
          <w:rFonts w:cs="Arial"/>
          <w:szCs w:val="22"/>
        </w:rPr>
        <w:t>’</w:t>
      </w:r>
      <w:r w:rsidR="00A34236" w:rsidRPr="00893334">
        <w:rPr>
          <w:rFonts w:cs="Arial"/>
          <w:szCs w:val="22"/>
        </w:rPr>
        <w:t xml:space="preserve">) </w:t>
      </w:r>
      <w:r w:rsidR="00AE6440" w:rsidRPr="00893334">
        <w:rPr>
          <w:rFonts w:cs="Arial"/>
          <w:szCs w:val="22"/>
        </w:rPr>
        <w:t>are vulnerable population groups,</w:t>
      </w:r>
      <w:r w:rsidR="00BF6AA7" w:rsidRPr="00893334">
        <w:rPr>
          <w:rFonts w:cs="Arial"/>
          <w:szCs w:val="22"/>
        </w:rPr>
        <w:t xml:space="preserve"> infant formula products and FSFYC are regulated by prescriptive provisions for the composition and labelling of these products.</w:t>
      </w:r>
      <w:r w:rsidR="00020D40" w:rsidRPr="00893334">
        <w:rPr>
          <w:lang w:bidi="ar-SA"/>
        </w:rPr>
        <w:t xml:space="preserve"> </w:t>
      </w:r>
      <w:r w:rsidR="00BF6AA7" w:rsidRPr="00893334">
        <w:rPr>
          <w:rFonts w:cs="Arial"/>
          <w:szCs w:val="22"/>
        </w:rPr>
        <w:t>A</w:t>
      </w:r>
      <w:r w:rsidR="001477A7" w:rsidRPr="00893334">
        <w:rPr>
          <w:rFonts w:cs="Arial"/>
          <w:szCs w:val="22"/>
        </w:rPr>
        <w:t>ny</w:t>
      </w:r>
      <w:r w:rsidR="00061407" w:rsidRPr="00893334">
        <w:rPr>
          <w:rFonts w:cs="Arial"/>
          <w:szCs w:val="22"/>
        </w:rPr>
        <w:t xml:space="preserve"> changes to the composition of </w:t>
      </w:r>
      <w:r w:rsidR="00020D40" w:rsidRPr="00893334">
        <w:rPr>
          <w:rFonts w:cs="Arial"/>
          <w:szCs w:val="22"/>
        </w:rPr>
        <w:t>these products</w:t>
      </w:r>
      <w:r w:rsidR="00050FB7" w:rsidRPr="00893334">
        <w:rPr>
          <w:rFonts w:cs="Arial"/>
          <w:szCs w:val="22"/>
        </w:rPr>
        <w:t xml:space="preserve"> must be established as safe </w:t>
      </w:r>
      <w:r w:rsidR="005C792B" w:rsidRPr="00893334">
        <w:rPr>
          <w:rFonts w:cs="Arial"/>
          <w:szCs w:val="22"/>
        </w:rPr>
        <w:t>prior to being permitted</w:t>
      </w:r>
      <w:r w:rsidR="00D64474" w:rsidRPr="00893334">
        <w:rPr>
          <w:rFonts w:cs="Arial"/>
          <w:szCs w:val="22"/>
        </w:rPr>
        <w:t xml:space="preserve">. </w:t>
      </w:r>
    </w:p>
    <w:p w14:paraId="1899FE4B" w14:textId="79A0C3B4" w:rsidR="003D2062" w:rsidRPr="00893334" w:rsidRDefault="003D2062" w:rsidP="0055473F">
      <w:pPr>
        <w:widowControl/>
        <w:rPr>
          <w:rFonts w:cs="Arial"/>
          <w:szCs w:val="22"/>
        </w:rPr>
      </w:pPr>
    </w:p>
    <w:p w14:paraId="67FF0D10" w14:textId="1462BF17" w:rsidR="00516FEE" w:rsidRDefault="00FF0CBD" w:rsidP="0055473F">
      <w:pPr>
        <w:widowControl/>
        <w:rPr>
          <w:rFonts w:cs="Arial"/>
          <w:szCs w:val="22"/>
        </w:rPr>
      </w:pPr>
      <w:r w:rsidRPr="00893334">
        <w:rPr>
          <w:rFonts w:cs="Arial"/>
          <w:szCs w:val="22"/>
        </w:rPr>
        <w:t>FSANZ has ha</w:t>
      </w:r>
      <w:r w:rsidR="00E47829" w:rsidRPr="00893334">
        <w:rPr>
          <w:rFonts w:cs="Arial"/>
          <w:szCs w:val="22"/>
        </w:rPr>
        <w:t>d</w:t>
      </w:r>
      <w:r w:rsidRPr="00893334">
        <w:rPr>
          <w:rFonts w:cs="Arial"/>
          <w:szCs w:val="22"/>
        </w:rPr>
        <w:t xml:space="preserve"> regard to the requirements of the FSANZ Act (see section 2.5)</w:t>
      </w:r>
      <w:r w:rsidR="00D465EF" w:rsidRPr="00893334">
        <w:rPr>
          <w:rFonts w:cs="Arial"/>
          <w:szCs w:val="22"/>
        </w:rPr>
        <w:t xml:space="preserve"> in developing the proposed regulatory measure</w:t>
      </w:r>
      <w:r w:rsidRPr="00893334">
        <w:rPr>
          <w:rFonts w:cs="Arial"/>
          <w:szCs w:val="22"/>
        </w:rPr>
        <w:t xml:space="preserve">. </w:t>
      </w:r>
      <w:r w:rsidR="00064E88" w:rsidRPr="00893334">
        <w:rPr>
          <w:rFonts w:cs="Arial"/>
          <w:szCs w:val="22"/>
        </w:rPr>
        <w:t xml:space="preserve">Since the </w:t>
      </w:r>
      <w:r w:rsidR="00D208F7" w:rsidRPr="00893334">
        <w:rPr>
          <w:rFonts w:cs="Arial"/>
          <w:szCs w:val="22"/>
        </w:rPr>
        <w:t xml:space="preserve">safety, technical and health effects </w:t>
      </w:r>
      <w:r w:rsidR="00064E88" w:rsidRPr="00893334">
        <w:rPr>
          <w:rFonts w:cs="Arial"/>
          <w:szCs w:val="22"/>
        </w:rPr>
        <w:t xml:space="preserve">assessment </w:t>
      </w:r>
      <w:r w:rsidR="00CF314F" w:rsidRPr="00893334">
        <w:rPr>
          <w:rFonts w:cs="Arial"/>
          <w:szCs w:val="22"/>
        </w:rPr>
        <w:t xml:space="preserve">(SD1) </w:t>
      </w:r>
      <w:r w:rsidR="00064E88" w:rsidRPr="00893334">
        <w:rPr>
          <w:rFonts w:cs="Arial"/>
          <w:szCs w:val="22"/>
        </w:rPr>
        <w:t xml:space="preserve">concluded that there are no public health and safety concerns </w:t>
      </w:r>
      <w:r w:rsidR="00B25E84" w:rsidRPr="00893334">
        <w:rPr>
          <w:rFonts w:cs="Arial"/>
          <w:szCs w:val="22"/>
        </w:rPr>
        <w:t xml:space="preserve">associated </w:t>
      </w:r>
      <w:r w:rsidR="00D3411C" w:rsidRPr="00893334">
        <w:rPr>
          <w:rFonts w:cs="Arial"/>
          <w:szCs w:val="22"/>
        </w:rPr>
        <w:t>with the</w:t>
      </w:r>
      <w:r w:rsidR="00F7121A" w:rsidRPr="00893334">
        <w:rPr>
          <w:rFonts w:cs="Arial"/>
          <w:szCs w:val="22"/>
        </w:rPr>
        <w:t xml:space="preserve"> addition of 2</w:t>
      </w:r>
      <w:r w:rsidR="000A17BB" w:rsidRPr="00893334">
        <w:rPr>
          <w:rFonts w:cs="Arial"/>
          <w:szCs w:val="22"/>
        </w:rPr>
        <w:t>′</w:t>
      </w:r>
      <w:r w:rsidR="00F7121A" w:rsidRPr="00893334">
        <w:rPr>
          <w:rFonts w:cs="Arial"/>
          <w:szCs w:val="22"/>
        </w:rPr>
        <w:t xml:space="preserve">-FL </w:t>
      </w:r>
      <w:r w:rsidR="00064E88" w:rsidRPr="00893334">
        <w:rPr>
          <w:rFonts w:cs="Arial"/>
          <w:szCs w:val="22"/>
        </w:rPr>
        <w:t>alone</w:t>
      </w:r>
      <w:r w:rsidR="006E60EA" w:rsidRPr="00893334">
        <w:rPr>
          <w:rFonts w:cs="Arial"/>
          <w:szCs w:val="22"/>
        </w:rPr>
        <w:t xml:space="preserve"> </w:t>
      </w:r>
      <w:r w:rsidR="00D3411C" w:rsidRPr="00893334">
        <w:rPr>
          <w:rFonts w:cs="Arial"/>
          <w:szCs w:val="22"/>
        </w:rPr>
        <w:t>or with</w:t>
      </w:r>
      <w:r w:rsidR="00064E88" w:rsidRPr="00893334">
        <w:rPr>
          <w:rFonts w:cs="Arial"/>
          <w:szCs w:val="22"/>
        </w:rPr>
        <w:t xml:space="preserve"> LNnT</w:t>
      </w:r>
      <w:r w:rsidR="00E31BE6" w:rsidRPr="00893334">
        <w:rPr>
          <w:rFonts w:cs="Arial"/>
          <w:szCs w:val="22"/>
        </w:rPr>
        <w:t xml:space="preserve"> in a wide range of ratios and at levels up to 2.4 g/L</w:t>
      </w:r>
      <w:r w:rsidR="00FB1862" w:rsidRPr="00893334">
        <w:rPr>
          <w:rFonts w:cs="Arial"/>
          <w:szCs w:val="22"/>
        </w:rPr>
        <w:t xml:space="preserve"> </w:t>
      </w:r>
      <w:r w:rsidR="0023021C" w:rsidRPr="00893334">
        <w:rPr>
          <w:rFonts w:cs="Arial"/>
          <w:szCs w:val="22"/>
        </w:rPr>
        <w:t xml:space="preserve">2′-FL </w:t>
      </w:r>
      <w:r w:rsidR="00064E88" w:rsidRPr="00893334">
        <w:rPr>
          <w:rFonts w:cs="Arial"/>
          <w:szCs w:val="22"/>
        </w:rPr>
        <w:t>to</w:t>
      </w:r>
      <w:r w:rsidR="00064E88">
        <w:rPr>
          <w:rFonts w:cs="Arial"/>
          <w:szCs w:val="22"/>
        </w:rPr>
        <w:t xml:space="preserve"> infant formula products and FSFYC, FSANZ also </w:t>
      </w:r>
      <w:r w:rsidR="00426F9A">
        <w:rPr>
          <w:rFonts w:cs="Arial"/>
          <w:szCs w:val="22"/>
        </w:rPr>
        <w:t>had regard to</w:t>
      </w:r>
      <w:r w:rsidR="00064E88">
        <w:rPr>
          <w:rFonts w:cs="Arial"/>
          <w:szCs w:val="22"/>
        </w:rPr>
        <w:t xml:space="preserve"> matters</w:t>
      </w:r>
      <w:r w:rsidR="006713C2">
        <w:rPr>
          <w:rFonts w:cs="Arial"/>
          <w:szCs w:val="22"/>
        </w:rPr>
        <w:t xml:space="preserve"> </w:t>
      </w:r>
      <w:r w:rsidR="00064E88" w:rsidDel="006713C2">
        <w:rPr>
          <w:rFonts w:cs="Arial"/>
          <w:szCs w:val="22"/>
        </w:rPr>
        <w:t xml:space="preserve">covered in </w:t>
      </w:r>
      <w:r w:rsidR="00064E88">
        <w:rPr>
          <w:rFonts w:cs="Arial"/>
          <w:szCs w:val="22"/>
        </w:rPr>
        <w:t>the following two Ministerial Policy Guidelines</w:t>
      </w:r>
      <w:r w:rsidR="004278F4">
        <w:rPr>
          <w:rFonts w:cs="Arial"/>
          <w:szCs w:val="22"/>
        </w:rPr>
        <w:t xml:space="preserve"> (see SD2)</w:t>
      </w:r>
      <w:r w:rsidR="00064E88">
        <w:rPr>
          <w:rFonts w:cs="Arial"/>
          <w:szCs w:val="22"/>
        </w:rPr>
        <w:t xml:space="preserve">: </w:t>
      </w:r>
    </w:p>
    <w:p w14:paraId="2594C084" w14:textId="77777777" w:rsidR="00020C54" w:rsidRDefault="00020C54" w:rsidP="0055473F">
      <w:pPr>
        <w:widowControl/>
        <w:rPr>
          <w:rFonts w:cs="Arial"/>
          <w:szCs w:val="22"/>
        </w:rPr>
      </w:pPr>
    </w:p>
    <w:p w14:paraId="7846B7D1" w14:textId="7B82FC54" w:rsidR="00422F66" w:rsidRPr="00422F66" w:rsidRDefault="00050FB7" w:rsidP="00B57142">
      <w:pPr>
        <w:pStyle w:val="FSBullet1"/>
        <w:rPr>
          <w:szCs w:val="22"/>
        </w:rPr>
      </w:pPr>
      <w:r>
        <w:t>Regulation of infant formula products</w:t>
      </w:r>
      <w:r w:rsidR="004879F7">
        <w:rPr>
          <w:rStyle w:val="FootnoteReference"/>
        </w:rPr>
        <w:footnoteReference w:id="12"/>
      </w:r>
      <w:r w:rsidR="002B6C97">
        <w:t xml:space="preserve"> </w:t>
      </w:r>
    </w:p>
    <w:p w14:paraId="052CCA66" w14:textId="0B752852" w:rsidR="00422F66" w:rsidRPr="00422F66" w:rsidRDefault="00FB1862" w:rsidP="00B87FD6">
      <w:pPr>
        <w:pStyle w:val="FSBullet1"/>
        <w:rPr>
          <w:szCs w:val="22"/>
        </w:rPr>
      </w:pPr>
      <w:r>
        <w:t>I</w:t>
      </w:r>
      <w:r w:rsidR="00050FB7">
        <w:t>ntent of Part 2.9 – Special purpose foods of the Code</w:t>
      </w:r>
      <w:r w:rsidR="004879F7">
        <w:rPr>
          <w:rStyle w:val="FootnoteReference"/>
        </w:rPr>
        <w:footnoteReference w:id="13"/>
      </w:r>
      <w:r w:rsidR="0012228E">
        <w:t xml:space="preserve"> </w:t>
      </w:r>
    </w:p>
    <w:p w14:paraId="15AF335C" w14:textId="77777777" w:rsidR="00422F66" w:rsidRDefault="00422F66" w:rsidP="00020C54"/>
    <w:p w14:paraId="346621B8" w14:textId="47F5055B" w:rsidR="00D465EF" w:rsidRPr="00D465EF" w:rsidRDefault="00431C88" w:rsidP="00020C54">
      <w:r>
        <w:t>The</w:t>
      </w:r>
      <w:r w:rsidR="00050FB7" w:rsidRPr="00422F66">
        <w:t xml:space="preserve"> </w:t>
      </w:r>
      <w:r w:rsidR="002B6C97" w:rsidRPr="00422F66">
        <w:t xml:space="preserve">infant formula </w:t>
      </w:r>
      <w:r w:rsidR="00050FB7" w:rsidRPr="00422F66">
        <w:t>policy guideline</w:t>
      </w:r>
      <w:r w:rsidR="00D64474" w:rsidRPr="00422F66">
        <w:t xml:space="preserve"> </w:t>
      </w:r>
      <w:r w:rsidR="00050FB7" w:rsidRPr="00422F66">
        <w:t xml:space="preserve">refers to the need to demonstrate a </w:t>
      </w:r>
      <w:r w:rsidR="006713C2">
        <w:t xml:space="preserve">link between </w:t>
      </w:r>
      <w:r w:rsidR="008E22B5">
        <w:t xml:space="preserve">physiological, biochemical or functional </w:t>
      </w:r>
      <w:r w:rsidR="006713C2">
        <w:t xml:space="preserve">effects </w:t>
      </w:r>
      <w:r w:rsidR="008E22B5">
        <w:t xml:space="preserve">to specific </w:t>
      </w:r>
      <w:r w:rsidR="00050FB7" w:rsidRPr="00422F66">
        <w:t>health outcome</w:t>
      </w:r>
      <w:r w:rsidR="006713C2">
        <w:t>s</w:t>
      </w:r>
      <w:r w:rsidR="00050FB7" w:rsidRPr="00422F66">
        <w:t xml:space="preserve"> for formula-fed infants</w:t>
      </w:r>
      <w:r w:rsidR="006713C2">
        <w:t xml:space="preserve"> with appropriate evidence</w:t>
      </w:r>
      <w:r w:rsidR="002B6C97" w:rsidRPr="00422F66">
        <w:t xml:space="preserve">, </w:t>
      </w:r>
      <w:r w:rsidR="005E6C13">
        <w:t xml:space="preserve">and to use human milk as the primary reference for determining the composition of infant formula and follow-on formula. </w:t>
      </w:r>
      <w:r w:rsidR="002B6C97" w:rsidRPr="00422F66">
        <w:t xml:space="preserve">The </w:t>
      </w:r>
      <w:r w:rsidR="009E4354">
        <w:t>i</w:t>
      </w:r>
      <w:r w:rsidR="00FF0896">
        <w:t xml:space="preserve">ntent of </w:t>
      </w:r>
      <w:r w:rsidR="002B6C97" w:rsidRPr="00422F66">
        <w:t xml:space="preserve">Part 2.9 policy guideline refers to </w:t>
      </w:r>
      <w:r w:rsidR="009E5A62" w:rsidRPr="00422F66">
        <w:t>the</w:t>
      </w:r>
      <w:r w:rsidR="002B6C97" w:rsidRPr="00422F66">
        <w:t xml:space="preserve"> need for the proposed change to be consistent with the intended purpose of the food.</w:t>
      </w:r>
    </w:p>
    <w:p w14:paraId="538859FD" w14:textId="73B14DBA" w:rsidR="00227BD3" w:rsidRPr="00227BD3" w:rsidRDefault="00334004" w:rsidP="00285B14">
      <w:pPr>
        <w:pStyle w:val="Heading3"/>
      </w:pPr>
      <w:bookmarkStart w:id="93" w:name="_Toc525729990"/>
      <w:bookmarkStart w:id="94" w:name="_Toc527018235"/>
      <w:bookmarkStart w:id="95" w:name="_Toc11247905"/>
      <w:bookmarkStart w:id="96" w:name="_Toc14427198"/>
      <w:r>
        <w:t>2.</w:t>
      </w:r>
      <w:r w:rsidR="00934E2E">
        <w:t>3</w:t>
      </w:r>
      <w:r>
        <w:t>.1</w:t>
      </w:r>
      <w:r w:rsidR="00285B14">
        <w:tab/>
      </w:r>
      <w:r w:rsidR="00902354">
        <w:t>H</w:t>
      </w:r>
      <w:r w:rsidR="00AA7E2C">
        <w:t xml:space="preserve">ealth </w:t>
      </w:r>
      <w:r w:rsidR="009A04B9">
        <w:t>effects</w:t>
      </w:r>
      <w:bookmarkEnd w:id="93"/>
      <w:bookmarkEnd w:id="94"/>
      <w:bookmarkEnd w:id="95"/>
      <w:bookmarkEnd w:id="96"/>
      <w:r w:rsidR="008C5883">
        <w:t xml:space="preserve"> </w:t>
      </w:r>
    </w:p>
    <w:p w14:paraId="0306AEE4" w14:textId="0020358E" w:rsidR="00505581" w:rsidRDefault="00CE5126" w:rsidP="0060145E">
      <w:r>
        <w:t xml:space="preserve">FSANZ has assessed </w:t>
      </w:r>
      <w:r w:rsidR="00B50978">
        <w:t>each</w:t>
      </w:r>
      <w:r w:rsidR="008E5F27">
        <w:t xml:space="preserve"> of the </w:t>
      </w:r>
      <w:r w:rsidR="0060145E">
        <w:t xml:space="preserve">favourable </w:t>
      </w:r>
      <w:r w:rsidR="00B50978">
        <w:t xml:space="preserve">health </w:t>
      </w:r>
      <w:r w:rsidR="0060145E">
        <w:t>effect</w:t>
      </w:r>
      <w:r w:rsidR="00994243">
        <w:t>s of</w:t>
      </w:r>
      <w:r w:rsidR="008E5F27">
        <w:t xml:space="preserve"> 2</w:t>
      </w:r>
      <w:r w:rsidR="000A17BB">
        <w:t>′</w:t>
      </w:r>
      <w:r w:rsidR="008E5F27">
        <w:t xml:space="preserve">-FL and </w:t>
      </w:r>
      <w:r w:rsidR="0060145E">
        <w:t xml:space="preserve">LNnT </w:t>
      </w:r>
      <w:r w:rsidR="00A0385C">
        <w:t>stated in the a</w:t>
      </w:r>
      <w:r w:rsidR="00E858C0">
        <w:t>pplication</w:t>
      </w:r>
      <w:r w:rsidR="00505581">
        <w:t>: anti-</w:t>
      </w:r>
      <w:r w:rsidR="006205F2">
        <w:t>in</w:t>
      </w:r>
      <w:r w:rsidR="00505581">
        <w:t>fective effect; bifidogenic effect;</w:t>
      </w:r>
      <w:r w:rsidR="008E5F27">
        <w:t xml:space="preserve"> and</w:t>
      </w:r>
      <w:r w:rsidR="00596E33">
        <w:t xml:space="preserve"> immune modulation</w:t>
      </w:r>
      <w:r w:rsidR="00505581" w:rsidDel="0033613A">
        <w:t>,</w:t>
      </w:r>
      <w:r w:rsidR="00596E33" w:rsidDel="0033613A">
        <w:t xml:space="preserve"> </w:t>
      </w:r>
      <w:r w:rsidR="00505581">
        <w:t xml:space="preserve">improved intestinal barrier function </w:t>
      </w:r>
      <w:r w:rsidR="00596E33">
        <w:t xml:space="preserve">and </w:t>
      </w:r>
      <w:r w:rsidR="00185CF9">
        <w:t>alleviation of allergic responses</w:t>
      </w:r>
      <w:r w:rsidR="0060145E">
        <w:t xml:space="preserve">. </w:t>
      </w:r>
      <w:r w:rsidR="00C426B5">
        <w:t xml:space="preserve"> </w:t>
      </w:r>
    </w:p>
    <w:p w14:paraId="0FE166CF" w14:textId="671C7EE0" w:rsidR="00292853" w:rsidRDefault="00334004" w:rsidP="00292853">
      <w:pPr>
        <w:pStyle w:val="Heading4"/>
      </w:pPr>
      <w:r>
        <w:t>2.</w:t>
      </w:r>
      <w:r w:rsidR="00934E2E">
        <w:t>3</w:t>
      </w:r>
      <w:r>
        <w:t>.1.1</w:t>
      </w:r>
      <w:r>
        <w:tab/>
      </w:r>
      <w:r w:rsidR="00292853">
        <w:t xml:space="preserve">Anti-infective effect </w:t>
      </w:r>
    </w:p>
    <w:p w14:paraId="6AD226A1" w14:textId="2E91ED8C" w:rsidR="00B42642" w:rsidRDefault="001C3CB5" w:rsidP="000C15AA">
      <w:r w:rsidRPr="0001609D">
        <w:t>The current</w:t>
      </w:r>
      <w:r w:rsidR="0074030A" w:rsidRPr="0001609D">
        <w:t xml:space="preserve"> available evidence</w:t>
      </w:r>
      <w:r w:rsidR="00F1140A" w:rsidRPr="0001609D">
        <w:t xml:space="preserve"> </w:t>
      </w:r>
      <w:r w:rsidR="0076446A">
        <w:t>for 2</w:t>
      </w:r>
      <w:r w:rsidR="000A17BB">
        <w:t>′</w:t>
      </w:r>
      <w:r w:rsidR="0076446A">
        <w:t xml:space="preserve">-FL </w:t>
      </w:r>
      <w:r w:rsidR="00EB5D2D" w:rsidRPr="0001609D">
        <w:t xml:space="preserve">supports </w:t>
      </w:r>
      <w:r w:rsidR="00543B7E">
        <w:t>the bi</w:t>
      </w:r>
      <w:r w:rsidR="00D7785C">
        <w:t xml:space="preserve">ological and mechanistic </w:t>
      </w:r>
      <w:r w:rsidR="00543B7E">
        <w:t xml:space="preserve">plausibility of </w:t>
      </w:r>
      <w:r w:rsidR="00C951B9">
        <w:t>a</w:t>
      </w:r>
      <w:r w:rsidR="00543B7E">
        <w:t>n</w:t>
      </w:r>
      <w:r w:rsidR="00C951B9">
        <w:t xml:space="preserve"> </w:t>
      </w:r>
      <w:r w:rsidR="0074030A" w:rsidRPr="0001609D">
        <w:t xml:space="preserve">inhibitory effect against invasive </w:t>
      </w:r>
      <w:r w:rsidR="0074030A" w:rsidRPr="0001609D">
        <w:rPr>
          <w:i/>
        </w:rPr>
        <w:t>C. jejuni</w:t>
      </w:r>
      <w:r w:rsidR="0074030A" w:rsidRPr="0001609D">
        <w:t xml:space="preserve"> infection</w:t>
      </w:r>
      <w:r w:rsidR="00BE49B9">
        <w:t xml:space="preserve"> in</w:t>
      </w:r>
      <w:r w:rsidR="00BE49B9" w:rsidRPr="0001609D">
        <w:t xml:space="preserve"> infants and toddlers</w:t>
      </w:r>
      <w:r w:rsidR="0074030A" w:rsidRPr="00BC1EEC">
        <w:t>.</w:t>
      </w:r>
      <w:r w:rsidR="0074030A">
        <w:t xml:space="preserve"> </w:t>
      </w:r>
      <w:r w:rsidR="00E94A55">
        <w:t xml:space="preserve">Human and animal studies </w:t>
      </w:r>
      <w:r w:rsidR="005040F5">
        <w:t xml:space="preserve">provided evidence which </w:t>
      </w:r>
      <w:r w:rsidR="00246496">
        <w:t xml:space="preserve">linked this </w:t>
      </w:r>
      <w:r w:rsidR="00770F39">
        <w:t>effect</w:t>
      </w:r>
      <w:r w:rsidR="0074030A">
        <w:t xml:space="preserve"> to a </w:t>
      </w:r>
      <w:r w:rsidR="0074030A" w:rsidRPr="003923C0">
        <w:t>potential</w:t>
      </w:r>
      <w:r w:rsidR="0074030A">
        <w:t xml:space="preserve"> beneficial </w:t>
      </w:r>
      <w:r>
        <w:t xml:space="preserve">health </w:t>
      </w:r>
      <w:r w:rsidR="0074030A">
        <w:t xml:space="preserve">outcome of </w:t>
      </w:r>
      <w:r>
        <w:t>decreased</w:t>
      </w:r>
      <w:r w:rsidR="0074030A">
        <w:t xml:space="preserve"> </w:t>
      </w:r>
      <w:r w:rsidR="00E5260E">
        <w:t xml:space="preserve">severity or </w:t>
      </w:r>
      <w:r w:rsidR="0074030A">
        <w:t xml:space="preserve">incidence of invasive </w:t>
      </w:r>
      <w:r w:rsidR="0074030A" w:rsidRPr="0051245F">
        <w:rPr>
          <w:i/>
        </w:rPr>
        <w:t>Campylobacter</w:t>
      </w:r>
      <w:r w:rsidR="0074030A">
        <w:t xml:space="preserve"> associated diarrhoea</w:t>
      </w:r>
      <w:r w:rsidR="00BE49B9">
        <w:t xml:space="preserve">. </w:t>
      </w:r>
      <w:r w:rsidR="005B5669">
        <w:rPr>
          <w:i/>
        </w:rPr>
        <w:t>I</w:t>
      </w:r>
      <w:r w:rsidR="000C15AA" w:rsidRPr="005D6F61">
        <w:rPr>
          <w:i/>
        </w:rPr>
        <w:t>n vitro</w:t>
      </w:r>
      <w:r w:rsidR="000C15AA">
        <w:t xml:space="preserve"> binding studies </w:t>
      </w:r>
      <w:r w:rsidR="00185CF9">
        <w:t xml:space="preserve">and inhibition assays </w:t>
      </w:r>
      <w:r w:rsidR="000C15AA">
        <w:t>showed a specific interaction between</w:t>
      </w:r>
      <w:r w:rsidR="00024C73">
        <w:t xml:space="preserve"> invasive</w:t>
      </w:r>
      <w:r w:rsidR="000C15AA">
        <w:t xml:space="preserve"> </w:t>
      </w:r>
      <w:r w:rsidR="000C15AA" w:rsidRPr="00C64CAF">
        <w:rPr>
          <w:i/>
        </w:rPr>
        <w:t>C. jejuni</w:t>
      </w:r>
      <w:r w:rsidR="000C15AA">
        <w:t xml:space="preserve"> </w:t>
      </w:r>
      <w:r w:rsidR="00024C73">
        <w:t>strains and 2</w:t>
      </w:r>
      <w:r w:rsidR="000A17BB">
        <w:t>′</w:t>
      </w:r>
      <w:r w:rsidR="00024C73">
        <w:t>-FL</w:t>
      </w:r>
      <w:r w:rsidR="005B5669">
        <w:t>.</w:t>
      </w:r>
      <w:r w:rsidR="00A40BF5">
        <w:t xml:space="preserve"> </w:t>
      </w:r>
      <w:r w:rsidR="00D578A6">
        <w:t>As discussed in section 2.</w:t>
      </w:r>
      <w:r w:rsidR="005E6C13">
        <w:t>2</w:t>
      </w:r>
      <w:r w:rsidR="00D578A6">
        <w:t xml:space="preserve">.2, </w:t>
      </w:r>
      <w:r w:rsidR="003A1521">
        <w:t>FSANZ</w:t>
      </w:r>
      <w:r w:rsidR="005B5669">
        <w:t xml:space="preserve"> </w:t>
      </w:r>
      <w:r w:rsidR="003A1521">
        <w:t xml:space="preserve">considers </w:t>
      </w:r>
      <w:r w:rsidR="00E10432">
        <w:t>th</w:t>
      </w:r>
      <w:r w:rsidR="002955F8">
        <w:t>e</w:t>
      </w:r>
      <w:r w:rsidR="00E10432">
        <w:t xml:space="preserve"> anti-infective</w:t>
      </w:r>
      <w:r w:rsidR="003A1521" w:rsidDel="007D5EC3">
        <w:t xml:space="preserve"> </w:t>
      </w:r>
      <w:r w:rsidR="007D5EC3">
        <w:t xml:space="preserve">effect </w:t>
      </w:r>
      <w:r w:rsidR="003A1521">
        <w:t xml:space="preserve">could </w:t>
      </w:r>
      <w:r w:rsidR="005B5669">
        <w:t xml:space="preserve">occur </w:t>
      </w:r>
      <w:r w:rsidR="003A1521">
        <w:t xml:space="preserve">at the </w:t>
      </w:r>
      <w:r w:rsidR="00AB7AF3">
        <w:t xml:space="preserve">requested </w:t>
      </w:r>
      <w:r w:rsidR="003A1521">
        <w:t>level of 2</w:t>
      </w:r>
      <w:r w:rsidR="000A17BB">
        <w:t>′</w:t>
      </w:r>
      <w:r w:rsidR="003A1521">
        <w:t>-FL</w:t>
      </w:r>
      <w:r w:rsidR="003D4D18">
        <w:t xml:space="preserve">, although the </w:t>
      </w:r>
      <w:r w:rsidR="00F014B8">
        <w:t xml:space="preserve">extent </w:t>
      </w:r>
      <w:r w:rsidR="003D4D18">
        <w:t>of the effect cannot be determined</w:t>
      </w:r>
      <w:r w:rsidR="003A1521" w:rsidRPr="00303923">
        <w:t>.</w:t>
      </w:r>
      <w:r w:rsidR="00024C73">
        <w:t xml:space="preserve"> </w:t>
      </w:r>
      <w:r w:rsidR="00AB3BA7">
        <w:t xml:space="preserve">As observed in </w:t>
      </w:r>
      <w:r w:rsidR="007E3111">
        <w:t>an</w:t>
      </w:r>
      <w:r w:rsidR="00AB3BA7">
        <w:t xml:space="preserve"> </w:t>
      </w:r>
      <w:r w:rsidR="00AB3BA7">
        <w:rPr>
          <w:i/>
        </w:rPr>
        <w:t xml:space="preserve">in vitro </w:t>
      </w:r>
      <w:r w:rsidR="007E3111">
        <w:t>study</w:t>
      </w:r>
      <w:r w:rsidR="00AB3BA7">
        <w:t xml:space="preserve">, it </w:t>
      </w:r>
      <w:r w:rsidR="00CA6109">
        <w:t xml:space="preserve">is </w:t>
      </w:r>
      <w:r w:rsidR="00093A5E" w:rsidRPr="00AB3BA7">
        <w:t>possible</w:t>
      </w:r>
      <w:r w:rsidR="00093A5E">
        <w:t xml:space="preserve"> that higher concentrations of 2</w:t>
      </w:r>
      <w:r w:rsidR="000A17BB">
        <w:t>′</w:t>
      </w:r>
      <w:r w:rsidR="00093A5E">
        <w:t>-FL could enhance the anti-infective effect</w:t>
      </w:r>
      <w:r w:rsidR="00AB3BA7">
        <w:t>.</w:t>
      </w:r>
      <w:r w:rsidR="00093A5E">
        <w:t xml:space="preserve"> </w:t>
      </w:r>
      <w:r w:rsidR="00A40BF5">
        <w:t>No studies were provided which demonstrated a</w:t>
      </w:r>
      <w:r w:rsidR="00F45AD0">
        <w:t>n</w:t>
      </w:r>
      <w:r w:rsidR="00A40BF5">
        <w:t xml:space="preserve"> </w:t>
      </w:r>
      <w:r w:rsidR="00B02409" w:rsidRPr="000B7962">
        <w:t>anti-</w:t>
      </w:r>
      <w:r w:rsidR="000B7962" w:rsidRPr="000B7962">
        <w:t>i</w:t>
      </w:r>
      <w:r w:rsidR="000B7962">
        <w:t>nfective</w:t>
      </w:r>
      <w:r w:rsidR="00B02409">
        <w:t xml:space="preserve"> </w:t>
      </w:r>
      <w:r w:rsidR="00A40BF5">
        <w:t xml:space="preserve">effect of LNnT against invasive </w:t>
      </w:r>
      <w:r w:rsidR="00A40BF5" w:rsidRPr="00FE48F7">
        <w:rPr>
          <w:i/>
        </w:rPr>
        <w:t>C. jejuni</w:t>
      </w:r>
      <w:r w:rsidR="00A40BF5">
        <w:t xml:space="preserve"> infection.</w:t>
      </w:r>
    </w:p>
    <w:p w14:paraId="315A6B6E" w14:textId="047BF375" w:rsidR="00355D3C" w:rsidRDefault="00355D3C">
      <w:pPr>
        <w:widowControl/>
      </w:pPr>
    </w:p>
    <w:p w14:paraId="3E8CE506" w14:textId="6C604A69" w:rsidR="00CA34DE" w:rsidRDefault="00444A86" w:rsidP="003A473A">
      <w:pPr>
        <w:rPr>
          <w:b/>
          <w:bCs/>
          <w:i/>
          <w:iCs/>
          <w:szCs w:val="22"/>
          <w:lang w:bidi="ar-SA"/>
        </w:rPr>
      </w:pPr>
      <w:r>
        <w:t xml:space="preserve">As </w:t>
      </w:r>
      <w:r w:rsidR="00545D84">
        <w:t>discussed</w:t>
      </w:r>
      <w:r>
        <w:t xml:space="preserve"> in section 2.</w:t>
      </w:r>
      <w:r w:rsidR="005E6C13">
        <w:t>2</w:t>
      </w:r>
      <w:r w:rsidR="009625F7">
        <w:t>.2</w:t>
      </w:r>
      <w:r>
        <w:t>, t</w:t>
      </w:r>
      <w:r w:rsidR="00924D24">
        <w:t xml:space="preserve">he current available evidence </w:t>
      </w:r>
      <w:r w:rsidR="00CA6C9C">
        <w:t xml:space="preserve">for the </w:t>
      </w:r>
      <w:r w:rsidR="00267519">
        <w:t xml:space="preserve">stated </w:t>
      </w:r>
      <w:r w:rsidR="00B02409">
        <w:t xml:space="preserve">health </w:t>
      </w:r>
      <w:r w:rsidR="00267519">
        <w:t xml:space="preserve">effects of </w:t>
      </w:r>
      <w:r w:rsidR="00D718F1">
        <w:t>2</w:t>
      </w:r>
      <w:r w:rsidR="000A17BB">
        <w:t>′</w:t>
      </w:r>
      <w:r w:rsidR="00D718F1">
        <w:t>-FL</w:t>
      </w:r>
      <w:r w:rsidR="00EB7D12">
        <w:t xml:space="preserve"> or </w:t>
      </w:r>
      <w:r w:rsidR="00D718F1">
        <w:t>LNnT</w:t>
      </w:r>
      <w:r w:rsidR="00924D24">
        <w:t xml:space="preserve"> agains</w:t>
      </w:r>
      <w:r w:rsidR="00D718F1">
        <w:t>t other pathogens and toxins</w:t>
      </w:r>
      <w:r w:rsidR="00A0385C">
        <w:t xml:space="preserve"> identified in the a</w:t>
      </w:r>
      <w:r w:rsidR="00F20DFF">
        <w:t>pplication</w:t>
      </w:r>
      <w:r w:rsidR="008A6C1B">
        <w:t>,</w:t>
      </w:r>
      <w:r w:rsidR="00267519">
        <w:t xml:space="preserve"> </w:t>
      </w:r>
      <w:r w:rsidR="00EC3C74">
        <w:t xml:space="preserve">or for </w:t>
      </w:r>
      <w:r w:rsidR="00924D24">
        <w:t>decreased rate</w:t>
      </w:r>
      <w:r w:rsidR="00267519">
        <w:t>s</w:t>
      </w:r>
      <w:r w:rsidR="00924D24">
        <w:t xml:space="preserve"> of bronchitis or respiratory tract </w:t>
      </w:r>
      <w:r w:rsidR="00D718F1">
        <w:t>infection in infants</w:t>
      </w:r>
      <w:r w:rsidR="008A6C1B">
        <w:t>,</w:t>
      </w:r>
      <w:r w:rsidR="00BC1EEC" w:rsidRPr="00BC1EEC">
        <w:t xml:space="preserve"> </w:t>
      </w:r>
      <w:r w:rsidR="00BC1EEC">
        <w:t>is inconclusive</w:t>
      </w:r>
      <w:r w:rsidR="00924D24">
        <w:t xml:space="preserve">. </w:t>
      </w:r>
      <w:r w:rsidR="008A6C1B">
        <w:t>These</w:t>
      </w:r>
      <w:r w:rsidR="00BE49B9">
        <w:t xml:space="preserve"> stated health effects are</w:t>
      </w:r>
      <w:r w:rsidR="00BC1EEC">
        <w:t xml:space="preserve"> </w:t>
      </w:r>
      <w:r w:rsidR="008A6C1B">
        <w:t xml:space="preserve">therefore </w:t>
      </w:r>
      <w:r w:rsidR="00BC1EEC">
        <w:t>no</w:t>
      </w:r>
      <w:r w:rsidR="00C75EB4">
        <w:t>t</w:t>
      </w:r>
      <w:r w:rsidR="00BC1EEC">
        <w:t xml:space="preserve"> supported</w:t>
      </w:r>
      <w:r w:rsidR="00BE49B9">
        <w:t xml:space="preserve"> by the evidence</w:t>
      </w:r>
      <w:r w:rsidR="00BC1EEC">
        <w:t>.</w:t>
      </w:r>
    </w:p>
    <w:p w14:paraId="1143E727" w14:textId="380FAF66" w:rsidR="00B4673C" w:rsidRDefault="00334004" w:rsidP="00334004">
      <w:pPr>
        <w:pStyle w:val="Heading4"/>
      </w:pPr>
      <w:r>
        <w:t>2.</w:t>
      </w:r>
      <w:r w:rsidR="00934E2E">
        <w:t>3</w:t>
      </w:r>
      <w:r>
        <w:t>.1.2</w:t>
      </w:r>
      <w:r>
        <w:tab/>
      </w:r>
      <w:r w:rsidR="00B4673C">
        <w:t>Bifidogenic effect</w:t>
      </w:r>
    </w:p>
    <w:p w14:paraId="0A336B02" w14:textId="74CD77B7" w:rsidR="003B560F" w:rsidRDefault="00A87984" w:rsidP="003B560F">
      <w:r>
        <w:t xml:space="preserve">For the purposes of </w:t>
      </w:r>
      <w:r w:rsidR="00A0385C">
        <w:t>this</w:t>
      </w:r>
      <w:r>
        <w:t xml:space="preserve"> assessment, </w:t>
      </w:r>
      <w:r w:rsidR="00285205">
        <w:t xml:space="preserve">as discussed in the SD1 report, </w:t>
      </w:r>
      <w:r w:rsidR="00A0385C">
        <w:t>we have</w:t>
      </w:r>
      <w:r>
        <w:t xml:space="preserve"> defined </w:t>
      </w:r>
      <w:r w:rsidRPr="00A87984">
        <w:t>bifidogenic</w:t>
      </w:r>
      <w:r w:rsidR="00EE4F31" w:rsidRPr="00A87984">
        <w:t xml:space="preserve"> </w:t>
      </w:r>
      <w:r w:rsidRPr="00A87984">
        <w:t>effect</w:t>
      </w:r>
      <w:r w:rsidR="00F35D71">
        <w:t xml:space="preserve"> as </w:t>
      </w:r>
      <w:r w:rsidR="00292853">
        <w:t>the proliferation and increase</w:t>
      </w:r>
      <w:r w:rsidR="00512761">
        <w:t xml:space="preserve"> in</w:t>
      </w:r>
      <w:r w:rsidR="00292853">
        <w:t xml:space="preserve"> </w:t>
      </w:r>
      <w:r w:rsidR="00335752">
        <w:t xml:space="preserve">the relative </w:t>
      </w:r>
      <w:r w:rsidR="00292853">
        <w:t xml:space="preserve">abundance of </w:t>
      </w:r>
      <w:r w:rsidR="00335752">
        <w:t>bifidobacteria</w:t>
      </w:r>
      <w:r w:rsidR="00B5760A">
        <w:t xml:space="preserve"> </w:t>
      </w:r>
      <w:r w:rsidR="00B5760A" w:rsidRPr="00336118">
        <w:t xml:space="preserve">in the </w:t>
      </w:r>
      <w:r w:rsidR="00F35D71">
        <w:t xml:space="preserve">intestinal </w:t>
      </w:r>
      <w:r w:rsidR="00FE196D">
        <w:t>microflora</w:t>
      </w:r>
      <w:r w:rsidR="003B560F">
        <w:t xml:space="preserve">. FSANZ has previously recognised (under Proposal P306 and Application A1055) that </w:t>
      </w:r>
      <w:r w:rsidR="00FE196D">
        <w:t xml:space="preserve">the </w:t>
      </w:r>
      <w:r w:rsidR="00B4757B">
        <w:t>dominance</w:t>
      </w:r>
      <w:r w:rsidR="003B560F">
        <w:t xml:space="preserve"> of </w:t>
      </w:r>
      <w:r w:rsidR="003B560F" w:rsidRPr="00747FAF">
        <w:rPr>
          <w:i/>
        </w:rPr>
        <w:t>Bifidobacterium</w:t>
      </w:r>
      <w:r w:rsidR="003B560F">
        <w:t xml:space="preserve"> </w:t>
      </w:r>
      <w:r w:rsidR="00FE196D">
        <w:t xml:space="preserve">in the intestinal microflora </w:t>
      </w:r>
      <w:r w:rsidR="003B560F">
        <w:t xml:space="preserve">is generally considered to be beneficial to the host. </w:t>
      </w:r>
    </w:p>
    <w:p w14:paraId="4DA7BA2D" w14:textId="4685830F" w:rsidR="00F70BFD" w:rsidRDefault="00F70BFD" w:rsidP="00F70BFD">
      <w:pPr>
        <w:rPr>
          <w:lang w:eastAsia="en-AU" w:bidi="ar-SA"/>
        </w:rPr>
      </w:pPr>
    </w:p>
    <w:p w14:paraId="10888B9C" w14:textId="31820092" w:rsidR="009C1C22" w:rsidRDefault="004A1BDC" w:rsidP="00B82323">
      <w:pPr>
        <w:widowControl/>
      </w:pPr>
      <w:r>
        <w:t xml:space="preserve">The </w:t>
      </w:r>
      <w:r w:rsidR="00F35D71">
        <w:t>current</w:t>
      </w:r>
      <w:r>
        <w:t xml:space="preserve"> available</w:t>
      </w:r>
      <w:r w:rsidR="00380348">
        <w:t xml:space="preserve"> </w:t>
      </w:r>
      <w:r w:rsidR="00380348" w:rsidRPr="00E73142">
        <w:t xml:space="preserve">evidence </w:t>
      </w:r>
      <w:r w:rsidR="0005028F" w:rsidRPr="00E73142">
        <w:t>supports</w:t>
      </w:r>
      <w:r w:rsidR="00CE1F71">
        <w:t xml:space="preserve"> </w:t>
      </w:r>
      <w:r w:rsidR="00CA6109">
        <w:t>the</w:t>
      </w:r>
      <w:r w:rsidR="00E5260E">
        <w:t xml:space="preserve"> biological</w:t>
      </w:r>
      <w:r w:rsidR="00CA6109">
        <w:t xml:space="preserve"> </w:t>
      </w:r>
      <w:r w:rsidR="000B7962">
        <w:t xml:space="preserve">and mechanistic </w:t>
      </w:r>
      <w:r w:rsidR="002E101C">
        <w:t>plausib</w:t>
      </w:r>
      <w:r w:rsidR="00CA6109">
        <w:t>i</w:t>
      </w:r>
      <w:r w:rsidR="002E101C">
        <w:t>l</w:t>
      </w:r>
      <w:r w:rsidR="00CA6109">
        <w:t>ity of a</w:t>
      </w:r>
      <w:r w:rsidR="0041677A">
        <w:t xml:space="preserve"> bifidogenic effect</w:t>
      </w:r>
      <w:r w:rsidR="008C5085">
        <w:t xml:space="preserve"> </w:t>
      </w:r>
      <w:r w:rsidR="00CA6109">
        <w:t xml:space="preserve">at the requested levels of addition of </w:t>
      </w:r>
      <w:r w:rsidR="008C5085">
        <w:t>2</w:t>
      </w:r>
      <w:r w:rsidR="000A17BB">
        <w:t>′</w:t>
      </w:r>
      <w:r w:rsidR="000261BE">
        <w:t>-FL alone or with</w:t>
      </w:r>
      <w:r w:rsidR="008C5085">
        <w:t xml:space="preserve"> LNnT</w:t>
      </w:r>
      <w:r w:rsidR="00CA6109">
        <w:t>,</w:t>
      </w:r>
      <w:r w:rsidR="00AC5C13">
        <w:t xml:space="preserve"> </w:t>
      </w:r>
      <w:r w:rsidR="00143C09">
        <w:t xml:space="preserve">providing the </w:t>
      </w:r>
      <w:r w:rsidR="00143C09" w:rsidRPr="00FE0E18">
        <w:rPr>
          <w:i/>
        </w:rPr>
        <w:t>Bifidobacterium</w:t>
      </w:r>
      <w:r w:rsidR="00143C09">
        <w:rPr>
          <w:i/>
        </w:rPr>
        <w:t xml:space="preserve"> </w:t>
      </w:r>
      <w:r w:rsidR="00143C09">
        <w:t>which metabolise these oligosaccharides are present in the infant or toddler gut</w:t>
      </w:r>
      <w:r w:rsidR="0011358A" w:rsidRPr="005F21EE">
        <w:t>.</w:t>
      </w:r>
      <w:r w:rsidR="00B84398" w:rsidRPr="005F21EE">
        <w:t xml:space="preserve"> </w:t>
      </w:r>
      <w:r w:rsidR="00EE4F31">
        <w:rPr>
          <w:lang w:eastAsia="en-AU" w:bidi="ar-SA"/>
        </w:rPr>
        <w:t>T</w:t>
      </w:r>
      <w:r w:rsidR="009C6763">
        <w:rPr>
          <w:lang w:eastAsia="en-AU" w:bidi="ar-SA"/>
        </w:rPr>
        <w:t>he</w:t>
      </w:r>
      <w:r w:rsidR="00EE4F31">
        <w:rPr>
          <w:lang w:eastAsia="en-AU" w:bidi="ar-SA"/>
        </w:rPr>
        <w:t xml:space="preserve"> </w:t>
      </w:r>
      <w:r w:rsidR="00E5260E" w:rsidRPr="008A6993">
        <w:rPr>
          <w:lang w:eastAsia="en-AU" w:bidi="ar-SA"/>
        </w:rPr>
        <w:t xml:space="preserve">biological </w:t>
      </w:r>
      <w:r w:rsidR="00970472" w:rsidRPr="008A6993">
        <w:rPr>
          <w:lang w:eastAsia="en-AU" w:bidi="ar-SA"/>
        </w:rPr>
        <w:t>and mechanistic</w:t>
      </w:r>
      <w:r w:rsidR="00970472">
        <w:rPr>
          <w:lang w:eastAsia="en-AU" w:bidi="ar-SA"/>
        </w:rPr>
        <w:t xml:space="preserve"> </w:t>
      </w:r>
      <w:r w:rsidR="00EE4F31">
        <w:rPr>
          <w:lang w:eastAsia="en-AU" w:bidi="ar-SA"/>
        </w:rPr>
        <w:t xml:space="preserve">plausibility of a bifidogenic effect </w:t>
      </w:r>
      <w:r w:rsidR="00A2473C">
        <w:rPr>
          <w:lang w:eastAsia="en-AU" w:bidi="ar-SA"/>
        </w:rPr>
        <w:t xml:space="preserve">occurring </w:t>
      </w:r>
      <w:r w:rsidR="007D44C3">
        <w:rPr>
          <w:lang w:eastAsia="en-AU" w:bidi="ar-SA"/>
        </w:rPr>
        <w:t xml:space="preserve">in infants and toddlers </w:t>
      </w:r>
      <w:r w:rsidR="00EE4F31">
        <w:rPr>
          <w:lang w:eastAsia="en-AU" w:bidi="ar-SA"/>
        </w:rPr>
        <w:t xml:space="preserve">is </w:t>
      </w:r>
      <w:r w:rsidR="00EE4F31">
        <w:t xml:space="preserve">based on </w:t>
      </w:r>
      <w:r w:rsidR="00701ABB">
        <w:t xml:space="preserve">the combination of </w:t>
      </w:r>
      <w:r w:rsidR="00EE4F31">
        <w:t xml:space="preserve">evidence from </w:t>
      </w:r>
      <w:r w:rsidR="00EE4F31" w:rsidRPr="00380348">
        <w:rPr>
          <w:i/>
        </w:rPr>
        <w:t>in vitro</w:t>
      </w:r>
      <w:r w:rsidR="00EE4F31">
        <w:t xml:space="preserve"> studi</w:t>
      </w:r>
      <w:r w:rsidR="008C5085">
        <w:t>es and human studies in infants</w:t>
      </w:r>
      <w:r w:rsidR="000261BE">
        <w:t xml:space="preserve"> </w:t>
      </w:r>
      <w:r w:rsidR="00EE4F31">
        <w:t>and adults (</w:t>
      </w:r>
      <w:r w:rsidR="00384D1A">
        <w:t>noting that evidence suggests that the</w:t>
      </w:r>
      <w:r w:rsidR="006F1409">
        <w:t xml:space="preserve"> </w:t>
      </w:r>
      <w:r w:rsidR="00EC6C3E">
        <w:t xml:space="preserve">gut microflora of toddlers is </w:t>
      </w:r>
      <w:r w:rsidR="007F6735">
        <w:t xml:space="preserve">progressively </w:t>
      </w:r>
      <w:r w:rsidR="00EC6C3E">
        <w:t xml:space="preserve">more similar to </w:t>
      </w:r>
      <w:r w:rsidR="006F1409">
        <w:t xml:space="preserve">that of </w:t>
      </w:r>
      <w:r w:rsidR="00EC6C3E">
        <w:t xml:space="preserve">adults </w:t>
      </w:r>
      <w:r w:rsidR="00701ABB">
        <w:t>than</w:t>
      </w:r>
      <w:r w:rsidR="00C56702">
        <w:t xml:space="preserve"> infants</w:t>
      </w:r>
      <w:r w:rsidR="00384D1A">
        <w:t>)</w:t>
      </w:r>
      <w:r w:rsidR="00C56702">
        <w:t xml:space="preserve">. </w:t>
      </w:r>
      <w:r w:rsidR="0074181B">
        <w:t>FSANZ notes that</w:t>
      </w:r>
      <w:r w:rsidR="00E73142">
        <w:t xml:space="preserve"> t</w:t>
      </w:r>
      <w:r w:rsidR="006F1409">
        <w:t xml:space="preserve">he </w:t>
      </w:r>
      <w:r w:rsidR="00C56702">
        <w:t>adult study</w:t>
      </w:r>
      <w:r w:rsidR="006F1409">
        <w:t xml:space="preserve"> </w:t>
      </w:r>
      <w:r w:rsidR="00D64240">
        <w:t>showed a</w:t>
      </w:r>
      <w:r w:rsidR="006F1409">
        <w:t xml:space="preserve"> dose</w:t>
      </w:r>
      <w:r w:rsidR="00331579">
        <w:t xml:space="preserve"> </w:t>
      </w:r>
      <w:r w:rsidR="006F1409">
        <w:t xml:space="preserve">dependent relationship </w:t>
      </w:r>
      <w:r w:rsidR="00701ABB">
        <w:t>for a bifidogenic</w:t>
      </w:r>
      <w:r w:rsidR="007F6735">
        <w:t xml:space="preserve"> effect, </w:t>
      </w:r>
      <w:r w:rsidR="00701ABB">
        <w:t>in which</w:t>
      </w:r>
      <w:r w:rsidR="007F6735">
        <w:t xml:space="preserve"> </w:t>
      </w:r>
      <w:r w:rsidR="006F1409">
        <w:t>higher levels of 2</w:t>
      </w:r>
      <w:r w:rsidR="000A17BB">
        <w:t>′</w:t>
      </w:r>
      <w:r w:rsidR="006F1409">
        <w:t>-FL and</w:t>
      </w:r>
      <w:r w:rsidR="002E101C">
        <w:t>/or</w:t>
      </w:r>
      <w:r w:rsidR="006F1409">
        <w:t xml:space="preserve"> LNnT </w:t>
      </w:r>
      <w:r w:rsidR="007F6735">
        <w:t xml:space="preserve">were associated with </w:t>
      </w:r>
      <w:r w:rsidR="006F1409">
        <w:t xml:space="preserve">a higher </w:t>
      </w:r>
      <w:r w:rsidR="00E73142">
        <w:t xml:space="preserve">relative </w:t>
      </w:r>
      <w:r w:rsidR="006F1409">
        <w:t>abundance of bifidobacteria.</w:t>
      </w:r>
    </w:p>
    <w:p w14:paraId="569E1639" w14:textId="32D214F2" w:rsidR="00F20DFF" w:rsidRDefault="00334004" w:rsidP="00334004">
      <w:pPr>
        <w:pStyle w:val="Heading4"/>
      </w:pPr>
      <w:r>
        <w:t>2.</w:t>
      </w:r>
      <w:r w:rsidR="008155DB">
        <w:t>3</w:t>
      </w:r>
      <w:r>
        <w:t>.1.3</w:t>
      </w:r>
      <w:r>
        <w:tab/>
      </w:r>
      <w:r w:rsidR="00505581">
        <w:t xml:space="preserve">Immune modulation, </w:t>
      </w:r>
      <w:r w:rsidR="00F20DFF">
        <w:t>intestinal barrier function</w:t>
      </w:r>
      <w:r w:rsidR="00505581">
        <w:t xml:space="preserve"> and allergic response</w:t>
      </w:r>
    </w:p>
    <w:p w14:paraId="7AAAA51E" w14:textId="48A3EDBF" w:rsidR="001F4302" w:rsidRDefault="005A10D3" w:rsidP="001F4302">
      <w:r>
        <w:t>As discussed in section 2.</w:t>
      </w:r>
      <w:r w:rsidR="005E6C13">
        <w:t>2</w:t>
      </w:r>
      <w:r w:rsidR="009625F7">
        <w:t>.2</w:t>
      </w:r>
      <w:r>
        <w:t>, t</w:t>
      </w:r>
      <w:r w:rsidR="001F4302">
        <w:t xml:space="preserve">he current available evidence </w:t>
      </w:r>
      <w:r w:rsidR="00181E55">
        <w:t>for</w:t>
      </w:r>
      <w:r>
        <w:t xml:space="preserve"> the </w:t>
      </w:r>
      <w:r w:rsidR="00EC3C74">
        <w:t xml:space="preserve">stated </w:t>
      </w:r>
      <w:r w:rsidR="00505581">
        <w:t xml:space="preserve">immune modulating effect, </w:t>
      </w:r>
      <w:r w:rsidR="00B56E57">
        <w:t>improve</w:t>
      </w:r>
      <w:r w:rsidR="00C37B6E">
        <w:t>d</w:t>
      </w:r>
      <w:r w:rsidR="001F4302">
        <w:t xml:space="preserve"> intestinal barrier</w:t>
      </w:r>
      <w:r w:rsidR="00F20DFF">
        <w:t xml:space="preserve"> function</w:t>
      </w:r>
      <w:r w:rsidR="00505581">
        <w:t>, and protective effects against allergic responses for</w:t>
      </w:r>
      <w:r w:rsidR="00A0385C">
        <w:t xml:space="preserve"> 2</w:t>
      </w:r>
      <w:r w:rsidR="000A17BB">
        <w:t>′</w:t>
      </w:r>
      <w:r w:rsidR="00A0385C">
        <w:t xml:space="preserve">-FL </w:t>
      </w:r>
      <w:r w:rsidR="00B82A95">
        <w:t>and</w:t>
      </w:r>
      <w:r w:rsidR="00A0385C">
        <w:t xml:space="preserve"> LNnT</w:t>
      </w:r>
      <w:r w:rsidR="00181E55">
        <w:t xml:space="preserve"> is insufficient</w:t>
      </w:r>
      <w:r w:rsidR="001F4302">
        <w:t xml:space="preserve">. </w:t>
      </w:r>
      <w:r w:rsidR="008A6C1B">
        <w:t>These</w:t>
      </w:r>
      <w:r w:rsidR="00181E55">
        <w:t xml:space="preserve"> stated health effects are </w:t>
      </w:r>
      <w:r w:rsidR="008A6C1B">
        <w:t xml:space="preserve">therefore </w:t>
      </w:r>
      <w:r w:rsidR="00181E55">
        <w:t xml:space="preserve">not supported by </w:t>
      </w:r>
      <w:r w:rsidR="000C48F8">
        <w:t xml:space="preserve">the </w:t>
      </w:r>
      <w:r w:rsidR="00115E7B">
        <w:t>evidence</w:t>
      </w:r>
      <w:r w:rsidR="00181E55">
        <w:t>.</w:t>
      </w:r>
      <w:r w:rsidR="00115E7B">
        <w:t xml:space="preserve"> </w:t>
      </w:r>
    </w:p>
    <w:p w14:paraId="69C2B3F7" w14:textId="0966099B" w:rsidR="00B4673C" w:rsidRDefault="00334004" w:rsidP="00334004">
      <w:pPr>
        <w:pStyle w:val="Heading4"/>
      </w:pPr>
      <w:r>
        <w:t>2.</w:t>
      </w:r>
      <w:r w:rsidR="008155DB">
        <w:t>3</w:t>
      </w:r>
      <w:r>
        <w:t>.1.4</w:t>
      </w:r>
      <w:r w:rsidR="00F20DFF">
        <w:t xml:space="preserve"> </w:t>
      </w:r>
      <w:r>
        <w:tab/>
        <w:t>Health effects conclusion</w:t>
      </w:r>
      <w:r w:rsidR="00EB48FB">
        <w:t xml:space="preserve"> </w:t>
      </w:r>
    </w:p>
    <w:p w14:paraId="0F8D1185" w14:textId="77777777" w:rsidR="00EB5D2D" w:rsidRPr="00EB5D2D" w:rsidRDefault="00EB5D2D" w:rsidP="00334004">
      <w:pPr>
        <w:pStyle w:val="Heading5"/>
        <w:rPr>
          <w:lang w:eastAsia="en-AU"/>
        </w:rPr>
      </w:pPr>
      <w:r w:rsidRPr="00EB5D2D">
        <w:rPr>
          <w:lang w:eastAsia="en-AU"/>
        </w:rPr>
        <w:t>Infant formula products</w:t>
      </w:r>
    </w:p>
    <w:p w14:paraId="330E2061" w14:textId="0139187D" w:rsidR="00950125" w:rsidRDefault="004B345D" w:rsidP="004213FE">
      <w:r>
        <w:t>FSANZ concludes that the requested</w:t>
      </w:r>
      <w:r w:rsidR="00733FE0">
        <w:t xml:space="preserve"> </w:t>
      </w:r>
      <w:r>
        <w:t>addition of 2</w:t>
      </w:r>
      <w:r w:rsidR="000A17BB">
        <w:t>′</w:t>
      </w:r>
      <w:r>
        <w:t xml:space="preserve">-FL alone or combined with LNnT </w:t>
      </w:r>
      <w:r w:rsidR="004213FE">
        <w:t>to</w:t>
      </w:r>
      <w:r>
        <w:t xml:space="preserve"> infant formula products is safe and supported by appropriate evidence in providing</w:t>
      </w:r>
      <w:r w:rsidR="00E33135">
        <w:t xml:space="preserve"> </w:t>
      </w:r>
      <w:r>
        <w:t>potential beneficial health outcomes in infants</w:t>
      </w:r>
      <w:r w:rsidR="004B4085">
        <w:t>, noting</w:t>
      </w:r>
      <w:r w:rsidR="00666744">
        <w:t xml:space="preserve"> the </w:t>
      </w:r>
      <w:r w:rsidR="00733FE0">
        <w:t>anti-infective and bifodgenic</w:t>
      </w:r>
      <w:r w:rsidR="00FE4366">
        <w:t xml:space="preserve"> effects may be enhanced as concentrations</w:t>
      </w:r>
      <w:r w:rsidR="00285205">
        <w:t xml:space="preserve"> of 2</w:t>
      </w:r>
      <w:r w:rsidR="000A17BB">
        <w:t>′</w:t>
      </w:r>
      <w:r w:rsidR="00285205">
        <w:t xml:space="preserve">-FL </w:t>
      </w:r>
      <w:r w:rsidR="00FE4366">
        <w:t>(or</w:t>
      </w:r>
      <w:r w:rsidR="007108FA">
        <w:t xml:space="preserve"> LNnT in the case of the bifidogenic effect</w:t>
      </w:r>
      <w:r w:rsidR="00B13EAB">
        <w:t xml:space="preserve"> only</w:t>
      </w:r>
      <w:r w:rsidR="007108FA">
        <w:t>)</w:t>
      </w:r>
      <w:r w:rsidR="00285205">
        <w:t xml:space="preserve"> </w:t>
      </w:r>
      <w:r w:rsidR="00FE4366">
        <w:t>are increased</w:t>
      </w:r>
      <w:r w:rsidR="00285205">
        <w:t xml:space="preserve">. </w:t>
      </w:r>
      <w:r w:rsidR="00A0385C">
        <w:t>In reach</w:t>
      </w:r>
      <w:r w:rsidR="00484E76">
        <w:t xml:space="preserve">ing this conclusion, </w:t>
      </w:r>
      <w:r w:rsidR="00484E76" w:rsidRPr="008058DE">
        <w:t xml:space="preserve">FSANZ </w:t>
      </w:r>
      <w:r w:rsidR="00A0385C" w:rsidRPr="008058DE">
        <w:t>notes</w:t>
      </w:r>
      <w:r w:rsidR="00BF3B71" w:rsidRPr="008058DE">
        <w:t xml:space="preserve"> that </w:t>
      </w:r>
      <w:r w:rsidR="00014BFA" w:rsidRPr="008058DE">
        <w:t>2</w:t>
      </w:r>
      <w:r w:rsidR="000A17BB">
        <w:t>′</w:t>
      </w:r>
      <w:r w:rsidR="00014BFA" w:rsidRPr="008058DE">
        <w:t xml:space="preserve">-FL and LNnT </w:t>
      </w:r>
      <w:r w:rsidR="003C58A9">
        <w:t xml:space="preserve">occur naturally in </w:t>
      </w:r>
      <w:r w:rsidR="0057493F" w:rsidRPr="008058DE">
        <w:t>human milk</w:t>
      </w:r>
      <w:r w:rsidR="00950125">
        <w:t>,</w:t>
      </w:r>
      <w:r w:rsidR="003C58A9">
        <w:t xml:space="preserve"> and a</w:t>
      </w:r>
      <w:r w:rsidR="002A6EBA" w:rsidRPr="008058DE">
        <w:t xml:space="preserve">pproval </w:t>
      </w:r>
      <w:r w:rsidR="00B82A95">
        <w:t xml:space="preserve">of these substances </w:t>
      </w:r>
      <w:r w:rsidR="002A6EBA">
        <w:t>would pro</w:t>
      </w:r>
      <w:r w:rsidR="006B0EC8">
        <w:t xml:space="preserve">vide alternative options to </w:t>
      </w:r>
      <w:r w:rsidR="002A6EBA">
        <w:t xml:space="preserve">existing oligosaccharides permitted for </w:t>
      </w:r>
      <w:r w:rsidR="006B0EC8">
        <w:t xml:space="preserve">voluntary </w:t>
      </w:r>
      <w:r w:rsidR="002A6EBA">
        <w:t xml:space="preserve">use in infant formula products, which are not present in human milk (ITF) or only present in trace amounts (GOS). </w:t>
      </w:r>
      <w:r w:rsidR="0094255D">
        <w:t xml:space="preserve">The </w:t>
      </w:r>
      <w:r w:rsidR="00F06349">
        <w:t xml:space="preserve">requested </w:t>
      </w:r>
      <w:r w:rsidR="0094255D">
        <w:t>addition is</w:t>
      </w:r>
      <w:r w:rsidR="00115949">
        <w:t xml:space="preserve"> also</w:t>
      </w:r>
      <w:r w:rsidR="0094255D">
        <w:t xml:space="preserve"> consistent with the Code’s defined purpose for infant formula products</w:t>
      </w:r>
      <w:r w:rsidR="007D61F9">
        <w:t xml:space="preserve"> and</w:t>
      </w:r>
      <w:r w:rsidR="0094255D">
        <w:t xml:space="preserve"> the relevant </w:t>
      </w:r>
      <w:r w:rsidR="003C58A9">
        <w:t xml:space="preserve">Ministerial </w:t>
      </w:r>
      <w:r w:rsidR="002D66F2">
        <w:t>P</w:t>
      </w:r>
      <w:r w:rsidR="0094255D">
        <w:t xml:space="preserve">olicy </w:t>
      </w:r>
      <w:r w:rsidR="002D66F2">
        <w:t>G</w:t>
      </w:r>
      <w:r w:rsidR="0094255D">
        <w:t>uideline</w:t>
      </w:r>
      <w:r w:rsidR="006D38D6">
        <w:t xml:space="preserve"> (see SD2)</w:t>
      </w:r>
      <w:r w:rsidR="00950125">
        <w:t xml:space="preserve">, </w:t>
      </w:r>
      <w:r w:rsidR="00184B59" w:rsidRPr="003E7621">
        <w:t xml:space="preserve">and </w:t>
      </w:r>
      <w:r w:rsidR="002D66F2" w:rsidRPr="003E7621">
        <w:t xml:space="preserve">supports international consistency </w:t>
      </w:r>
      <w:r w:rsidR="00184B59" w:rsidRPr="003E7621">
        <w:t xml:space="preserve">and </w:t>
      </w:r>
      <w:r w:rsidR="002D66F2" w:rsidRPr="003E7621">
        <w:t>trade</w:t>
      </w:r>
      <w:r w:rsidR="004B7EBC" w:rsidRPr="003E7621">
        <w:t xml:space="preserve"> opportunities</w:t>
      </w:r>
      <w:r w:rsidR="004D6D62" w:rsidRPr="003E7621">
        <w:t xml:space="preserve"> </w:t>
      </w:r>
      <w:r w:rsidR="00AE2FFB" w:rsidRPr="003E7621">
        <w:t>(see section 2.5.1.1</w:t>
      </w:r>
      <w:r w:rsidR="005E6C13" w:rsidRPr="003E7621">
        <w:t>)</w:t>
      </w:r>
      <w:r w:rsidR="002D66F2" w:rsidRPr="003E7621">
        <w:t xml:space="preserve">. </w:t>
      </w:r>
    </w:p>
    <w:p w14:paraId="401ECC02" w14:textId="77777777" w:rsidR="00AB7AF3" w:rsidRDefault="00AB7AF3" w:rsidP="004213FE"/>
    <w:p w14:paraId="29CB490D" w14:textId="7C8A5D93" w:rsidR="00934A4B" w:rsidRPr="00AB7AF3" w:rsidRDefault="00934A4B" w:rsidP="00AB7AF3">
      <w:r w:rsidRPr="00AB7AF3">
        <w:rPr>
          <w:noProof/>
          <w:lang w:eastAsia="en-GB" w:bidi="ar-SA"/>
        </w:rPr>
        <mc:AlternateContent>
          <mc:Choice Requires="wps">
            <w:drawing>
              <wp:inline distT="0" distB="0" distL="0" distR="0" wp14:anchorId="6334BD0C" wp14:editId="79455DE2">
                <wp:extent cx="5686425" cy="685800"/>
                <wp:effectExtent l="0" t="0" r="2857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85800"/>
                        </a:xfrm>
                        <a:prstGeom prst="rect">
                          <a:avLst/>
                        </a:prstGeom>
                        <a:solidFill>
                          <a:srgbClr val="FFFFFF"/>
                        </a:solidFill>
                        <a:ln w="9525">
                          <a:solidFill>
                            <a:schemeClr val="tx2">
                              <a:lumMod val="60000"/>
                              <a:lumOff val="40000"/>
                            </a:schemeClr>
                          </a:solidFill>
                          <a:miter lim="800000"/>
                          <a:headEnd/>
                          <a:tailEnd/>
                        </a:ln>
                      </wps:spPr>
                      <wps:txbx>
                        <w:txbxContent>
                          <w:p w14:paraId="570F2EFC" w14:textId="3CD98EEC" w:rsidR="0025476F" w:rsidRDefault="0025476F" w:rsidP="00934A4B">
                            <w:r>
                              <w:t>FSANZ’s approach is to permit the addition of 2′-FL alone or combined with LNnT to infant formula products. Consideration of the proposed levels of use in infant formula products is discussed in section 2.3.3.1 below.</w:t>
                            </w:r>
                          </w:p>
                        </w:txbxContent>
                      </wps:txbx>
                      <wps:bodyPr rot="0" vert="horz" wrap="square" lIns="91440" tIns="45720" rIns="91440" bIns="45720" anchor="t" anchorCtr="0">
                        <a:noAutofit/>
                      </wps:bodyPr>
                    </wps:wsp>
                  </a:graphicData>
                </a:graphic>
              </wp:inline>
            </w:drawing>
          </mc:Choice>
          <mc:Fallback>
            <w:pict>
              <v:shapetype w14:anchorId="6334BD0C" id="_x0000_t202" coordsize="21600,21600" o:spt="202" path="m,l,21600r21600,l21600,xe">
                <v:stroke joinstyle="miter"/>
                <v:path gradientshapeok="t" o:connecttype="rect"/>
              </v:shapetype>
              <v:shape id="Text Box 7" o:spid="_x0000_s1026" type="#_x0000_t202" style="width:447.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" strokecolor="#548dd4 [1951]">
                <v:textbox>
                  <w:txbxContent>
                    <w:p w14:paraId="570F2EFC" w14:textId="3CD98EEC" w:rsidR="0025476F" w:rsidRDefault="0025476F" w:rsidP="00934A4B">
                      <w:r>
                        <w:t>FSANZ’s approach is to permit the addition of 2′-FL alone or combined with LNnT to infant formula products. Consideration of the proposed levels of use in infant formula products is discussed in section 2.3.3.1 below.</w:t>
                      </w:r>
                    </w:p>
                  </w:txbxContent>
                </v:textbox>
                <w10:anchorlock/>
              </v:shape>
            </w:pict>
          </mc:Fallback>
        </mc:AlternateContent>
      </w:r>
    </w:p>
    <w:p w14:paraId="349080DA" w14:textId="5F325A9E" w:rsidR="00EB5D2D" w:rsidRDefault="00EB5D2D" w:rsidP="004B345D">
      <w:pPr>
        <w:pStyle w:val="Heading5"/>
      </w:pPr>
      <w:r w:rsidRPr="00EB5D2D">
        <w:t>FSFYC</w:t>
      </w:r>
    </w:p>
    <w:p w14:paraId="6A9F0455" w14:textId="0D9544D1" w:rsidR="00006CF0" w:rsidRDefault="0005028F" w:rsidP="004213FE">
      <w:r>
        <w:t xml:space="preserve">FSANZ concludes that the </w:t>
      </w:r>
      <w:r w:rsidR="0057493F">
        <w:t xml:space="preserve">requested </w:t>
      </w:r>
      <w:r>
        <w:t>addition of 2</w:t>
      </w:r>
      <w:r w:rsidR="000A17BB">
        <w:t>′</w:t>
      </w:r>
      <w:r>
        <w:t>-FL alone</w:t>
      </w:r>
      <w:r w:rsidR="00467F22">
        <w:t xml:space="preserve"> or combined with LNnT in</w:t>
      </w:r>
      <w:r>
        <w:t xml:space="preserve"> FSFYC is safe and supported by </w:t>
      </w:r>
      <w:r w:rsidR="00B41B43">
        <w:t xml:space="preserve">appropriate </w:t>
      </w:r>
      <w:r w:rsidR="00EF20EB">
        <w:t>evidence</w:t>
      </w:r>
      <w:r w:rsidR="008B11F2">
        <w:t xml:space="preserve"> </w:t>
      </w:r>
      <w:r w:rsidR="00EF20EB">
        <w:t xml:space="preserve">in providing </w:t>
      </w:r>
      <w:r>
        <w:t>potential</w:t>
      </w:r>
      <w:r w:rsidR="00467F22">
        <w:t xml:space="preserve"> beneficial health outcome</w:t>
      </w:r>
      <w:r w:rsidR="00EF20EB">
        <w:t xml:space="preserve">s in </w:t>
      </w:r>
      <w:r w:rsidR="00EF20EB" w:rsidRPr="00B82A95">
        <w:t>toddlers</w:t>
      </w:r>
      <w:r w:rsidR="004B4085">
        <w:t xml:space="preserve">, noting </w:t>
      </w:r>
      <w:r w:rsidR="001A4B9E">
        <w:t>the anti-i</w:t>
      </w:r>
      <w:r w:rsidR="002955F8">
        <w:t>nfective and bifodgenic effects</w:t>
      </w:r>
      <w:r w:rsidR="00FE4366" w:rsidDel="00D81C78">
        <w:t xml:space="preserve"> </w:t>
      </w:r>
      <w:r w:rsidR="00FE4366">
        <w:t>may be enhanced as concentrations</w:t>
      </w:r>
      <w:r w:rsidR="004B4085">
        <w:t xml:space="preserve"> of 2</w:t>
      </w:r>
      <w:r w:rsidR="000A17BB">
        <w:t>′</w:t>
      </w:r>
      <w:r w:rsidR="004B4085">
        <w:t xml:space="preserve">-FL </w:t>
      </w:r>
      <w:r w:rsidR="00FE4366">
        <w:t>(or</w:t>
      </w:r>
      <w:r w:rsidR="007108FA">
        <w:t xml:space="preserve"> LNnT</w:t>
      </w:r>
      <w:r w:rsidR="00666744">
        <w:t xml:space="preserve"> </w:t>
      </w:r>
      <w:r w:rsidR="007108FA">
        <w:t>in the case of the bifidogenic effect</w:t>
      </w:r>
      <w:r w:rsidR="00B13EAB">
        <w:t xml:space="preserve"> only</w:t>
      </w:r>
      <w:r w:rsidR="007108FA">
        <w:t xml:space="preserve">) </w:t>
      </w:r>
      <w:r w:rsidR="00FE4366">
        <w:t>are increased</w:t>
      </w:r>
      <w:r w:rsidRPr="00B82A95">
        <w:t xml:space="preserve">. </w:t>
      </w:r>
      <w:r w:rsidR="008E6EF9">
        <w:t>Although</w:t>
      </w:r>
      <w:r w:rsidR="004213FE">
        <w:t xml:space="preserve"> the</w:t>
      </w:r>
      <w:r w:rsidR="00724545">
        <w:t xml:space="preserve"> addition</w:t>
      </w:r>
      <w:r w:rsidR="004213FE">
        <w:t xml:space="preserve"> of these substances</w:t>
      </w:r>
      <w:r w:rsidR="00957D03">
        <w:t xml:space="preserve"> </w:t>
      </w:r>
      <w:r w:rsidR="0088652E">
        <w:t xml:space="preserve">may </w:t>
      </w:r>
      <w:r w:rsidR="00324783">
        <w:t>not have strong alignment</w:t>
      </w:r>
      <w:r w:rsidR="0093155F">
        <w:t xml:space="preserve"> with the Code’s </w:t>
      </w:r>
      <w:r w:rsidR="00324783">
        <w:t>definition of</w:t>
      </w:r>
      <w:r w:rsidR="0093155F">
        <w:t xml:space="preserve"> FSFYC</w:t>
      </w:r>
      <w:r w:rsidR="00724545">
        <w:t xml:space="preserve">, </w:t>
      </w:r>
      <w:r w:rsidR="008E6EF9">
        <w:t>the addition is</w:t>
      </w:r>
      <w:r w:rsidR="00D25BE9">
        <w:t xml:space="preserve"> safe</w:t>
      </w:r>
      <w:r w:rsidR="00487A03">
        <w:t xml:space="preserve"> and </w:t>
      </w:r>
      <w:r w:rsidR="006D38D6">
        <w:t>may</w:t>
      </w:r>
      <w:r w:rsidR="00724545">
        <w:t xml:space="preserve"> </w:t>
      </w:r>
      <w:r w:rsidR="0093155F">
        <w:t>provide beneficial health outcomes in</w:t>
      </w:r>
      <w:r w:rsidR="006D38D6">
        <w:t xml:space="preserve"> toddlers</w:t>
      </w:r>
      <w:r w:rsidR="00487A03">
        <w:t xml:space="preserve">. </w:t>
      </w:r>
      <w:r w:rsidR="00487A03" w:rsidRPr="003E7621">
        <w:t>The addition also</w:t>
      </w:r>
      <w:r w:rsidR="002B0C9C" w:rsidRPr="003E7621">
        <w:t xml:space="preserve"> supports international consistency and trade</w:t>
      </w:r>
      <w:r w:rsidR="0036635A" w:rsidRPr="003E7621">
        <w:t xml:space="preserve"> opportunities</w:t>
      </w:r>
      <w:r w:rsidR="002B0C9C" w:rsidRPr="003E7621">
        <w:t>,</w:t>
      </w:r>
      <w:r w:rsidR="00724545" w:rsidRPr="003E7621">
        <w:t xml:space="preserve"> and pro</w:t>
      </w:r>
      <w:r w:rsidR="00D25BE9" w:rsidRPr="003E7621">
        <w:t>vide</w:t>
      </w:r>
      <w:r w:rsidR="00713A20" w:rsidRPr="003E7621">
        <w:t>s</w:t>
      </w:r>
      <w:r w:rsidR="00D25BE9" w:rsidRPr="003E7621">
        <w:t xml:space="preserve"> alternative options to </w:t>
      </w:r>
      <w:r w:rsidR="00724545" w:rsidRPr="003E7621">
        <w:t xml:space="preserve">existing </w:t>
      </w:r>
      <w:r w:rsidR="006D38D6" w:rsidRPr="003E7621">
        <w:t xml:space="preserve">oligosaccharides (GOS and ITF) </w:t>
      </w:r>
      <w:r w:rsidR="00A62130" w:rsidRPr="003E7621">
        <w:t xml:space="preserve">permitted </w:t>
      </w:r>
      <w:r w:rsidR="006D38D6" w:rsidRPr="003E7621">
        <w:t>for use</w:t>
      </w:r>
      <w:r w:rsidR="00724545" w:rsidRPr="003E7621">
        <w:t xml:space="preserve"> in FSFYC</w:t>
      </w:r>
      <w:r w:rsidR="00C551E2" w:rsidRPr="003E7621">
        <w:t xml:space="preserve"> </w:t>
      </w:r>
      <w:r w:rsidR="003E7621">
        <w:t>providing product</w:t>
      </w:r>
      <w:r w:rsidR="00C551E2" w:rsidRPr="003E7621">
        <w:t xml:space="preserve"> innovation opportunities</w:t>
      </w:r>
      <w:r w:rsidR="00B467BB" w:rsidRPr="003E7621">
        <w:t xml:space="preserve"> (see section 2.5.1.1)</w:t>
      </w:r>
      <w:r w:rsidR="00724545" w:rsidRPr="003E7621">
        <w:t>.</w:t>
      </w:r>
      <w:r w:rsidR="00724545">
        <w:t xml:space="preserve"> </w:t>
      </w:r>
    </w:p>
    <w:p w14:paraId="647411CC" w14:textId="77777777" w:rsidR="00AB7AF3" w:rsidRDefault="00AB7AF3" w:rsidP="004213FE"/>
    <w:p w14:paraId="766B5ABB" w14:textId="77777777" w:rsidR="00934A4B" w:rsidRPr="00AB7AF3" w:rsidRDefault="002E265A" w:rsidP="00AB7AF3">
      <w:bookmarkStart w:id="97" w:name="_Toc527018236"/>
      <w:bookmarkStart w:id="98" w:name="_Toc525729991"/>
      <w:r w:rsidRPr="00AB7AF3">
        <w:rPr>
          <w:noProof/>
          <w:lang w:eastAsia="en-GB" w:bidi="ar-SA"/>
        </w:rPr>
        <mc:AlternateContent>
          <mc:Choice Requires="wps">
            <w:drawing>
              <wp:inline distT="0" distB="0" distL="0" distR="0" wp14:anchorId="0F756859" wp14:editId="1AE62E07">
                <wp:extent cx="5686425" cy="685800"/>
                <wp:effectExtent l="0" t="0" r="2857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85800"/>
                        </a:xfrm>
                        <a:prstGeom prst="rect">
                          <a:avLst/>
                        </a:prstGeom>
                        <a:solidFill>
                          <a:srgbClr val="FFFFFF"/>
                        </a:solidFill>
                        <a:ln w="9525">
                          <a:solidFill>
                            <a:schemeClr val="tx2">
                              <a:lumMod val="60000"/>
                              <a:lumOff val="40000"/>
                            </a:schemeClr>
                          </a:solidFill>
                          <a:miter lim="800000"/>
                          <a:headEnd/>
                          <a:tailEnd/>
                        </a:ln>
                      </wps:spPr>
                      <wps:txbx>
                        <w:txbxContent>
                          <w:p w14:paraId="08CA8ADC" w14:textId="4D04483D" w:rsidR="0025476F" w:rsidRDefault="0025476F" w:rsidP="00AE6161">
                            <w:r>
                              <w:t>FSANZ’s approach is to permit the addition of 2′-FL alone or combined with LNnT to FSFYC. Consideration of the proposed levels of use in FSFYC is discussed in section 2.3.3.2 below.</w:t>
                            </w:r>
                          </w:p>
                        </w:txbxContent>
                      </wps:txbx>
                      <wps:bodyPr rot="0" vert="horz" wrap="square" lIns="91440" tIns="45720" rIns="91440" bIns="45720" anchor="t" anchorCtr="0">
                        <a:noAutofit/>
                      </wps:bodyPr>
                    </wps:wsp>
                  </a:graphicData>
                </a:graphic>
              </wp:inline>
            </w:drawing>
          </mc:Choice>
          <mc:Fallback>
            <w:pict>
              <v:shape w14:anchorId="0F756859" id="Text Box 8" o:spid="_x0000_s1027" type="#_x0000_t202" style="width:447.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" strokecolor="#548dd4 [1951]">
                <v:textbox>
                  <w:txbxContent>
                    <w:p w14:paraId="08CA8ADC" w14:textId="4D04483D" w:rsidR="0025476F" w:rsidRDefault="0025476F" w:rsidP="00AE6161">
                      <w:r>
                        <w:t>FSANZ’s approach is to permit the addition of 2′-FL alone or combined with LNnT to FSFYC. Consideration of the proposed levels of use in FSFYC is discussed in section 2.3.3.2 below.</w:t>
                      </w:r>
                    </w:p>
                  </w:txbxContent>
                </v:textbox>
                <w10:anchorlock/>
              </v:shape>
            </w:pict>
          </mc:Fallback>
        </mc:AlternateContent>
      </w:r>
    </w:p>
    <w:p w14:paraId="5275AE57" w14:textId="6CB93843" w:rsidR="000D7FCA" w:rsidRPr="00C31F30" w:rsidRDefault="000D7FCA" w:rsidP="000D7FCA">
      <w:pPr>
        <w:pStyle w:val="Heading3"/>
      </w:pPr>
      <w:bookmarkStart w:id="99" w:name="_Toc11247906"/>
      <w:bookmarkStart w:id="100" w:name="_Toc14427199"/>
      <w:r>
        <w:t>2.</w:t>
      </w:r>
      <w:r w:rsidR="008155DB">
        <w:t>3</w:t>
      </w:r>
      <w:r>
        <w:t>.2</w:t>
      </w:r>
      <w:r>
        <w:tab/>
        <w:t>Permitted use</w:t>
      </w:r>
      <w:bookmarkEnd w:id="99"/>
      <w:bookmarkEnd w:id="100"/>
      <w:r>
        <w:t xml:space="preserve"> </w:t>
      </w:r>
      <w:bookmarkEnd w:id="97"/>
    </w:p>
    <w:p w14:paraId="27393346" w14:textId="35057D50" w:rsidR="005E6C13" w:rsidRDefault="000D7FCA" w:rsidP="0061733E">
      <w:r>
        <w:t>In permitting 2</w:t>
      </w:r>
      <w:r w:rsidR="000A17BB">
        <w:t>′</w:t>
      </w:r>
      <w:r>
        <w:t>-FL and LNnT as proposed above</w:t>
      </w:r>
      <w:r w:rsidR="001D7E12">
        <w:t xml:space="preserve">, </w:t>
      </w:r>
      <w:r>
        <w:t xml:space="preserve">express permission would be provided for </w:t>
      </w:r>
      <w:r w:rsidR="00BA2F99">
        <w:t xml:space="preserve">both </w:t>
      </w:r>
      <w:r>
        <w:t>2</w:t>
      </w:r>
      <w:r w:rsidR="000A17BB">
        <w:t>′</w:t>
      </w:r>
      <w:r>
        <w:t xml:space="preserve">-FL and LNnT to be </w:t>
      </w:r>
      <w:r>
        <w:rPr>
          <w:i/>
        </w:rPr>
        <w:t>used as a nutritive substance</w:t>
      </w:r>
      <w:r>
        <w:t xml:space="preserve"> </w:t>
      </w:r>
      <w:r w:rsidR="0061733E">
        <w:t>(i.e. in Schedule 29</w:t>
      </w:r>
      <w:r w:rsidR="00785462">
        <w:t xml:space="preserve">) </w:t>
      </w:r>
      <w:r>
        <w:t xml:space="preserve">and </w:t>
      </w:r>
      <w:r w:rsidR="001D7E12" w:rsidRPr="00B63FCD">
        <w:t>as</w:t>
      </w:r>
      <w:r w:rsidR="001D7E12">
        <w:rPr>
          <w:i/>
        </w:rPr>
        <w:t xml:space="preserve"> food</w:t>
      </w:r>
      <w:r w:rsidRPr="002960D0">
        <w:rPr>
          <w:i/>
        </w:rPr>
        <w:t xml:space="preserve"> produced using gene technology</w:t>
      </w:r>
      <w:r w:rsidR="001D7E12">
        <w:t xml:space="preserve"> </w:t>
      </w:r>
      <w:r w:rsidR="005D1F2C">
        <w:t>(</w:t>
      </w:r>
      <w:r w:rsidR="0061733E">
        <w:t>i.e. in Sc</w:t>
      </w:r>
      <w:r w:rsidR="00785462">
        <w:t>hedule 26)</w:t>
      </w:r>
      <w:r w:rsidR="00931880">
        <w:t xml:space="preserve"> </w:t>
      </w:r>
      <w:r w:rsidR="005D1F2C">
        <w:t>(as discussed in section 1.3.1)</w:t>
      </w:r>
      <w:r w:rsidR="00B27756">
        <w:t>.</w:t>
      </w:r>
      <w:r w:rsidR="0061733E" w:rsidRPr="0061733E">
        <w:t xml:space="preserve"> </w:t>
      </w:r>
    </w:p>
    <w:p w14:paraId="2EA53676" w14:textId="77777777" w:rsidR="00BE2ACC" w:rsidRDefault="00BE2ACC" w:rsidP="0061733E"/>
    <w:p w14:paraId="3F9F9DB5" w14:textId="7A3D9200" w:rsidR="00D465EF" w:rsidRPr="003E7621" w:rsidRDefault="00FB4BC1" w:rsidP="00072A22">
      <w:pPr>
        <w:widowControl/>
      </w:pPr>
      <w:r w:rsidRPr="003E7621">
        <w:t>At 1</w:t>
      </w:r>
      <w:r w:rsidRPr="003E7621">
        <w:rPr>
          <w:vertAlign w:val="superscript"/>
        </w:rPr>
        <w:t>st</w:t>
      </w:r>
      <w:r w:rsidR="00807942" w:rsidRPr="003E7621">
        <w:t xml:space="preserve"> CFS, FSANZ had</w:t>
      </w:r>
      <w:r w:rsidRPr="003E7621">
        <w:t xml:space="preserve"> </w:t>
      </w:r>
      <w:r w:rsidR="00807942" w:rsidRPr="003E7621">
        <w:t>proposed</w:t>
      </w:r>
      <w:r w:rsidRPr="003E7621">
        <w:t xml:space="preserve"> </w:t>
      </w:r>
      <w:r w:rsidR="001770E2" w:rsidRPr="003E7621">
        <w:t>linking</w:t>
      </w:r>
      <w:r w:rsidRPr="003E7621">
        <w:t xml:space="preserve"> approval of </w:t>
      </w:r>
      <w:r w:rsidR="00B51870" w:rsidRPr="003E7621">
        <w:t>2′</w:t>
      </w:r>
      <w:r w:rsidRPr="003E7621">
        <w:t xml:space="preserve">-FL and LNnT to the applicant’s specific GM production strains </w:t>
      </w:r>
      <w:r w:rsidRPr="003E7621">
        <w:rPr>
          <w:i/>
        </w:rPr>
        <w:t>E.coli</w:t>
      </w:r>
      <w:r w:rsidRPr="003E7621">
        <w:t xml:space="preserve"> SCR6 and </w:t>
      </w:r>
      <w:r w:rsidRPr="003E7621">
        <w:rPr>
          <w:i/>
        </w:rPr>
        <w:t>E.coli</w:t>
      </w:r>
      <w:r w:rsidRPr="003E7621">
        <w:t xml:space="preserve"> MP572, respectively. </w:t>
      </w:r>
      <w:r w:rsidR="0061733E" w:rsidRPr="003E7621">
        <w:t>However, after considering</w:t>
      </w:r>
      <w:r w:rsidR="00785462" w:rsidRPr="003E7621">
        <w:t xml:space="preserve"> </w:t>
      </w:r>
      <w:r w:rsidR="00935063" w:rsidRPr="003E7621">
        <w:t xml:space="preserve">industry </w:t>
      </w:r>
      <w:r w:rsidR="00785462" w:rsidRPr="003E7621">
        <w:t>subm</w:t>
      </w:r>
      <w:r w:rsidRPr="003E7621">
        <w:t xml:space="preserve">issions, FSANZ </w:t>
      </w:r>
      <w:r w:rsidR="0061733E" w:rsidRPr="003E7621">
        <w:t xml:space="preserve">now proposes to link permission to the </w:t>
      </w:r>
      <w:r w:rsidR="00D465EF" w:rsidRPr="003E7621">
        <w:t xml:space="preserve">following </w:t>
      </w:r>
      <w:r w:rsidR="0061733E" w:rsidRPr="003E7621">
        <w:t xml:space="preserve">gene-gene donor information specific to the production </w:t>
      </w:r>
      <w:r w:rsidR="00D465EF" w:rsidRPr="003E7621">
        <w:t xml:space="preserve">of the </w:t>
      </w:r>
      <w:r w:rsidR="0061733E" w:rsidRPr="003E7621">
        <w:t>oligosaccharides</w:t>
      </w:r>
      <w:r w:rsidR="00D465EF" w:rsidRPr="003E7621">
        <w:t>:</w:t>
      </w:r>
    </w:p>
    <w:p w14:paraId="7A03AC22" w14:textId="3B852778" w:rsidR="00D465EF" w:rsidRPr="003E7621" w:rsidRDefault="00D465EF" w:rsidP="000D7FCA"/>
    <w:p w14:paraId="11C88E3B" w14:textId="7A1717FA" w:rsidR="00D465EF" w:rsidRPr="003E7621" w:rsidRDefault="00B51870" w:rsidP="00B57142">
      <w:pPr>
        <w:pStyle w:val="FSBullet1"/>
        <w:rPr>
          <w:i/>
        </w:rPr>
      </w:pPr>
      <w:r w:rsidRPr="003E7621">
        <w:t>2′</w:t>
      </w:r>
      <w:r w:rsidR="00D465EF" w:rsidRPr="003E7621">
        <w:t xml:space="preserve">-FL derived from </w:t>
      </w:r>
      <w:r w:rsidR="00D465EF" w:rsidRPr="003E7621">
        <w:rPr>
          <w:i/>
        </w:rPr>
        <w:t>E.coil</w:t>
      </w:r>
      <w:r w:rsidR="00D465EF" w:rsidRPr="003E7621">
        <w:t xml:space="preserve"> K-12 containing the gene for alpha-1,2-fucosyltransferase from </w:t>
      </w:r>
      <w:r w:rsidR="00D465EF" w:rsidRPr="003E7621">
        <w:rPr>
          <w:i/>
        </w:rPr>
        <w:t>Helicobacter pylori</w:t>
      </w:r>
    </w:p>
    <w:p w14:paraId="1A4D74AF" w14:textId="7A3DCFFF" w:rsidR="00D465EF" w:rsidRPr="003E7621" w:rsidRDefault="00D465EF" w:rsidP="00B87FD6">
      <w:pPr>
        <w:pStyle w:val="FSBullet1"/>
        <w:rPr>
          <w:i/>
          <w:lang w:eastAsia="en-GB"/>
        </w:rPr>
      </w:pPr>
      <w:r w:rsidRPr="003E7621">
        <w:t xml:space="preserve">LNnT derived from </w:t>
      </w:r>
      <w:r w:rsidRPr="003E7621">
        <w:rPr>
          <w:i/>
          <w:lang w:eastAsia="en-GB"/>
        </w:rPr>
        <w:t>E.coli</w:t>
      </w:r>
      <w:r w:rsidRPr="003E7621">
        <w:t xml:space="preserve"> K-12 containing the gene for beta-1,3-N-acetylgl</w:t>
      </w:r>
      <w:r w:rsidR="00B8600A">
        <w:t>u</w:t>
      </w:r>
      <w:r w:rsidRPr="003E7621">
        <w:t xml:space="preserve">cosaminyltransferase from </w:t>
      </w:r>
      <w:r w:rsidRPr="003E7621">
        <w:rPr>
          <w:i/>
          <w:lang w:eastAsia="en-GB"/>
        </w:rPr>
        <w:t>Neisseria meningitides</w:t>
      </w:r>
      <w:r w:rsidRPr="003E7621">
        <w:t xml:space="preserve"> and the gene for beta-1,4-galactosyltransferase from </w:t>
      </w:r>
      <w:r w:rsidRPr="003E7621">
        <w:rPr>
          <w:i/>
          <w:lang w:eastAsia="en-GB"/>
        </w:rPr>
        <w:t>Helicobacter pylori</w:t>
      </w:r>
      <w:r w:rsidR="00B27756" w:rsidRPr="003E7621">
        <w:rPr>
          <w:i/>
          <w:lang w:eastAsia="en-GB"/>
        </w:rPr>
        <w:t>.</w:t>
      </w:r>
    </w:p>
    <w:p w14:paraId="42279FD2" w14:textId="0AA0776C" w:rsidR="00D465EF" w:rsidRPr="003E7621" w:rsidRDefault="00D465EF" w:rsidP="000D7FCA">
      <w:pPr>
        <w:rPr>
          <w:rFonts w:cs="Arial"/>
          <w:i/>
          <w:szCs w:val="22"/>
          <w:lang w:eastAsia="en-GB"/>
        </w:rPr>
      </w:pPr>
    </w:p>
    <w:p w14:paraId="4D2284AB" w14:textId="59E72C6C" w:rsidR="0061733E" w:rsidRPr="003E7621" w:rsidRDefault="0061733E" w:rsidP="000D7FCA">
      <w:r w:rsidRPr="003E7621">
        <w:t>This approach is consistent with how production microorganisms are typically listed in the Code (e.g. in the case of enzyme processing aid approvals in Schedule 18). There are no public health and safety concerns associated with this approach.</w:t>
      </w:r>
    </w:p>
    <w:p w14:paraId="4EFB6462" w14:textId="300B3126" w:rsidR="0061733E" w:rsidRPr="003E7621" w:rsidRDefault="0061733E" w:rsidP="000D7FCA"/>
    <w:p w14:paraId="38694D08" w14:textId="649BC2D6" w:rsidR="0061733E" w:rsidRPr="005A7462" w:rsidRDefault="0061733E" w:rsidP="000D7FCA">
      <w:r w:rsidRPr="003E7621">
        <w:t xml:space="preserve">FSANZ </w:t>
      </w:r>
      <w:r w:rsidR="000D6E25" w:rsidRPr="003E7621">
        <w:t xml:space="preserve">also </w:t>
      </w:r>
      <w:r w:rsidR="00D465EF" w:rsidRPr="003E7621">
        <w:t xml:space="preserve">proposes </w:t>
      </w:r>
      <w:r w:rsidR="001770E2" w:rsidRPr="003E7621">
        <w:t>amending</w:t>
      </w:r>
      <w:r w:rsidR="00D465EF" w:rsidRPr="003E7621">
        <w:t xml:space="preserve"> Schedule 26 to add</w:t>
      </w:r>
      <w:r w:rsidR="000D6E25" w:rsidRPr="003E7621">
        <w:t xml:space="preserve"> a new, </w:t>
      </w:r>
      <w:r w:rsidRPr="003E7621">
        <w:t>separate table</w:t>
      </w:r>
      <w:r w:rsidR="005A7462" w:rsidRPr="003E7621">
        <w:t xml:space="preserve"> </w:t>
      </w:r>
      <w:r w:rsidR="004C6B14" w:rsidRPr="003E7621">
        <w:t>for</w:t>
      </w:r>
      <w:r w:rsidR="005A7462" w:rsidRPr="003E7621">
        <w:t xml:space="preserve"> </w:t>
      </w:r>
      <w:r w:rsidR="005A7462" w:rsidRPr="003E7621">
        <w:rPr>
          <w:i/>
        </w:rPr>
        <w:t>food produced using gene technology of microbial origin</w:t>
      </w:r>
      <w:r w:rsidR="004C6B14" w:rsidRPr="003E7621">
        <w:t>,</w:t>
      </w:r>
      <w:r w:rsidR="005A7462" w:rsidRPr="003E7621">
        <w:t xml:space="preserve"> which</w:t>
      </w:r>
      <w:r w:rsidRPr="003E7621">
        <w:t xml:space="preserve"> </w:t>
      </w:r>
      <w:r w:rsidR="005A7462" w:rsidRPr="003E7621">
        <w:t>lists</w:t>
      </w:r>
      <w:r w:rsidRPr="003E7621">
        <w:t xml:space="preserve"> </w:t>
      </w:r>
      <w:r w:rsidR="00B51870" w:rsidRPr="003E7621">
        <w:t>2′</w:t>
      </w:r>
      <w:r w:rsidR="00D35685" w:rsidRPr="003E7621">
        <w:t>-FL and L</w:t>
      </w:r>
      <w:r w:rsidR="00D465EF" w:rsidRPr="003E7621">
        <w:t xml:space="preserve">NnT </w:t>
      </w:r>
      <w:r w:rsidR="004C6B14" w:rsidRPr="003E7621">
        <w:t>from</w:t>
      </w:r>
      <w:r w:rsidR="005A7462" w:rsidRPr="003E7621">
        <w:t xml:space="preserve"> the </w:t>
      </w:r>
      <w:r w:rsidR="000D6E25" w:rsidRPr="003E7621">
        <w:t xml:space="preserve">permitted </w:t>
      </w:r>
      <w:r w:rsidR="005A7462" w:rsidRPr="003E7621">
        <w:t xml:space="preserve">source as listed above. </w:t>
      </w:r>
      <w:r w:rsidR="00D35685" w:rsidRPr="003E7621">
        <w:t>Consequently, an amendment to th</w:t>
      </w:r>
      <w:r w:rsidR="005A7462" w:rsidRPr="003E7621">
        <w:t xml:space="preserve">e existing table in </w:t>
      </w:r>
      <w:r w:rsidR="00EC1AD9" w:rsidRPr="003E7621">
        <w:t>Schedu</w:t>
      </w:r>
      <w:r w:rsidR="00D35685" w:rsidRPr="003E7621">
        <w:t>l</w:t>
      </w:r>
      <w:r w:rsidR="00EC1AD9" w:rsidRPr="003E7621">
        <w:t>e</w:t>
      </w:r>
      <w:r w:rsidR="005A7462" w:rsidRPr="003E7621">
        <w:t xml:space="preserve"> 26</w:t>
      </w:r>
      <w:r w:rsidR="00EC1AD9" w:rsidRPr="003E7621">
        <w:t xml:space="preserve"> would</w:t>
      </w:r>
      <w:r w:rsidR="00D35685" w:rsidRPr="003E7621">
        <w:t xml:space="preserve"> be made to clarify the existing </w:t>
      </w:r>
      <w:r w:rsidR="005A7462" w:rsidRPr="003E7621">
        <w:t xml:space="preserve">list of </w:t>
      </w:r>
      <w:r w:rsidR="00D35685" w:rsidRPr="003E7621">
        <w:t>approvals are of plant origin</w:t>
      </w:r>
      <w:r w:rsidR="005A7462" w:rsidRPr="003E7621">
        <w:t xml:space="preserve"> (i.e. </w:t>
      </w:r>
      <w:r w:rsidR="005A7462" w:rsidRPr="003E7621">
        <w:rPr>
          <w:i/>
        </w:rPr>
        <w:t>food produced using gene technology of plant origin)</w:t>
      </w:r>
      <w:r w:rsidR="00D35685" w:rsidRPr="003E7621">
        <w:t xml:space="preserve">. </w:t>
      </w:r>
      <w:r w:rsidR="005A7462" w:rsidRPr="003E7621">
        <w:rPr>
          <w:rFonts w:cs="Arial"/>
          <w:szCs w:val="22"/>
        </w:rPr>
        <w:t xml:space="preserve">This approach clearly </w:t>
      </w:r>
      <w:r w:rsidR="00F45AD0" w:rsidRPr="003E7621">
        <w:rPr>
          <w:rFonts w:cs="Arial"/>
          <w:szCs w:val="22"/>
        </w:rPr>
        <w:t>delineates</w:t>
      </w:r>
      <w:r w:rsidR="005A7462" w:rsidRPr="003E7621">
        <w:rPr>
          <w:rFonts w:cs="Arial"/>
          <w:szCs w:val="22"/>
        </w:rPr>
        <w:t xml:space="preserve"> the different sources of permitted GM foods (i.e. plant origin and microbial origin), similar to the existing approach used in S18—4 of the Code </w:t>
      </w:r>
      <w:r w:rsidR="000D6E25" w:rsidRPr="003E7621">
        <w:rPr>
          <w:rFonts w:cs="Arial"/>
          <w:szCs w:val="22"/>
        </w:rPr>
        <w:t>which lists permitted enzymes in separate tables for</w:t>
      </w:r>
      <w:r w:rsidR="005A7462" w:rsidRPr="003E7621">
        <w:rPr>
          <w:rFonts w:cs="Arial"/>
          <w:szCs w:val="22"/>
        </w:rPr>
        <w:t xml:space="preserve"> pla</w:t>
      </w:r>
      <w:r w:rsidR="000D6E25" w:rsidRPr="003E7621">
        <w:rPr>
          <w:rFonts w:cs="Arial"/>
          <w:szCs w:val="22"/>
        </w:rPr>
        <w:t>nt, animal and microbial origin</w:t>
      </w:r>
      <w:r w:rsidR="005A7462" w:rsidRPr="003E7621">
        <w:rPr>
          <w:rFonts w:cs="Arial"/>
          <w:szCs w:val="22"/>
        </w:rPr>
        <w:t>. The prop</w:t>
      </w:r>
      <w:r w:rsidR="00F56866" w:rsidRPr="003E7621">
        <w:rPr>
          <w:rFonts w:cs="Arial"/>
          <w:szCs w:val="22"/>
        </w:rPr>
        <w:t>osed changes to Schedule 26 do</w:t>
      </w:r>
      <w:r w:rsidR="005A7462" w:rsidRPr="003E7621">
        <w:rPr>
          <w:rFonts w:cs="Arial"/>
          <w:szCs w:val="22"/>
        </w:rPr>
        <w:t xml:space="preserve"> not change the requirements for pre-market assessment and approval of GM foods, or alter the existing approvals of plant origin.</w:t>
      </w:r>
    </w:p>
    <w:p w14:paraId="27CC14AB" w14:textId="1DB374B5" w:rsidR="00335187" w:rsidRDefault="00FB4BC1" w:rsidP="000D7FCA">
      <w:r>
        <w:rPr>
          <w:i/>
        </w:rPr>
        <w:t xml:space="preserve"> </w:t>
      </w:r>
    </w:p>
    <w:p w14:paraId="17E38197" w14:textId="12E79476" w:rsidR="00696023" w:rsidRDefault="000D7FCA" w:rsidP="000D7FCA">
      <w:r>
        <w:t xml:space="preserve">The applicable GM labelling requirements are discussed in </w:t>
      </w:r>
      <w:r w:rsidR="006C70CA" w:rsidRPr="006C70CA">
        <w:t>section 2.</w:t>
      </w:r>
      <w:r w:rsidR="000D6E25">
        <w:t>3</w:t>
      </w:r>
      <w:r w:rsidR="006C70CA" w:rsidRPr="006C70CA">
        <w:t>.5.</w:t>
      </w:r>
      <w:r w:rsidR="00576D50">
        <w:t>5</w:t>
      </w:r>
      <w:r>
        <w:t xml:space="preserve"> below.</w:t>
      </w:r>
    </w:p>
    <w:p w14:paraId="5C068AB6" w14:textId="60E24E72" w:rsidR="00934A4B" w:rsidRDefault="00934A4B" w:rsidP="000D7FCA"/>
    <w:p w14:paraId="64E85CEE" w14:textId="2E250C0E" w:rsidR="00934A4B" w:rsidRDefault="00934A4B" w:rsidP="000D7FCA">
      <w:r>
        <w:rPr>
          <w:noProof/>
          <w:lang w:eastAsia="en-GB" w:bidi="ar-SA"/>
        </w:rPr>
        <mc:AlternateContent>
          <mc:Choice Requires="wps">
            <w:drawing>
              <wp:inline distT="0" distB="0" distL="0" distR="0" wp14:anchorId="5E4C3E97" wp14:editId="1A4F4774">
                <wp:extent cx="5686425" cy="785004"/>
                <wp:effectExtent l="0" t="0" r="2857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85004"/>
                        </a:xfrm>
                        <a:prstGeom prst="rect">
                          <a:avLst/>
                        </a:prstGeom>
                        <a:solidFill>
                          <a:srgbClr val="FFFFFF"/>
                        </a:solidFill>
                        <a:ln w="9525">
                          <a:solidFill>
                            <a:schemeClr val="tx2">
                              <a:lumMod val="60000"/>
                              <a:lumOff val="40000"/>
                            </a:schemeClr>
                          </a:solidFill>
                          <a:miter lim="800000"/>
                          <a:headEnd/>
                          <a:tailEnd/>
                        </a:ln>
                      </wps:spPr>
                      <wps:txbx>
                        <w:txbxContent>
                          <w:p w14:paraId="27FCF3E3" w14:textId="3D6B0B9D" w:rsidR="0025476F" w:rsidRDefault="0025476F" w:rsidP="00934A4B">
                            <w:r>
                              <w:t xml:space="preserve">FSANZ’s approach is to permit both 2′-FL and LNnT to be </w:t>
                            </w:r>
                            <w:r>
                              <w:rPr>
                                <w:i/>
                              </w:rPr>
                              <w:t>used as a nutritive substance</w:t>
                            </w:r>
                            <w:r>
                              <w:t>,</w:t>
                            </w:r>
                            <w:r>
                              <w:rPr>
                                <w:i/>
                              </w:rPr>
                              <w:t xml:space="preserve"> </w:t>
                            </w:r>
                            <w:r>
                              <w:t>and as</w:t>
                            </w:r>
                            <w:r>
                              <w:rPr>
                                <w:i/>
                              </w:rPr>
                              <w:t xml:space="preserve"> food</w:t>
                            </w:r>
                            <w:r w:rsidRPr="002E057A">
                              <w:rPr>
                                <w:i/>
                              </w:rPr>
                              <w:t xml:space="preserve"> produced using gene technology</w:t>
                            </w:r>
                            <w:r>
                              <w:t xml:space="preserve"> </w:t>
                            </w:r>
                            <w:r w:rsidRPr="003E7621">
                              <w:t>linked to the gene-gene information specific to the production of the oligosaccharides, for</w:t>
                            </w:r>
                            <w:r>
                              <w:t xml:space="preserve"> use</w:t>
                            </w:r>
                            <w:r>
                              <w:rPr>
                                <w:i/>
                              </w:rPr>
                              <w:t xml:space="preserve"> </w:t>
                            </w:r>
                            <w:r>
                              <w:t>in infant formula products and FSFYC.</w:t>
                            </w:r>
                          </w:p>
                        </w:txbxContent>
                      </wps:txbx>
                      <wps:bodyPr rot="0" vert="horz" wrap="square" lIns="91440" tIns="45720" rIns="91440" bIns="45720" anchor="t" anchorCtr="0">
                        <a:noAutofit/>
                      </wps:bodyPr>
                    </wps:wsp>
                  </a:graphicData>
                </a:graphic>
              </wp:inline>
            </w:drawing>
          </mc:Choice>
          <mc:Fallback>
            <w:pict>
              <v:shape w14:anchorId="5E4C3E97" id="Text Box 13" o:spid="_x0000_s1028" type="#_x0000_t202" style="width:447.75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" strokecolor="#548dd4 [1951]">
                <v:textbox>
                  <w:txbxContent>
                    <w:p w14:paraId="27FCF3E3" w14:textId="3D6B0B9D" w:rsidR="0025476F" w:rsidRDefault="0025476F" w:rsidP="00934A4B">
                      <w:r>
                        <w:t xml:space="preserve">FSANZ’s approach is to permit both 2′-FL and LNnT to be </w:t>
                      </w:r>
                      <w:r>
                        <w:rPr>
                          <w:i/>
                        </w:rPr>
                        <w:t>used as a nutritive substance</w:t>
                      </w:r>
                      <w:r>
                        <w:t>,</w:t>
                      </w:r>
                      <w:r>
                        <w:rPr>
                          <w:i/>
                        </w:rPr>
                        <w:t xml:space="preserve"> </w:t>
                      </w:r>
                      <w:r>
                        <w:t>and as</w:t>
                      </w:r>
                      <w:r>
                        <w:rPr>
                          <w:i/>
                        </w:rPr>
                        <w:t xml:space="preserve"> food</w:t>
                      </w:r>
                      <w:r w:rsidRPr="002E057A">
                        <w:rPr>
                          <w:i/>
                        </w:rPr>
                        <w:t xml:space="preserve"> produced using gene technology</w:t>
                      </w:r>
                      <w:r>
                        <w:t xml:space="preserve"> </w:t>
                      </w:r>
                      <w:r w:rsidRPr="003E7621">
                        <w:t>linked to the gene-gene information specific to the production of the oligosaccharides, for</w:t>
                      </w:r>
                      <w:r>
                        <w:t xml:space="preserve"> use</w:t>
                      </w:r>
                      <w:r>
                        <w:rPr>
                          <w:i/>
                        </w:rPr>
                        <w:t xml:space="preserve"> </w:t>
                      </w:r>
                      <w:r>
                        <w:t>in infant formula products and FSFYC.</w:t>
                      </w:r>
                    </w:p>
                  </w:txbxContent>
                </v:textbox>
                <w10:anchorlock/>
              </v:shape>
            </w:pict>
          </mc:Fallback>
        </mc:AlternateContent>
      </w:r>
    </w:p>
    <w:p w14:paraId="5350FA76" w14:textId="26597E8B" w:rsidR="00396CF0" w:rsidRDefault="008113F0" w:rsidP="000D7FCA">
      <w:pPr>
        <w:pStyle w:val="Heading3"/>
      </w:pPr>
      <w:bookmarkStart w:id="101" w:name="_Toc527018237"/>
      <w:bookmarkStart w:id="102" w:name="_Toc11247907"/>
      <w:bookmarkStart w:id="103" w:name="_Toc14427200"/>
      <w:r>
        <w:t>2</w:t>
      </w:r>
      <w:r w:rsidR="006348E4">
        <w:t>.</w:t>
      </w:r>
      <w:r w:rsidR="008155DB">
        <w:t>3</w:t>
      </w:r>
      <w:r w:rsidR="00BE4AFA">
        <w:t>.3</w:t>
      </w:r>
      <w:r w:rsidR="00C77F59">
        <w:tab/>
      </w:r>
      <w:r w:rsidR="00DA15EB">
        <w:t>M</w:t>
      </w:r>
      <w:r w:rsidR="00804CA9">
        <w:t>axi</w:t>
      </w:r>
      <w:r w:rsidR="00FD2FCB">
        <w:t xml:space="preserve">mum use </w:t>
      </w:r>
      <w:r w:rsidR="00396CF0">
        <w:t xml:space="preserve">levels </w:t>
      </w:r>
      <w:bookmarkEnd w:id="98"/>
      <w:r w:rsidR="00EF41E8">
        <w:t>and units expression</w:t>
      </w:r>
      <w:bookmarkEnd w:id="101"/>
      <w:bookmarkEnd w:id="102"/>
      <w:bookmarkEnd w:id="103"/>
    </w:p>
    <w:p w14:paraId="18AF4323" w14:textId="7B72F88C" w:rsidR="00691BB2" w:rsidRDefault="00C40094" w:rsidP="00396CF0">
      <w:pPr>
        <w:rPr>
          <w:lang w:eastAsia="en-AU" w:bidi="ar-SA"/>
        </w:rPr>
      </w:pPr>
      <w:r>
        <w:rPr>
          <w:lang w:eastAsia="en-AU" w:bidi="ar-SA"/>
        </w:rPr>
        <w:t>FSANZ has considered the</w:t>
      </w:r>
      <w:r w:rsidR="00367624">
        <w:rPr>
          <w:lang w:eastAsia="en-AU" w:bidi="ar-SA"/>
        </w:rPr>
        <w:t xml:space="preserve"> </w:t>
      </w:r>
      <w:r w:rsidR="00DF7982">
        <w:rPr>
          <w:lang w:eastAsia="en-AU" w:bidi="ar-SA"/>
        </w:rPr>
        <w:t>maximum</w:t>
      </w:r>
      <w:r w:rsidR="00707E60">
        <w:rPr>
          <w:lang w:eastAsia="en-AU" w:bidi="ar-SA"/>
        </w:rPr>
        <w:t xml:space="preserve"> requested</w:t>
      </w:r>
      <w:r w:rsidR="00DF7982">
        <w:rPr>
          <w:lang w:eastAsia="en-AU" w:bidi="ar-SA"/>
        </w:rPr>
        <w:t xml:space="preserve"> </w:t>
      </w:r>
      <w:r w:rsidR="00EB5F8F">
        <w:rPr>
          <w:lang w:eastAsia="en-AU" w:bidi="ar-SA"/>
        </w:rPr>
        <w:t xml:space="preserve">levels </w:t>
      </w:r>
      <w:r w:rsidR="00DF7982">
        <w:rPr>
          <w:lang w:eastAsia="en-AU" w:bidi="ar-SA"/>
        </w:rPr>
        <w:t>of</w:t>
      </w:r>
      <w:r w:rsidR="00EB5F8F">
        <w:rPr>
          <w:lang w:eastAsia="en-AU" w:bidi="ar-SA"/>
        </w:rPr>
        <w:t xml:space="preserve"> 2</w:t>
      </w:r>
      <w:r w:rsidR="000A17BB">
        <w:rPr>
          <w:lang w:eastAsia="en-AU" w:bidi="ar-SA"/>
        </w:rPr>
        <w:t>′</w:t>
      </w:r>
      <w:r w:rsidR="00EB5F8F">
        <w:rPr>
          <w:lang w:eastAsia="en-AU" w:bidi="ar-SA"/>
        </w:rPr>
        <w:t>-FL and LNnT</w:t>
      </w:r>
      <w:r w:rsidR="00DF7982">
        <w:rPr>
          <w:lang w:eastAsia="en-AU" w:bidi="ar-SA"/>
        </w:rPr>
        <w:t xml:space="preserve"> </w:t>
      </w:r>
      <w:r w:rsidR="00CA43F9">
        <w:rPr>
          <w:lang w:eastAsia="en-AU" w:bidi="ar-SA"/>
        </w:rPr>
        <w:t>in the context of</w:t>
      </w:r>
      <w:r>
        <w:rPr>
          <w:lang w:eastAsia="en-AU" w:bidi="ar-SA"/>
        </w:rPr>
        <w:t xml:space="preserve"> the safety, technical </w:t>
      </w:r>
      <w:r w:rsidR="00CA43F9">
        <w:rPr>
          <w:lang w:eastAsia="en-AU" w:bidi="ar-SA"/>
        </w:rPr>
        <w:t>a</w:t>
      </w:r>
      <w:r w:rsidR="001B6209">
        <w:rPr>
          <w:lang w:eastAsia="en-AU" w:bidi="ar-SA"/>
        </w:rPr>
        <w:t xml:space="preserve">nd health </w:t>
      </w:r>
      <w:r w:rsidR="00CA6000">
        <w:rPr>
          <w:lang w:eastAsia="en-AU" w:bidi="ar-SA"/>
        </w:rPr>
        <w:t xml:space="preserve">effects </w:t>
      </w:r>
      <w:r w:rsidR="001B6209">
        <w:rPr>
          <w:lang w:eastAsia="en-AU" w:bidi="ar-SA"/>
        </w:rPr>
        <w:t xml:space="preserve">assessment, including </w:t>
      </w:r>
      <w:r w:rsidR="006F6648">
        <w:rPr>
          <w:lang w:eastAsia="en-AU" w:bidi="ar-SA"/>
        </w:rPr>
        <w:t xml:space="preserve">estimated dietary intakes </w:t>
      </w:r>
      <w:r w:rsidR="00CA43F9">
        <w:rPr>
          <w:lang w:eastAsia="en-AU" w:bidi="ar-SA"/>
        </w:rPr>
        <w:t>and naturally occurring levels</w:t>
      </w:r>
      <w:r w:rsidR="00701CCE">
        <w:rPr>
          <w:lang w:eastAsia="en-AU" w:bidi="ar-SA"/>
        </w:rPr>
        <w:t xml:space="preserve"> </w:t>
      </w:r>
      <w:r w:rsidR="00CA43F9">
        <w:rPr>
          <w:lang w:eastAsia="en-AU" w:bidi="ar-SA"/>
        </w:rPr>
        <w:t>in human milk</w:t>
      </w:r>
      <w:r w:rsidR="00EB5F8F">
        <w:rPr>
          <w:lang w:eastAsia="en-AU" w:bidi="ar-SA"/>
        </w:rPr>
        <w:t xml:space="preserve">, </w:t>
      </w:r>
      <w:r w:rsidR="00367624">
        <w:rPr>
          <w:lang w:eastAsia="en-AU" w:bidi="ar-SA"/>
        </w:rPr>
        <w:t>and</w:t>
      </w:r>
      <w:r w:rsidR="00BA0647">
        <w:rPr>
          <w:lang w:eastAsia="en-AU" w:bidi="ar-SA"/>
        </w:rPr>
        <w:t xml:space="preserve"> other relevant matters </w:t>
      </w:r>
      <w:r w:rsidR="00367624">
        <w:rPr>
          <w:lang w:eastAsia="en-AU" w:bidi="ar-SA"/>
        </w:rPr>
        <w:t>as discussed in the following sections.</w:t>
      </w:r>
    </w:p>
    <w:p w14:paraId="71E06880" w14:textId="362B8260" w:rsidR="006F60DD" w:rsidRDefault="00232431" w:rsidP="00232431">
      <w:pPr>
        <w:pStyle w:val="Heading4"/>
        <w:rPr>
          <w:lang w:eastAsia="en-AU"/>
        </w:rPr>
      </w:pPr>
      <w:r>
        <w:rPr>
          <w:lang w:eastAsia="en-AU"/>
        </w:rPr>
        <w:t>2.</w:t>
      </w:r>
      <w:r w:rsidR="008155DB">
        <w:rPr>
          <w:lang w:eastAsia="en-AU"/>
        </w:rPr>
        <w:t>3</w:t>
      </w:r>
      <w:r>
        <w:rPr>
          <w:lang w:eastAsia="en-AU"/>
        </w:rPr>
        <w:t>.</w:t>
      </w:r>
      <w:r w:rsidR="00BE4AFA">
        <w:rPr>
          <w:lang w:eastAsia="en-AU"/>
        </w:rPr>
        <w:t>3</w:t>
      </w:r>
      <w:r>
        <w:rPr>
          <w:lang w:eastAsia="en-AU"/>
        </w:rPr>
        <w:t>.1</w:t>
      </w:r>
      <w:r>
        <w:rPr>
          <w:lang w:eastAsia="en-AU"/>
        </w:rPr>
        <w:tab/>
      </w:r>
      <w:r w:rsidR="006F60DD">
        <w:rPr>
          <w:lang w:eastAsia="en-AU"/>
        </w:rPr>
        <w:t>Infant formula products</w:t>
      </w:r>
    </w:p>
    <w:p w14:paraId="7D2A0081" w14:textId="37196B3F" w:rsidR="00934A4B" w:rsidRDefault="00766922" w:rsidP="00913719">
      <w:pPr>
        <w:rPr>
          <w:lang w:eastAsia="en-AU" w:bidi="ar-SA"/>
        </w:rPr>
      </w:pPr>
      <w:r w:rsidRPr="00975D1C">
        <w:rPr>
          <w:lang w:eastAsia="en-AU" w:bidi="ar-SA"/>
        </w:rPr>
        <w:t>As the</w:t>
      </w:r>
      <w:r w:rsidR="00035D67" w:rsidRPr="00975D1C">
        <w:rPr>
          <w:lang w:eastAsia="en-AU" w:bidi="ar-SA"/>
        </w:rPr>
        <w:t xml:space="preserve"> safety, </w:t>
      </w:r>
      <w:r w:rsidRPr="00975D1C">
        <w:rPr>
          <w:lang w:eastAsia="en-AU" w:bidi="ar-SA"/>
        </w:rPr>
        <w:t xml:space="preserve">technical and health </w:t>
      </w:r>
      <w:r w:rsidR="00CA6000" w:rsidRPr="00975D1C">
        <w:rPr>
          <w:lang w:eastAsia="en-AU" w:bidi="ar-SA"/>
        </w:rPr>
        <w:t xml:space="preserve">effects </w:t>
      </w:r>
      <w:r w:rsidRPr="00975D1C">
        <w:rPr>
          <w:lang w:eastAsia="en-AU" w:bidi="ar-SA"/>
        </w:rPr>
        <w:t>assessment concluded that</w:t>
      </w:r>
      <w:r w:rsidR="00AA2924" w:rsidRPr="00975D1C">
        <w:rPr>
          <w:lang w:eastAsia="en-AU" w:bidi="ar-SA"/>
        </w:rPr>
        <w:t xml:space="preserve"> </w:t>
      </w:r>
      <w:r w:rsidR="00035D67" w:rsidRPr="00975D1C">
        <w:rPr>
          <w:lang w:eastAsia="en-AU" w:bidi="ar-SA"/>
        </w:rPr>
        <w:t>there are no public health and safet</w:t>
      </w:r>
      <w:r w:rsidRPr="00975D1C">
        <w:rPr>
          <w:lang w:eastAsia="en-AU" w:bidi="ar-SA"/>
        </w:rPr>
        <w:t xml:space="preserve">y concerns </w:t>
      </w:r>
      <w:r w:rsidR="00524016" w:rsidRPr="00975D1C">
        <w:rPr>
          <w:lang w:eastAsia="en-AU" w:bidi="ar-SA"/>
        </w:rPr>
        <w:t>associated w</w:t>
      </w:r>
      <w:r w:rsidR="00E31BE6">
        <w:rPr>
          <w:lang w:eastAsia="en-AU" w:bidi="ar-SA"/>
        </w:rPr>
        <w:t>ith the addition of 2</w:t>
      </w:r>
      <w:r w:rsidR="000A17BB">
        <w:rPr>
          <w:lang w:eastAsia="en-AU" w:bidi="ar-SA"/>
        </w:rPr>
        <w:t>′</w:t>
      </w:r>
      <w:r w:rsidR="00E31BE6">
        <w:rPr>
          <w:lang w:eastAsia="en-AU" w:bidi="ar-SA"/>
        </w:rPr>
        <w:t>-FL alone</w:t>
      </w:r>
      <w:r w:rsidR="00524016" w:rsidRPr="00975D1C">
        <w:rPr>
          <w:lang w:eastAsia="en-AU" w:bidi="ar-SA"/>
        </w:rPr>
        <w:t xml:space="preserve"> or with LNnT to infant formula products </w:t>
      </w:r>
      <w:r w:rsidRPr="00975D1C">
        <w:rPr>
          <w:lang w:eastAsia="en-AU" w:bidi="ar-SA"/>
        </w:rPr>
        <w:t xml:space="preserve">at the </w:t>
      </w:r>
      <w:r w:rsidR="00426380">
        <w:rPr>
          <w:lang w:eastAsia="en-AU" w:bidi="ar-SA"/>
        </w:rPr>
        <w:t xml:space="preserve">requested </w:t>
      </w:r>
      <w:r w:rsidR="005416F1" w:rsidRPr="00975D1C">
        <w:rPr>
          <w:lang w:eastAsia="en-AU" w:bidi="ar-SA"/>
        </w:rPr>
        <w:t>levels</w:t>
      </w:r>
      <w:r w:rsidR="003B7BF4" w:rsidRPr="00975D1C">
        <w:rPr>
          <w:lang w:eastAsia="en-AU" w:bidi="ar-SA"/>
        </w:rPr>
        <w:t>,</w:t>
      </w:r>
      <w:r w:rsidR="006E0A27" w:rsidRPr="00975D1C">
        <w:rPr>
          <w:lang w:eastAsia="en-AU" w:bidi="ar-SA"/>
        </w:rPr>
        <w:t xml:space="preserve"> </w:t>
      </w:r>
      <w:r w:rsidRPr="00744DD2">
        <w:rPr>
          <w:lang w:eastAsia="en-AU" w:bidi="ar-SA"/>
        </w:rPr>
        <w:t>or</w:t>
      </w:r>
      <w:r w:rsidR="00524016" w:rsidRPr="00744DD2">
        <w:rPr>
          <w:lang w:eastAsia="en-AU" w:bidi="ar-SA"/>
        </w:rPr>
        <w:t xml:space="preserve"> at</w:t>
      </w:r>
      <w:r w:rsidRPr="00744DD2">
        <w:rPr>
          <w:lang w:eastAsia="en-AU" w:bidi="ar-SA"/>
        </w:rPr>
        <w:t xml:space="preserve"> </w:t>
      </w:r>
      <w:r w:rsidR="009625F7" w:rsidRPr="00744DD2">
        <w:rPr>
          <w:lang w:eastAsia="en-AU" w:bidi="ar-SA"/>
        </w:rPr>
        <w:t xml:space="preserve">higher </w:t>
      </w:r>
      <w:r w:rsidRPr="00744DD2">
        <w:rPr>
          <w:lang w:eastAsia="en-AU" w:bidi="ar-SA"/>
        </w:rPr>
        <w:t xml:space="preserve">estimated </w:t>
      </w:r>
      <w:r w:rsidR="003B7BF4" w:rsidRPr="00744DD2">
        <w:rPr>
          <w:lang w:eastAsia="en-AU" w:bidi="ar-SA"/>
        </w:rPr>
        <w:t xml:space="preserve">levels of </w:t>
      </w:r>
      <w:r w:rsidRPr="00744DD2">
        <w:rPr>
          <w:lang w:eastAsia="en-AU" w:bidi="ar-SA"/>
        </w:rPr>
        <w:t>dietary intake</w:t>
      </w:r>
      <w:r w:rsidR="009625F7" w:rsidRPr="00744DD2">
        <w:rPr>
          <w:lang w:eastAsia="en-AU" w:bidi="ar-SA"/>
        </w:rPr>
        <w:t>s</w:t>
      </w:r>
      <w:r w:rsidR="003B7BF4" w:rsidRPr="00744DD2">
        <w:rPr>
          <w:lang w:eastAsia="en-AU" w:bidi="ar-SA"/>
        </w:rPr>
        <w:t xml:space="preserve"> </w:t>
      </w:r>
      <w:r w:rsidRPr="00744DD2">
        <w:rPr>
          <w:lang w:eastAsia="en-AU" w:bidi="ar-SA"/>
        </w:rPr>
        <w:t>based on</w:t>
      </w:r>
      <w:r w:rsidR="009003F3" w:rsidRPr="00744DD2">
        <w:rPr>
          <w:lang w:eastAsia="en-AU" w:bidi="ar-SA"/>
        </w:rPr>
        <w:t xml:space="preserve"> </w:t>
      </w:r>
      <w:r w:rsidRPr="00744DD2">
        <w:rPr>
          <w:lang w:eastAsia="en-AU" w:bidi="ar-SA"/>
        </w:rPr>
        <w:t>2.4 g/L</w:t>
      </w:r>
      <w:r w:rsidR="00295037">
        <w:rPr>
          <w:lang w:eastAsia="en-AU" w:bidi="ar-SA"/>
        </w:rPr>
        <w:t xml:space="preserve"> 2</w:t>
      </w:r>
      <w:r w:rsidR="000A17BB">
        <w:rPr>
          <w:lang w:eastAsia="en-AU" w:bidi="ar-SA"/>
        </w:rPr>
        <w:t>′</w:t>
      </w:r>
      <w:r w:rsidR="00295037">
        <w:rPr>
          <w:lang w:eastAsia="en-AU" w:bidi="ar-SA"/>
        </w:rPr>
        <w:t>-FL</w:t>
      </w:r>
      <w:r w:rsidRPr="00975D1C">
        <w:rPr>
          <w:lang w:eastAsia="en-AU" w:bidi="ar-SA"/>
        </w:rPr>
        <w:t xml:space="preserve">, FSANZ </w:t>
      </w:r>
      <w:r w:rsidR="004E2ACA" w:rsidRPr="00975D1C">
        <w:rPr>
          <w:lang w:eastAsia="en-AU" w:bidi="ar-SA"/>
        </w:rPr>
        <w:t xml:space="preserve">has </w:t>
      </w:r>
      <w:r w:rsidR="00E777EB" w:rsidRPr="00975D1C">
        <w:rPr>
          <w:lang w:eastAsia="en-AU" w:bidi="ar-SA"/>
        </w:rPr>
        <w:t xml:space="preserve">also considered the </w:t>
      </w:r>
      <w:r w:rsidR="00E777EB">
        <w:rPr>
          <w:lang w:eastAsia="en-AU" w:bidi="ar-SA"/>
        </w:rPr>
        <w:t>level</w:t>
      </w:r>
      <w:r w:rsidR="00713A20">
        <w:rPr>
          <w:lang w:eastAsia="en-AU" w:bidi="ar-SA"/>
        </w:rPr>
        <w:t>s</w:t>
      </w:r>
      <w:r w:rsidR="00E777EB">
        <w:rPr>
          <w:lang w:eastAsia="en-AU" w:bidi="ar-SA"/>
        </w:rPr>
        <w:t xml:space="preserve"> of use</w:t>
      </w:r>
      <w:r w:rsidR="004E2ACA">
        <w:rPr>
          <w:lang w:eastAsia="en-AU" w:bidi="ar-SA"/>
        </w:rPr>
        <w:t xml:space="preserve"> in relation to potential beneficial health outcomes</w:t>
      </w:r>
      <w:r w:rsidR="00553B11">
        <w:rPr>
          <w:lang w:eastAsia="en-AU" w:bidi="ar-SA"/>
        </w:rPr>
        <w:t>, international regulations and existing permissions for other non-d</w:t>
      </w:r>
      <w:r w:rsidR="00E777EB">
        <w:rPr>
          <w:lang w:eastAsia="en-AU" w:bidi="ar-SA"/>
        </w:rPr>
        <w:t>igestible oligosaccharides</w:t>
      </w:r>
      <w:r w:rsidR="00553B11">
        <w:rPr>
          <w:lang w:eastAsia="en-AU" w:bidi="ar-SA"/>
        </w:rPr>
        <w:t>.</w:t>
      </w:r>
    </w:p>
    <w:p w14:paraId="00B4EFA4" w14:textId="77777777" w:rsidR="00934A4B" w:rsidRDefault="00934A4B" w:rsidP="00913719">
      <w:pPr>
        <w:rPr>
          <w:lang w:eastAsia="en-AU" w:bidi="ar-SA"/>
        </w:rPr>
      </w:pPr>
    </w:p>
    <w:p w14:paraId="6CC5C02C" w14:textId="6451B8B2" w:rsidR="00553B11" w:rsidRDefault="007D7887" w:rsidP="00553B11">
      <w:r>
        <w:rPr>
          <w:lang w:eastAsia="en-AU" w:bidi="ar-SA"/>
        </w:rPr>
        <w:t>As discussed in section 2.</w:t>
      </w:r>
      <w:r w:rsidR="00EE2766">
        <w:rPr>
          <w:lang w:eastAsia="en-AU" w:bidi="ar-SA"/>
        </w:rPr>
        <w:t>3</w:t>
      </w:r>
      <w:r>
        <w:rPr>
          <w:lang w:eastAsia="en-AU" w:bidi="ar-SA"/>
        </w:rPr>
        <w:t>.1.1</w:t>
      </w:r>
      <w:r w:rsidR="004F5CDA">
        <w:rPr>
          <w:lang w:eastAsia="en-AU" w:bidi="ar-SA"/>
        </w:rPr>
        <w:t xml:space="preserve">, </w:t>
      </w:r>
      <w:r w:rsidR="00124B23">
        <w:rPr>
          <w:lang w:eastAsia="en-AU" w:bidi="ar-SA"/>
        </w:rPr>
        <w:t xml:space="preserve">higher </w:t>
      </w:r>
      <w:r w:rsidR="00760256">
        <w:rPr>
          <w:lang w:eastAsia="en-AU" w:bidi="ar-SA"/>
        </w:rPr>
        <w:t>levels</w:t>
      </w:r>
      <w:r w:rsidR="004F5CDA">
        <w:rPr>
          <w:lang w:eastAsia="en-AU" w:bidi="ar-SA"/>
        </w:rPr>
        <w:t xml:space="preserve"> of 2</w:t>
      </w:r>
      <w:r w:rsidR="000A17BB">
        <w:rPr>
          <w:lang w:eastAsia="en-AU" w:bidi="ar-SA"/>
        </w:rPr>
        <w:t>′</w:t>
      </w:r>
      <w:r w:rsidR="004F5CDA">
        <w:rPr>
          <w:lang w:eastAsia="en-AU" w:bidi="ar-SA"/>
        </w:rPr>
        <w:t xml:space="preserve">-FL could </w:t>
      </w:r>
      <w:r w:rsidR="00124B23">
        <w:rPr>
          <w:lang w:eastAsia="en-AU" w:bidi="ar-SA"/>
        </w:rPr>
        <w:t xml:space="preserve">potentially </w:t>
      </w:r>
      <w:r w:rsidR="004F5CDA">
        <w:rPr>
          <w:lang w:eastAsia="en-AU" w:bidi="ar-SA"/>
        </w:rPr>
        <w:t xml:space="preserve">enhance the effect of </w:t>
      </w:r>
      <w:r w:rsidR="001551DF">
        <w:rPr>
          <w:lang w:eastAsia="en-AU" w:bidi="ar-SA"/>
        </w:rPr>
        <w:t>this substance</w:t>
      </w:r>
      <w:r>
        <w:rPr>
          <w:lang w:eastAsia="en-AU" w:bidi="ar-SA"/>
        </w:rPr>
        <w:t xml:space="preserve"> </w:t>
      </w:r>
      <w:r w:rsidR="00553B11">
        <w:rPr>
          <w:lang w:eastAsia="en-AU" w:bidi="ar-SA"/>
        </w:rPr>
        <w:t xml:space="preserve">against invasive </w:t>
      </w:r>
      <w:r w:rsidR="00363BEB">
        <w:rPr>
          <w:i/>
        </w:rPr>
        <w:t>C.</w:t>
      </w:r>
      <w:r w:rsidR="00553B11">
        <w:t xml:space="preserve"> </w:t>
      </w:r>
      <w:r w:rsidR="00553B11" w:rsidRPr="00A02226">
        <w:rPr>
          <w:i/>
        </w:rPr>
        <w:t>jejuni</w:t>
      </w:r>
      <w:r w:rsidR="00553B11">
        <w:t xml:space="preserve"> infection</w:t>
      </w:r>
      <w:r w:rsidR="00511A6C">
        <w:t xml:space="preserve"> in infants</w:t>
      </w:r>
      <w:r w:rsidR="00B50D3D">
        <w:t xml:space="preserve"> (and toddlers)</w:t>
      </w:r>
      <w:r>
        <w:t>.</w:t>
      </w:r>
      <w:r w:rsidR="00E777EB">
        <w:t xml:space="preserve"> </w:t>
      </w:r>
      <w:r w:rsidR="00FD0772">
        <w:t xml:space="preserve">As noted </w:t>
      </w:r>
      <w:r w:rsidR="00C229C5">
        <w:t>in s</w:t>
      </w:r>
      <w:r>
        <w:t>ection 2.</w:t>
      </w:r>
      <w:r w:rsidR="00EE2766">
        <w:t>2</w:t>
      </w:r>
      <w:r w:rsidR="005D03A6">
        <w:t>.1</w:t>
      </w:r>
      <w:r w:rsidR="00FD0772">
        <w:t xml:space="preserve">, </w:t>
      </w:r>
      <w:r w:rsidR="00413EA8">
        <w:t>a</w:t>
      </w:r>
      <w:r>
        <w:t xml:space="preserve"> level of use </w:t>
      </w:r>
      <w:r w:rsidR="00115C72">
        <w:t xml:space="preserve">double that requested (i.e. </w:t>
      </w:r>
      <w:r w:rsidR="00FD0772">
        <w:t>2.4 g/L</w:t>
      </w:r>
      <w:r w:rsidR="00FD415B">
        <w:t xml:space="preserve"> </w:t>
      </w:r>
      <w:r w:rsidR="00363BEB">
        <w:t>rather than 1.2 g/L)</w:t>
      </w:r>
      <w:r w:rsidR="00FD0772">
        <w:t xml:space="preserve"> </w:t>
      </w:r>
      <w:r w:rsidR="00CB53E9">
        <w:t xml:space="preserve">in infant formula and follow-on formula </w:t>
      </w:r>
      <w:r w:rsidR="00FD0772">
        <w:t>provide</w:t>
      </w:r>
      <w:r w:rsidR="00EF0626">
        <w:t>s</w:t>
      </w:r>
      <w:r w:rsidR="00FD0772">
        <w:t xml:space="preserve"> </w:t>
      </w:r>
      <w:r>
        <w:t xml:space="preserve">dietary </w:t>
      </w:r>
      <w:r w:rsidR="00BA2F99">
        <w:t>intakes</w:t>
      </w:r>
      <w:r w:rsidR="00FD0772">
        <w:t xml:space="preserve"> </w:t>
      </w:r>
      <w:r>
        <w:t>of 2</w:t>
      </w:r>
      <w:r w:rsidR="000A17BB">
        <w:t>′</w:t>
      </w:r>
      <w:r>
        <w:t xml:space="preserve">-FL </w:t>
      </w:r>
      <w:r w:rsidR="00FD0772">
        <w:t xml:space="preserve">similar to </w:t>
      </w:r>
      <w:r w:rsidR="00CA6B3B">
        <w:t xml:space="preserve">3 and 9 month old </w:t>
      </w:r>
      <w:r w:rsidR="00FD0772">
        <w:t>breastfed infants.</w:t>
      </w:r>
    </w:p>
    <w:p w14:paraId="65F0CB07" w14:textId="3B3403D1" w:rsidR="00553B11" w:rsidRDefault="00553B11" w:rsidP="00553B11"/>
    <w:p w14:paraId="25827918" w14:textId="58042304" w:rsidR="00BD31F9" w:rsidRDefault="00E777EB" w:rsidP="00072A22">
      <w:pPr>
        <w:widowControl/>
      </w:pPr>
      <w:r>
        <w:t>Internationally, t</w:t>
      </w:r>
      <w:r w:rsidR="00CC4779">
        <w:t xml:space="preserve">he </w:t>
      </w:r>
      <w:r w:rsidR="00553B11">
        <w:t>permitted</w:t>
      </w:r>
      <w:r w:rsidR="00CC4779">
        <w:t xml:space="preserve"> </w:t>
      </w:r>
      <w:r w:rsidR="00C84842">
        <w:t>levels of 2</w:t>
      </w:r>
      <w:r w:rsidR="000A17BB">
        <w:t>′</w:t>
      </w:r>
      <w:r w:rsidR="00C84842">
        <w:t xml:space="preserve">-FL for </w:t>
      </w:r>
      <w:r w:rsidR="00B4664E">
        <w:t xml:space="preserve">use in </w:t>
      </w:r>
      <w:r w:rsidR="00C84842">
        <w:t xml:space="preserve">infant formula </w:t>
      </w:r>
      <w:r w:rsidR="004F5CDA">
        <w:t xml:space="preserve">and follow-on formula </w:t>
      </w:r>
      <w:r w:rsidR="00553B11">
        <w:t xml:space="preserve">range from 1.2 g/L to 2.4 g/L. </w:t>
      </w:r>
      <w:r w:rsidR="00BD0785">
        <w:t>A</w:t>
      </w:r>
      <w:r w:rsidR="00CC4779">
        <w:t xml:space="preserve">pproving </w:t>
      </w:r>
      <w:r w:rsidR="002A6EBA">
        <w:t>a</w:t>
      </w:r>
      <w:r w:rsidR="00D0764B">
        <w:t xml:space="preserve"> higher</w:t>
      </w:r>
      <w:r w:rsidR="00B4664E">
        <w:t xml:space="preserve"> </w:t>
      </w:r>
      <w:r w:rsidR="00CC4779">
        <w:t xml:space="preserve">level of 2.4 g/L </w:t>
      </w:r>
      <w:r w:rsidR="005416F1">
        <w:t>of 2</w:t>
      </w:r>
      <w:r w:rsidR="000A17BB">
        <w:t>′</w:t>
      </w:r>
      <w:r w:rsidR="005416F1">
        <w:t>-FL</w:t>
      </w:r>
      <w:r w:rsidR="00AB4A7F">
        <w:t xml:space="preserve"> alone</w:t>
      </w:r>
      <w:r w:rsidR="00713A20" w:rsidRPr="00713A20">
        <w:t xml:space="preserve"> </w:t>
      </w:r>
      <w:r w:rsidR="00713A20">
        <w:t>for u</w:t>
      </w:r>
      <w:r w:rsidR="00BA2F99">
        <w:t xml:space="preserve">se in Australia and New Zealand </w:t>
      </w:r>
      <w:r w:rsidR="00B4664E">
        <w:t xml:space="preserve">would </w:t>
      </w:r>
      <w:r w:rsidR="00BD0785">
        <w:t xml:space="preserve">therefore </w:t>
      </w:r>
      <w:r w:rsidR="00CB4216">
        <w:t>provide</w:t>
      </w:r>
      <w:r w:rsidR="00D64428">
        <w:t xml:space="preserve"> greater </w:t>
      </w:r>
      <w:r w:rsidR="00AB7AF3">
        <w:t>compatibility</w:t>
      </w:r>
      <w:r w:rsidR="00CC4779">
        <w:t xml:space="preserve"> </w:t>
      </w:r>
      <w:r w:rsidR="00AB7AF3">
        <w:t>with</w:t>
      </w:r>
      <w:r w:rsidR="004F5CDA">
        <w:t xml:space="preserve"> </w:t>
      </w:r>
      <w:r w:rsidR="00AB7AF3">
        <w:t>a greater range of overseas</w:t>
      </w:r>
      <w:r w:rsidR="004F5CDA">
        <w:t xml:space="preserve"> food standards </w:t>
      </w:r>
      <w:r w:rsidR="00CC4779">
        <w:t xml:space="preserve">and </w:t>
      </w:r>
      <w:r w:rsidR="00CB4216">
        <w:t xml:space="preserve">allow </w:t>
      </w:r>
      <w:r w:rsidR="00D64428">
        <w:t xml:space="preserve">for </w:t>
      </w:r>
      <w:r w:rsidR="00B4664E">
        <w:t>a more</w:t>
      </w:r>
      <w:r w:rsidR="00CC4779">
        <w:t xml:space="preserve"> efficient and internationally competitive food industry</w:t>
      </w:r>
      <w:r w:rsidR="008674C0">
        <w:t xml:space="preserve"> given the high level of international interest in these substances</w:t>
      </w:r>
      <w:r w:rsidR="00CC4779">
        <w:t>.</w:t>
      </w:r>
    </w:p>
    <w:p w14:paraId="0D2B2CAB" w14:textId="5CABFF95" w:rsidR="00D82909" w:rsidRDefault="00D82909" w:rsidP="003A473A">
      <w:pPr>
        <w:rPr>
          <w:lang w:eastAsia="en-AU" w:bidi="ar-SA"/>
        </w:rPr>
      </w:pPr>
    </w:p>
    <w:p w14:paraId="7E715E71" w14:textId="5CE0A537" w:rsidR="0029687F" w:rsidRDefault="00AB4A7F" w:rsidP="0029687F">
      <w:pPr>
        <w:rPr>
          <w:lang w:val="en-AU" w:bidi="ar-SA"/>
        </w:rPr>
      </w:pPr>
      <w:r>
        <w:rPr>
          <w:lang w:eastAsia="en-AU" w:bidi="ar-SA"/>
        </w:rPr>
        <w:t>Regarding the combined use of 2</w:t>
      </w:r>
      <w:r w:rsidR="000A17BB">
        <w:rPr>
          <w:lang w:eastAsia="en-AU" w:bidi="ar-SA"/>
        </w:rPr>
        <w:t>′</w:t>
      </w:r>
      <w:r>
        <w:rPr>
          <w:lang w:eastAsia="en-AU" w:bidi="ar-SA"/>
        </w:rPr>
        <w:t>-FL and LNnT</w:t>
      </w:r>
      <w:r w:rsidR="00F73138">
        <w:rPr>
          <w:lang w:eastAsia="en-AU" w:bidi="ar-SA"/>
        </w:rPr>
        <w:t>, a</w:t>
      </w:r>
      <w:r w:rsidR="00EC5B6E" w:rsidRPr="00EC5B6E">
        <w:rPr>
          <w:lang w:eastAsia="en-AU" w:bidi="ar-SA"/>
        </w:rPr>
        <w:t>s</w:t>
      </w:r>
      <w:r w:rsidR="006A578C" w:rsidRPr="00EC5B6E">
        <w:rPr>
          <w:lang w:eastAsia="en-AU" w:bidi="ar-SA"/>
        </w:rPr>
        <w:t xml:space="preserve"> discussed in SD1, </w:t>
      </w:r>
      <w:r w:rsidR="00BA31C5" w:rsidRPr="00EC5B6E">
        <w:rPr>
          <w:lang w:eastAsia="en-AU" w:bidi="ar-SA"/>
        </w:rPr>
        <w:t>where 2</w:t>
      </w:r>
      <w:r w:rsidR="000A17BB">
        <w:rPr>
          <w:lang w:eastAsia="en-AU" w:bidi="ar-SA"/>
        </w:rPr>
        <w:t>′</w:t>
      </w:r>
      <w:r w:rsidR="00BA31C5" w:rsidRPr="00EC5B6E">
        <w:rPr>
          <w:lang w:eastAsia="en-AU" w:bidi="ar-SA"/>
        </w:rPr>
        <w:t>-FL and LNnT occur together naturally</w:t>
      </w:r>
      <w:r w:rsidR="00F73138">
        <w:rPr>
          <w:lang w:eastAsia="en-AU" w:bidi="ar-SA"/>
        </w:rPr>
        <w:t xml:space="preserve"> in human milk</w:t>
      </w:r>
      <w:r w:rsidR="00EC5B6E">
        <w:rPr>
          <w:lang w:eastAsia="en-AU" w:bidi="ar-SA"/>
        </w:rPr>
        <w:t xml:space="preserve"> (</w:t>
      </w:r>
      <w:r w:rsidR="00F73138">
        <w:rPr>
          <w:lang w:eastAsia="en-AU" w:bidi="ar-SA"/>
        </w:rPr>
        <w:t xml:space="preserve">in </w:t>
      </w:r>
      <w:r w:rsidR="00AB7AF3">
        <w:rPr>
          <w:lang w:eastAsia="en-AU" w:bidi="ar-SA"/>
        </w:rPr>
        <w:t xml:space="preserve">the majority of </w:t>
      </w:r>
      <w:r w:rsidR="000942A8" w:rsidRPr="00EC5B6E">
        <w:rPr>
          <w:lang w:eastAsia="en-AU" w:bidi="ar-SA"/>
        </w:rPr>
        <w:t>women</w:t>
      </w:r>
      <w:r w:rsidR="00BA31C5" w:rsidRPr="00EC5B6E">
        <w:rPr>
          <w:lang w:eastAsia="en-AU" w:bidi="ar-SA"/>
        </w:rPr>
        <w:t xml:space="preserve">) there is shown to be a wide variation in </w:t>
      </w:r>
      <w:r w:rsidR="00544D50" w:rsidRPr="00EC5B6E">
        <w:rPr>
          <w:lang w:eastAsia="en-AU" w:bidi="ar-SA"/>
        </w:rPr>
        <w:t>t</w:t>
      </w:r>
      <w:r w:rsidR="005D1F2C" w:rsidRPr="00EC5B6E">
        <w:rPr>
          <w:lang w:eastAsia="en-AU" w:bidi="ar-SA"/>
        </w:rPr>
        <w:t>he</w:t>
      </w:r>
      <w:r w:rsidRPr="00EC5B6E">
        <w:rPr>
          <w:lang w:eastAsia="en-AU" w:bidi="ar-SA"/>
        </w:rPr>
        <w:t xml:space="preserve"> ratio</w:t>
      </w:r>
      <w:r w:rsidR="005D1F2C" w:rsidRPr="00EC5B6E">
        <w:rPr>
          <w:lang w:eastAsia="en-AU" w:bidi="ar-SA"/>
        </w:rPr>
        <w:t xml:space="preserve"> </w:t>
      </w:r>
      <w:r w:rsidRPr="00EC5B6E">
        <w:rPr>
          <w:lang w:eastAsia="en-AU" w:bidi="ar-SA"/>
        </w:rPr>
        <w:t>of 2</w:t>
      </w:r>
      <w:r w:rsidR="000A17BB">
        <w:rPr>
          <w:lang w:eastAsia="en-AU" w:bidi="ar-SA"/>
        </w:rPr>
        <w:t>′</w:t>
      </w:r>
      <w:r w:rsidRPr="00EC5B6E">
        <w:rPr>
          <w:lang w:eastAsia="en-AU" w:bidi="ar-SA"/>
        </w:rPr>
        <w:t>-FL to LNnT</w:t>
      </w:r>
      <w:r w:rsidR="005D1F2C" w:rsidRPr="00EC5B6E">
        <w:rPr>
          <w:lang w:eastAsia="en-AU" w:bidi="ar-SA"/>
        </w:rPr>
        <w:t xml:space="preserve"> </w:t>
      </w:r>
      <w:r w:rsidR="00BA31C5" w:rsidRPr="00EC5B6E">
        <w:rPr>
          <w:lang w:eastAsia="en-AU" w:bidi="ar-SA"/>
        </w:rPr>
        <w:t>present</w:t>
      </w:r>
      <w:r w:rsidR="005D1F2C" w:rsidRPr="00EC5B6E">
        <w:rPr>
          <w:lang w:eastAsia="en-AU" w:bidi="ar-SA"/>
        </w:rPr>
        <w:t xml:space="preserve"> from about 1:1 to greater than 10:1. </w:t>
      </w:r>
      <w:r w:rsidRPr="00EC5B6E">
        <w:rPr>
          <w:lang w:eastAsia="en-AU" w:bidi="ar-SA"/>
        </w:rPr>
        <w:t xml:space="preserve">FSANZ </w:t>
      </w:r>
      <w:r w:rsidR="0043276B" w:rsidRPr="00EC5B6E">
        <w:rPr>
          <w:lang w:eastAsia="en-AU" w:bidi="ar-SA"/>
        </w:rPr>
        <w:t xml:space="preserve">therefore </w:t>
      </w:r>
      <w:r w:rsidRPr="00EC5B6E">
        <w:rPr>
          <w:lang w:eastAsia="en-AU" w:bidi="ar-SA"/>
        </w:rPr>
        <w:t>considers that a maximum combined total of 2</w:t>
      </w:r>
      <w:r w:rsidR="00F6774E" w:rsidRPr="00EC5B6E">
        <w:rPr>
          <w:lang w:eastAsia="en-AU" w:bidi="ar-SA"/>
        </w:rPr>
        <w:t>.4 g/L for 2</w:t>
      </w:r>
      <w:r w:rsidR="000A17BB">
        <w:rPr>
          <w:lang w:eastAsia="en-AU" w:bidi="ar-SA"/>
        </w:rPr>
        <w:t>′</w:t>
      </w:r>
      <w:r w:rsidR="00F6774E" w:rsidRPr="00EC5B6E">
        <w:rPr>
          <w:lang w:eastAsia="en-AU" w:bidi="ar-SA"/>
        </w:rPr>
        <w:t>-FL and LNnT</w:t>
      </w:r>
      <w:r w:rsidR="0029687F">
        <w:rPr>
          <w:lang w:eastAsia="en-AU" w:bidi="ar-SA"/>
        </w:rPr>
        <w:t xml:space="preserve"> </w:t>
      </w:r>
      <w:r w:rsidR="002E265A">
        <w:rPr>
          <w:lang w:eastAsia="en-AU" w:bidi="ar-SA"/>
        </w:rPr>
        <w:t>i</w:t>
      </w:r>
      <w:r w:rsidR="0084330A" w:rsidRPr="00EC5B6E">
        <w:rPr>
          <w:lang w:eastAsia="en-AU" w:bidi="ar-SA"/>
        </w:rPr>
        <w:t>n any ratio</w:t>
      </w:r>
      <w:r w:rsidR="00F6774E" w:rsidRPr="00EC5B6E">
        <w:rPr>
          <w:lang w:eastAsia="en-AU" w:bidi="ar-SA"/>
        </w:rPr>
        <w:t>,</w:t>
      </w:r>
      <w:r w:rsidR="00511A6C" w:rsidRPr="00EC5B6E">
        <w:rPr>
          <w:lang w:eastAsia="en-AU" w:bidi="ar-SA"/>
        </w:rPr>
        <w:t xml:space="preserve"> </w:t>
      </w:r>
      <w:r w:rsidRPr="00EC5B6E">
        <w:rPr>
          <w:lang w:eastAsia="en-AU" w:bidi="ar-SA"/>
        </w:rPr>
        <w:t>is safe and suitable for addition to infant formula</w:t>
      </w:r>
      <w:r>
        <w:rPr>
          <w:lang w:eastAsia="en-AU" w:bidi="ar-SA"/>
        </w:rPr>
        <w:t xml:space="preserve"> products. </w:t>
      </w:r>
      <w:r w:rsidR="002F3776">
        <w:rPr>
          <w:lang w:eastAsia="en-AU" w:bidi="ar-SA"/>
        </w:rPr>
        <w:t xml:space="preserve">This proposed </w:t>
      </w:r>
      <w:r w:rsidR="00257D85">
        <w:rPr>
          <w:lang w:eastAsia="en-AU" w:bidi="ar-SA"/>
        </w:rPr>
        <w:t xml:space="preserve">combined total </w:t>
      </w:r>
      <w:r w:rsidR="002F3776">
        <w:rPr>
          <w:lang w:eastAsia="en-AU" w:bidi="ar-SA"/>
        </w:rPr>
        <w:t xml:space="preserve">is 33% higher than the amount requested (i.e. from 1.8 g/L </w:t>
      </w:r>
      <w:r w:rsidR="00D77E43">
        <w:rPr>
          <w:lang w:eastAsia="en-AU" w:bidi="ar-SA"/>
        </w:rPr>
        <w:t>t</w:t>
      </w:r>
      <w:r w:rsidR="002F3776">
        <w:rPr>
          <w:lang w:eastAsia="en-AU" w:bidi="ar-SA"/>
        </w:rPr>
        <w:t xml:space="preserve">o 2.4 g/L). </w:t>
      </w:r>
      <w:r w:rsidR="0029687F">
        <w:rPr>
          <w:lang w:val="en-AU"/>
        </w:rPr>
        <w:t>This approach differs from the applicant’s request for separate maxima of 1.2 g/L 2</w:t>
      </w:r>
      <w:r w:rsidR="000A17BB">
        <w:rPr>
          <w:lang w:val="en-AU"/>
        </w:rPr>
        <w:t>′</w:t>
      </w:r>
      <w:r w:rsidR="0029687F">
        <w:rPr>
          <w:lang w:val="en-AU"/>
        </w:rPr>
        <w:t xml:space="preserve">-FL or 1.8 g/L combined but has the advantage of setting </w:t>
      </w:r>
      <w:r w:rsidR="00BD31F9">
        <w:rPr>
          <w:lang w:val="en-AU"/>
        </w:rPr>
        <w:t>the same</w:t>
      </w:r>
      <w:r w:rsidR="0029687F">
        <w:rPr>
          <w:lang w:val="en-AU"/>
        </w:rPr>
        <w:t xml:space="preserve"> overall total for </w:t>
      </w:r>
      <w:r w:rsidR="00BD31F9">
        <w:rPr>
          <w:lang w:val="en-AU"/>
        </w:rPr>
        <w:t>one or both requested</w:t>
      </w:r>
      <w:r w:rsidR="0029687F">
        <w:rPr>
          <w:lang w:val="en-AU"/>
        </w:rPr>
        <w:t xml:space="preserve"> substances. This same approach was adopted for GOS and ITF. </w:t>
      </w:r>
      <w:r w:rsidR="0029687F">
        <w:rPr>
          <w:lang w:val="en-AU" w:bidi="ar-SA"/>
        </w:rPr>
        <w:t xml:space="preserve">When used in combination, the requested maximum of 0.6 g/L LNnT is proposed to be permitted, noting this is within the range naturally present in </w:t>
      </w:r>
      <w:r w:rsidR="00DF747D">
        <w:rPr>
          <w:lang w:val="en-AU" w:bidi="ar-SA"/>
        </w:rPr>
        <w:t xml:space="preserve">mature </w:t>
      </w:r>
      <w:r w:rsidR="0029687F">
        <w:rPr>
          <w:lang w:val="en-AU" w:bidi="ar-SA"/>
        </w:rPr>
        <w:t xml:space="preserve">human milk and is consistent with international permissions. </w:t>
      </w:r>
    </w:p>
    <w:p w14:paraId="70A6446A" w14:textId="103E678E" w:rsidR="00BA2F99" w:rsidRDefault="00BA2F99" w:rsidP="00913719"/>
    <w:p w14:paraId="382A9E74" w14:textId="55395644" w:rsidR="00324783" w:rsidRDefault="00B84512" w:rsidP="00F73138">
      <w:r>
        <w:t xml:space="preserve">As </w:t>
      </w:r>
      <w:r w:rsidR="00713A20">
        <w:t>discussed in section 2.</w:t>
      </w:r>
      <w:r w:rsidR="00EE2766">
        <w:t>3</w:t>
      </w:r>
      <w:r w:rsidR="00713A20">
        <w:t>.1.4</w:t>
      </w:r>
      <w:r w:rsidR="006B0EC8">
        <w:t xml:space="preserve">, </w:t>
      </w:r>
      <w:r w:rsidR="00713A20">
        <w:t>approval of 2</w:t>
      </w:r>
      <w:r w:rsidR="000A17BB">
        <w:t>′</w:t>
      </w:r>
      <w:r w:rsidR="00713A20">
        <w:t xml:space="preserve">-FL </w:t>
      </w:r>
      <w:r w:rsidR="00AA3459">
        <w:t>and</w:t>
      </w:r>
      <w:r w:rsidR="0043276B">
        <w:t xml:space="preserve"> </w:t>
      </w:r>
      <w:r w:rsidR="00713A20">
        <w:t>LNnT</w:t>
      </w:r>
      <w:r w:rsidR="006B0EC8">
        <w:t xml:space="preserve"> would provide </w:t>
      </w:r>
      <w:r>
        <w:t xml:space="preserve">alternative options to existing </w:t>
      </w:r>
      <w:r w:rsidR="00441485">
        <w:t>oligosaccharides permitted</w:t>
      </w:r>
      <w:r w:rsidR="006B0EC8">
        <w:t xml:space="preserve"> for </w:t>
      </w:r>
      <w:r w:rsidR="00AA3459">
        <w:t xml:space="preserve">use in </w:t>
      </w:r>
      <w:r w:rsidR="006B0EC8">
        <w:t>infant formula products</w:t>
      </w:r>
      <w:r>
        <w:t>. FSANZ notes that</w:t>
      </w:r>
      <w:r w:rsidR="00FD0772">
        <w:t xml:space="preserve"> </w:t>
      </w:r>
      <w:r w:rsidR="002A6EBA">
        <w:t>a</w:t>
      </w:r>
      <w:r w:rsidR="009B48B0">
        <w:t xml:space="preserve"> maximum</w:t>
      </w:r>
      <w:r w:rsidR="00FD0772">
        <w:t xml:space="preserve"> of</w:t>
      </w:r>
      <w:r w:rsidR="00D64428">
        <w:t xml:space="preserve"> 2.4 g/L</w:t>
      </w:r>
      <w:r w:rsidR="00FD0772">
        <w:t xml:space="preserve"> </w:t>
      </w:r>
      <w:r w:rsidR="002013B7">
        <w:t xml:space="preserve">for </w:t>
      </w:r>
      <w:r w:rsidR="00FD0772">
        <w:t>2</w:t>
      </w:r>
      <w:r w:rsidR="000A17BB">
        <w:t>′</w:t>
      </w:r>
      <w:r w:rsidR="00FD0772">
        <w:t>-FL</w:t>
      </w:r>
      <w:r w:rsidR="00124B23">
        <w:t xml:space="preserve"> alone </w:t>
      </w:r>
      <w:r w:rsidR="001D3D27">
        <w:t>and for</w:t>
      </w:r>
      <w:r w:rsidR="002013B7">
        <w:t xml:space="preserve"> 2</w:t>
      </w:r>
      <w:r w:rsidR="000A17BB">
        <w:t>′</w:t>
      </w:r>
      <w:r w:rsidR="002013B7">
        <w:t>-FL and LNnT</w:t>
      </w:r>
      <w:r w:rsidR="009B48B0">
        <w:t xml:space="preserve"> </w:t>
      </w:r>
      <w:r w:rsidR="001D3D27">
        <w:t xml:space="preserve">combined, </w:t>
      </w:r>
      <w:r w:rsidR="00124B23">
        <w:t>is a</w:t>
      </w:r>
      <w:r w:rsidR="00AF3236">
        <w:t>round</w:t>
      </w:r>
      <w:r w:rsidR="00E77EA4">
        <w:t xml:space="preserve"> three times lower than the maximum </w:t>
      </w:r>
      <w:r w:rsidR="00124B23">
        <w:t>amount</w:t>
      </w:r>
      <w:r w:rsidR="00AA3459">
        <w:t xml:space="preserve"> </w:t>
      </w:r>
      <w:r w:rsidR="00EE2766">
        <w:t xml:space="preserve">currently </w:t>
      </w:r>
      <w:r w:rsidR="006B0EC8">
        <w:t>permitted for</w:t>
      </w:r>
      <w:r w:rsidR="00E77EA4">
        <w:t xml:space="preserve"> GOS</w:t>
      </w:r>
      <w:r w:rsidR="00124B23">
        <w:t xml:space="preserve"> alone or </w:t>
      </w:r>
      <w:r w:rsidR="00A832D7">
        <w:t xml:space="preserve">combined </w:t>
      </w:r>
      <w:r w:rsidR="00124B23">
        <w:t>with ITF</w:t>
      </w:r>
      <w:r w:rsidR="00EC5B6E">
        <w:t xml:space="preserve"> (i.e. based on 8 g/L)</w:t>
      </w:r>
      <w:r w:rsidR="00124B23">
        <w:t>,</w:t>
      </w:r>
      <w:r w:rsidR="00AA3459">
        <w:t xml:space="preserve"> </w:t>
      </w:r>
      <w:r w:rsidR="00E23343">
        <w:t xml:space="preserve">and </w:t>
      </w:r>
      <w:r w:rsidR="005756E0">
        <w:t xml:space="preserve">lower than </w:t>
      </w:r>
      <w:r w:rsidR="00FD0772">
        <w:t xml:space="preserve">the </w:t>
      </w:r>
      <w:r w:rsidR="00124B23">
        <w:t xml:space="preserve">maximum permitted </w:t>
      </w:r>
      <w:r w:rsidR="005756E0">
        <w:t>for ITF</w:t>
      </w:r>
      <w:r w:rsidR="003004A2">
        <w:t xml:space="preserve"> </w:t>
      </w:r>
      <w:r w:rsidR="000A783A">
        <w:t>(i.e. based on 3 g/L)</w:t>
      </w:r>
      <w:r w:rsidR="00AA3459">
        <w:t>.</w:t>
      </w:r>
      <w:r w:rsidR="00DA75B3">
        <w:t xml:space="preserve"> </w:t>
      </w:r>
      <w:r w:rsidR="00E95E5D">
        <w:t xml:space="preserve">We also note that </w:t>
      </w:r>
      <w:r w:rsidR="00B250CB">
        <w:t>a</w:t>
      </w:r>
      <w:r w:rsidR="0070231C">
        <w:t xml:space="preserve"> maximum of </w:t>
      </w:r>
      <w:r w:rsidR="00E95E5D">
        <w:t>2.4 g/</w:t>
      </w:r>
      <w:r w:rsidR="00E95E5D">
        <w:rPr>
          <w:lang w:eastAsia="en-AU" w:bidi="ar-SA"/>
        </w:rPr>
        <w:t>L is significantly lower than the total concentration of oligosaccharides present in mature human milk (i.e. 10</w:t>
      </w:r>
      <w:r w:rsidR="00BD31F9">
        <w:rPr>
          <w:lang w:eastAsia="en-AU" w:bidi="ar-SA"/>
        </w:rPr>
        <w:t>–</w:t>
      </w:r>
      <w:r w:rsidR="00E95E5D">
        <w:rPr>
          <w:lang w:eastAsia="en-AU" w:bidi="ar-SA"/>
        </w:rPr>
        <w:t>15 g/L).</w:t>
      </w:r>
    </w:p>
    <w:p w14:paraId="647E6BD9" w14:textId="575C86DC" w:rsidR="00324783" w:rsidRDefault="00324783" w:rsidP="00913719"/>
    <w:p w14:paraId="7D49175F" w14:textId="3966D647" w:rsidR="002162B5" w:rsidRDefault="00E77EA4" w:rsidP="00B82323">
      <w:pPr>
        <w:widowControl/>
      </w:pPr>
      <w:r>
        <w:t xml:space="preserve">FSANZ </w:t>
      </w:r>
      <w:r w:rsidR="00A223A6">
        <w:t xml:space="preserve">also </w:t>
      </w:r>
      <w:r>
        <w:t>propos</w:t>
      </w:r>
      <w:r w:rsidR="003278DD">
        <w:t>es</w:t>
      </w:r>
      <w:r>
        <w:t xml:space="preserve"> </w:t>
      </w:r>
      <w:r w:rsidR="001770E2">
        <w:t>prohibiting</w:t>
      </w:r>
      <w:r>
        <w:t xml:space="preserve"> the </w:t>
      </w:r>
      <w:r w:rsidR="00C249AE">
        <w:t xml:space="preserve">use of </w:t>
      </w:r>
      <w:r>
        <w:t>existing GOS and ITF permissions in combination with 2</w:t>
      </w:r>
      <w:r w:rsidR="000A17BB">
        <w:t>′</w:t>
      </w:r>
      <w:r w:rsidR="00C249AE">
        <w:t xml:space="preserve">-FL </w:t>
      </w:r>
      <w:r w:rsidR="0043276B">
        <w:t>and</w:t>
      </w:r>
      <w:r w:rsidR="00C249AE">
        <w:t xml:space="preserve"> LNnT</w:t>
      </w:r>
      <w:r w:rsidR="00A223A6">
        <w:t xml:space="preserve">, as </w:t>
      </w:r>
      <w:r w:rsidR="00713A20">
        <w:t xml:space="preserve">further </w:t>
      </w:r>
      <w:r w:rsidR="00C229C5">
        <w:t>discussed in section 2.</w:t>
      </w:r>
      <w:r w:rsidR="00EE2766">
        <w:t>3</w:t>
      </w:r>
      <w:r>
        <w:t>.</w:t>
      </w:r>
      <w:r w:rsidR="00C229C5">
        <w:t>4.</w:t>
      </w:r>
      <w:r>
        <w:t xml:space="preserve"> </w:t>
      </w:r>
      <w:r w:rsidR="00C249AE">
        <w:t xml:space="preserve">As such, there would </w:t>
      </w:r>
      <w:r>
        <w:t xml:space="preserve">be no cumulative increase to the total </w:t>
      </w:r>
      <w:r w:rsidR="00C249AE">
        <w:t>oligosaccharide load consumed by</w:t>
      </w:r>
      <w:r w:rsidR="00A30A09">
        <w:t xml:space="preserve"> infants.</w:t>
      </w:r>
      <w:r w:rsidR="002162B5">
        <w:t xml:space="preserve"> </w:t>
      </w:r>
    </w:p>
    <w:p w14:paraId="6FA2DD20" w14:textId="79970499" w:rsidR="00CC4779" w:rsidRDefault="00CC4779" w:rsidP="00913719">
      <w:pPr>
        <w:rPr>
          <w:lang w:eastAsia="en-AU" w:bidi="ar-SA"/>
        </w:rPr>
      </w:pPr>
    </w:p>
    <w:p w14:paraId="40CD0A84" w14:textId="651686E5" w:rsidR="00544D50" w:rsidRPr="00544D50" w:rsidRDefault="00E950F5" w:rsidP="00FD57DF">
      <w:r>
        <w:t>Based on the available evidence</w:t>
      </w:r>
      <w:r w:rsidR="00713A20">
        <w:t>,</w:t>
      </w:r>
      <w:r w:rsidR="006B0EC8">
        <w:t xml:space="preserve"> </w:t>
      </w:r>
      <w:r w:rsidR="00872665">
        <w:t>including c</w:t>
      </w:r>
      <w:r w:rsidR="00D64428">
        <w:t>omparative levels in hum</w:t>
      </w:r>
      <w:r w:rsidR="00872665">
        <w:t xml:space="preserve">an milk and other </w:t>
      </w:r>
      <w:r w:rsidR="00F53E4D">
        <w:t xml:space="preserve">relevant </w:t>
      </w:r>
      <w:r>
        <w:t xml:space="preserve">matters considered above, </w:t>
      </w:r>
      <w:r w:rsidR="008012BC">
        <w:t xml:space="preserve">FSANZ </w:t>
      </w:r>
      <w:r>
        <w:t xml:space="preserve">proposes to permit a </w:t>
      </w:r>
      <w:r w:rsidR="00DA75B3">
        <w:t xml:space="preserve">maximum </w:t>
      </w:r>
      <w:r>
        <w:t>of 2.4 g/L of 2</w:t>
      </w:r>
      <w:r w:rsidR="000A17BB">
        <w:t>′</w:t>
      </w:r>
      <w:r>
        <w:t>-F</w:t>
      </w:r>
      <w:r w:rsidR="008012BC">
        <w:t xml:space="preserve">L </w:t>
      </w:r>
      <w:r w:rsidR="00786ED8">
        <w:t>alone</w:t>
      </w:r>
      <w:r w:rsidR="00DA75B3">
        <w:t xml:space="preserve"> in infant formula products</w:t>
      </w:r>
      <w:r w:rsidR="00232431">
        <w:t>; a</w:t>
      </w:r>
      <w:r w:rsidR="00D25BE9">
        <w:t xml:space="preserve">nd a total maximum </w:t>
      </w:r>
      <w:r w:rsidR="00232431">
        <w:t>of 2.4 g/L for 2</w:t>
      </w:r>
      <w:r w:rsidR="000A17BB">
        <w:t>′</w:t>
      </w:r>
      <w:r w:rsidR="00232431">
        <w:t>-FL and LNnT combined, with no more than 0.6 g/L of LNnT</w:t>
      </w:r>
      <w:r w:rsidR="008012BC">
        <w:t>.</w:t>
      </w:r>
      <w:r w:rsidR="00544D50">
        <w:t xml:space="preserve"> </w:t>
      </w:r>
      <w:r w:rsidR="00FD57DF">
        <w:rPr>
          <w:rFonts w:cs="Arial"/>
          <w:szCs w:val="22"/>
          <w:lang w:eastAsia="en-GB" w:bidi="ar-SA"/>
        </w:rPr>
        <w:t>For consistency with existing permissions for the addition of substances to infant formula products</w:t>
      </w:r>
      <w:r w:rsidR="00556C0F">
        <w:rPr>
          <w:rFonts w:cs="Arial"/>
          <w:szCs w:val="22"/>
          <w:lang w:eastAsia="en-GB" w:bidi="ar-SA"/>
        </w:rPr>
        <w:t xml:space="preserve"> in the Code</w:t>
      </w:r>
      <w:r w:rsidR="00FD57DF">
        <w:rPr>
          <w:rFonts w:cs="Arial"/>
          <w:szCs w:val="22"/>
          <w:lang w:eastAsia="en-GB" w:bidi="ar-SA"/>
        </w:rPr>
        <w:t xml:space="preserve">, FSANZ </w:t>
      </w:r>
      <w:r w:rsidR="004C36C0">
        <w:rPr>
          <w:rFonts w:cs="Arial"/>
          <w:szCs w:val="22"/>
          <w:lang w:eastAsia="en-GB" w:bidi="ar-SA"/>
        </w:rPr>
        <w:t>has</w:t>
      </w:r>
      <w:r w:rsidR="00FD57DF">
        <w:rPr>
          <w:rFonts w:cs="Arial"/>
          <w:szCs w:val="22"/>
          <w:lang w:eastAsia="en-GB" w:bidi="ar-SA"/>
        </w:rPr>
        <w:t xml:space="preserve"> </w:t>
      </w:r>
      <w:r w:rsidR="006B0EC8">
        <w:rPr>
          <w:rFonts w:cs="Arial"/>
          <w:szCs w:val="22"/>
          <w:lang w:eastAsia="en-GB" w:bidi="ar-SA"/>
        </w:rPr>
        <w:t>convert</w:t>
      </w:r>
      <w:r w:rsidR="004C36C0">
        <w:rPr>
          <w:rFonts w:cs="Arial"/>
          <w:szCs w:val="22"/>
          <w:lang w:eastAsia="en-GB" w:bidi="ar-SA"/>
        </w:rPr>
        <w:t>ed</w:t>
      </w:r>
      <w:r w:rsidR="006B0EC8">
        <w:rPr>
          <w:rFonts w:cs="Arial"/>
          <w:szCs w:val="22"/>
          <w:lang w:eastAsia="en-GB" w:bidi="ar-SA"/>
        </w:rPr>
        <w:t xml:space="preserve"> the maximum levels</w:t>
      </w:r>
      <w:r w:rsidR="00FD57DF">
        <w:rPr>
          <w:rFonts w:cs="Arial"/>
          <w:szCs w:val="22"/>
          <w:lang w:eastAsia="en-GB" w:bidi="ar-SA"/>
        </w:rPr>
        <w:t xml:space="preserve"> to mg/100 kJ units as set out below</w:t>
      </w:r>
      <w:r w:rsidR="00A47751">
        <w:rPr>
          <w:rFonts w:cs="Arial"/>
          <w:szCs w:val="22"/>
          <w:lang w:eastAsia="en-GB" w:bidi="ar-SA"/>
        </w:rPr>
        <w:t xml:space="preserve"> (f</w:t>
      </w:r>
      <w:r w:rsidR="00FD57DF">
        <w:rPr>
          <w:rFonts w:cs="Arial"/>
          <w:szCs w:val="22"/>
          <w:lang w:eastAsia="en-GB" w:bidi="ar-SA"/>
        </w:rPr>
        <w:t xml:space="preserve">urther </w:t>
      </w:r>
      <w:r w:rsidR="00C229C5">
        <w:rPr>
          <w:rFonts w:cs="Arial"/>
          <w:szCs w:val="22"/>
          <w:lang w:eastAsia="en-GB" w:bidi="ar-SA"/>
        </w:rPr>
        <w:t>discussion</w:t>
      </w:r>
      <w:r w:rsidR="00493FAA">
        <w:rPr>
          <w:rFonts w:cs="Arial"/>
          <w:szCs w:val="22"/>
          <w:lang w:eastAsia="en-GB" w:bidi="ar-SA"/>
        </w:rPr>
        <w:t xml:space="preserve"> </w:t>
      </w:r>
      <w:r w:rsidR="003004A2">
        <w:rPr>
          <w:rFonts w:cs="Arial"/>
          <w:szCs w:val="22"/>
          <w:lang w:eastAsia="en-GB" w:bidi="ar-SA"/>
        </w:rPr>
        <w:t xml:space="preserve">about </w:t>
      </w:r>
      <w:r w:rsidR="00493FAA">
        <w:rPr>
          <w:rFonts w:cs="Arial"/>
          <w:szCs w:val="22"/>
          <w:lang w:eastAsia="en-GB" w:bidi="ar-SA"/>
        </w:rPr>
        <w:t>this approach is</w:t>
      </w:r>
      <w:r w:rsidR="00FD57DF">
        <w:rPr>
          <w:rFonts w:cs="Arial"/>
          <w:szCs w:val="22"/>
          <w:lang w:eastAsia="en-GB" w:bidi="ar-SA"/>
        </w:rPr>
        <w:t xml:space="preserve"> provided in Attachment </w:t>
      </w:r>
      <w:r w:rsidR="00EE2766">
        <w:rPr>
          <w:rFonts w:cs="Arial"/>
          <w:szCs w:val="22"/>
          <w:lang w:eastAsia="en-GB" w:bidi="ar-SA"/>
        </w:rPr>
        <w:t>C</w:t>
      </w:r>
      <w:r w:rsidR="00A47751">
        <w:rPr>
          <w:rFonts w:cs="Arial"/>
          <w:szCs w:val="22"/>
          <w:lang w:eastAsia="en-GB" w:bidi="ar-SA"/>
        </w:rPr>
        <w:t>)</w:t>
      </w:r>
      <w:r w:rsidR="00FD57DF">
        <w:rPr>
          <w:rFonts w:cs="Arial"/>
          <w:szCs w:val="22"/>
          <w:lang w:eastAsia="en-GB" w:bidi="ar-SA"/>
        </w:rPr>
        <w:t xml:space="preserve">. </w:t>
      </w:r>
    </w:p>
    <w:p w14:paraId="545BF939" w14:textId="488F551E" w:rsidR="00544D50" w:rsidRDefault="00544D50" w:rsidP="00FD57DF">
      <w:pPr>
        <w:rPr>
          <w:rFonts w:cs="Arial"/>
          <w:szCs w:val="22"/>
          <w:lang w:eastAsia="en-GB" w:bidi="ar-SA"/>
        </w:rPr>
      </w:pPr>
    </w:p>
    <w:p w14:paraId="2CB65C0F" w14:textId="70F7B4CC" w:rsidR="00A47751" w:rsidRDefault="00A47751" w:rsidP="003A473A">
      <w:pPr>
        <w:widowControl/>
        <w:rPr>
          <w:rFonts w:cs="Arial"/>
          <w:szCs w:val="22"/>
          <w:lang w:eastAsia="en-GB" w:bidi="ar-SA"/>
        </w:rPr>
      </w:pPr>
      <w:r>
        <w:rPr>
          <w:rFonts w:cs="Arial"/>
          <w:szCs w:val="22"/>
          <w:lang w:eastAsia="en-GB" w:bidi="ar-SA"/>
        </w:rPr>
        <w:t xml:space="preserve">These maximum permitted </w:t>
      </w:r>
      <w:r w:rsidR="006B0EC8">
        <w:rPr>
          <w:rFonts w:cs="Arial"/>
          <w:szCs w:val="22"/>
          <w:lang w:eastAsia="en-GB" w:bidi="ar-SA"/>
        </w:rPr>
        <w:t>amounts</w:t>
      </w:r>
      <w:r>
        <w:rPr>
          <w:rFonts w:cs="Arial"/>
          <w:szCs w:val="22"/>
          <w:lang w:eastAsia="en-GB" w:bidi="ar-SA"/>
        </w:rPr>
        <w:t xml:space="preserve"> capture both naturally-occurring and added 2</w:t>
      </w:r>
      <w:r w:rsidR="000A17BB">
        <w:rPr>
          <w:rFonts w:cs="Arial"/>
          <w:szCs w:val="22"/>
          <w:lang w:eastAsia="en-GB" w:bidi="ar-SA"/>
        </w:rPr>
        <w:t>′</w:t>
      </w:r>
      <w:r>
        <w:rPr>
          <w:rFonts w:cs="Arial"/>
          <w:szCs w:val="22"/>
          <w:lang w:eastAsia="en-GB" w:bidi="ar-SA"/>
        </w:rPr>
        <w:t xml:space="preserve">-FL and LNnT. </w:t>
      </w:r>
      <w:r w:rsidR="009E1801">
        <w:rPr>
          <w:rFonts w:cs="Arial"/>
          <w:szCs w:val="22"/>
          <w:lang w:eastAsia="en-GB" w:bidi="ar-SA"/>
        </w:rPr>
        <w:t>Noting that the concentration of naturally occurring 2</w:t>
      </w:r>
      <w:r w:rsidR="000A17BB">
        <w:rPr>
          <w:rFonts w:cs="Arial"/>
          <w:szCs w:val="22"/>
          <w:lang w:eastAsia="en-GB" w:bidi="ar-SA"/>
        </w:rPr>
        <w:t>′</w:t>
      </w:r>
      <w:r w:rsidR="009E1801">
        <w:rPr>
          <w:rFonts w:cs="Arial"/>
          <w:szCs w:val="22"/>
          <w:lang w:eastAsia="en-GB" w:bidi="ar-SA"/>
        </w:rPr>
        <w:t>-FL and LNnT in cow’s or goat’s milk is low or not present</w:t>
      </w:r>
      <w:r w:rsidR="00652C68">
        <w:rPr>
          <w:rFonts w:cs="Arial"/>
          <w:szCs w:val="22"/>
          <w:lang w:eastAsia="en-GB" w:bidi="ar-SA"/>
        </w:rPr>
        <w:t xml:space="preserve"> (see SD1)</w:t>
      </w:r>
      <w:r w:rsidR="009E1801">
        <w:rPr>
          <w:rFonts w:cs="Arial"/>
          <w:szCs w:val="22"/>
          <w:lang w:eastAsia="en-GB" w:bidi="ar-SA"/>
        </w:rPr>
        <w:t>, the amounts present in infant formula products and FSFYC would primarily be based on added 2</w:t>
      </w:r>
      <w:r w:rsidR="000A17BB">
        <w:rPr>
          <w:rFonts w:cs="Arial"/>
          <w:szCs w:val="22"/>
          <w:lang w:eastAsia="en-GB" w:bidi="ar-SA"/>
        </w:rPr>
        <w:t>′</w:t>
      </w:r>
      <w:r w:rsidR="009E1801">
        <w:rPr>
          <w:rFonts w:cs="Arial"/>
          <w:szCs w:val="22"/>
          <w:lang w:eastAsia="en-GB" w:bidi="ar-SA"/>
        </w:rPr>
        <w:t>-FL and LNnT.</w:t>
      </w:r>
    </w:p>
    <w:p w14:paraId="721B1ACB" w14:textId="2B164098" w:rsidR="00143216" w:rsidRDefault="00143216" w:rsidP="003A473A">
      <w:pPr>
        <w:widowControl/>
        <w:rPr>
          <w:rFonts w:cs="Arial"/>
          <w:szCs w:val="22"/>
          <w:lang w:eastAsia="en-GB" w:bidi="ar-SA"/>
        </w:rPr>
      </w:pPr>
    </w:p>
    <w:p w14:paraId="0FB8DA5B" w14:textId="449153D3" w:rsidR="00143216" w:rsidRDefault="00143216" w:rsidP="003A473A">
      <w:pPr>
        <w:widowControl/>
        <w:rPr>
          <w:rFonts w:cs="Arial"/>
          <w:szCs w:val="22"/>
          <w:lang w:eastAsia="en-GB" w:bidi="ar-SA"/>
        </w:rPr>
      </w:pPr>
      <w:r w:rsidRPr="003E7621">
        <w:t>A minimum permitted amount is not proposed as this was not requested in the application and has not been determined by FSANZ.</w:t>
      </w:r>
    </w:p>
    <w:p w14:paraId="77AB6672" w14:textId="555C1CA0" w:rsidR="00934A4B" w:rsidRPr="00FE7DBD" w:rsidRDefault="00934A4B" w:rsidP="00FD57DF"/>
    <w:p w14:paraId="4944E4E3" w14:textId="10FD7042" w:rsidR="00014BFA" w:rsidRDefault="00934A4B" w:rsidP="00232431">
      <w:r>
        <w:rPr>
          <w:noProof/>
          <w:lang w:eastAsia="en-GB" w:bidi="ar-SA"/>
        </w:rPr>
        <mc:AlternateContent>
          <mc:Choice Requires="wps">
            <w:drawing>
              <wp:inline distT="0" distB="0" distL="0" distR="0" wp14:anchorId="45957458" wp14:editId="408C50C5">
                <wp:extent cx="5686425" cy="988359"/>
                <wp:effectExtent l="0" t="0" r="28575" b="215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88359"/>
                        </a:xfrm>
                        <a:prstGeom prst="rect">
                          <a:avLst/>
                        </a:prstGeom>
                        <a:solidFill>
                          <a:srgbClr val="FFFFFF"/>
                        </a:solidFill>
                        <a:ln w="9525">
                          <a:solidFill>
                            <a:schemeClr val="tx2">
                              <a:lumMod val="60000"/>
                              <a:lumOff val="40000"/>
                            </a:schemeClr>
                          </a:solidFill>
                          <a:miter lim="800000"/>
                          <a:headEnd/>
                          <a:tailEnd/>
                        </a:ln>
                      </wps:spPr>
                      <wps:txbx>
                        <w:txbxContent>
                          <w:p w14:paraId="79EFF8FE" w14:textId="5067113D" w:rsidR="0025476F" w:rsidRDefault="0025476F" w:rsidP="00934A4B">
                            <w:r>
                              <w:t>FSANZ’s approach is to permit the following maximum levels for addition to infant formula products:</w:t>
                            </w:r>
                          </w:p>
                          <w:p w14:paraId="063026E8" w14:textId="79EDCC0F" w:rsidR="0025476F" w:rsidRPr="008E4634" w:rsidRDefault="0025476F" w:rsidP="00B57142">
                            <w:pPr>
                              <w:pStyle w:val="FSBullet1"/>
                              <w:rPr>
                                <w:b/>
                              </w:rPr>
                            </w:pPr>
                            <w:r w:rsidRPr="008E4634">
                              <w:t xml:space="preserve">If only </w:t>
                            </w:r>
                            <w:r>
                              <w:t>2′</w:t>
                            </w:r>
                            <w:r w:rsidRPr="008E4634">
                              <w:t>-FL added – no</w:t>
                            </w:r>
                            <w:r>
                              <w:t>t</w:t>
                            </w:r>
                            <w:r w:rsidRPr="008E4634">
                              <w:t xml:space="preserve"> more than 96 mg/100 kJ of </w:t>
                            </w:r>
                            <w:r>
                              <w:t>2′</w:t>
                            </w:r>
                            <w:r w:rsidRPr="008E4634">
                              <w:t>-FL</w:t>
                            </w:r>
                          </w:p>
                          <w:p w14:paraId="48CB76B3" w14:textId="694C87FF" w:rsidR="0025476F" w:rsidRDefault="0025476F" w:rsidP="001A7C76">
                            <w:pPr>
                              <w:pStyle w:val="FSBullet1"/>
                            </w:pPr>
                            <w:r w:rsidRPr="008E4634">
                              <w:t xml:space="preserve">If </w:t>
                            </w:r>
                            <w:r>
                              <w:t>both 2′</w:t>
                            </w:r>
                            <w:r w:rsidRPr="008E4634">
                              <w:t>-FL and LNnT added – no</w:t>
                            </w:r>
                            <w:r>
                              <w:t>t</w:t>
                            </w:r>
                            <w:r w:rsidRPr="008E4634">
                              <w:t xml:space="preserve"> more than 96 mg/100 kJ</w:t>
                            </w:r>
                            <w:r>
                              <w:t xml:space="preserve"> of 2′-FL and LNnT combined, of which contains not more than </w:t>
                            </w:r>
                            <w:r w:rsidRPr="008E4634">
                              <w:t>24 mg/100 kJ of LNnT</w:t>
                            </w:r>
                            <w:r>
                              <w:t xml:space="preserve">. </w:t>
                            </w:r>
                          </w:p>
                        </w:txbxContent>
                      </wps:txbx>
                      <wps:bodyPr rot="0" vert="horz" wrap="square" lIns="91440" tIns="45720" rIns="91440" bIns="45720" anchor="t" anchorCtr="0">
                        <a:noAutofit/>
                      </wps:bodyPr>
                    </wps:wsp>
                  </a:graphicData>
                </a:graphic>
              </wp:inline>
            </w:drawing>
          </mc:Choice>
          <mc:Fallback>
            <w:pict>
              <v:shape w14:anchorId="45957458" id="Text Box 2" o:spid="_x0000_s1029" type="#_x0000_t202" style="width:447.75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" strokecolor="#548dd4 [1951]">
                <v:textbox>
                  <w:txbxContent>
                    <w:p w14:paraId="79EFF8FE" w14:textId="5067113D" w:rsidR="0025476F" w:rsidRDefault="0025476F" w:rsidP="00934A4B">
                      <w:r>
                        <w:t>FSANZ’s approach is to permit the following maximum levels for addition to infant formula products:</w:t>
                      </w:r>
                    </w:p>
                    <w:p w14:paraId="063026E8" w14:textId="79EDCC0F" w:rsidR="0025476F" w:rsidRPr="008E4634" w:rsidRDefault="0025476F" w:rsidP="00B57142">
                      <w:pPr>
                        <w:pStyle w:val="FSBullet1"/>
                        <w:rPr>
                          <w:b/>
                        </w:rPr>
                      </w:pPr>
                      <w:r w:rsidRPr="008E4634">
                        <w:t xml:space="preserve">If only </w:t>
                      </w:r>
                      <w:r>
                        <w:t>2′</w:t>
                      </w:r>
                      <w:r w:rsidRPr="008E4634">
                        <w:t>-FL added – no</w:t>
                      </w:r>
                      <w:r>
                        <w:t>t</w:t>
                      </w:r>
                      <w:r w:rsidRPr="008E4634">
                        <w:t xml:space="preserve"> more than 96 mg/100 kJ of </w:t>
                      </w:r>
                      <w:r>
                        <w:t>2′</w:t>
                      </w:r>
                      <w:r w:rsidRPr="008E4634">
                        <w:t>-FL</w:t>
                      </w:r>
                    </w:p>
                    <w:p w14:paraId="48CB76B3" w14:textId="694C87FF" w:rsidR="0025476F" w:rsidRDefault="0025476F" w:rsidP="001A7C76">
                      <w:pPr>
                        <w:pStyle w:val="FSBullet1"/>
                      </w:pPr>
                      <w:r w:rsidRPr="008E4634">
                        <w:t xml:space="preserve">If </w:t>
                      </w:r>
                      <w:r>
                        <w:t>both 2′</w:t>
                      </w:r>
                      <w:r w:rsidRPr="008E4634">
                        <w:t>-FL and LNnT added – no</w:t>
                      </w:r>
                      <w:r>
                        <w:t>t</w:t>
                      </w:r>
                      <w:r w:rsidRPr="008E4634">
                        <w:t xml:space="preserve"> more than 96 mg/100 kJ</w:t>
                      </w:r>
                      <w:r>
                        <w:t xml:space="preserve"> of 2′-FL and LNnT combined, of which contains not more than </w:t>
                      </w:r>
                      <w:r w:rsidRPr="008E4634">
                        <w:t>24 mg/100 kJ of LNnT</w:t>
                      </w:r>
                      <w:r>
                        <w:t xml:space="preserve">. </w:t>
                      </w:r>
                    </w:p>
                  </w:txbxContent>
                </v:textbox>
                <w10:anchorlock/>
              </v:shape>
            </w:pict>
          </mc:Fallback>
        </mc:AlternateContent>
      </w:r>
      <w:r w:rsidR="00FD57DF" w:rsidRPr="006C4717" w:rsidDel="00B831C7">
        <w:t xml:space="preserve"> </w:t>
      </w:r>
    </w:p>
    <w:p w14:paraId="2D5EAB3F" w14:textId="7EACC4FC" w:rsidR="007A2061" w:rsidRDefault="00232431" w:rsidP="00232431">
      <w:pPr>
        <w:pStyle w:val="Heading4"/>
        <w:rPr>
          <w:lang w:eastAsia="en-AU"/>
        </w:rPr>
      </w:pPr>
      <w:r>
        <w:rPr>
          <w:lang w:eastAsia="en-AU"/>
        </w:rPr>
        <w:t>2.</w:t>
      </w:r>
      <w:r w:rsidR="008155DB">
        <w:rPr>
          <w:lang w:eastAsia="en-AU"/>
        </w:rPr>
        <w:t>3</w:t>
      </w:r>
      <w:r>
        <w:rPr>
          <w:lang w:eastAsia="en-AU"/>
        </w:rPr>
        <w:t>.</w:t>
      </w:r>
      <w:r w:rsidR="00BE4AFA">
        <w:rPr>
          <w:lang w:eastAsia="en-AU"/>
        </w:rPr>
        <w:t>3</w:t>
      </w:r>
      <w:r>
        <w:rPr>
          <w:lang w:eastAsia="en-AU"/>
        </w:rPr>
        <w:t>.2</w:t>
      </w:r>
      <w:r>
        <w:rPr>
          <w:lang w:eastAsia="en-AU"/>
        </w:rPr>
        <w:tab/>
      </w:r>
      <w:r w:rsidR="00872665">
        <w:rPr>
          <w:lang w:eastAsia="en-AU"/>
        </w:rPr>
        <w:t>FSFYC</w:t>
      </w:r>
    </w:p>
    <w:p w14:paraId="238EAF6A" w14:textId="23FB9937" w:rsidR="009A333E" w:rsidRDefault="00C84842" w:rsidP="00072A22">
      <w:pPr>
        <w:widowControl/>
      </w:pPr>
      <w:r>
        <w:t xml:space="preserve">To provide a consistent regulatory approach </w:t>
      </w:r>
      <w:r w:rsidR="00B579EC">
        <w:t xml:space="preserve">across </w:t>
      </w:r>
      <w:r w:rsidR="00116A17">
        <w:t>infant formula products</w:t>
      </w:r>
      <w:r w:rsidR="00B579EC">
        <w:t xml:space="preserve"> and FSFYC</w:t>
      </w:r>
      <w:r>
        <w:t xml:space="preserve">, </w:t>
      </w:r>
      <w:r w:rsidR="009325C5">
        <w:t xml:space="preserve">FSANZ also considered a </w:t>
      </w:r>
      <w:r w:rsidR="005756E0">
        <w:t xml:space="preserve">maximum </w:t>
      </w:r>
      <w:r w:rsidR="009325C5">
        <w:t>permitted level of 2.4 g/L of 2</w:t>
      </w:r>
      <w:r w:rsidR="000A17BB">
        <w:t>′</w:t>
      </w:r>
      <w:r w:rsidR="009325C5">
        <w:t xml:space="preserve">-FL </w:t>
      </w:r>
      <w:r w:rsidR="00A80B40">
        <w:t>alone</w:t>
      </w:r>
      <w:r w:rsidR="009325C5">
        <w:t xml:space="preserve"> in FSFYC</w:t>
      </w:r>
      <w:r w:rsidR="00A80B40">
        <w:t xml:space="preserve">; and a </w:t>
      </w:r>
      <w:r w:rsidR="00B30B28">
        <w:t xml:space="preserve">total </w:t>
      </w:r>
      <w:r w:rsidR="00D25BE9">
        <w:t xml:space="preserve">maximum </w:t>
      </w:r>
      <w:r w:rsidR="00A80B40">
        <w:t xml:space="preserve">of 2.4 </w:t>
      </w:r>
      <w:r w:rsidR="00B30B28">
        <w:t>g/L of 2</w:t>
      </w:r>
      <w:r w:rsidR="000A17BB">
        <w:t>′</w:t>
      </w:r>
      <w:r w:rsidR="00B30B28">
        <w:t xml:space="preserve">-FL and LNnT combined, </w:t>
      </w:r>
      <w:r w:rsidR="00F4417D">
        <w:t>with no more than 0.6 g/L of LN</w:t>
      </w:r>
      <w:r w:rsidR="00502AB8">
        <w:t>nT</w:t>
      </w:r>
      <w:r w:rsidR="00116A17">
        <w:t xml:space="preserve">. </w:t>
      </w:r>
    </w:p>
    <w:p w14:paraId="501175A1" w14:textId="77777777" w:rsidR="00BD31F9" w:rsidRDefault="00BD31F9" w:rsidP="00BD31F9"/>
    <w:p w14:paraId="2A8E8F3F" w14:textId="4E6D0A10" w:rsidR="00C84842" w:rsidRDefault="00D25BE9" w:rsidP="00EB5D2D">
      <w:r>
        <w:t xml:space="preserve">As </w:t>
      </w:r>
      <w:r w:rsidR="00970517">
        <w:t>discussed</w:t>
      </w:r>
      <w:r>
        <w:t xml:space="preserve"> in section 2.</w:t>
      </w:r>
      <w:r w:rsidR="00EE2766">
        <w:t>2</w:t>
      </w:r>
      <w:r w:rsidR="00652C68">
        <w:t>.1</w:t>
      </w:r>
      <w:r>
        <w:t xml:space="preserve">, </w:t>
      </w:r>
      <w:r w:rsidR="009325C5">
        <w:t xml:space="preserve">there are no public health and safety concerns </w:t>
      </w:r>
      <w:r w:rsidR="00426380">
        <w:t xml:space="preserve">for FSFYC </w:t>
      </w:r>
      <w:r w:rsidR="009325C5">
        <w:t xml:space="preserve">at the estimated levels of </w:t>
      </w:r>
      <w:r w:rsidR="00C84842">
        <w:t xml:space="preserve">dietary </w:t>
      </w:r>
      <w:r w:rsidR="009325C5">
        <w:t>intake based on 2.4 g/L</w:t>
      </w:r>
      <w:r w:rsidR="000E706B">
        <w:t xml:space="preserve"> </w:t>
      </w:r>
      <w:r w:rsidR="00A80B40">
        <w:t>of 2</w:t>
      </w:r>
      <w:r w:rsidR="000A17BB">
        <w:t>′</w:t>
      </w:r>
      <w:r w:rsidR="00A80B40">
        <w:t xml:space="preserve">-FL </w:t>
      </w:r>
      <w:r w:rsidR="000E706B">
        <w:t>or</w:t>
      </w:r>
      <w:r w:rsidR="00A80B40">
        <w:t xml:space="preserve"> 0.6 g/L of LNnT</w:t>
      </w:r>
      <w:r w:rsidR="003B7BF4">
        <w:t xml:space="preserve">. </w:t>
      </w:r>
      <w:r w:rsidR="00A223A6">
        <w:t xml:space="preserve">Although not directly comparable, </w:t>
      </w:r>
      <w:r>
        <w:t xml:space="preserve">FSANZ </w:t>
      </w:r>
      <w:r w:rsidR="00786ED8">
        <w:t>notes that the</w:t>
      </w:r>
      <w:r w:rsidR="00234DCD">
        <w:t xml:space="preserve"> estimated</w:t>
      </w:r>
      <w:r w:rsidR="00786ED8">
        <w:t xml:space="preserve"> intakes</w:t>
      </w:r>
      <w:r w:rsidR="00CB5B9B">
        <w:t xml:space="preserve"> </w:t>
      </w:r>
      <w:r w:rsidR="00182C0C">
        <w:t>for 2</w:t>
      </w:r>
      <w:r w:rsidR="000A17BB">
        <w:t>′</w:t>
      </w:r>
      <w:r w:rsidR="00182C0C">
        <w:t xml:space="preserve">-FL or LNnT </w:t>
      </w:r>
      <w:r w:rsidR="003F5564">
        <w:t>from</w:t>
      </w:r>
      <w:r w:rsidR="00970517">
        <w:t xml:space="preserve"> </w:t>
      </w:r>
      <w:r w:rsidR="00234DCD">
        <w:t>FSFYC</w:t>
      </w:r>
      <w:r w:rsidR="00CB5B9B">
        <w:t xml:space="preserve"> </w:t>
      </w:r>
      <w:r w:rsidR="00BD31F9">
        <w:t>in toddlers</w:t>
      </w:r>
      <w:r w:rsidR="00786ED8">
        <w:t xml:space="preserve"> are </w:t>
      </w:r>
      <w:r w:rsidR="00E24488">
        <w:t>less</w:t>
      </w:r>
      <w:r w:rsidR="00786ED8" w:rsidRPr="00234DCD">
        <w:t xml:space="preserve"> </w:t>
      </w:r>
      <w:r w:rsidR="00CB5B9B">
        <w:t xml:space="preserve">than </w:t>
      </w:r>
      <w:r w:rsidR="00234DCD">
        <w:t>the intakes</w:t>
      </w:r>
      <w:r w:rsidR="00786ED8" w:rsidRPr="00234DCD">
        <w:t xml:space="preserve"> for</w:t>
      </w:r>
      <w:r w:rsidR="00E24488">
        <w:t xml:space="preserve"> </w:t>
      </w:r>
      <w:r w:rsidR="003004A2">
        <w:t xml:space="preserve">the more vulnerable </w:t>
      </w:r>
      <w:r w:rsidR="00FB4AF8">
        <w:t>3 month old infants who are exclusively formula-fed</w:t>
      </w:r>
      <w:r w:rsidR="00EC5B6E">
        <w:t xml:space="preserve">, </w:t>
      </w:r>
      <w:r w:rsidR="00CB5FD9">
        <w:t xml:space="preserve">and </w:t>
      </w:r>
      <w:r w:rsidR="00182C0C">
        <w:t>for who</w:t>
      </w:r>
      <w:r w:rsidR="00CB5FD9">
        <w:t>m</w:t>
      </w:r>
      <w:r w:rsidR="00182C0C">
        <w:t xml:space="preserve"> intakes based on 2.4 g/L of 2</w:t>
      </w:r>
      <w:r w:rsidR="000A17BB">
        <w:t>′</w:t>
      </w:r>
      <w:r w:rsidR="009A16A7">
        <w:t>-FL or</w:t>
      </w:r>
      <w:r w:rsidR="00182C0C">
        <w:t xml:space="preserve"> 0.6 g/L of LNnT are safe</w:t>
      </w:r>
      <w:r w:rsidR="00A30A09">
        <w:t>.</w:t>
      </w:r>
    </w:p>
    <w:p w14:paraId="57C2B91D" w14:textId="0B0C80F5" w:rsidR="0029746C" w:rsidRDefault="0029746C" w:rsidP="00EB5D2D"/>
    <w:p w14:paraId="6D811362" w14:textId="67DF263B" w:rsidR="00E24488" w:rsidRDefault="0029746C" w:rsidP="00EB5D2D">
      <w:r>
        <w:t>As discussed for infant formula products above</w:t>
      </w:r>
      <w:r w:rsidRPr="00CF6488">
        <w:t>,</w:t>
      </w:r>
      <w:r w:rsidR="003F3BCB" w:rsidRPr="00CF6488">
        <w:t xml:space="preserve"> </w:t>
      </w:r>
      <w:r w:rsidRPr="00CF6488">
        <w:t xml:space="preserve">higher </w:t>
      </w:r>
      <w:r w:rsidR="00CF6488">
        <w:t>levels</w:t>
      </w:r>
      <w:r>
        <w:t xml:space="preserve"> of 2</w:t>
      </w:r>
      <w:r w:rsidR="000A17BB">
        <w:t>′</w:t>
      </w:r>
      <w:r w:rsidR="00D82909">
        <w:t>-</w:t>
      </w:r>
      <w:r>
        <w:t xml:space="preserve">FL could </w:t>
      </w:r>
      <w:r w:rsidR="00970517">
        <w:t xml:space="preserve">potentially </w:t>
      </w:r>
      <w:r>
        <w:t xml:space="preserve">enhance the </w:t>
      </w:r>
      <w:r>
        <w:rPr>
          <w:lang w:eastAsia="en-AU" w:bidi="ar-SA"/>
        </w:rPr>
        <w:t>effect of 2</w:t>
      </w:r>
      <w:r w:rsidR="000A17BB">
        <w:rPr>
          <w:lang w:eastAsia="en-AU" w:bidi="ar-SA"/>
        </w:rPr>
        <w:t>′</w:t>
      </w:r>
      <w:r>
        <w:rPr>
          <w:lang w:eastAsia="en-AU" w:bidi="ar-SA"/>
        </w:rPr>
        <w:t xml:space="preserve">-FL against invasive </w:t>
      </w:r>
      <w:r w:rsidRPr="00BD5776">
        <w:rPr>
          <w:i/>
        </w:rPr>
        <w:t>C</w:t>
      </w:r>
      <w:r w:rsidR="00EF0626">
        <w:rPr>
          <w:i/>
        </w:rPr>
        <w:t xml:space="preserve">. </w:t>
      </w:r>
      <w:r w:rsidRPr="00A02226">
        <w:rPr>
          <w:i/>
        </w:rPr>
        <w:t>jejuni</w:t>
      </w:r>
      <w:r>
        <w:t xml:space="preserve"> infection in </w:t>
      </w:r>
      <w:r w:rsidR="00F4417D">
        <w:t>toddlers</w:t>
      </w:r>
      <w:r>
        <w:t>.</w:t>
      </w:r>
      <w:r w:rsidR="00970517">
        <w:t xml:space="preserve"> There is also some evidence</w:t>
      </w:r>
      <w:r w:rsidR="00E24488">
        <w:t xml:space="preserve"> that </w:t>
      </w:r>
      <w:r w:rsidR="00E24488" w:rsidRPr="00CF6488">
        <w:t>higher levels</w:t>
      </w:r>
      <w:r w:rsidR="00E24488">
        <w:t xml:space="preserve"> of 2</w:t>
      </w:r>
      <w:r w:rsidR="000A17BB">
        <w:t>′</w:t>
      </w:r>
      <w:r w:rsidR="00E24488">
        <w:t>-FL and/or LNnT</w:t>
      </w:r>
      <w:r w:rsidR="00B50D3D">
        <w:t xml:space="preserve"> could increase the abundance of bifidobacteria </w:t>
      </w:r>
      <w:r w:rsidR="00E24488">
        <w:t xml:space="preserve">in the gut microflora </w:t>
      </w:r>
      <w:r w:rsidR="0001388F">
        <w:t>as discussed in section 2.</w:t>
      </w:r>
      <w:r w:rsidR="00EE2766">
        <w:t>3</w:t>
      </w:r>
      <w:r w:rsidR="0001388F">
        <w:t>.1.2</w:t>
      </w:r>
      <w:r w:rsidR="00B50D3D">
        <w:t>.</w:t>
      </w:r>
    </w:p>
    <w:p w14:paraId="0913CFA5" w14:textId="34B895CA" w:rsidR="00124B23" w:rsidRDefault="00124B23" w:rsidP="00EB5D2D"/>
    <w:p w14:paraId="2BC3A9DF" w14:textId="552B6117" w:rsidR="00E24488" w:rsidRDefault="00124B23" w:rsidP="00E13D56">
      <w:pPr>
        <w:widowControl/>
      </w:pPr>
      <w:r>
        <w:t>Also s</w:t>
      </w:r>
      <w:r w:rsidR="00347078">
        <w:t>imilar to infant formula products, a</w:t>
      </w:r>
      <w:r w:rsidR="0029746C">
        <w:t xml:space="preserve"> </w:t>
      </w:r>
      <w:r w:rsidR="004A356C">
        <w:t xml:space="preserve">maximum </w:t>
      </w:r>
      <w:r w:rsidR="00AA1F8B">
        <w:t>of 2.4 g/L of 2</w:t>
      </w:r>
      <w:r w:rsidR="000A17BB">
        <w:t>′</w:t>
      </w:r>
      <w:r w:rsidR="00AA1F8B">
        <w:t>-FL</w:t>
      </w:r>
      <w:r w:rsidR="001E3064">
        <w:t xml:space="preserve"> (rather than 1.2 g/L)</w:t>
      </w:r>
      <w:r w:rsidR="00B50D3D">
        <w:t xml:space="preserve"> </w:t>
      </w:r>
      <w:r w:rsidR="00AE54F4">
        <w:t xml:space="preserve">would promote </w:t>
      </w:r>
      <w:r w:rsidR="00F4417D">
        <w:t xml:space="preserve">greater </w:t>
      </w:r>
      <w:r w:rsidR="0029687F">
        <w:t>compatibility</w:t>
      </w:r>
      <w:r w:rsidR="00AA1F8B">
        <w:t xml:space="preserve"> with international permissions</w:t>
      </w:r>
      <w:r w:rsidR="00E13D56">
        <w:t xml:space="preserve"> for FSFYC</w:t>
      </w:r>
      <w:r w:rsidR="0001388F">
        <w:t xml:space="preserve">. </w:t>
      </w:r>
      <w:r w:rsidR="00A832D7">
        <w:t xml:space="preserve">A maximum of 2.4 g/L for </w:t>
      </w:r>
      <w:r w:rsidR="00347078">
        <w:t>2</w:t>
      </w:r>
      <w:r w:rsidR="000A17BB">
        <w:t>′</w:t>
      </w:r>
      <w:r w:rsidR="00347078">
        <w:t xml:space="preserve">-FL alone </w:t>
      </w:r>
      <w:r w:rsidR="00B50D3D">
        <w:t>and for 2</w:t>
      </w:r>
      <w:r w:rsidR="000A17BB">
        <w:t>′</w:t>
      </w:r>
      <w:r w:rsidR="00B50D3D">
        <w:t>-FL and LNnT combined</w:t>
      </w:r>
      <w:r w:rsidR="00A832D7">
        <w:t>, is also lower than the</w:t>
      </w:r>
      <w:r w:rsidR="006B19E1">
        <w:t xml:space="preserve"> total</w:t>
      </w:r>
      <w:r w:rsidR="00A832D7">
        <w:t xml:space="preserve"> level</w:t>
      </w:r>
      <w:r w:rsidR="002A6EBA">
        <w:t xml:space="preserve"> currently permitted </w:t>
      </w:r>
      <w:r w:rsidR="004126D3">
        <w:t xml:space="preserve">for GOS </w:t>
      </w:r>
      <w:r w:rsidR="001E3064">
        <w:t>or</w:t>
      </w:r>
      <w:r w:rsidR="004126D3">
        <w:t xml:space="preserve"> ITF </w:t>
      </w:r>
      <w:r w:rsidR="00EA1973">
        <w:t>in FSFYC</w:t>
      </w:r>
      <w:r w:rsidR="00652C68">
        <w:t xml:space="preserve"> (i.e. based on 8 g/L)</w:t>
      </w:r>
      <w:r w:rsidR="00EE2766">
        <w:t xml:space="preserve">. A </w:t>
      </w:r>
      <w:r w:rsidR="001E3064">
        <w:t>maximum of</w:t>
      </w:r>
      <w:r w:rsidR="004126D3">
        <w:t xml:space="preserve"> 0.6 g/L </w:t>
      </w:r>
      <w:r w:rsidR="00CF6488">
        <w:t>of</w:t>
      </w:r>
      <w:r w:rsidR="00524016">
        <w:t xml:space="preserve"> </w:t>
      </w:r>
      <w:r w:rsidR="004126D3">
        <w:t xml:space="preserve">LNnT </w:t>
      </w:r>
      <w:r w:rsidR="00A832D7">
        <w:t xml:space="preserve">is </w:t>
      </w:r>
      <w:r w:rsidR="004126D3">
        <w:t>consistent with i</w:t>
      </w:r>
      <w:r w:rsidR="00E24488">
        <w:t>nternational FSFYC permissions.</w:t>
      </w:r>
    </w:p>
    <w:p w14:paraId="27D26EA5" w14:textId="6C587EBE" w:rsidR="00347078" w:rsidRDefault="00347078" w:rsidP="00E13D56">
      <w:pPr>
        <w:widowControl/>
      </w:pPr>
    </w:p>
    <w:p w14:paraId="03B74B0A" w14:textId="3B942B50" w:rsidR="00FE7DBD" w:rsidRDefault="00294973" w:rsidP="00FE7DBD">
      <w:pPr>
        <w:rPr>
          <w:rFonts w:cs="Arial"/>
          <w:szCs w:val="22"/>
          <w:lang w:eastAsia="en-GB" w:bidi="ar-SA"/>
        </w:rPr>
      </w:pPr>
      <w:r>
        <w:t>FSANZ th</w:t>
      </w:r>
      <w:r w:rsidR="00806766">
        <w:t xml:space="preserve">erefore proposes </w:t>
      </w:r>
      <w:r w:rsidR="001770E2">
        <w:t>permitting</w:t>
      </w:r>
      <w:r w:rsidR="00806766">
        <w:t xml:space="preserve"> a </w:t>
      </w:r>
      <w:r w:rsidR="00124B23">
        <w:t xml:space="preserve">maximum </w:t>
      </w:r>
      <w:r w:rsidR="00E35758">
        <w:t xml:space="preserve">of 2.4 g/L </w:t>
      </w:r>
      <w:r w:rsidR="00AB34DA">
        <w:t>for</w:t>
      </w:r>
      <w:r w:rsidR="00F1140A">
        <w:t xml:space="preserve"> 2</w:t>
      </w:r>
      <w:r w:rsidR="000A17BB">
        <w:t>′</w:t>
      </w:r>
      <w:r w:rsidR="00F1140A">
        <w:t>-FL alone in FSFYC</w:t>
      </w:r>
      <w:r w:rsidR="00124B23">
        <w:t xml:space="preserve">; and a total maximum </w:t>
      </w:r>
      <w:r w:rsidR="00E35758">
        <w:t>of 2.4 g/L for 2</w:t>
      </w:r>
      <w:r w:rsidR="000A17BB">
        <w:t>′</w:t>
      </w:r>
      <w:r w:rsidR="00E35758">
        <w:t>-FL and LNnT combined, with no more than 0.6 g/L of LNnT.</w:t>
      </w:r>
      <w:r w:rsidR="00806766">
        <w:t xml:space="preserve"> </w:t>
      </w:r>
      <w:r w:rsidR="00FE7DBD">
        <w:rPr>
          <w:rFonts w:cs="Arial"/>
          <w:szCs w:val="22"/>
          <w:lang w:eastAsia="en-GB" w:bidi="ar-SA"/>
        </w:rPr>
        <w:t xml:space="preserve">For consistency with </w:t>
      </w:r>
      <w:r w:rsidR="00C56D9C">
        <w:rPr>
          <w:rFonts w:cs="Arial"/>
          <w:szCs w:val="22"/>
          <w:lang w:eastAsia="en-GB" w:bidi="ar-SA"/>
        </w:rPr>
        <w:t>existing</w:t>
      </w:r>
      <w:r w:rsidR="00FE7DBD">
        <w:rPr>
          <w:rFonts w:cs="Arial"/>
          <w:szCs w:val="22"/>
          <w:lang w:eastAsia="en-GB" w:bidi="ar-SA"/>
        </w:rPr>
        <w:t xml:space="preserve"> permissions for the addition of substances to </w:t>
      </w:r>
      <w:r w:rsidR="00B30B28">
        <w:rPr>
          <w:rFonts w:cs="Arial"/>
          <w:szCs w:val="22"/>
          <w:lang w:eastAsia="en-GB" w:bidi="ar-SA"/>
        </w:rPr>
        <w:t>FSFYC</w:t>
      </w:r>
      <w:r w:rsidR="00556C0F">
        <w:rPr>
          <w:rFonts w:cs="Arial"/>
          <w:szCs w:val="22"/>
          <w:lang w:eastAsia="en-GB" w:bidi="ar-SA"/>
        </w:rPr>
        <w:t xml:space="preserve"> in the Code</w:t>
      </w:r>
      <w:r w:rsidR="00FE7DBD">
        <w:rPr>
          <w:rFonts w:cs="Arial"/>
          <w:szCs w:val="22"/>
          <w:lang w:eastAsia="en-GB" w:bidi="ar-SA"/>
        </w:rPr>
        <w:t xml:space="preserve">, FSANZ </w:t>
      </w:r>
      <w:r w:rsidR="004C36C0">
        <w:rPr>
          <w:rFonts w:cs="Arial"/>
          <w:szCs w:val="22"/>
          <w:lang w:eastAsia="en-GB" w:bidi="ar-SA"/>
        </w:rPr>
        <w:t>has converted</w:t>
      </w:r>
      <w:r w:rsidR="00FE7DBD">
        <w:rPr>
          <w:rFonts w:cs="Arial"/>
          <w:szCs w:val="22"/>
          <w:lang w:eastAsia="en-GB" w:bidi="ar-SA"/>
        </w:rPr>
        <w:t xml:space="preserve"> these maximum permitted amounts to </w:t>
      </w:r>
      <w:r w:rsidR="00B30B28">
        <w:rPr>
          <w:rFonts w:cs="Arial"/>
          <w:szCs w:val="22"/>
          <w:lang w:eastAsia="en-GB" w:bidi="ar-SA"/>
        </w:rPr>
        <w:t>g/serving</w:t>
      </w:r>
      <w:r w:rsidR="00FE7DBD">
        <w:rPr>
          <w:rFonts w:cs="Arial"/>
          <w:szCs w:val="22"/>
          <w:lang w:eastAsia="en-GB" w:bidi="ar-SA"/>
        </w:rPr>
        <w:t xml:space="preserve"> units</w:t>
      </w:r>
      <w:r w:rsidR="00B30B28">
        <w:rPr>
          <w:rFonts w:cs="Arial"/>
          <w:szCs w:val="22"/>
          <w:lang w:eastAsia="en-GB" w:bidi="ar-SA"/>
        </w:rPr>
        <w:t xml:space="preserve"> as set out below</w:t>
      </w:r>
      <w:r w:rsidR="00C56D9C">
        <w:rPr>
          <w:rFonts w:cs="Arial"/>
          <w:szCs w:val="22"/>
          <w:lang w:eastAsia="en-GB" w:bidi="ar-SA"/>
        </w:rPr>
        <w:t xml:space="preserve"> (f</w:t>
      </w:r>
      <w:r w:rsidR="00FE7DBD">
        <w:rPr>
          <w:rFonts w:cs="Arial"/>
          <w:szCs w:val="22"/>
          <w:lang w:eastAsia="en-GB" w:bidi="ar-SA"/>
        </w:rPr>
        <w:t xml:space="preserve">urther </w:t>
      </w:r>
      <w:r w:rsidR="00493FAA">
        <w:rPr>
          <w:rFonts w:cs="Arial"/>
          <w:szCs w:val="22"/>
          <w:lang w:eastAsia="en-GB" w:bidi="ar-SA"/>
        </w:rPr>
        <w:t>discus</w:t>
      </w:r>
      <w:r w:rsidR="00124B23">
        <w:rPr>
          <w:rFonts w:cs="Arial"/>
          <w:szCs w:val="22"/>
          <w:lang w:eastAsia="en-GB" w:bidi="ar-SA"/>
        </w:rPr>
        <w:t>s</w:t>
      </w:r>
      <w:r w:rsidR="00493FAA">
        <w:rPr>
          <w:rFonts w:cs="Arial"/>
          <w:szCs w:val="22"/>
          <w:lang w:eastAsia="en-GB" w:bidi="ar-SA"/>
        </w:rPr>
        <w:t xml:space="preserve">ion </w:t>
      </w:r>
      <w:r w:rsidR="003004A2">
        <w:rPr>
          <w:rFonts w:cs="Arial"/>
          <w:szCs w:val="22"/>
          <w:lang w:eastAsia="en-GB" w:bidi="ar-SA"/>
        </w:rPr>
        <w:t xml:space="preserve">about </w:t>
      </w:r>
      <w:r w:rsidR="00493FAA">
        <w:rPr>
          <w:rFonts w:cs="Arial"/>
          <w:szCs w:val="22"/>
          <w:lang w:eastAsia="en-GB" w:bidi="ar-SA"/>
        </w:rPr>
        <w:t>this approach is</w:t>
      </w:r>
      <w:r w:rsidR="00FE7DBD">
        <w:rPr>
          <w:rFonts w:cs="Arial"/>
          <w:szCs w:val="22"/>
          <w:lang w:eastAsia="en-GB" w:bidi="ar-SA"/>
        </w:rPr>
        <w:t xml:space="preserve"> provided in </w:t>
      </w:r>
      <w:r w:rsidR="00EE2766">
        <w:rPr>
          <w:rFonts w:cs="Arial"/>
          <w:szCs w:val="22"/>
          <w:lang w:eastAsia="en-GB" w:bidi="ar-SA"/>
        </w:rPr>
        <w:t>A</w:t>
      </w:r>
      <w:r w:rsidR="00FE7DBD">
        <w:rPr>
          <w:rFonts w:cs="Arial"/>
          <w:szCs w:val="22"/>
          <w:lang w:eastAsia="en-GB" w:bidi="ar-SA"/>
        </w:rPr>
        <w:t xml:space="preserve">ttachment </w:t>
      </w:r>
      <w:r w:rsidR="00EE2766">
        <w:rPr>
          <w:rFonts w:cs="Arial"/>
          <w:szCs w:val="22"/>
          <w:lang w:eastAsia="en-GB" w:bidi="ar-SA"/>
        </w:rPr>
        <w:t>C</w:t>
      </w:r>
      <w:r w:rsidR="00C56D9C">
        <w:rPr>
          <w:rFonts w:cs="Arial"/>
          <w:szCs w:val="22"/>
          <w:lang w:eastAsia="en-GB" w:bidi="ar-SA"/>
        </w:rPr>
        <w:t>)</w:t>
      </w:r>
      <w:r w:rsidR="00FE7DBD">
        <w:rPr>
          <w:rFonts w:cs="Arial"/>
          <w:szCs w:val="22"/>
          <w:lang w:eastAsia="en-GB" w:bidi="ar-SA"/>
        </w:rPr>
        <w:t xml:space="preserve">. </w:t>
      </w:r>
      <w:r w:rsidR="004C36C0">
        <w:rPr>
          <w:rFonts w:cs="Arial"/>
          <w:szCs w:val="22"/>
          <w:lang w:eastAsia="en-GB" w:bidi="ar-SA"/>
        </w:rPr>
        <w:t>A</w:t>
      </w:r>
      <w:r w:rsidR="00EE2766">
        <w:t xml:space="preserve"> slight correction to the converted level for </w:t>
      </w:r>
      <w:r w:rsidR="00B51870">
        <w:t>2′</w:t>
      </w:r>
      <w:r w:rsidR="00EE2766">
        <w:t xml:space="preserve">-FL alone and </w:t>
      </w:r>
      <w:r w:rsidR="004C36C0">
        <w:t xml:space="preserve">for </w:t>
      </w:r>
      <w:r w:rsidR="00B51870">
        <w:t>2′</w:t>
      </w:r>
      <w:r w:rsidR="004C36C0">
        <w:t xml:space="preserve">-FL and LNnT </w:t>
      </w:r>
      <w:r w:rsidR="00EE2766">
        <w:t>combined</w:t>
      </w:r>
      <w:r w:rsidR="004C36C0">
        <w:t xml:space="preserve"> has</w:t>
      </w:r>
      <w:r w:rsidR="00EE2766" w:rsidRPr="00B777C1">
        <w:t xml:space="preserve"> </w:t>
      </w:r>
      <w:r w:rsidR="004C36C0">
        <w:t xml:space="preserve">been made </w:t>
      </w:r>
      <w:r w:rsidR="00EE2766">
        <w:t>since the 1</w:t>
      </w:r>
      <w:r w:rsidR="00EE2766" w:rsidRPr="00EE2766">
        <w:rPr>
          <w:vertAlign w:val="superscript"/>
        </w:rPr>
        <w:t>st</w:t>
      </w:r>
      <w:r w:rsidR="00EE2766">
        <w:t xml:space="preserve"> CFS</w:t>
      </w:r>
      <w:r w:rsidR="004C36C0">
        <w:t xml:space="preserve"> (i.e. amended from 0.56 to 0.55 g/serving)</w:t>
      </w:r>
      <w:r w:rsidR="00EE2766">
        <w:t>.</w:t>
      </w:r>
      <w:r w:rsidR="00EE2766">
        <w:rPr>
          <w:rFonts w:cs="Arial"/>
          <w:szCs w:val="22"/>
          <w:lang w:eastAsia="en-GB" w:bidi="ar-SA"/>
        </w:rPr>
        <w:t xml:space="preserve"> </w:t>
      </w:r>
      <w:r w:rsidR="00C56D9C">
        <w:rPr>
          <w:rFonts w:cs="Arial"/>
          <w:szCs w:val="22"/>
          <w:lang w:eastAsia="en-GB" w:bidi="ar-SA"/>
        </w:rPr>
        <w:t>The maximum amounts capture both naturally-occurring and added 2</w:t>
      </w:r>
      <w:r w:rsidR="000A17BB">
        <w:rPr>
          <w:rFonts w:cs="Arial"/>
          <w:szCs w:val="22"/>
          <w:lang w:eastAsia="en-GB" w:bidi="ar-SA"/>
        </w:rPr>
        <w:t>′</w:t>
      </w:r>
      <w:r w:rsidR="00C56D9C">
        <w:rPr>
          <w:rFonts w:cs="Arial"/>
          <w:szCs w:val="22"/>
          <w:lang w:eastAsia="en-GB" w:bidi="ar-SA"/>
        </w:rPr>
        <w:t>-FL and LNnT.</w:t>
      </w:r>
    </w:p>
    <w:p w14:paraId="60D5B948" w14:textId="6B77C8B6" w:rsidR="00143216" w:rsidRDefault="00143216" w:rsidP="00FE7DBD">
      <w:pPr>
        <w:rPr>
          <w:rFonts w:cs="Arial"/>
          <w:szCs w:val="22"/>
          <w:lang w:eastAsia="en-GB" w:bidi="ar-SA"/>
        </w:rPr>
      </w:pPr>
    </w:p>
    <w:p w14:paraId="6D5BEF11" w14:textId="1DED947D" w:rsidR="00143216" w:rsidRDefault="00143216" w:rsidP="00FE7DBD">
      <w:pPr>
        <w:rPr>
          <w:rFonts w:cs="Arial"/>
          <w:szCs w:val="22"/>
          <w:lang w:eastAsia="en-GB" w:bidi="ar-SA"/>
        </w:rPr>
      </w:pPr>
      <w:r w:rsidRPr="003E7621">
        <w:t>A minimum permitted amount is not proposed as this was not requested in the application and has not been determined by FSANZ</w:t>
      </w:r>
      <w:r w:rsidR="00931227" w:rsidRPr="003E7621">
        <w:t>.</w:t>
      </w:r>
    </w:p>
    <w:p w14:paraId="4563F53C" w14:textId="77777777" w:rsidR="00934A4B" w:rsidRPr="00FE7DBD" w:rsidRDefault="00934A4B" w:rsidP="00FE7DBD"/>
    <w:p w14:paraId="60790C8C" w14:textId="2793AA39" w:rsidR="00403E4D" w:rsidRDefault="00FE7DBD" w:rsidP="008A6DEE">
      <w:pPr>
        <w:rPr>
          <w:rFonts w:cs="Arial"/>
          <w:szCs w:val="22"/>
          <w:lang w:eastAsia="en-GB" w:bidi="ar-SA"/>
        </w:rPr>
      </w:pPr>
      <w:r>
        <w:rPr>
          <w:noProof/>
          <w:lang w:eastAsia="en-GB" w:bidi="ar-SA"/>
        </w:rPr>
        <mc:AlternateContent>
          <mc:Choice Requires="wps">
            <w:drawing>
              <wp:inline distT="0" distB="0" distL="0" distR="0" wp14:anchorId="715BCC38" wp14:editId="64C90949">
                <wp:extent cx="5686425" cy="905774"/>
                <wp:effectExtent l="0" t="0" r="28575" b="2794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905774"/>
                        </a:xfrm>
                        <a:prstGeom prst="rect">
                          <a:avLst/>
                        </a:prstGeom>
                        <a:solidFill>
                          <a:srgbClr val="FFFFFF"/>
                        </a:solidFill>
                        <a:ln w="9525">
                          <a:solidFill>
                            <a:schemeClr val="tx2">
                              <a:lumMod val="60000"/>
                              <a:lumOff val="40000"/>
                            </a:schemeClr>
                          </a:solidFill>
                          <a:miter lim="800000"/>
                          <a:headEnd/>
                          <a:tailEnd/>
                        </a:ln>
                      </wps:spPr>
                      <wps:txbx>
                        <w:txbxContent>
                          <w:p w14:paraId="605DD151" w14:textId="0A8B15D1" w:rsidR="0025476F" w:rsidRDefault="0025476F" w:rsidP="00FE7DBD">
                            <w:pPr>
                              <w:spacing w:after="120"/>
                            </w:pPr>
                            <w:r>
                              <w:t>FSANZ’s approach is to permit the following maximum levels for addition to FSFYC:</w:t>
                            </w:r>
                          </w:p>
                          <w:p w14:paraId="073C7FCD" w14:textId="7265B8F0" w:rsidR="0025476F" w:rsidRPr="008E4634" w:rsidRDefault="0025476F" w:rsidP="00B57142">
                            <w:pPr>
                              <w:pStyle w:val="FSBullet1"/>
                              <w:rPr>
                                <w:b/>
                              </w:rPr>
                            </w:pPr>
                            <w:r w:rsidRPr="008E4634">
                              <w:t xml:space="preserve">If only </w:t>
                            </w:r>
                            <w:r>
                              <w:t>2′</w:t>
                            </w:r>
                            <w:r w:rsidRPr="008E4634">
                              <w:t>-FL added – no</w:t>
                            </w:r>
                            <w:r>
                              <w:t>t</w:t>
                            </w:r>
                            <w:r w:rsidRPr="008E4634">
                              <w:t xml:space="preserve"> more than 0.5</w:t>
                            </w:r>
                            <w:r>
                              <w:t>5</w:t>
                            </w:r>
                            <w:r w:rsidRPr="008E4634">
                              <w:t xml:space="preserve"> g/serving</w:t>
                            </w:r>
                          </w:p>
                          <w:p w14:paraId="67BE70E3" w14:textId="6E1D90A3" w:rsidR="0025476F" w:rsidRPr="008F3DA6" w:rsidRDefault="0025476F" w:rsidP="00FE7DBD">
                            <w:pPr>
                              <w:pStyle w:val="FSBullet1"/>
                              <w:rPr>
                                <w:b/>
                              </w:rPr>
                            </w:pPr>
                            <w:r w:rsidRPr="008E4634">
                              <w:t xml:space="preserve">If </w:t>
                            </w:r>
                            <w:r>
                              <w:t>both 2′</w:t>
                            </w:r>
                            <w:r w:rsidRPr="008E4634">
                              <w:t>-FL and LNnT added – no</w:t>
                            </w:r>
                            <w:r>
                              <w:t>t</w:t>
                            </w:r>
                            <w:r w:rsidRPr="008E4634">
                              <w:t xml:space="preserve"> more than </w:t>
                            </w:r>
                            <w:r>
                              <w:t xml:space="preserve">0.55 g/serving of 2′-FL and LNnT combined, of which contains not more than </w:t>
                            </w:r>
                            <w:r w:rsidRPr="008E4634">
                              <w:t>0.14 g/serving of LNnT.</w:t>
                            </w:r>
                          </w:p>
                        </w:txbxContent>
                      </wps:txbx>
                      <wps:bodyPr rot="0" vert="horz" wrap="square" lIns="91440" tIns="45720" rIns="91440" bIns="45720" anchor="t" anchorCtr="0">
                        <a:noAutofit/>
                      </wps:bodyPr>
                    </wps:wsp>
                  </a:graphicData>
                </a:graphic>
              </wp:inline>
            </w:drawing>
          </mc:Choice>
          <mc:Fallback>
            <w:pict>
              <v:shape w14:anchorId="715BCC38" id="Text Box 6" o:spid="_x0000_s1030" type="#_x0000_t202" style="width:447.75pt;height: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" strokecolor="#548dd4 [1951]">
                <v:textbox>
                  <w:txbxContent>
                    <w:p w14:paraId="605DD151" w14:textId="0A8B15D1" w:rsidR="0025476F" w:rsidRDefault="0025476F" w:rsidP="00FE7DBD">
                      <w:pPr>
                        <w:spacing w:after="120"/>
                      </w:pPr>
                      <w:r>
                        <w:t>FSANZ’s approach is to permit the following maximum levels for addition to FSFYC:</w:t>
                      </w:r>
                    </w:p>
                    <w:p w14:paraId="073C7FCD" w14:textId="7265B8F0" w:rsidR="0025476F" w:rsidRPr="008E4634" w:rsidRDefault="0025476F" w:rsidP="00B57142">
                      <w:pPr>
                        <w:pStyle w:val="FSBullet1"/>
                        <w:rPr>
                          <w:b/>
                        </w:rPr>
                      </w:pPr>
                      <w:r w:rsidRPr="008E4634">
                        <w:t xml:space="preserve">If only </w:t>
                      </w:r>
                      <w:r>
                        <w:t>2′</w:t>
                      </w:r>
                      <w:r w:rsidRPr="008E4634">
                        <w:t>-FL added – no</w:t>
                      </w:r>
                      <w:r>
                        <w:t>t</w:t>
                      </w:r>
                      <w:r w:rsidRPr="008E4634">
                        <w:t xml:space="preserve"> more than 0.5</w:t>
                      </w:r>
                      <w:r>
                        <w:t>5</w:t>
                      </w:r>
                      <w:r w:rsidRPr="008E4634">
                        <w:t xml:space="preserve"> g/serving</w:t>
                      </w:r>
                    </w:p>
                    <w:p w14:paraId="67BE70E3" w14:textId="6E1D90A3" w:rsidR="0025476F" w:rsidRPr="008F3DA6" w:rsidRDefault="0025476F" w:rsidP="00FE7DBD">
                      <w:pPr>
                        <w:pStyle w:val="FSBullet1"/>
                        <w:rPr>
                          <w:b/>
                        </w:rPr>
                      </w:pPr>
                      <w:r w:rsidRPr="008E4634">
                        <w:t xml:space="preserve">If </w:t>
                      </w:r>
                      <w:r>
                        <w:t>both 2′</w:t>
                      </w:r>
                      <w:r w:rsidRPr="008E4634">
                        <w:t>-FL and LNnT added – no</w:t>
                      </w:r>
                      <w:r>
                        <w:t>t</w:t>
                      </w:r>
                      <w:r w:rsidRPr="008E4634">
                        <w:t xml:space="preserve"> more than </w:t>
                      </w:r>
                      <w:r>
                        <w:t xml:space="preserve">0.55 g/serving of 2′-FL and LNnT combined, of which contains not more than </w:t>
                      </w:r>
                      <w:r w:rsidRPr="008E4634">
                        <w:t>0.14 g/serving of LNnT.</w:t>
                      </w:r>
                    </w:p>
                  </w:txbxContent>
                </v:textbox>
                <w10:anchorlock/>
              </v:shape>
            </w:pict>
          </mc:Fallback>
        </mc:AlternateContent>
      </w:r>
    </w:p>
    <w:p w14:paraId="0F0DBE7F" w14:textId="3F730281" w:rsidR="002F77E7" w:rsidRDefault="003C56AC" w:rsidP="00DA15EB">
      <w:pPr>
        <w:pStyle w:val="Heading3"/>
      </w:pPr>
      <w:bookmarkStart w:id="104" w:name="_Toc525729992"/>
      <w:bookmarkStart w:id="105" w:name="_Toc527018238"/>
      <w:bookmarkStart w:id="106" w:name="_Toc11247908"/>
      <w:bookmarkStart w:id="107" w:name="_Toc14427201"/>
      <w:r>
        <w:t>2.</w:t>
      </w:r>
      <w:r w:rsidR="008155DB">
        <w:t>3</w:t>
      </w:r>
      <w:r>
        <w:t>.</w:t>
      </w:r>
      <w:r w:rsidR="00DA15EB">
        <w:t>4</w:t>
      </w:r>
      <w:r>
        <w:tab/>
        <w:t>P</w:t>
      </w:r>
      <w:r w:rsidR="002F77E7">
        <w:t xml:space="preserve">rohibition </w:t>
      </w:r>
      <w:r w:rsidR="00F70177">
        <w:t>of</w:t>
      </w:r>
      <w:r w:rsidR="002F77E7">
        <w:t xml:space="preserve"> use with existing oligosaccharide permissions</w:t>
      </w:r>
      <w:bookmarkEnd w:id="104"/>
      <w:bookmarkEnd w:id="105"/>
      <w:bookmarkEnd w:id="106"/>
      <w:bookmarkEnd w:id="107"/>
    </w:p>
    <w:p w14:paraId="14007AE1" w14:textId="7963B835" w:rsidR="00544D50" w:rsidRDefault="00B95576" w:rsidP="00F1140A">
      <w:pPr>
        <w:widowControl/>
        <w:rPr>
          <w:lang w:eastAsia="en-AU" w:bidi="ar-SA"/>
        </w:rPr>
      </w:pPr>
      <w:r>
        <w:rPr>
          <w:lang w:eastAsia="en-AU" w:bidi="ar-SA"/>
        </w:rPr>
        <w:t>FSANZ notes that the a</w:t>
      </w:r>
      <w:r w:rsidR="00222AB7">
        <w:rPr>
          <w:lang w:eastAsia="en-AU" w:bidi="ar-SA"/>
        </w:rPr>
        <w:t>pplicant is not seeking use</w:t>
      </w:r>
      <w:r w:rsidR="00B1379A">
        <w:rPr>
          <w:lang w:eastAsia="en-AU" w:bidi="ar-SA"/>
        </w:rPr>
        <w:t xml:space="preserve"> of</w:t>
      </w:r>
      <w:r w:rsidR="00222AB7">
        <w:rPr>
          <w:lang w:eastAsia="en-AU" w:bidi="ar-SA"/>
        </w:rPr>
        <w:t xml:space="preserve"> the proposed permissions for 2</w:t>
      </w:r>
      <w:r w:rsidR="000A17BB">
        <w:rPr>
          <w:lang w:eastAsia="en-AU" w:bidi="ar-SA"/>
        </w:rPr>
        <w:t>′</w:t>
      </w:r>
      <w:r w:rsidR="00222AB7">
        <w:rPr>
          <w:lang w:eastAsia="en-AU" w:bidi="ar-SA"/>
        </w:rPr>
        <w:t xml:space="preserve">-FL and LNnT </w:t>
      </w:r>
      <w:r w:rsidR="00B1379A">
        <w:rPr>
          <w:lang w:eastAsia="en-AU" w:bidi="ar-SA"/>
        </w:rPr>
        <w:t>together</w:t>
      </w:r>
      <w:r w:rsidR="00222AB7">
        <w:rPr>
          <w:lang w:eastAsia="en-AU" w:bidi="ar-SA"/>
        </w:rPr>
        <w:t xml:space="preserve"> with existing permissions for GOS and ITF in infant formula products or FSFYC. </w:t>
      </w:r>
      <w:r>
        <w:rPr>
          <w:lang w:eastAsia="en-AU" w:bidi="ar-SA"/>
        </w:rPr>
        <w:t>We have</w:t>
      </w:r>
      <w:r w:rsidR="00162A78">
        <w:rPr>
          <w:lang w:eastAsia="en-AU" w:bidi="ar-SA"/>
        </w:rPr>
        <w:t xml:space="preserve">, </w:t>
      </w:r>
      <w:r w:rsidR="00222AB7">
        <w:rPr>
          <w:lang w:eastAsia="en-AU" w:bidi="ar-SA"/>
        </w:rPr>
        <w:t xml:space="preserve">however, </w:t>
      </w:r>
      <w:r w:rsidR="00F70177">
        <w:rPr>
          <w:lang w:eastAsia="en-AU" w:bidi="ar-SA"/>
        </w:rPr>
        <w:t xml:space="preserve">considered the </w:t>
      </w:r>
      <w:r w:rsidR="001060BC">
        <w:rPr>
          <w:lang w:eastAsia="en-AU" w:bidi="ar-SA"/>
        </w:rPr>
        <w:t xml:space="preserve">available evidence for </w:t>
      </w:r>
      <w:r>
        <w:rPr>
          <w:lang w:eastAsia="en-AU" w:bidi="ar-SA"/>
        </w:rPr>
        <w:t xml:space="preserve">this </w:t>
      </w:r>
      <w:r w:rsidR="00F70177">
        <w:rPr>
          <w:lang w:eastAsia="en-AU" w:bidi="ar-SA"/>
        </w:rPr>
        <w:t>potential</w:t>
      </w:r>
      <w:r w:rsidR="00222AB7">
        <w:rPr>
          <w:lang w:eastAsia="en-AU" w:bidi="ar-SA"/>
        </w:rPr>
        <w:t xml:space="preserve"> combined use.</w:t>
      </w:r>
      <w:r w:rsidR="001060BC">
        <w:rPr>
          <w:lang w:eastAsia="en-AU" w:bidi="ar-SA"/>
        </w:rPr>
        <w:t xml:space="preserve"> </w:t>
      </w:r>
      <w:r w:rsidR="00C40D00">
        <w:rPr>
          <w:lang w:eastAsia="en-AU" w:bidi="ar-SA"/>
        </w:rPr>
        <w:t xml:space="preserve">As discussed in </w:t>
      </w:r>
      <w:r w:rsidR="00544D50">
        <w:rPr>
          <w:lang w:eastAsia="en-AU" w:bidi="ar-SA"/>
        </w:rPr>
        <w:t>SD1</w:t>
      </w:r>
      <w:r w:rsidR="00C40D00">
        <w:rPr>
          <w:lang w:eastAsia="en-AU" w:bidi="ar-SA"/>
        </w:rPr>
        <w:t>, n</w:t>
      </w:r>
      <w:r w:rsidR="005C6E2F">
        <w:rPr>
          <w:lang w:eastAsia="en-AU" w:bidi="ar-SA"/>
        </w:rPr>
        <w:t>o adverse effects were reported in infant s</w:t>
      </w:r>
      <w:r w:rsidR="002F77E7">
        <w:rPr>
          <w:lang w:eastAsia="en-AU" w:bidi="ar-SA"/>
        </w:rPr>
        <w:t>tudies</w:t>
      </w:r>
      <w:r w:rsidR="00F70177">
        <w:rPr>
          <w:lang w:eastAsia="en-AU" w:bidi="ar-SA"/>
        </w:rPr>
        <w:t xml:space="preserve"> </w:t>
      </w:r>
      <w:r w:rsidR="001060BC">
        <w:rPr>
          <w:lang w:eastAsia="en-AU" w:bidi="ar-SA"/>
        </w:rPr>
        <w:t>which tested</w:t>
      </w:r>
      <w:r w:rsidR="005C6E2F">
        <w:rPr>
          <w:lang w:eastAsia="en-AU" w:bidi="ar-SA"/>
        </w:rPr>
        <w:t xml:space="preserve"> formula supplemented with</w:t>
      </w:r>
      <w:r w:rsidR="00F70177">
        <w:rPr>
          <w:lang w:eastAsia="en-AU" w:bidi="ar-SA"/>
        </w:rPr>
        <w:t xml:space="preserve"> </w:t>
      </w:r>
      <w:r w:rsidR="002F77E7">
        <w:rPr>
          <w:lang w:eastAsia="en-AU" w:bidi="ar-SA"/>
        </w:rPr>
        <w:t>2</w:t>
      </w:r>
      <w:r w:rsidR="000A17BB">
        <w:rPr>
          <w:lang w:eastAsia="en-AU" w:bidi="ar-SA"/>
        </w:rPr>
        <w:t>′</w:t>
      </w:r>
      <w:r w:rsidR="002F77E7">
        <w:rPr>
          <w:lang w:eastAsia="en-AU" w:bidi="ar-SA"/>
        </w:rPr>
        <w:t xml:space="preserve">-FL </w:t>
      </w:r>
      <w:r w:rsidR="001060BC">
        <w:rPr>
          <w:lang w:eastAsia="en-AU" w:bidi="ar-SA"/>
        </w:rPr>
        <w:t xml:space="preserve">in </w:t>
      </w:r>
      <w:r w:rsidR="002F77E7">
        <w:rPr>
          <w:lang w:eastAsia="en-AU" w:bidi="ar-SA"/>
        </w:rPr>
        <w:t>combin</w:t>
      </w:r>
      <w:r w:rsidR="001060BC">
        <w:rPr>
          <w:lang w:eastAsia="en-AU" w:bidi="ar-SA"/>
        </w:rPr>
        <w:t>ation</w:t>
      </w:r>
      <w:r w:rsidR="002F77E7">
        <w:rPr>
          <w:lang w:eastAsia="en-AU" w:bidi="ar-SA"/>
        </w:rPr>
        <w:t xml:space="preserve"> with scFOS</w:t>
      </w:r>
      <w:r w:rsidR="00F8669F">
        <w:rPr>
          <w:lang w:eastAsia="en-AU" w:bidi="ar-SA"/>
        </w:rPr>
        <w:t xml:space="preserve"> (a permitted ITF)</w:t>
      </w:r>
      <w:r w:rsidR="002F77E7">
        <w:rPr>
          <w:lang w:eastAsia="en-AU" w:bidi="ar-SA"/>
        </w:rPr>
        <w:t xml:space="preserve"> or GOS</w:t>
      </w:r>
      <w:r w:rsidR="00F70177">
        <w:rPr>
          <w:lang w:eastAsia="en-AU" w:bidi="ar-SA"/>
        </w:rPr>
        <w:t>. However,</w:t>
      </w:r>
      <w:r w:rsidR="002F77E7">
        <w:rPr>
          <w:lang w:eastAsia="en-AU" w:bidi="ar-SA"/>
        </w:rPr>
        <w:t xml:space="preserve"> the maximum amounts of scFOS or GOS permitted in the Code were not </w:t>
      </w:r>
      <w:r w:rsidR="005C6E2F">
        <w:rPr>
          <w:lang w:eastAsia="en-AU" w:bidi="ar-SA"/>
        </w:rPr>
        <w:t>tested</w:t>
      </w:r>
      <w:r w:rsidR="00F70177">
        <w:rPr>
          <w:lang w:eastAsia="en-AU" w:bidi="ar-SA"/>
        </w:rPr>
        <w:t xml:space="preserve"> in these studies</w:t>
      </w:r>
      <w:r w:rsidR="002F77E7">
        <w:rPr>
          <w:lang w:eastAsia="en-AU" w:bidi="ar-SA"/>
        </w:rPr>
        <w:t>.</w:t>
      </w:r>
      <w:r w:rsidR="00F70177">
        <w:rPr>
          <w:lang w:eastAsia="en-AU" w:bidi="ar-SA"/>
        </w:rPr>
        <w:t xml:space="preserve"> Additionally, </w:t>
      </w:r>
      <w:r w:rsidR="00F70177" w:rsidRPr="00755420">
        <w:rPr>
          <w:lang w:eastAsia="en-AU" w:bidi="ar-SA"/>
        </w:rPr>
        <w:t>no evidence was provided which</w:t>
      </w:r>
      <w:r w:rsidR="002F77E7" w:rsidRPr="00755420">
        <w:rPr>
          <w:lang w:eastAsia="en-AU" w:bidi="ar-SA"/>
        </w:rPr>
        <w:t xml:space="preserve"> investigate</w:t>
      </w:r>
      <w:r w:rsidR="00F70177" w:rsidRPr="00755420">
        <w:rPr>
          <w:lang w:eastAsia="en-AU" w:bidi="ar-SA"/>
        </w:rPr>
        <w:t>d</w:t>
      </w:r>
      <w:r w:rsidR="002F77E7" w:rsidRPr="00755420">
        <w:rPr>
          <w:lang w:eastAsia="en-AU" w:bidi="ar-SA"/>
        </w:rPr>
        <w:t xml:space="preserve"> the use of 2</w:t>
      </w:r>
      <w:r w:rsidR="000A17BB">
        <w:rPr>
          <w:lang w:eastAsia="en-AU" w:bidi="ar-SA"/>
        </w:rPr>
        <w:t>′</w:t>
      </w:r>
      <w:r w:rsidR="002F77E7" w:rsidRPr="00755420">
        <w:rPr>
          <w:lang w:eastAsia="en-AU" w:bidi="ar-SA"/>
        </w:rPr>
        <w:t>-FL combined with both GOS and scFOS</w:t>
      </w:r>
      <w:r w:rsidR="005C6E2F" w:rsidRPr="00755420">
        <w:rPr>
          <w:lang w:eastAsia="en-AU" w:bidi="ar-SA"/>
        </w:rPr>
        <w:t xml:space="preserve"> (i.e. GOS and </w:t>
      </w:r>
      <w:r w:rsidR="00F8669F">
        <w:rPr>
          <w:lang w:eastAsia="en-AU" w:bidi="ar-SA"/>
        </w:rPr>
        <w:t>ITF</w:t>
      </w:r>
      <w:r w:rsidR="00F8669F" w:rsidRPr="00755420">
        <w:rPr>
          <w:lang w:eastAsia="en-AU" w:bidi="ar-SA"/>
        </w:rPr>
        <w:t xml:space="preserve"> </w:t>
      </w:r>
      <w:r w:rsidR="005C6E2F" w:rsidRPr="00755420">
        <w:rPr>
          <w:lang w:eastAsia="en-AU" w:bidi="ar-SA"/>
        </w:rPr>
        <w:t xml:space="preserve">are </w:t>
      </w:r>
      <w:r w:rsidR="00391D41">
        <w:rPr>
          <w:lang w:eastAsia="en-AU" w:bidi="ar-SA"/>
        </w:rPr>
        <w:t xml:space="preserve">currently </w:t>
      </w:r>
      <w:r w:rsidRPr="00755420">
        <w:rPr>
          <w:lang w:eastAsia="en-AU" w:bidi="ar-SA"/>
        </w:rPr>
        <w:t>permitted</w:t>
      </w:r>
      <w:r w:rsidR="005C6E2F" w:rsidRPr="00755420">
        <w:rPr>
          <w:lang w:eastAsia="en-AU" w:bidi="ar-SA"/>
        </w:rPr>
        <w:t xml:space="preserve"> to be used in combination in</w:t>
      </w:r>
      <w:r w:rsidR="004629BC">
        <w:rPr>
          <w:lang w:eastAsia="en-AU" w:bidi="ar-SA"/>
        </w:rPr>
        <w:t xml:space="preserve"> infant formula products in</w:t>
      </w:r>
      <w:r w:rsidR="005C6E2F" w:rsidRPr="00755420">
        <w:rPr>
          <w:lang w:eastAsia="en-AU" w:bidi="ar-SA"/>
        </w:rPr>
        <w:t xml:space="preserve"> the</w:t>
      </w:r>
      <w:r w:rsidRPr="00755420">
        <w:rPr>
          <w:lang w:eastAsia="en-AU" w:bidi="ar-SA"/>
        </w:rPr>
        <w:t xml:space="preserve"> Code)</w:t>
      </w:r>
      <w:r w:rsidR="00F70177" w:rsidRPr="00755420">
        <w:rPr>
          <w:lang w:eastAsia="en-AU" w:bidi="ar-SA"/>
        </w:rPr>
        <w:t xml:space="preserve">. </w:t>
      </w:r>
      <w:r w:rsidR="00391D41">
        <w:rPr>
          <w:lang w:eastAsia="en-AU" w:bidi="ar-SA"/>
        </w:rPr>
        <w:t>As such, the</w:t>
      </w:r>
      <w:r w:rsidR="002F77E7" w:rsidRPr="00755420">
        <w:rPr>
          <w:lang w:eastAsia="en-AU" w:bidi="ar-SA"/>
        </w:rPr>
        <w:t xml:space="preserve"> tolerance of infants to this </w:t>
      </w:r>
      <w:r w:rsidR="005C6E2F" w:rsidRPr="00755420">
        <w:rPr>
          <w:lang w:eastAsia="en-AU" w:bidi="ar-SA"/>
        </w:rPr>
        <w:t xml:space="preserve">total </w:t>
      </w:r>
      <w:r w:rsidR="002F77E7" w:rsidRPr="00755420">
        <w:rPr>
          <w:lang w:eastAsia="en-AU" w:bidi="ar-SA"/>
        </w:rPr>
        <w:t xml:space="preserve">combination of added oligosaccharides could not be </w:t>
      </w:r>
      <w:r w:rsidR="00814DE8" w:rsidRPr="00755420">
        <w:rPr>
          <w:lang w:eastAsia="en-AU" w:bidi="ar-SA"/>
        </w:rPr>
        <w:t>determined</w:t>
      </w:r>
      <w:r w:rsidR="00F70177" w:rsidRPr="00755420">
        <w:rPr>
          <w:lang w:eastAsia="en-AU" w:bidi="ar-SA"/>
        </w:rPr>
        <w:t>, noting</w:t>
      </w:r>
      <w:r w:rsidR="001060BC" w:rsidRPr="00755420">
        <w:rPr>
          <w:lang w:eastAsia="en-AU" w:bidi="ar-SA"/>
        </w:rPr>
        <w:t xml:space="preserve"> </w:t>
      </w:r>
      <w:r w:rsidRPr="00755420">
        <w:rPr>
          <w:lang w:eastAsia="en-AU" w:bidi="ar-SA"/>
        </w:rPr>
        <w:t xml:space="preserve">also </w:t>
      </w:r>
      <w:r w:rsidR="00F70177" w:rsidRPr="00755420">
        <w:rPr>
          <w:lang w:eastAsia="en-AU" w:bidi="ar-SA"/>
        </w:rPr>
        <w:t xml:space="preserve">that </w:t>
      </w:r>
      <w:r w:rsidR="00391D41">
        <w:rPr>
          <w:lang w:eastAsia="en-AU" w:bidi="ar-SA"/>
        </w:rPr>
        <w:t xml:space="preserve">this </w:t>
      </w:r>
      <w:r w:rsidR="00F70177" w:rsidRPr="00755420">
        <w:rPr>
          <w:lang w:eastAsia="en-AU" w:bidi="ar-SA"/>
        </w:rPr>
        <w:t xml:space="preserve">combination does not occur naturally in human milk. </w:t>
      </w:r>
    </w:p>
    <w:p w14:paraId="7F6881A0" w14:textId="233CDBFD" w:rsidR="005C6E2F" w:rsidRDefault="005C6E2F" w:rsidP="00F1140A">
      <w:pPr>
        <w:widowControl/>
        <w:rPr>
          <w:lang w:eastAsia="en-AU" w:bidi="ar-SA"/>
        </w:rPr>
      </w:pPr>
      <w:r>
        <w:rPr>
          <w:lang w:eastAsia="en-AU" w:bidi="ar-SA"/>
        </w:rPr>
        <w:t xml:space="preserve">Based on the available evidence, and </w:t>
      </w:r>
      <w:r w:rsidR="009E06E5">
        <w:rPr>
          <w:lang w:eastAsia="en-AU" w:bidi="ar-SA"/>
        </w:rPr>
        <w:t>given</w:t>
      </w:r>
      <w:r>
        <w:rPr>
          <w:lang w:eastAsia="en-AU" w:bidi="ar-SA"/>
        </w:rPr>
        <w:t xml:space="preserve"> the combined use of </w:t>
      </w:r>
      <w:r w:rsidR="00C40D00">
        <w:rPr>
          <w:lang w:eastAsia="en-AU" w:bidi="ar-SA"/>
        </w:rPr>
        <w:t xml:space="preserve">the </w:t>
      </w:r>
      <w:r>
        <w:rPr>
          <w:lang w:eastAsia="en-AU" w:bidi="ar-SA"/>
        </w:rPr>
        <w:t xml:space="preserve">proposed and existing permissions is not requested, FSANZ </w:t>
      </w:r>
      <w:r w:rsidR="00544D50">
        <w:rPr>
          <w:lang w:eastAsia="en-AU" w:bidi="ar-SA"/>
        </w:rPr>
        <w:t xml:space="preserve">proposes </w:t>
      </w:r>
      <w:r w:rsidR="00C33606">
        <w:rPr>
          <w:lang w:eastAsia="en-AU" w:bidi="ar-SA"/>
        </w:rPr>
        <w:t>prohibiting</w:t>
      </w:r>
      <w:r w:rsidR="00034226">
        <w:rPr>
          <w:lang w:eastAsia="en-AU" w:bidi="ar-SA"/>
        </w:rPr>
        <w:t xml:space="preserve"> the use of 2</w:t>
      </w:r>
      <w:r w:rsidR="000A17BB">
        <w:rPr>
          <w:lang w:eastAsia="en-AU" w:bidi="ar-SA"/>
        </w:rPr>
        <w:t>′</w:t>
      </w:r>
      <w:r w:rsidR="00034226">
        <w:rPr>
          <w:lang w:eastAsia="en-AU" w:bidi="ar-SA"/>
        </w:rPr>
        <w:t>-FL and LNnT in combination with existing GOS and ITF permissions</w:t>
      </w:r>
      <w:r>
        <w:rPr>
          <w:lang w:eastAsia="en-AU" w:bidi="ar-SA"/>
        </w:rPr>
        <w:t>.</w:t>
      </w:r>
    </w:p>
    <w:p w14:paraId="7CFA8B68" w14:textId="77777777" w:rsidR="00934A4B" w:rsidRDefault="00934A4B" w:rsidP="00F1140A">
      <w:pPr>
        <w:widowControl/>
        <w:rPr>
          <w:lang w:eastAsia="en-AU" w:bidi="ar-SA"/>
        </w:rPr>
      </w:pPr>
    </w:p>
    <w:p w14:paraId="3F38FF1A" w14:textId="0539062B" w:rsidR="005C6E2F" w:rsidRDefault="00493FAA" w:rsidP="00F1140A">
      <w:pPr>
        <w:widowControl/>
        <w:rPr>
          <w:lang w:eastAsia="en-AU" w:bidi="ar-SA"/>
        </w:rPr>
      </w:pPr>
      <w:r>
        <w:rPr>
          <w:noProof/>
          <w:lang w:eastAsia="en-GB" w:bidi="ar-SA"/>
        </w:rPr>
        <mc:AlternateContent>
          <mc:Choice Requires="wps">
            <w:drawing>
              <wp:inline distT="0" distB="0" distL="0" distR="0" wp14:anchorId="5DDACF8A" wp14:editId="49AE7A48">
                <wp:extent cx="5686425" cy="658906"/>
                <wp:effectExtent l="0" t="0" r="28575" b="2730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58906"/>
                        </a:xfrm>
                        <a:prstGeom prst="rect">
                          <a:avLst/>
                        </a:prstGeom>
                        <a:solidFill>
                          <a:srgbClr val="FFFFFF"/>
                        </a:solidFill>
                        <a:ln w="9525">
                          <a:solidFill>
                            <a:schemeClr val="tx2">
                              <a:lumMod val="60000"/>
                              <a:lumOff val="40000"/>
                            </a:schemeClr>
                          </a:solidFill>
                          <a:miter lim="800000"/>
                          <a:headEnd/>
                          <a:tailEnd/>
                        </a:ln>
                      </wps:spPr>
                      <wps:txbx>
                        <w:txbxContent>
                          <w:p w14:paraId="306E7293" w14:textId="7708CBC0" w:rsidR="0025476F" w:rsidRDefault="0025476F" w:rsidP="00BD31F9">
                            <w:pPr>
                              <w:widowControl/>
                            </w:pPr>
                            <w:r>
                              <w:rPr>
                                <w:lang w:eastAsia="en-AU" w:bidi="ar-SA"/>
                              </w:rPr>
                              <w:t>FSANZ’s approach is to prohibit the addition of 2′-FL alone, or with LNnT, in combination with existing permissions for GOS and ITF for infant formula products and FSFYC (i.e. permissions for 2′-FL and LNnT</w:t>
                            </w:r>
                            <w:r w:rsidRPr="00C836D1">
                              <w:rPr>
                                <w:lang w:eastAsia="en-AU" w:bidi="ar-SA"/>
                              </w:rPr>
                              <w:t xml:space="preserve"> would be used as alternatives to GOS and</w:t>
                            </w:r>
                            <w:r>
                              <w:rPr>
                                <w:lang w:eastAsia="en-AU" w:bidi="ar-SA"/>
                              </w:rPr>
                              <w:t xml:space="preserve"> </w:t>
                            </w:r>
                            <w:r w:rsidRPr="00C836D1">
                              <w:rPr>
                                <w:lang w:eastAsia="en-AU" w:bidi="ar-SA"/>
                              </w:rPr>
                              <w:t>ITF</w:t>
                            </w:r>
                            <w:r>
                              <w:rPr>
                                <w:lang w:eastAsia="en-AU" w:bidi="ar-SA"/>
                              </w:rPr>
                              <w:t>)</w:t>
                            </w:r>
                            <w:r w:rsidRPr="00C836D1">
                              <w:rPr>
                                <w:lang w:eastAsia="en-AU" w:bidi="ar-SA"/>
                              </w:rPr>
                              <w:t>.</w:t>
                            </w:r>
                            <w:r w:rsidDel="00222AB7">
                              <w:t xml:space="preserve"> </w:t>
                            </w:r>
                          </w:p>
                        </w:txbxContent>
                      </wps:txbx>
                      <wps:bodyPr rot="0" vert="horz" wrap="square" lIns="91440" tIns="45720" rIns="91440" bIns="45720" anchor="t" anchorCtr="0">
                        <a:noAutofit/>
                      </wps:bodyPr>
                    </wps:wsp>
                  </a:graphicData>
                </a:graphic>
              </wp:inline>
            </w:drawing>
          </mc:Choice>
          <mc:Fallback>
            <w:pict>
              <v:shape w14:anchorId="5DDACF8A" id="Text Box 5" o:spid="_x0000_s1031" type="#_x0000_t202" style="width:447.75pt;height: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" strokecolor="#548dd4 [1951]">
                <v:textbox>
                  <w:txbxContent>
                    <w:p w14:paraId="306E7293" w14:textId="7708CBC0" w:rsidR="0025476F" w:rsidRDefault="0025476F" w:rsidP="00BD31F9">
                      <w:pPr>
                        <w:widowControl/>
                      </w:pPr>
                      <w:r>
                        <w:rPr>
                          <w:lang w:eastAsia="en-AU" w:bidi="ar-SA"/>
                        </w:rPr>
                        <w:t>FSANZ’s approach is to prohibit the addition of 2′-FL alone, or with LNnT, in combination with existing permissions for GOS and ITF for infant formula products and FSFYC (i.e. permissions for 2′-FL and LNnT</w:t>
                      </w:r>
                      <w:r w:rsidRPr="00C836D1">
                        <w:rPr>
                          <w:lang w:eastAsia="en-AU" w:bidi="ar-SA"/>
                        </w:rPr>
                        <w:t xml:space="preserve"> would be used as alternatives to GOS and</w:t>
                      </w:r>
                      <w:r>
                        <w:rPr>
                          <w:lang w:eastAsia="en-AU" w:bidi="ar-SA"/>
                        </w:rPr>
                        <w:t xml:space="preserve"> </w:t>
                      </w:r>
                      <w:r w:rsidRPr="00C836D1">
                        <w:rPr>
                          <w:lang w:eastAsia="en-AU" w:bidi="ar-SA"/>
                        </w:rPr>
                        <w:t>ITF</w:t>
                      </w:r>
                      <w:r>
                        <w:rPr>
                          <w:lang w:eastAsia="en-AU" w:bidi="ar-SA"/>
                        </w:rPr>
                        <w:t>)</w:t>
                      </w:r>
                      <w:r w:rsidRPr="00C836D1">
                        <w:rPr>
                          <w:lang w:eastAsia="en-AU" w:bidi="ar-SA"/>
                        </w:rPr>
                        <w:t>.</w:t>
                      </w:r>
                      <w:r w:rsidDel="00222AB7">
                        <w:t xml:space="preserve"> </w:t>
                      </w:r>
                    </w:p>
                  </w:txbxContent>
                </v:textbox>
                <w10:anchorlock/>
              </v:shape>
            </w:pict>
          </mc:Fallback>
        </mc:AlternateContent>
      </w:r>
    </w:p>
    <w:p w14:paraId="4281C1B0" w14:textId="011BDF25" w:rsidR="00285B14" w:rsidRDefault="003C56AC" w:rsidP="00285B14">
      <w:pPr>
        <w:pStyle w:val="Heading3"/>
      </w:pPr>
      <w:bookmarkStart w:id="108" w:name="_Toc525729993"/>
      <w:bookmarkStart w:id="109" w:name="_Toc527018239"/>
      <w:bookmarkStart w:id="110" w:name="_Toc11247909"/>
      <w:bookmarkStart w:id="111" w:name="_Toc14427202"/>
      <w:r>
        <w:t>2.</w:t>
      </w:r>
      <w:r w:rsidR="008155DB">
        <w:t>3</w:t>
      </w:r>
      <w:r>
        <w:t>.</w:t>
      </w:r>
      <w:r w:rsidR="00DA15EB">
        <w:t>5</w:t>
      </w:r>
      <w:r w:rsidR="004B3ECC">
        <w:tab/>
      </w:r>
      <w:r w:rsidR="007B7BED" w:rsidRPr="00227BD3">
        <w:t>Labelling</w:t>
      </w:r>
      <w:bookmarkEnd w:id="108"/>
      <w:bookmarkEnd w:id="109"/>
      <w:bookmarkEnd w:id="110"/>
      <w:bookmarkEnd w:id="111"/>
      <w:r w:rsidR="007B7BED" w:rsidRPr="00227BD3">
        <w:t xml:space="preserve"> </w:t>
      </w:r>
    </w:p>
    <w:p w14:paraId="5551BEFE" w14:textId="050CD030" w:rsidR="000116A3" w:rsidRDefault="003C56AC" w:rsidP="000116A3">
      <w:pPr>
        <w:pStyle w:val="Heading4"/>
      </w:pPr>
      <w:r>
        <w:t>2.</w:t>
      </w:r>
      <w:r w:rsidR="008155DB">
        <w:t>3</w:t>
      </w:r>
      <w:r>
        <w:t>.</w:t>
      </w:r>
      <w:r w:rsidR="00DA15EB">
        <w:t>5</w:t>
      </w:r>
      <w:r>
        <w:t>.1</w:t>
      </w:r>
      <w:r w:rsidR="000116A3">
        <w:t xml:space="preserve"> </w:t>
      </w:r>
      <w:r>
        <w:tab/>
      </w:r>
      <w:r w:rsidR="000116A3">
        <w:t>Statement of ingredients</w:t>
      </w:r>
    </w:p>
    <w:p w14:paraId="254244B8" w14:textId="7544E608" w:rsidR="000334BC" w:rsidRDefault="000116A3" w:rsidP="00CE0B11">
      <w:pPr>
        <w:rPr>
          <w:lang w:bidi="ar-SA"/>
        </w:rPr>
      </w:pPr>
      <w:r>
        <w:rPr>
          <w:lang w:bidi="ar-SA"/>
        </w:rPr>
        <w:t>Standard 1.2.4 – Information requirements – statement of ingredients requires</w:t>
      </w:r>
      <w:r w:rsidR="00CE0B11">
        <w:rPr>
          <w:lang w:bidi="ar-SA"/>
        </w:rPr>
        <w:t xml:space="preserve"> food for sale</w:t>
      </w:r>
      <w:r>
        <w:rPr>
          <w:lang w:bidi="ar-SA"/>
        </w:rPr>
        <w:t xml:space="preserve"> to be labelled with a statement of ingredients</w:t>
      </w:r>
      <w:r w:rsidR="00CE0B11">
        <w:rPr>
          <w:lang w:bidi="ar-SA"/>
        </w:rPr>
        <w:t xml:space="preserve"> unless exempt. The label on a package of </w:t>
      </w:r>
      <w:r w:rsidR="00CE0B11" w:rsidDel="009E5806">
        <w:rPr>
          <w:lang w:bidi="ar-SA"/>
        </w:rPr>
        <w:t>infant formula</w:t>
      </w:r>
      <w:r w:rsidR="009E5806">
        <w:rPr>
          <w:lang w:bidi="ar-SA"/>
        </w:rPr>
        <w:t xml:space="preserve"> products</w:t>
      </w:r>
      <w:r w:rsidR="000334BC">
        <w:rPr>
          <w:lang w:bidi="ar-SA"/>
        </w:rPr>
        <w:t xml:space="preserve"> </w:t>
      </w:r>
      <w:r w:rsidR="00CE0B11">
        <w:rPr>
          <w:lang w:bidi="ar-SA"/>
        </w:rPr>
        <w:t xml:space="preserve">and FSFYC must contain a statement of ingredients. Should manufacturers choose to add </w:t>
      </w:r>
      <w:r w:rsidR="00CE0B11" w:rsidRPr="00CE0B11">
        <w:rPr>
          <w:lang w:bidi="ar-SA"/>
        </w:rPr>
        <w:t>2</w:t>
      </w:r>
      <w:r w:rsidR="000A17BB">
        <w:rPr>
          <w:lang w:bidi="ar-SA"/>
        </w:rPr>
        <w:t>′</w:t>
      </w:r>
      <w:r w:rsidR="00CE0B11" w:rsidRPr="00CE0B11">
        <w:rPr>
          <w:lang w:bidi="ar-SA"/>
        </w:rPr>
        <w:t xml:space="preserve">-FL </w:t>
      </w:r>
      <w:r w:rsidR="009E5806">
        <w:rPr>
          <w:lang w:bidi="ar-SA"/>
        </w:rPr>
        <w:t>alone</w:t>
      </w:r>
      <w:r w:rsidR="006B4E2C">
        <w:rPr>
          <w:lang w:bidi="ar-SA"/>
        </w:rPr>
        <w:t xml:space="preserve"> </w:t>
      </w:r>
      <w:r w:rsidR="009E5806">
        <w:rPr>
          <w:lang w:bidi="ar-SA"/>
        </w:rPr>
        <w:t>or</w:t>
      </w:r>
      <w:r w:rsidR="004B5685">
        <w:rPr>
          <w:lang w:bidi="ar-SA"/>
        </w:rPr>
        <w:t xml:space="preserve"> </w:t>
      </w:r>
      <w:r w:rsidR="00415991">
        <w:rPr>
          <w:lang w:bidi="ar-SA"/>
        </w:rPr>
        <w:t>combined with LNnT</w:t>
      </w:r>
      <w:r w:rsidR="008F68E0">
        <w:rPr>
          <w:lang w:bidi="ar-SA"/>
        </w:rPr>
        <w:t xml:space="preserve"> </w:t>
      </w:r>
      <w:r w:rsidR="00CE0B11">
        <w:rPr>
          <w:lang w:bidi="ar-SA"/>
        </w:rPr>
        <w:t xml:space="preserve">to these foods, then these substances will be required to </w:t>
      </w:r>
      <w:r w:rsidR="000334BC">
        <w:rPr>
          <w:lang w:bidi="ar-SA"/>
        </w:rPr>
        <w:t>be declared in the statement of ingredients.</w:t>
      </w:r>
    </w:p>
    <w:p w14:paraId="2377239F" w14:textId="77777777" w:rsidR="00DB0A34" w:rsidRDefault="00DB0A34" w:rsidP="001E68A9">
      <w:pPr>
        <w:rPr>
          <w:lang w:bidi="ar-SA"/>
        </w:rPr>
      </w:pPr>
    </w:p>
    <w:p w14:paraId="7A3FCDC5" w14:textId="10535DC4" w:rsidR="00A84130" w:rsidRDefault="0076595E" w:rsidP="0076595E">
      <w:pPr>
        <w:rPr>
          <w:lang w:bidi="ar-SA"/>
        </w:rPr>
      </w:pPr>
      <w:r>
        <w:rPr>
          <w:lang w:bidi="ar-SA"/>
        </w:rPr>
        <w:t>Generic ingredient labelling provisions in section 1.2.4—4 require ingredients to be identified using a name by which they are commonly known</w:t>
      </w:r>
      <w:r w:rsidR="004B5685">
        <w:rPr>
          <w:lang w:bidi="ar-SA"/>
        </w:rPr>
        <w:t>,</w:t>
      </w:r>
      <w:r>
        <w:rPr>
          <w:lang w:bidi="ar-SA"/>
        </w:rPr>
        <w:t xml:space="preserve"> or a name that describes its true nature</w:t>
      </w:r>
      <w:r w:rsidR="004B5685">
        <w:rPr>
          <w:lang w:bidi="ar-SA"/>
        </w:rPr>
        <w:t>,</w:t>
      </w:r>
      <w:r>
        <w:rPr>
          <w:lang w:bidi="ar-SA"/>
        </w:rPr>
        <w:t xml:space="preserve"> or a generic ingredient name if one is specified in Schedule 10 – Generic names of ingredients and conditions for their use.</w:t>
      </w:r>
    </w:p>
    <w:p w14:paraId="0EC25A7B" w14:textId="03DAFD07" w:rsidR="0076595E" w:rsidRDefault="0076595E" w:rsidP="0076595E">
      <w:pPr>
        <w:rPr>
          <w:lang w:bidi="ar-SA"/>
        </w:rPr>
      </w:pPr>
    </w:p>
    <w:p w14:paraId="16D93AF9" w14:textId="5AA1D18D" w:rsidR="00E81077" w:rsidRPr="003E7621" w:rsidRDefault="001E6ED5" w:rsidP="00A26849">
      <w:pPr>
        <w:rPr>
          <w:lang w:bidi="ar-SA"/>
        </w:rPr>
      </w:pPr>
      <w:r w:rsidRPr="003E7621">
        <w:rPr>
          <w:lang w:bidi="ar-SA"/>
        </w:rPr>
        <w:t>At 1</w:t>
      </w:r>
      <w:r w:rsidRPr="003E7621">
        <w:rPr>
          <w:vertAlign w:val="superscript"/>
          <w:lang w:bidi="ar-SA"/>
        </w:rPr>
        <w:t>st</w:t>
      </w:r>
      <w:r w:rsidRPr="003E7621">
        <w:rPr>
          <w:lang w:bidi="ar-SA"/>
        </w:rPr>
        <w:t xml:space="preserve"> CFS</w:t>
      </w:r>
      <w:r w:rsidR="00E81077" w:rsidRPr="003E7621">
        <w:rPr>
          <w:lang w:bidi="ar-SA"/>
        </w:rPr>
        <w:t xml:space="preserve">, FSANZ proposed </w:t>
      </w:r>
      <w:r w:rsidR="001770E2" w:rsidRPr="003E7621">
        <w:rPr>
          <w:lang w:bidi="ar-SA"/>
        </w:rPr>
        <w:t>prescribing</w:t>
      </w:r>
      <w:r w:rsidR="00E81077" w:rsidRPr="003E7621">
        <w:rPr>
          <w:lang w:bidi="ar-SA"/>
        </w:rPr>
        <w:t xml:space="preserve"> ingredient names for infant formula</w:t>
      </w:r>
      <w:r w:rsidRPr="003E7621">
        <w:rPr>
          <w:lang w:bidi="ar-SA"/>
        </w:rPr>
        <w:t xml:space="preserve"> products</w:t>
      </w:r>
      <w:r w:rsidR="00E81077" w:rsidRPr="003E7621">
        <w:rPr>
          <w:lang w:bidi="ar-SA"/>
        </w:rPr>
        <w:t xml:space="preserve"> and FSFYC</w:t>
      </w:r>
      <w:r w:rsidR="00E81077" w:rsidRPr="003E7621" w:rsidDel="006F4884">
        <w:rPr>
          <w:lang w:bidi="ar-SA"/>
        </w:rPr>
        <w:t xml:space="preserve"> </w:t>
      </w:r>
      <w:r w:rsidR="00E81077" w:rsidRPr="003E7621">
        <w:rPr>
          <w:lang w:bidi="ar-SA"/>
        </w:rPr>
        <w:t xml:space="preserve">to achieve a consistent and uniform disclosure of these </w:t>
      </w:r>
      <w:r w:rsidR="00F45AD0" w:rsidRPr="003E7621">
        <w:rPr>
          <w:lang w:bidi="ar-SA"/>
        </w:rPr>
        <w:t>ingredients</w:t>
      </w:r>
      <w:r w:rsidR="00E81077" w:rsidRPr="003E7621">
        <w:rPr>
          <w:lang w:bidi="ar-SA"/>
        </w:rPr>
        <w:t xml:space="preserve"> for both product categories</w:t>
      </w:r>
      <w:r w:rsidR="006F4884" w:rsidRPr="003E7621">
        <w:rPr>
          <w:lang w:bidi="ar-SA"/>
        </w:rPr>
        <w:t>.</w:t>
      </w:r>
      <w:r w:rsidR="00E81077" w:rsidRPr="003E7621" w:rsidDel="006F4884">
        <w:rPr>
          <w:lang w:bidi="ar-SA"/>
        </w:rPr>
        <w:t xml:space="preserve"> </w:t>
      </w:r>
      <w:r w:rsidR="006F4884" w:rsidRPr="003E7621">
        <w:rPr>
          <w:lang w:bidi="ar-SA"/>
        </w:rPr>
        <w:t xml:space="preserve">We </w:t>
      </w:r>
      <w:r w:rsidR="00F02B4A" w:rsidRPr="003E7621">
        <w:rPr>
          <w:lang w:bidi="ar-SA"/>
        </w:rPr>
        <w:t>noted</w:t>
      </w:r>
      <w:r w:rsidR="006F4884" w:rsidRPr="003E7621">
        <w:rPr>
          <w:lang w:bidi="ar-SA"/>
        </w:rPr>
        <w:t xml:space="preserve"> </w:t>
      </w:r>
      <w:r w:rsidR="00E81077" w:rsidRPr="003E7621">
        <w:rPr>
          <w:lang w:bidi="ar-SA"/>
        </w:rPr>
        <w:t xml:space="preserve">that </w:t>
      </w:r>
      <w:r w:rsidR="009035A1" w:rsidRPr="003E7621">
        <w:rPr>
          <w:lang w:bidi="ar-SA"/>
        </w:rPr>
        <w:t xml:space="preserve">infant formula </w:t>
      </w:r>
      <w:r w:rsidR="006F4884" w:rsidRPr="003E7621">
        <w:rPr>
          <w:lang w:bidi="ar-SA"/>
        </w:rPr>
        <w:t xml:space="preserve">products </w:t>
      </w:r>
      <w:r w:rsidR="009035A1" w:rsidRPr="003E7621">
        <w:rPr>
          <w:lang w:bidi="ar-SA"/>
        </w:rPr>
        <w:t xml:space="preserve">would </w:t>
      </w:r>
      <w:r w:rsidR="00B014B5" w:rsidRPr="003E7621">
        <w:rPr>
          <w:lang w:bidi="ar-SA"/>
        </w:rPr>
        <w:t xml:space="preserve">already </w:t>
      </w:r>
      <w:r w:rsidR="009035A1" w:rsidRPr="003E7621">
        <w:rPr>
          <w:lang w:bidi="ar-SA"/>
        </w:rPr>
        <w:t>be prohibited from using terms such as ‘human milk identical oligosaccharide’</w:t>
      </w:r>
      <w:r w:rsidR="006F4884" w:rsidRPr="003E7621">
        <w:rPr>
          <w:lang w:bidi="ar-SA"/>
        </w:rPr>
        <w:t xml:space="preserve"> </w:t>
      </w:r>
      <w:r w:rsidR="00B014B5" w:rsidRPr="003E7621">
        <w:rPr>
          <w:lang w:bidi="ar-SA"/>
        </w:rPr>
        <w:t>for ingredients</w:t>
      </w:r>
      <w:r w:rsidR="006F4884" w:rsidRPr="003E7621">
        <w:rPr>
          <w:lang w:bidi="ar-SA"/>
        </w:rPr>
        <w:t xml:space="preserve"> under</w:t>
      </w:r>
      <w:r w:rsidR="009035A1" w:rsidRPr="003E7621">
        <w:rPr>
          <w:lang w:bidi="ar-SA"/>
        </w:rPr>
        <w:t xml:space="preserve"> section </w:t>
      </w:r>
      <w:r w:rsidR="00E81077" w:rsidRPr="003E7621">
        <w:rPr>
          <w:lang w:bidi="ar-SA"/>
        </w:rPr>
        <w:t xml:space="preserve">2.9.1—24 </w:t>
      </w:r>
      <w:r w:rsidR="00435024" w:rsidRPr="003E7621">
        <w:rPr>
          <w:lang w:bidi="ar-SA"/>
        </w:rPr>
        <w:t>(</w:t>
      </w:r>
      <w:r w:rsidR="00E81077" w:rsidRPr="003E7621">
        <w:rPr>
          <w:lang w:bidi="ar-SA"/>
        </w:rPr>
        <w:t xml:space="preserve">Prohibited </w:t>
      </w:r>
      <w:r w:rsidR="00F45AD0" w:rsidRPr="003E7621">
        <w:rPr>
          <w:lang w:bidi="ar-SA"/>
        </w:rPr>
        <w:t>representations</w:t>
      </w:r>
      <w:r w:rsidR="00435024" w:rsidRPr="003E7621">
        <w:rPr>
          <w:lang w:bidi="ar-SA"/>
        </w:rPr>
        <w:t>)</w:t>
      </w:r>
      <w:r w:rsidR="00B014B5" w:rsidRPr="003E7621">
        <w:rPr>
          <w:lang w:bidi="ar-SA"/>
        </w:rPr>
        <w:t xml:space="preserve">. </w:t>
      </w:r>
    </w:p>
    <w:p w14:paraId="1AACF89D" w14:textId="77777777" w:rsidR="009035A1" w:rsidRPr="003E7621" w:rsidRDefault="009035A1" w:rsidP="00A26849">
      <w:pPr>
        <w:rPr>
          <w:lang w:bidi="ar-SA"/>
        </w:rPr>
      </w:pPr>
    </w:p>
    <w:p w14:paraId="27B38740" w14:textId="1D596F3F" w:rsidR="00D201F9" w:rsidRPr="003E7621" w:rsidRDefault="006F4884" w:rsidP="00D201F9">
      <w:pPr>
        <w:rPr>
          <w:rFonts w:cs="Arial"/>
          <w:szCs w:val="22"/>
        </w:rPr>
      </w:pPr>
      <w:r w:rsidRPr="003E7621">
        <w:rPr>
          <w:rFonts w:cs="Arial"/>
          <w:szCs w:val="22"/>
        </w:rPr>
        <w:t>Following consideration of submissions to the 1</w:t>
      </w:r>
      <w:r w:rsidRPr="003E7621">
        <w:rPr>
          <w:rFonts w:cs="Arial"/>
          <w:szCs w:val="22"/>
          <w:vertAlign w:val="superscript"/>
        </w:rPr>
        <w:t>st</w:t>
      </w:r>
      <w:r w:rsidRPr="003E7621">
        <w:rPr>
          <w:rFonts w:cs="Arial"/>
          <w:szCs w:val="22"/>
        </w:rPr>
        <w:t xml:space="preserve"> CFS, </w:t>
      </w:r>
      <w:r w:rsidR="00D201F9" w:rsidRPr="003E7621">
        <w:rPr>
          <w:rFonts w:cs="Arial"/>
          <w:szCs w:val="22"/>
        </w:rPr>
        <w:t xml:space="preserve">FSANZ has reconsidered the approach to prescribe ingredient names and is now of the view that generic ingredient naming requirements should apply, consistent with the general approach in the Code. </w:t>
      </w:r>
      <w:r w:rsidR="00564D9C" w:rsidRPr="003E7621">
        <w:rPr>
          <w:rFonts w:cs="Arial"/>
          <w:szCs w:val="22"/>
        </w:rPr>
        <w:t xml:space="preserve">There is no prescription in the Code for </w:t>
      </w:r>
      <w:r w:rsidR="00FC1E0F" w:rsidRPr="003E7621">
        <w:rPr>
          <w:rFonts w:cs="Arial"/>
          <w:szCs w:val="22"/>
        </w:rPr>
        <w:t xml:space="preserve">the naming </w:t>
      </w:r>
      <w:r w:rsidR="00564D9C" w:rsidRPr="003E7621">
        <w:rPr>
          <w:rFonts w:cs="Arial"/>
          <w:szCs w:val="22"/>
        </w:rPr>
        <w:t xml:space="preserve">other ingredients (including nutritive substances) currently permitted to be added to infant formula products and FSFYC. </w:t>
      </w:r>
      <w:r w:rsidR="00D201F9" w:rsidRPr="003E7621">
        <w:rPr>
          <w:rFonts w:cs="Arial"/>
          <w:szCs w:val="22"/>
        </w:rPr>
        <w:t>The revised approach will provide flexibility</w:t>
      </w:r>
      <w:r w:rsidR="00564D9C" w:rsidRPr="003E7621">
        <w:rPr>
          <w:rFonts w:cs="Arial"/>
          <w:szCs w:val="22"/>
        </w:rPr>
        <w:t xml:space="preserve"> sought by industry in how they </w:t>
      </w:r>
      <w:r w:rsidR="00D201F9" w:rsidRPr="003E7621">
        <w:rPr>
          <w:rFonts w:cs="Arial"/>
          <w:szCs w:val="22"/>
        </w:rPr>
        <w:t>declare these ingredients (for example, using ‘2-fucosyllactose’ and ‘lacto-N-neotetraose’</w:t>
      </w:r>
      <w:r w:rsidR="00D12847" w:rsidRPr="003E7621">
        <w:rPr>
          <w:rFonts w:cs="Arial"/>
          <w:szCs w:val="22"/>
        </w:rPr>
        <w:t>,</w:t>
      </w:r>
      <w:r w:rsidR="00D201F9" w:rsidRPr="003E7621">
        <w:rPr>
          <w:rFonts w:cs="Arial"/>
          <w:szCs w:val="22"/>
        </w:rPr>
        <w:t xml:space="preserve"> which aligns with the EU approach and is suggested by the applicant). </w:t>
      </w:r>
    </w:p>
    <w:p w14:paraId="3D787EC8" w14:textId="1ECB863F" w:rsidR="00531010" w:rsidRPr="003E7621" w:rsidRDefault="00531010" w:rsidP="00D201F9">
      <w:pPr>
        <w:rPr>
          <w:rFonts w:cs="Arial"/>
          <w:szCs w:val="22"/>
        </w:rPr>
      </w:pPr>
    </w:p>
    <w:p w14:paraId="71BB96C8" w14:textId="6D61AFE5" w:rsidR="006B1B3E" w:rsidRPr="003E7621" w:rsidRDefault="00531010">
      <w:pPr>
        <w:widowControl/>
      </w:pPr>
      <w:r w:rsidRPr="003E7621">
        <w:t xml:space="preserve">FSANZ has addressed concerns about the use of terms such as ‘human milk identical oligosaccharide’ or ‘HiMO’ by proposing a specific prohibition as discussed below in section </w:t>
      </w:r>
      <w:r w:rsidR="00BE497D" w:rsidRPr="003E7621">
        <w:t>2.3.5.2</w:t>
      </w:r>
      <w:r w:rsidRPr="003E7621">
        <w:t>.</w:t>
      </w:r>
    </w:p>
    <w:p w14:paraId="39B3ADC3" w14:textId="6B3AE982" w:rsidR="00531010" w:rsidRPr="003E7621" w:rsidRDefault="00FF7928" w:rsidP="00BE497D">
      <w:pPr>
        <w:pStyle w:val="Heading4"/>
      </w:pPr>
      <w:r w:rsidRPr="003E7621">
        <w:t>2.3.5.2</w:t>
      </w:r>
      <w:r w:rsidR="00364B68" w:rsidRPr="003E7621">
        <w:tab/>
      </w:r>
      <w:r w:rsidRPr="003E7621">
        <w:t>Prohibited representations</w:t>
      </w:r>
    </w:p>
    <w:p w14:paraId="524F3196" w14:textId="4C12DA2F" w:rsidR="00D201F9" w:rsidRPr="003E7621" w:rsidRDefault="00531010" w:rsidP="00D201F9">
      <w:pPr>
        <w:rPr>
          <w:rFonts w:cs="Arial"/>
          <w:szCs w:val="22"/>
        </w:rPr>
      </w:pPr>
      <w:r w:rsidRPr="003E7621">
        <w:rPr>
          <w:rFonts w:cs="Arial"/>
          <w:szCs w:val="22"/>
        </w:rPr>
        <w:t>After considering submissions to the 1</w:t>
      </w:r>
      <w:r w:rsidRPr="003E7621">
        <w:rPr>
          <w:rFonts w:cs="Arial"/>
          <w:szCs w:val="22"/>
          <w:vertAlign w:val="superscript"/>
        </w:rPr>
        <w:t>st</w:t>
      </w:r>
      <w:r w:rsidRPr="003E7621">
        <w:rPr>
          <w:rFonts w:cs="Arial"/>
          <w:szCs w:val="22"/>
        </w:rPr>
        <w:t xml:space="preserve"> CFS</w:t>
      </w:r>
      <w:r w:rsidR="00564D9C" w:rsidRPr="003E7621">
        <w:rPr>
          <w:rFonts w:cs="Arial"/>
          <w:szCs w:val="22"/>
        </w:rPr>
        <w:t xml:space="preserve">, </w:t>
      </w:r>
      <w:r w:rsidR="00D201F9" w:rsidRPr="003E7621">
        <w:rPr>
          <w:rFonts w:cs="Arial"/>
          <w:szCs w:val="22"/>
        </w:rPr>
        <w:t>FSANZ is</w:t>
      </w:r>
      <w:r w:rsidR="00564D9C" w:rsidRPr="003E7621">
        <w:rPr>
          <w:rFonts w:cs="Arial"/>
          <w:szCs w:val="22"/>
        </w:rPr>
        <w:t xml:space="preserve"> </w:t>
      </w:r>
      <w:r w:rsidR="00D201F9" w:rsidRPr="003E7621">
        <w:rPr>
          <w:rFonts w:cs="Arial"/>
          <w:szCs w:val="22"/>
        </w:rPr>
        <w:t>now proposing to specifically prohibit reference to ‘human milk identical</w:t>
      </w:r>
      <w:r w:rsidR="00B96DAC" w:rsidRPr="003E7621">
        <w:rPr>
          <w:rFonts w:cs="Arial"/>
          <w:szCs w:val="22"/>
        </w:rPr>
        <w:t xml:space="preserve"> oligosaccharide</w:t>
      </w:r>
      <w:r w:rsidR="00D201F9" w:rsidRPr="003E7621">
        <w:rPr>
          <w:rFonts w:cs="Arial"/>
          <w:szCs w:val="22"/>
        </w:rPr>
        <w:t>’, ‘human milk</w:t>
      </w:r>
      <w:r w:rsidR="00B96DAC" w:rsidRPr="003E7621">
        <w:rPr>
          <w:rFonts w:cs="Arial"/>
          <w:szCs w:val="22"/>
        </w:rPr>
        <w:t xml:space="preserve"> oligosaccharide</w:t>
      </w:r>
      <w:r w:rsidR="00D201F9" w:rsidRPr="003E7621">
        <w:rPr>
          <w:rFonts w:cs="Arial"/>
          <w:szCs w:val="22"/>
        </w:rPr>
        <w:t>’, ‘HiMO’ or ‘HMO’ (or words or abbreviations of similar effect) on infant formula products</w:t>
      </w:r>
      <w:r w:rsidRPr="003E7621">
        <w:rPr>
          <w:rFonts w:cs="Arial"/>
          <w:szCs w:val="22"/>
        </w:rPr>
        <w:t xml:space="preserve"> and FSFYC</w:t>
      </w:r>
      <w:r w:rsidR="00564D9C" w:rsidRPr="003E7621" w:rsidDel="00531010">
        <w:rPr>
          <w:rFonts w:cs="Arial"/>
          <w:szCs w:val="22"/>
        </w:rPr>
        <w:t xml:space="preserve">. </w:t>
      </w:r>
    </w:p>
    <w:p w14:paraId="432E28C0" w14:textId="77777777" w:rsidR="00D201F9" w:rsidRPr="003E7621" w:rsidRDefault="00D201F9" w:rsidP="00D201F9">
      <w:pPr>
        <w:rPr>
          <w:rFonts w:cs="Arial"/>
          <w:szCs w:val="22"/>
        </w:rPr>
      </w:pPr>
    </w:p>
    <w:p w14:paraId="3F492121" w14:textId="18EBC12E" w:rsidR="00BE497D" w:rsidRPr="003E7621" w:rsidRDefault="00BE497D" w:rsidP="00D201F9">
      <w:pPr>
        <w:rPr>
          <w:rFonts w:cs="Arial"/>
          <w:i/>
          <w:szCs w:val="22"/>
        </w:rPr>
      </w:pPr>
      <w:r w:rsidRPr="003E7621">
        <w:rPr>
          <w:rFonts w:cs="Arial"/>
          <w:i/>
          <w:szCs w:val="22"/>
        </w:rPr>
        <w:t>Infant formula products</w:t>
      </w:r>
    </w:p>
    <w:p w14:paraId="085F99A7" w14:textId="77777777" w:rsidR="00BE497D" w:rsidRPr="003E7621" w:rsidRDefault="00BE497D" w:rsidP="00D201F9">
      <w:pPr>
        <w:rPr>
          <w:rFonts w:cs="Arial"/>
          <w:szCs w:val="22"/>
        </w:rPr>
      </w:pPr>
    </w:p>
    <w:p w14:paraId="4DBCF024" w14:textId="627C9C64" w:rsidR="00D201F9" w:rsidRPr="003E7621" w:rsidRDefault="00D201F9" w:rsidP="000622C9">
      <w:pPr>
        <w:widowControl/>
        <w:rPr>
          <w:rFonts w:cs="Arial"/>
          <w:szCs w:val="22"/>
        </w:rPr>
      </w:pPr>
      <w:r w:rsidRPr="003E7621">
        <w:rPr>
          <w:rFonts w:cs="Arial"/>
          <w:szCs w:val="22"/>
        </w:rPr>
        <w:t xml:space="preserve">Although the intent of section 2.9.1—24 (Prohibited representations) is to prevent the use of </w:t>
      </w:r>
      <w:r w:rsidR="00F02B4A" w:rsidRPr="003E7621">
        <w:rPr>
          <w:rFonts w:cs="Arial"/>
          <w:szCs w:val="22"/>
        </w:rPr>
        <w:t xml:space="preserve">such </w:t>
      </w:r>
      <w:r w:rsidRPr="003E7621">
        <w:rPr>
          <w:rFonts w:cs="Arial"/>
          <w:szCs w:val="22"/>
        </w:rPr>
        <w:t xml:space="preserve">terms in the </w:t>
      </w:r>
      <w:r w:rsidR="00564D9C" w:rsidRPr="003E7621">
        <w:rPr>
          <w:rFonts w:cs="Arial"/>
          <w:szCs w:val="22"/>
        </w:rPr>
        <w:t xml:space="preserve">statement of </w:t>
      </w:r>
      <w:r w:rsidRPr="003E7621">
        <w:rPr>
          <w:rFonts w:cs="Arial"/>
          <w:szCs w:val="22"/>
        </w:rPr>
        <w:t>ingredient</w:t>
      </w:r>
      <w:r w:rsidR="00564D9C" w:rsidRPr="003E7621">
        <w:rPr>
          <w:rFonts w:cs="Arial"/>
          <w:szCs w:val="22"/>
        </w:rPr>
        <w:t>s</w:t>
      </w:r>
      <w:r w:rsidRPr="003E7621">
        <w:rPr>
          <w:rFonts w:cs="Arial"/>
          <w:szCs w:val="22"/>
        </w:rPr>
        <w:t xml:space="preserve"> or nutrition information statement (noting representations elsewhere on the label are already prohibited)</w:t>
      </w:r>
      <w:r w:rsidR="00921082" w:rsidRPr="003E7621">
        <w:rPr>
          <w:rFonts w:cs="Arial"/>
          <w:szCs w:val="22"/>
        </w:rPr>
        <w:t xml:space="preserve"> on infant formula product</w:t>
      </w:r>
      <w:r w:rsidR="00531010" w:rsidRPr="003E7621">
        <w:rPr>
          <w:rFonts w:cs="Arial"/>
          <w:szCs w:val="22"/>
        </w:rPr>
        <w:t>s</w:t>
      </w:r>
      <w:r w:rsidRPr="003E7621">
        <w:rPr>
          <w:rFonts w:cs="Arial"/>
          <w:szCs w:val="22"/>
        </w:rPr>
        <w:t xml:space="preserve">, </w:t>
      </w:r>
      <w:r w:rsidR="00564D9C" w:rsidRPr="003E7621">
        <w:rPr>
          <w:rFonts w:cs="Arial"/>
          <w:szCs w:val="22"/>
        </w:rPr>
        <w:t xml:space="preserve">FSANZ considers </w:t>
      </w:r>
      <w:r w:rsidRPr="003E7621">
        <w:rPr>
          <w:rFonts w:cs="Arial"/>
          <w:szCs w:val="22"/>
        </w:rPr>
        <w:t xml:space="preserve">a specific prohibition would communicate more clearly that such terminology </w:t>
      </w:r>
      <w:r w:rsidR="00482072" w:rsidRPr="003E7621">
        <w:rPr>
          <w:rFonts w:cs="Arial"/>
          <w:szCs w:val="22"/>
        </w:rPr>
        <w:t>is inconsistent with</w:t>
      </w:r>
      <w:r w:rsidRPr="003E7621">
        <w:rPr>
          <w:rFonts w:cs="Arial"/>
          <w:szCs w:val="22"/>
        </w:rPr>
        <w:t xml:space="preserve"> </w:t>
      </w:r>
      <w:r w:rsidR="00715E65" w:rsidRPr="003E7621">
        <w:rPr>
          <w:rFonts w:cs="Arial"/>
          <w:szCs w:val="22"/>
        </w:rPr>
        <w:t>specific p</w:t>
      </w:r>
      <w:r w:rsidRPr="003E7621">
        <w:rPr>
          <w:rFonts w:cs="Arial"/>
          <w:szCs w:val="22"/>
        </w:rPr>
        <w:t xml:space="preserve">olicy </w:t>
      </w:r>
      <w:r w:rsidR="00715E65" w:rsidRPr="003E7621">
        <w:rPr>
          <w:rFonts w:cs="Arial"/>
          <w:szCs w:val="22"/>
        </w:rPr>
        <w:t>p</w:t>
      </w:r>
      <w:r w:rsidRPr="003E7621">
        <w:rPr>
          <w:rFonts w:cs="Arial"/>
          <w:szCs w:val="22"/>
        </w:rPr>
        <w:t>rinciple I of the Ministerial Policy Guideline on the Regulation of Infant Formula Products.</w:t>
      </w:r>
    </w:p>
    <w:p w14:paraId="1DAEFF30" w14:textId="585722EC" w:rsidR="005711DA" w:rsidRPr="003E7621" w:rsidRDefault="005711DA" w:rsidP="000622C9">
      <w:pPr>
        <w:widowControl/>
        <w:rPr>
          <w:rFonts w:cs="Arial"/>
          <w:szCs w:val="22"/>
        </w:rPr>
      </w:pPr>
    </w:p>
    <w:p w14:paraId="21E3A608" w14:textId="7384941E" w:rsidR="005711DA" w:rsidRPr="003E7621" w:rsidRDefault="005711DA" w:rsidP="00D201F9">
      <w:pPr>
        <w:rPr>
          <w:rFonts w:cs="Arial"/>
          <w:szCs w:val="22"/>
        </w:rPr>
      </w:pPr>
      <w:r w:rsidRPr="003E7621">
        <w:rPr>
          <w:noProof/>
          <w:lang w:eastAsia="en-GB" w:bidi="ar-SA"/>
        </w:rPr>
        <mc:AlternateContent>
          <mc:Choice Requires="wps">
            <w:drawing>
              <wp:inline distT="0" distB="0" distL="0" distR="0" wp14:anchorId="40333E75" wp14:editId="08EFD637">
                <wp:extent cx="5686425" cy="1199072"/>
                <wp:effectExtent l="0" t="0" r="28575" b="2032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199072"/>
                        </a:xfrm>
                        <a:prstGeom prst="rect">
                          <a:avLst/>
                        </a:prstGeom>
                        <a:solidFill>
                          <a:srgbClr val="FFFFFF"/>
                        </a:solidFill>
                        <a:ln w="9525">
                          <a:solidFill>
                            <a:schemeClr val="tx2">
                              <a:lumMod val="60000"/>
                              <a:lumOff val="40000"/>
                            </a:schemeClr>
                          </a:solidFill>
                          <a:miter lim="800000"/>
                          <a:headEnd/>
                          <a:tailEnd/>
                        </a:ln>
                      </wps:spPr>
                      <wps:txbx>
                        <w:txbxContent>
                          <w:p w14:paraId="79857718" w14:textId="42B094EF" w:rsidR="0025476F" w:rsidRPr="003E7621" w:rsidRDefault="0025476F" w:rsidP="005711DA">
                            <w:pPr>
                              <w:spacing w:after="120"/>
                            </w:pPr>
                            <w:r w:rsidRPr="003E7621">
                              <w:t xml:space="preserve">FSANZ’s approach is to specifically prohibit the </w:t>
                            </w:r>
                            <w:r w:rsidRPr="003E7621">
                              <w:rPr>
                                <w:szCs w:val="22"/>
                              </w:rPr>
                              <w:t>following terms on the label of infant formula products</w:t>
                            </w:r>
                            <w:r w:rsidRPr="003E7621">
                              <w:t>:</w:t>
                            </w:r>
                          </w:p>
                          <w:p w14:paraId="1036C1AE" w14:textId="77777777" w:rsidR="0025476F" w:rsidRPr="003E7621" w:rsidRDefault="0025476F" w:rsidP="005711DA">
                            <w:pPr>
                              <w:pStyle w:val="FSBullet1"/>
                            </w:pPr>
                            <w:r w:rsidRPr="003E7621">
                              <w:t xml:space="preserve">the words ‘human milk oligosaccharide’, ‘human milk identical oligosaccharide’ or any word or words having the same or similar effect </w:t>
                            </w:r>
                          </w:p>
                          <w:p w14:paraId="1FB0E5F0" w14:textId="4BD75406" w:rsidR="0025476F" w:rsidRPr="003E7621" w:rsidRDefault="0025476F" w:rsidP="005711DA">
                            <w:pPr>
                              <w:pStyle w:val="FSBullet1"/>
                              <w:spacing w:after="120"/>
                            </w:pPr>
                            <w:r w:rsidRPr="003E7621">
                              <w:t>the abbreviations ‘HMO’ or ‘HiMO’ or any abbreviation having the same or similar effect</w:t>
                            </w:r>
                            <w:r>
                              <w:t>.</w:t>
                            </w:r>
                          </w:p>
                          <w:p w14:paraId="6071E4BA" w14:textId="77777777" w:rsidR="0025476F" w:rsidRDefault="0025476F" w:rsidP="005711DA">
                            <w:pPr>
                              <w:spacing w:after="120"/>
                            </w:pPr>
                          </w:p>
                        </w:txbxContent>
                      </wps:txbx>
                      <wps:bodyPr rot="0" vert="horz" wrap="square" lIns="91440" tIns="45720" rIns="91440" bIns="45720" anchor="t" anchorCtr="0">
                        <a:noAutofit/>
                      </wps:bodyPr>
                    </wps:wsp>
                  </a:graphicData>
                </a:graphic>
              </wp:inline>
            </w:drawing>
          </mc:Choice>
          <mc:Fallback>
            <w:pict>
              <v:shape w14:anchorId="40333E75" id="Text Box 10" o:spid="_x0000_s1032" type="#_x0000_t202" style="width:447.75pt;height:9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" strokecolor="#548dd4 [1951]">
                <v:textbox>
                  <w:txbxContent>
                    <w:p w14:paraId="79857718" w14:textId="42B094EF" w:rsidR="0025476F" w:rsidRPr="003E7621" w:rsidRDefault="0025476F" w:rsidP="005711DA">
                      <w:pPr>
                        <w:spacing w:after="120"/>
                      </w:pPr>
                      <w:r w:rsidRPr="003E7621">
                        <w:t xml:space="preserve">FSANZ’s approach is to specifically prohibit the </w:t>
                      </w:r>
                      <w:r w:rsidRPr="003E7621">
                        <w:rPr>
                          <w:szCs w:val="22"/>
                        </w:rPr>
                        <w:t>following terms on the label of infant formula products</w:t>
                      </w:r>
                      <w:r w:rsidRPr="003E7621">
                        <w:t>:</w:t>
                      </w:r>
                    </w:p>
                    <w:p w14:paraId="1036C1AE" w14:textId="77777777" w:rsidR="0025476F" w:rsidRPr="003E7621" w:rsidRDefault="0025476F" w:rsidP="005711DA">
                      <w:pPr>
                        <w:pStyle w:val="FSBullet1"/>
                      </w:pPr>
                      <w:r w:rsidRPr="003E7621">
                        <w:t xml:space="preserve">the words ‘human milk oligosaccharide’, ‘human milk identical oligosaccharide’ or any word or words having the same or similar effect </w:t>
                      </w:r>
                    </w:p>
                    <w:p w14:paraId="1FB0E5F0" w14:textId="4BD75406" w:rsidR="0025476F" w:rsidRPr="003E7621" w:rsidRDefault="0025476F" w:rsidP="005711DA">
                      <w:pPr>
                        <w:pStyle w:val="FSBullet1"/>
                        <w:spacing w:after="120"/>
                      </w:pPr>
                      <w:r w:rsidRPr="003E7621">
                        <w:t>the abbreviations ‘HMO’ or ‘HiMO’ or any abbreviation having the same or similar effect</w:t>
                      </w:r>
                      <w:r>
                        <w:t>.</w:t>
                      </w:r>
                    </w:p>
                    <w:p w14:paraId="6071E4BA" w14:textId="77777777" w:rsidR="0025476F" w:rsidRDefault="0025476F" w:rsidP="005711DA">
                      <w:pPr>
                        <w:spacing w:after="120"/>
                      </w:pPr>
                    </w:p>
                  </w:txbxContent>
                </v:textbox>
                <w10:anchorlock/>
              </v:shape>
            </w:pict>
          </mc:Fallback>
        </mc:AlternateContent>
      </w:r>
    </w:p>
    <w:p w14:paraId="203E4FE1" w14:textId="77777777" w:rsidR="00D201F9" w:rsidRPr="003E7621" w:rsidRDefault="00D201F9" w:rsidP="00D201F9">
      <w:pPr>
        <w:rPr>
          <w:rFonts w:cs="Arial"/>
          <w:szCs w:val="22"/>
        </w:rPr>
      </w:pPr>
    </w:p>
    <w:p w14:paraId="02013801" w14:textId="072565F6" w:rsidR="00BE497D" w:rsidRPr="003E7621" w:rsidRDefault="00BE497D" w:rsidP="00D201F9">
      <w:pPr>
        <w:rPr>
          <w:rFonts w:cs="Arial"/>
          <w:i/>
          <w:szCs w:val="22"/>
        </w:rPr>
      </w:pPr>
      <w:r w:rsidRPr="003E7621">
        <w:rPr>
          <w:rFonts w:cs="Arial"/>
          <w:i/>
          <w:szCs w:val="22"/>
        </w:rPr>
        <w:t>Formulated supplementary foods for young children</w:t>
      </w:r>
    </w:p>
    <w:p w14:paraId="77E653A6" w14:textId="77777777" w:rsidR="00522A60" w:rsidRPr="003E7621" w:rsidRDefault="00522A60" w:rsidP="00522A60">
      <w:pPr>
        <w:widowControl/>
        <w:rPr>
          <w:rFonts w:cs="Arial"/>
          <w:szCs w:val="22"/>
        </w:rPr>
      </w:pPr>
    </w:p>
    <w:p w14:paraId="2FCE7040" w14:textId="39847DFD" w:rsidR="00D15B8A" w:rsidRPr="003E7621" w:rsidRDefault="00F501E4" w:rsidP="00D15B8A">
      <w:pPr>
        <w:widowControl/>
        <w:rPr>
          <w:szCs w:val="22"/>
        </w:rPr>
      </w:pPr>
      <w:r w:rsidRPr="003E7621" w:rsidDel="00A0535F">
        <w:rPr>
          <w:rFonts w:cs="Arial"/>
          <w:szCs w:val="22"/>
        </w:rPr>
        <w:t xml:space="preserve">In </w:t>
      </w:r>
      <w:r w:rsidR="00A0535F" w:rsidRPr="003E7621">
        <w:rPr>
          <w:rFonts w:cs="Arial"/>
          <w:szCs w:val="22"/>
        </w:rPr>
        <w:t>regard to FSFYC</w:t>
      </w:r>
      <w:r w:rsidRPr="003E7621">
        <w:rPr>
          <w:rFonts w:cs="Arial"/>
          <w:szCs w:val="22"/>
        </w:rPr>
        <w:t xml:space="preserve">, </w:t>
      </w:r>
      <w:r w:rsidR="00522A60" w:rsidRPr="003E7621">
        <w:rPr>
          <w:rFonts w:cs="Arial"/>
          <w:szCs w:val="22"/>
        </w:rPr>
        <w:t xml:space="preserve">FSANZ </w:t>
      </w:r>
      <w:r w:rsidR="00BC5289" w:rsidRPr="003E7621">
        <w:rPr>
          <w:rFonts w:cs="Arial"/>
          <w:szCs w:val="22"/>
        </w:rPr>
        <w:t>c</w:t>
      </w:r>
      <w:r w:rsidR="00522A60" w:rsidRPr="003E7621">
        <w:rPr>
          <w:rFonts w:cs="Arial"/>
          <w:szCs w:val="22"/>
        </w:rPr>
        <w:t xml:space="preserve">onsiders terms such as ‘human milk </w:t>
      </w:r>
      <w:r w:rsidR="00155390" w:rsidRPr="003E7621">
        <w:rPr>
          <w:rFonts w:cs="Arial"/>
          <w:szCs w:val="22"/>
        </w:rPr>
        <w:t xml:space="preserve">identical </w:t>
      </w:r>
      <w:r w:rsidR="00522A60" w:rsidRPr="003E7621">
        <w:rPr>
          <w:rFonts w:cs="Arial"/>
          <w:szCs w:val="22"/>
        </w:rPr>
        <w:t xml:space="preserve">oligosaccharide’ would be confusing to caregivers if they are present on FSFYC labels and not on infant formula products. </w:t>
      </w:r>
      <w:r w:rsidR="006836B8" w:rsidRPr="003E7621">
        <w:rPr>
          <w:rFonts w:cs="Arial"/>
          <w:szCs w:val="22"/>
        </w:rPr>
        <w:t xml:space="preserve">Further, </w:t>
      </w:r>
      <w:r w:rsidRPr="003E7621">
        <w:rPr>
          <w:rFonts w:cs="Arial"/>
          <w:szCs w:val="22"/>
        </w:rPr>
        <w:t>t</w:t>
      </w:r>
      <w:r w:rsidR="00D201F9" w:rsidRPr="003E7621">
        <w:rPr>
          <w:rFonts w:cs="Arial"/>
          <w:szCs w:val="22"/>
        </w:rPr>
        <w:t xml:space="preserve">he presence of </w:t>
      </w:r>
      <w:r w:rsidR="00155390" w:rsidRPr="003E7621">
        <w:rPr>
          <w:rFonts w:cs="Arial"/>
          <w:szCs w:val="22"/>
        </w:rPr>
        <w:t xml:space="preserve">such </w:t>
      </w:r>
      <w:r w:rsidR="00757DAD" w:rsidRPr="003E7621">
        <w:rPr>
          <w:rFonts w:cs="Arial"/>
          <w:szCs w:val="22"/>
        </w:rPr>
        <w:t xml:space="preserve">terms </w:t>
      </w:r>
      <w:r w:rsidR="00482072" w:rsidRPr="003E7621">
        <w:rPr>
          <w:rFonts w:cs="Arial"/>
          <w:szCs w:val="22"/>
        </w:rPr>
        <w:t>could</w:t>
      </w:r>
      <w:r w:rsidRPr="003E7621">
        <w:rPr>
          <w:rFonts w:cs="Arial"/>
          <w:szCs w:val="22"/>
        </w:rPr>
        <w:t xml:space="preserve"> mislead consumers. </w:t>
      </w:r>
      <w:r w:rsidR="00937475" w:rsidRPr="003E7621">
        <w:rPr>
          <w:rFonts w:cs="Arial"/>
          <w:szCs w:val="22"/>
        </w:rPr>
        <w:t>F</w:t>
      </w:r>
      <w:r w:rsidR="006836B8" w:rsidRPr="003E7621">
        <w:rPr>
          <w:rFonts w:cs="Arial"/>
          <w:szCs w:val="22"/>
        </w:rPr>
        <w:t>SFYC</w:t>
      </w:r>
      <w:r w:rsidR="00863BD3" w:rsidRPr="003E7621">
        <w:rPr>
          <w:rFonts w:cs="Arial"/>
          <w:szCs w:val="22"/>
        </w:rPr>
        <w:t xml:space="preserve"> (or ‘toddler milks’)</w:t>
      </w:r>
      <w:r w:rsidR="00EC19A9" w:rsidRPr="003E7621">
        <w:rPr>
          <w:rFonts w:cs="Arial"/>
          <w:szCs w:val="22"/>
        </w:rPr>
        <w:t xml:space="preserve"> are not considered breastmilk substitutes in Australia and New Zealand, </w:t>
      </w:r>
      <w:r w:rsidR="00040A87" w:rsidRPr="003E7621">
        <w:rPr>
          <w:rFonts w:cs="Arial"/>
          <w:szCs w:val="22"/>
        </w:rPr>
        <w:t>however, there is a risk that</w:t>
      </w:r>
      <w:r w:rsidR="00757DAD" w:rsidRPr="003E7621">
        <w:rPr>
          <w:rFonts w:cs="Arial"/>
          <w:szCs w:val="22"/>
        </w:rPr>
        <w:t xml:space="preserve"> this</w:t>
      </w:r>
      <w:r w:rsidR="00040A87" w:rsidRPr="003E7621">
        <w:rPr>
          <w:rFonts w:cs="Arial"/>
          <w:szCs w:val="22"/>
        </w:rPr>
        <w:t xml:space="preserve"> </w:t>
      </w:r>
      <w:r w:rsidR="00EC19A9" w:rsidRPr="003E7621">
        <w:rPr>
          <w:rFonts w:cs="Arial"/>
          <w:szCs w:val="22"/>
        </w:rPr>
        <w:t>terminology may suggest</w:t>
      </w:r>
      <w:r w:rsidR="00D15B8A" w:rsidRPr="003E7621">
        <w:rPr>
          <w:rFonts w:cs="Arial"/>
          <w:szCs w:val="22"/>
        </w:rPr>
        <w:t xml:space="preserve"> </w:t>
      </w:r>
      <w:r w:rsidR="00AD7454" w:rsidRPr="003E7621">
        <w:rPr>
          <w:rFonts w:cs="Arial"/>
          <w:szCs w:val="22"/>
        </w:rPr>
        <w:t>FSFYC</w:t>
      </w:r>
      <w:r w:rsidR="00EC19A9" w:rsidRPr="003E7621">
        <w:rPr>
          <w:szCs w:val="22"/>
        </w:rPr>
        <w:t xml:space="preserve"> are intended for ‘infants’</w:t>
      </w:r>
      <w:r w:rsidR="00040A87" w:rsidRPr="003E7621">
        <w:rPr>
          <w:szCs w:val="22"/>
        </w:rPr>
        <w:t xml:space="preserve">, which is contrary to the </w:t>
      </w:r>
      <w:r w:rsidR="00863BD3" w:rsidRPr="003E7621">
        <w:rPr>
          <w:szCs w:val="22"/>
        </w:rPr>
        <w:t xml:space="preserve">infant formula </w:t>
      </w:r>
      <w:r w:rsidR="00364B68" w:rsidRPr="003E7621">
        <w:rPr>
          <w:szCs w:val="22"/>
        </w:rPr>
        <w:t>p</w:t>
      </w:r>
      <w:r w:rsidR="00040A87" w:rsidRPr="003E7621">
        <w:rPr>
          <w:szCs w:val="22"/>
        </w:rPr>
        <w:t xml:space="preserve">olicy </w:t>
      </w:r>
      <w:r w:rsidR="00364B68" w:rsidRPr="003E7621">
        <w:rPr>
          <w:szCs w:val="22"/>
        </w:rPr>
        <w:t>g</w:t>
      </w:r>
      <w:r w:rsidR="00040A87" w:rsidRPr="003E7621">
        <w:rPr>
          <w:szCs w:val="22"/>
        </w:rPr>
        <w:t>uideline.</w:t>
      </w:r>
    </w:p>
    <w:p w14:paraId="1CB1A5C6" w14:textId="0210FF0C" w:rsidR="00694D82" w:rsidRPr="003E7621" w:rsidRDefault="00694D82" w:rsidP="00694D82"/>
    <w:p w14:paraId="5A3F8DBB" w14:textId="08836543" w:rsidR="00DB0AB6" w:rsidRPr="003E7621" w:rsidRDefault="00D1531F" w:rsidP="009671DA">
      <w:pPr>
        <w:rPr>
          <w:lang w:bidi="ar-SA"/>
        </w:rPr>
      </w:pPr>
      <w:r w:rsidRPr="003E7621">
        <w:rPr>
          <w:lang w:bidi="ar-SA"/>
        </w:rPr>
        <w:t xml:space="preserve">Research commissioned by FSANZ (Malek et al. 2019) suggests some caregivers interpret references to breastmilk on infant formula products as an indication those particular products are closer in composition to breastmilk than other brands. </w:t>
      </w:r>
      <w:r w:rsidR="00D85156" w:rsidRPr="003E7621">
        <w:rPr>
          <w:lang w:bidi="ar-SA"/>
        </w:rPr>
        <w:t xml:space="preserve">Research conducted with </w:t>
      </w:r>
      <w:r w:rsidR="00830E24" w:rsidRPr="003E7621">
        <w:rPr>
          <w:lang w:bidi="ar-SA"/>
        </w:rPr>
        <w:t xml:space="preserve">advertisements for </w:t>
      </w:r>
      <w:r w:rsidR="00D85156" w:rsidRPr="003E7621">
        <w:rPr>
          <w:lang w:bidi="ar-SA"/>
        </w:rPr>
        <w:t>toddler milk products has found similar responses to references to breastmilk. In one of the studies reviewed, three of four respondents who saw a claim about prebiotics ‘found naturally in breastmilk’ next to a statement concerning the importance of breastfeeding</w:t>
      </w:r>
      <w:r w:rsidR="00863BD3" w:rsidRPr="003E7621">
        <w:rPr>
          <w:lang w:bidi="ar-SA"/>
        </w:rPr>
        <w:t>,</w:t>
      </w:r>
      <w:r w:rsidR="00D85156" w:rsidRPr="003E7621">
        <w:rPr>
          <w:lang w:bidi="ar-SA"/>
        </w:rPr>
        <w:t xml:space="preserve"> believed the advertisement suggested an equivalence between ‘formula’ and breastmilk’</w:t>
      </w:r>
      <w:r w:rsidR="00863BD3" w:rsidRPr="003E7621">
        <w:rPr>
          <w:lang w:bidi="ar-SA"/>
        </w:rPr>
        <w:t xml:space="preserve"> </w:t>
      </w:r>
      <w:r w:rsidR="00D85156" w:rsidRPr="003E7621">
        <w:rPr>
          <w:lang w:bidi="ar-SA"/>
        </w:rPr>
        <w:t>(Berry, Jones &amp; Iverson, 2010).</w:t>
      </w:r>
    </w:p>
    <w:p w14:paraId="4B3AFCF9" w14:textId="77777777" w:rsidR="00AA1EBF" w:rsidRPr="003E7621" w:rsidRDefault="00AA1EBF" w:rsidP="009671DA">
      <w:pPr>
        <w:rPr>
          <w:lang w:bidi="ar-SA"/>
        </w:rPr>
      </w:pPr>
    </w:p>
    <w:p w14:paraId="03DB16C2" w14:textId="39016818" w:rsidR="00CF6AED" w:rsidRPr="003E7621" w:rsidRDefault="00DB0AB6" w:rsidP="00401676">
      <w:pPr>
        <w:rPr>
          <w:lang w:bidi="ar-SA"/>
        </w:rPr>
      </w:pPr>
      <w:r w:rsidRPr="003E7621">
        <w:rPr>
          <w:lang w:bidi="ar-SA"/>
        </w:rPr>
        <w:t xml:space="preserve">This concern is relevant to </w:t>
      </w:r>
      <w:r w:rsidR="00736D7B" w:rsidRPr="003E7621">
        <w:rPr>
          <w:lang w:bidi="ar-SA"/>
        </w:rPr>
        <w:t>FSFYC</w:t>
      </w:r>
      <w:r w:rsidR="00ED4C9F" w:rsidRPr="003E7621">
        <w:rPr>
          <w:lang w:bidi="ar-SA"/>
        </w:rPr>
        <w:t xml:space="preserve"> because </w:t>
      </w:r>
      <w:r w:rsidR="009671DA" w:rsidRPr="003E7621">
        <w:rPr>
          <w:lang w:bidi="ar-SA"/>
        </w:rPr>
        <w:t xml:space="preserve">Australian research </w:t>
      </w:r>
      <w:r w:rsidR="002017C3" w:rsidRPr="003E7621">
        <w:rPr>
          <w:lang w:bidi="ar-SA"/>
        </w:rPr>
        <w:t>suggests that when</w:t>
      </w:r>
      <w:r w:rsidR="00971533" w:rsidRPr="003E7621">
        <w:rPr>
          <w:lang w:bidi="ar-SA"/>
        </w:rPr>
        <w:t xml:space="preserve"> caregivers are</w:t>
      </w:r>
      <w:r w:rsidR="002017C3" w:rsidRPr="003E7621">
        <w:rPr>
          <w:lang w:bidi="ar-SA"/>
        </w:rPr>
        <w:t xml:space="preserve"> shown toddler milk advertisements </w:t>
      </w:r>
      <w:r w:rsidR="00971533" w:rsidRPr="003E7621">
        <w:rPr>
          <w:lang w:bidi="ar-SA"/>
        </w:rPr>
        <w:t xml:space="preserve">they believe </w:t>
      </w:r>
      <w:r w:rsidR="00241381" w:rsidRPr="003E7621">
        <w:rPr>
          <w:lang w:bidi="ar-SA"/>
        </w:rPr>
        <w:t>they are</w:t>
      </w:r>
      <w:r w:rsidR="00971533" w:rsidRPr="003E7621">
        <w:rPr>
          <w:lang w:bidi="ar-SA"/>
        </w:rPr>
        <w:t xml:space="preserve"> also</w:t>
      </w:r>
      <w:r w:rsidR="002017C3" w:rsidRPr="003E7621">
        <w:rPr>
          <w:lang w:bidi="ar-SA"/>
        </w:rPr>
        <w:t xml:space="preserve"> advertis</w:t>
      </w:r>
      <w:r w:rsidR="00241381" w:rsidRPr="003E7621">
        <w:rPr>
          <w:lang w:bidi="ar-SA"/>
        </w:rPr>
        <w:t>ing</w:t>
      </w:r>
      <w:r w:rsidR="002017C3" w:rsidRPr="003E7621">
        <w:rPr>
          <w:lang w:bidi="ar-SA"/>
        </w:rPr>
        <w:t xml:space="preserve"> infant formula products</w:t>
      </w:r>
      <w:r w:rsidR="008E257D" w:rsidRPr="003E7621">
        <w:rPr>
          <w:lang w:bidi="ar-SA"/>
        </w:rPr>
        <w:t xml:space="preserve"> (</w:t>
      </w:r>
      <w:r w:rsidR="00C50ED7" w:rsidRPr="003E7621">
        <w:rPr>
          <w:lang w:bidi="ar-SA"/>
        </w:rPr>
        <w:t>Berry, Jones &amp; Iverson, 2010, 2011, 2012</w:t>
      </w:r>
      <w:r w:rsidR="0088674B" w:rsidRPr="003E7621">
        <w:rPr>
          <w:lang w:bidi="ar-SA"/>
        </w:rPr>
        <w:t>)</w:t>
      </w:r>
      <w:r w:rsidR="002017C3" w:rsidRPr="003E7621">
        <w:rPr>
          <w:lang w:bidi="ar-SA"/>
        </w:rPr>
        <w:t xml:space="preserve">. </w:t>
      </w:r>
      <w:r w:rsidR="009671DA" w:rsidRPr="003E7621">
        <w:rPr>
          <w:lang w:bidi="ar-SA"/>
        </w:rPr>
        <w:t xml:space="preserve">This is </w:t>
      </w:r>
      <w:r w:rsidR="00971533" w:rsidRPr="003E7621">
        <w:rPr>
          <w:lang w:bidi="ar-SA"/>
        </w:rPr>
        <w:t xml:space="preserve">partly </w:t>
      </w:r>
      <w:r w:rsidR="009671DA" w:rsidRPr="003E7621">
        <w:rPr>
          <w:lang w:bidi="ar-SA"/>
        </w:rPr>
        <w:t>due to their similar packaging and common branding</w:t>
      </w:r>
      <w:r w:rsidR="00311131" w:rsidRPr="003E7621">
        <w:rPr>
          <w:lang w:bidi="ar-SA"/>
        </w:rPr>
        <w:t xml:space="preserve">. </w:t>
      </w:r>
      <w:r w:rsidR="009A048F" w:rsidRPr="003E7621">
        <w:rPr>
          <w:lang w:bidi="ar-SA"/>
        </w:rPr>
        <w:t xml:space="preserve">The implication of this is that where a toddler milk product carries a reference to human milk, it is possible caregivers may infer infant formula and follow on formula within the same brand range are closer </w:t>
      </w:r>
      <w:r w:rsidR="00522A60" w:rsidRPr="003E7621">
        <w:rPr>
          <w:lang w:bidi="ar-SA"/>
        </w:rPr>
        <w:t xml:space="preserve">in composition </w:t>
      </w:r>
      <w:r w:rsidR="009A048F" w:rsidRPr="003E7621">
        <w:rPr>
          <w:lang w:bidi="ar-SA"/>
        </w:rPr>
        <w:t>to breastmilk than other products.</w:t>
      </w:r>
      <w:r w:rsidR="00602E9A" w:rsidRPr="003E7621">
        <w:rPr>
          <w:lang w:bidi="ar-SA"/>
        </w:rPr>
        <w:t xml:space="preserve"> Furthermore, it is possible that caregivers who believe an infant formula product is close</w:t>
      </w:r>
      <w:r w:rsidR="00863BD3" w:rsidRPr="003E7621">
        <w:rPr>
          <w:lang w:bidi="ar-SA"/>
        </w:rPr>
        <w:t>r</w:t>
      </w:r>
      <w:r w:rsidR="00602E9A" w:rsidRPr="003E7621">
        <w:rPr>
          <w:lang w:bidi="ar-SA"/>
        </w:rPr>
        <w:t xml:space="preserve"> </w:t>
      </w:r>
      <w:r w:rsidR="00FA7DF3" w:rsidRPr="003E7621">
        <w:rPr>
          <w:lang w:bidi="ar-SA"/>
        </w:rPr>
        <w:t xml:space="preserve">in composition </w:t>
      </w:r>
      <w:r w:rsidR="00602E9A" w:rsidRPr="003E7621">
        <w:rPr>
          <w:lang w:bidi="ar-SA"/>
        </w:rPr>
        <w:t>to breastmilk may be more likely to use infant formula in place of or in addition to breastfeeding (Malek et al. 2019).</w:t>
      </w:r>
    </w:p>
    <w:p w14:paraId="098832B9" w14:textId="77777777" w:rsidR="00EE5647" w:rsidRPr="003E7621" w:rsidRDefault="00EE5647" w:rsidP="00401676">
      <w:pPr>
        <w:rPr>
          <w:lang w:bidi="ar-SA"/>
        </w:rPr>
      </w:pPr>
    </w:p>
    <w:p w14:paraId="68387AE5" w14:textId="783200CC" w:rsidR="0039081C" w:rsidRPr="003E7621" w:rsidRDefault="00863BD3" w:rsidP="00401676">
      <w:pPr>
        <w:rPr>
          <w:lang w:bidi="ar-SA"/>
        </w:rPr>
      </w:pPr>
      <w:r w:rsidRPr="003E7621">
        <w:rPr>
          <w:lang w:bidi="ar-SA"/>
        </w:rPr>
        <w:t>Another</w:t>
      </w:r>
      <w:r w:rsidR="00830E24" w:rsidRPr="003E7621">
        <w:rPr>
          <w:lang w:bidi="ar-SA"/>
        </w:rPr>
        <w:t xml:space="preserve"> concern is that caregivers may see a reference to ‘human milk identical oligosaccharide’ on a toddler milk but believe they saw the phrase on an infant formula product. </w:t>
      </w:r>
      <w:r w:rsidR="00401676" w:rsidRPr="003E7621">
        <w:rPr>
          <w:lang w:bidi="ar-SA"/>
        </w:rPr>
        <w:t>A</w:t>
      </w:r>
      <w:r w:rsidR="00926D76" w:rsidRPr="003E7621">
        <w:rPr>
          <w:lang w:bidi="ar-SA"/>
        </w:rPr>
        <w:t>n</w:t>
      </w:r>
      <w:r w:rsidR="003B4A19" w:rsidRPr="003E7621">
        <w:rPr>
          <w:lang w:bidi="ar-SA"/>
        </w:rPr>
        <w:t xml:space="preserve"> Australian</w:t>
      </w:r>
      <w:r w:rsidR="00401676" w:rsidRPr="003E7621" w:rsidDel="003B4A19">
        <w:rPr>
          <w:lang w:bidi="ar-SA"/>
        </w:rPr>
        <w:t xml:space="preserve"> </w:t>
      </w:r>
      <w:r w:rsidR="00401676" w:rsidRPr="003E7621">
        <w:rPr>
          <w:lang w:bidi="ar-SA"/>
        </w:rPr>
        <w:t>study</w:t>
      </w:r>
      <w:r w:rsidR="00E06F85" w:rsidRPr="003E7621">
        <w:rPr>
          <w:lang w:bidi="ar-SA"/>
        </w:rPr>
        <w:t xml:space="preserve"> (Berry, Jones &amp; Iverson, 2012)</w:t>
      </w:r>
      <w:r w:rsidR="00401676" w:rsidRPr="003E7621">
        <w:rPr>
          <w:lang w:bidi="ar-SA"/>
        </w:rPr>
        <w:t xml:space="preserve"> investigated whether </w:t>
      </w:r>
      <w:r w:rsidR="00757DAD" w:rsidRPr="003E7621">
        <w:rPr>
          <w:lang w:bidi="ar-SA"/>
        </w:rPr>
        <w:t>parents perceive toddler milk advertising as</w:t>
      </w:r>
      <w:r w:rsidR="003B4A19" w:rsidRPr="003E7621">
        <w:rPr>
          <w:lang w:bidi="ar-SA"/>
        </w:rPr>
        <w:t xml:space="preserve"> also</w:t>
      </w:r>
      <w:r w:rsidR="00757DAD" w:rsidRPr="003E7621" w:rsidDel="00E06F85">
        <w:rPr>
          <w:lang w:bidi="ar-SA"/>
        </w:rPr>
        <w:t xml:space="preserve"> </w:t>
      </w:r>
      <w:r w:rsidR="00757DAD" w:rsidRPr="003E7621">
        <w:rPr>
          <w:lang w:bidi="ar-SA"/>
        </w:rPr>
        <w:t xml:space="preserve">promoting infant formula. </w:t>
      </w:r>
      <w:r w:rsidR="00F02AE6" w:rsidRPr="003E7621">
        <w:rPr>
          <w:lang w:bidi="ar-SA"/>
        </w:rPr>
        <w:t>In the study</w:t>
      </w:r>
      <w:r w:rsidR="007C309F" w:rsidRPr="003E7621">
        <w:rPr>
          <w:lang w:bidi="ar-SA"/>
        </w:rPr>
        <w:t>,</w:t>
      </w:r>
      <w:r w:rsidR="00F02AE6" w:rsidRPr="003E7621">
        <w:rPr>
          <w:lang w:bidi="ar-SA"/>
        </w:rPr>
        <w:t xml:space="preserve"> </w:t>
      </w:r>
      <w:r w:rsidR="00401676" w:rsidRPr="003E7621">
        <w:rPr>
          <w:lang w:bidi="ar-SA"/>
        </w:rPr>
        <w:t>439 Australian parents</w:t>
      </w:r>
      <w:r w:rsidR="00E06F85" w:rsidRPr="003E7621">
        <w:rPr>
          <w:lang w:bidi="ar-SA"/>
        </w:rPr>
        <w:t xml:space="preserve"> were asked to</w:t>
      </w:r>
      <w:r w:rsidR="00401676" w:rsidRPr="003E7621">
        <w:rPr>
          <w:lang w:bidi="ar-SA"/>
        </w:rPr>
        <w:t xml:space="preserve"> recall</w:t>
      </w:r>
      <w:r w:rsidR="00401676" w:rsidRPr="003E7621" w:rsidDel="00E06F85">
        <w:rPr>
          <w:lang w:bidi="ar-SA"/>
        </w:rPr>
        <w:t xml:space="preserve"> </w:t>
      </w:r>
      <w:r w:rsidR="00E06F85" w:rsidRPr="003E7621">
        <w:rPr>
          <w:lang w:bidi="ar-SA"/>
        </w:rPr>
        <w:t xml:space="preserve">if they had </w:t>
      </w:r>
      <w:r w:rsidR="00401676" w:rsidRPr="003E7621">
        <w:rPr>
          <w:lang w:bidi="ar-SA"/>
        </w:rPr>
        <w:t xml:space="preserve">seen </w:t>
      </w:r>
      <w:r w:rsidR="00683BBB" w:rsidRPr="003E7621">
        <w:rPr>
          <w:lang w:bidi="ar-SA"/>
        </w:rPr>
        <w:t xml:space="preserve">an </w:t>
      </w:r>
      <w:r w:rsidR="0039081C" w:rsidRPr="003E7621">
        <w:rPr>
          <w:lang w:bidi="ar-SA"/>
        </w:rPr>
        <w:t>advertisement for ‘formula’ and, if so, whether the advertisement originated from a retailer or from elsewhere. Ninety three percent of respondents indicated they had seen an advertisement that was not from a retailer. Two thirds of respondents reported they had seen a form</w:t>
      </w:r>
      <w:r w:rsidR="00683BBB" w:rsidRPr="003E7621">
        <w:rPr>
          <w:lang w:bidi="ar-SA"/>
        </w:rPr>
        <w:t xml:space="preserve">ula product suitable for use from birth advertised. </w:t>
      </w:r>
      <w:r w:rsidR="0039081C" w:rsidRPr="003E7621">
        <w:rPr>
          <w:lang w:bidi="ar-SA"/>
        </w:rPr>
        <w:t>Around two thirds of respondents who only reported seeing non-retail formula advertisements</w:t>
      </w:r>
      <w:r w:rsidR="00926D76" w:rsidRPr="003E7621">
        <w:rPr>
          <w:lang w:bidi="ar-SA"/>
        </w:rPr>
        <w:t xml:space="preserve"> (i.e. did not report seeing retail formula advertisements)</w:t>
      </w:r>
      <w:r w:rsidR="0039081C" w:rsidRPr="003E7621">
        <w:rPr>
          <w:lang w:bidi="ar-SA"/>
        </w:rPr>
        <w:t xml:space="preserve"> believed they h</w:t>
      </w:r>
      <w:r w:rsidR="004E5008" w:rsidRPr="003E7621">
        <w:rPr>
          <w:lang w:bidi="ar-SA"/>
        </w:rPr>
        <w:t>a</w:t>
      </w:r>
      <w:r w:rsidR="0039081C" w:rsidRPr="003E7621">
        <w:rPr>
          <w:lang w:bidi="ar-SA"/>
        </w:rPr>
        <w:t xml:space="preserve">d seen an advertisement for infant formula. </w:t>
      </w:r>
      <w:r w:rsidR="00926D76" w:rsidRPr="003E7621">
        <w:rPr>
          <w:lang w:bidi="ar-SA"/>
        </w:rPr>
        <w:t>As manufacturers in Australia have agreed not to advertise infant formula products to caregivers, t</w:t>
      </w:r>
      <w:r w:rsidR="0039081C" w:rsidRPr="003E7621">
        <w:rPr>
          <w:lang w:bidi="ar-SA"/>
        </w:rPr>
        <w:t xml:space="preserve">he authors concluded </w:t>
      </w:r>
      <w:r w:rsidR="00926D76" w:rsidRPr="003E7621">
        <w:rPr>
          <w:lang w:bidi="ar-SA"/>
        </w:rPr>
        <w:t xml:space="preserve">the caregivers must have actually been seeing </w:t>
      </w:r>
      <w:r w:rsidR="00F45AD0" w:rsidRPr="003E7621">
        <w:rPr>
          <w:lang w:bidi="ar-SA"/>
        </w:rPr>
        <w:t>advertisements</w:t>
      </w:r>
      <w:r w:rsidR="00926D76" w:rsidRPr="003E7621">
        <w:rPr>
          <w:lang w:bidi="ar-SA"/>
        </w:rPr>
        <w:t xml:space="preserve"> for toddler milk products. However, they </w:t>
      </w:r>
      <w:r w:rsidR="0039081C" w:rsidRPr="003E7621">
        <w:rPr>
          <w:lang w:bidi="ar-SA"/>
        </w:rPr>
        <w:t>were recalling these as advertisements for infant formula products.</w:t>
      </w:r>
    </w:p>
    <w:p w14:paraId="1682094C" w14:textId="77777777" w:rsidR="0039081C" w:rsidRPr="003E7621" w:rsidRDefault="0039081C" w:rsidP="00401676">
      <w:pPr>
        <w:rPr>
          <w:lang w:bidi="ar-SA"/>
        </w:rPr>
      </w:pPr>
    </w:p>
    <w:p w14:paraId="23092D9A" w14:textId="10DD79B1" w:rsidR="00761EFA" w:rsidRPr="003E7621" w:rsidRDefault="00830E24" w:rsidP="00401676">
      <w:pPr>
        <w:rPr>
          <w:lang w:bidi="ar-SA"/>
        </w:rPr>
      </w:pPr>
      <w:r w:rsidRPr="003E7621">
        <w:rPr>
          <w:lang w:bidi="ar-SA"/>
        </w:rPr>
        <w:t>In the same study, r</w:t>
      </w:r>
      <w:r w:rsidR="00D51EDD" w:rsidRPr="003E7621">
        <w:rPr>
          <w:lang w:bidi="ar-SA"/>
        </w:rPr>
        <w:t>espondents were asked to indicate which, if any,</w:t>
      </w:r>
      <w:r w:rsidR="00401676" w:rsidRPr="003E7621">
        <w:rPr>
          <w:lang w:bidi="ar-SA"/>
        </w:rPr>
        <w:t xml:space="preserve"> of seven claims</w:t>
      </w:r>
      <w:r w:rsidR="009916B3" w:rsidRPr="003E7621">
        <w:rPr>
          <w:rStyle w:val="FootnoteReference"/>
          <w:lang w:bidi="ar-SA"/>
        </w:rPr>
        <w:footnoteReference w:id="14"/>
      </w:r>
      <w:r w:rsidR="00401676" w:rsidRPr="003E7621">
        <w:rPr>
          <w:lang w:bidi="ar-SA"/>
        </w:rPr>
        <w:t xml:space="preserve"> </w:t>
      </w:r>
      <w:r w:rsidR="00D51EDD" w:rsidRPr="003E7621">
        <w:rPr>
          <w:lang w:bidi="ar-SA"/>
        </w:rPr>
        <w:t>they had seen in relation to the product they saw advertised</w:t>
      </w:r>
      <w:r w:rsidRPr="003E7621">
        <w:rPr>
          <w:lang w:bidi="ar-SA"/>
        </w:rPr>
        <w:t xml:space="preserve"> (Berry, Jones &amp; Iverson, 2012)</w:t>
      </w:r>
      <w:r w:rsidR="00D51EDD" w:rsidRPr="003E7621">
        <w:rPr>
          <w:lang w:bidi="ar-SA"/>
        </w:rPr>
        <w:t>. The seven claims were variations of claims that appeared in toddler milk advertising in 2007</w:t>
      </w:r>
      <w:r w:rsidR="00401676" w:rsidRPr="003E7621">
        <w:rPr>
          <w:lang w:bidi="ar-SA"/>
        </w:rPr>
        <w:t>. More than 90% of the respondents who reported having seen</w:t>
      </w:r>
      <w:r w:rsidR="005605CE" w:rsidRPr="003E7621">
        <w:rPr>
          <w:lang w:bidi="ar-SA"/>
        </w:rPr>
        <w:t xml:space="preserve"> an</w:t>
      </w:r>
      <w:r w:rsidR="00401676" w:rsidRPr="003E7621">
        <w:rPr>
          <w:lang w:bidi="ar-SA"/>
        </w:rPr>
        <w:t xml:space="preserve"> infant formula advert</w:t>
      </w:r>
      <w:r w:rsidR="005605CE" w:rsidRPr="003E7621">
        <w:rPr>
          <w:lang w:bidi="ar-SA"/>
        </w:rPr>
        <w:t xml:space="preserve"> </w:t>
      </w:r>
      <w:r w:rsidR="00A779AF" w:rsidRPr="003E7621">
        <w:rPr>
          <w:lang w:bidi="ar-SA"/>
        </w:rPr>
        <w:t xml:space="preserve">in the past </w:t>
      </w:r>
      <w:r w:rsidR="00401676" w:rsidRPr="003E7621">
        <w:rPr>
          <w:lang w:bidi="ar-SA"/>
        </w:rPr>
        <w:t>also reported having seen at least one of the</w:t>
      </w:r>
      <w:r w:rsidR="005605CE" w:rsidRPr="003E7621">
        <w:rPr>
          <w:lang w:bidi="ar-SA"/>
        </w:rPr>
        <w:t xml:space="preserve"> seven</w:t>
      </w:r>
      <w:r w:rsidR="00401676" w:rsidRPr="003E7621">
        <w:rPr>
          <w:lang w:bidi="ar-SA"/>
        </w:rPr>
        <w:t xml:space="preserve"> claims</w:t>
      </w:r>
      <w:r w:rsidR="009D6B77" w:rsidRPr="003E7621">
        <w:rPr>
          <w:lang w:bidi="ar-SA"/>
        </w:rPr>
        <w:t xml:space="preserve"> (which are not permis</w:t>
      </w:r>
      <w:r w:rsidR="003D5812" w:rsidRPr="003E7621">
        <w:rPr>
          <w:lang w:bidi="ar-SA"/>
        </w:rPr>
        <w:t>si</w:t>
      </w:r>
      <w:r w:rsidR="009D6B77" w:rsidRPr="003E7621">
        <w:rPr>
          <w:lang w:bidi="ar-SA"/>
        </w:rPr>
        <w:t>ble on infa</w:t>
      </w:r>
      <w:r w:rsidR="003D5812" w:rsidRPr="003E7621">
        <w:rPr>
          <w:lang w:bidi="ar-SA"/>
        </w:rPr>
        <w:t>n</w:t>
      </w:r>
      <w:r w:rsidR="009D6B77" w:rsidRPr="003E7621">
        <w:rPr>
          <w:lang w:bidi="ar-SA"/>
        </w:rPr>
        <w:t>t formula)</w:t>
      </w:r>
      <w:r w:rsidR="00A264D4" w:rsidRPr="003E7621">
        <w:rPr>
          <w:lang w:bidi="ar-SA"/>
        </w:rPr>
        <w:t>. Twenty seven percent of respondents reported they had seen a formula advertisement claiming the product ‘is like breastmilk’. These findings provide</w:t>
      </w:r>
      <w:r w:rsidR="00EC3271" w:rsidRPr="003E7621">
        <w:rPr>
          <w:lang w:bidi="ar-SA"/>
        </w:rPr>
        <w:t xml:space="preserve"> further </w:t>
      </w:r>
      <w:r w:rsidR="00A264D4" w:rsidRPr="003E7621">
        <w:rPr>
          <w:lang w:bidi="ar-SA"/>
        </w:rPr>
        <w:t>evidence that</w:t>
      </w:r>
      <w:r w:rsidR="00EC3271" w:rsidRPr="003E7621">
        <w:rPr>
          <w:lang w:bidi="ar-SA"/>
        </w:rPr>
        <w:t xml:space="preserve"> </w:t>
      </w:r>
      <w:r w:rsidR="00A264D4" w:rsidRPr="003E7621">
        <w:rPr>
          <w:lang w:bidi="ar-SA"/>
        </w:rPr>
        <w:t>caregivers</w:t>
      </w:r>
      <w:r w:rsidR="00EC3271" w:rsidRPr="003E7621">
        <w:rPr>
          <w:lang w:bidi="ar-SA"/>
        </w:rPr>
        <w:t xml:space="preserve"> </w:t>
      </w:r>
      <w:r w:rsidR="00D51EDD" w:rsidRPr="003E7621">
        <w:rPr>
          <w:lang w:bidi="ar-SA"/>
        </w:rPr>
        <w:t>conf</w:t>
      </w:r>
      <w:r w:rsidR="00D2072F" w:rsidRPr="003E7621">
        <w:rPr>
          <w:lang w:bidi="ar-SA"/>
        </w:rPr>
        <w:t>use</w:t>
      </w:r>
      <w:r w:rsidR="00D51EDD" w:rsidRPr="003E7621">
        <w:rPr>
          <w:lang w:bidi="ar-SA"/>
        </w:rPr>
        <w:t xml:space="preserve"> advertising for </w:t>
      </w:r>
      <w:r w:rsidR="00D2072F" w:rsidRPr="003E7621">
        <w:rPr>
          <w:lang w:bidi="ar-SA"/>
        </w:rPr>
        <w:t>toddler milks with advertising for infant formula.</w:t>
      </w:r>
      <w:r w:rsidR="00EC3271" w:rsidRPr="003E7621">
        <w:rPr>
          <w:lang w:bidi="ar-SA"/>
        </w:rPr>
        <w:t xml:space="preserve"> </w:t>
      </w:r>
      <w:r w:rsidR="004E5008" w:rsidRPr="003E7621">
        <w:rPr>
          <w:lang w:bidi="ar-SA"/>
        </w:rPr>
        <w:t xml:space="preserve">Again, </w:t>
      </w:r>
      <w:r w:rsidR="00F02AE6" w:rsidRPr="003E7621">
        <w:rPr>
          <w:lang w:bidi="ar-SA"/>
        </w:rPr>
        <w:t xml:space="preserve">this </w:t>
      </w:r>
      <w:r w:rsidR="004E5008" w:rsidRPr="003E7621">
        <w:rPr>
          <w:lang w:bidi="ar-SA"/>
        </w:rPr>
        <w:t>is likely</w:t>
      </w:r>
      <w:r w:rsidR="00F02AE6" w:rsidRPr="003E7621">
        <w:rPr>
          <w:lang w:bidi="ar-SA"/>
        </w:rPr>
        <w:t xml:space="preserve"> due to similar packaging and styling of brand lines. </w:t>
      </w:r>
      <w:r w:rsidR="00B62371" w:rsidRPr="003E7621">
        <w:rPr>
          <w:lang w:bidi="ar-SA"/>
        </w:rPr>
        <w:t>The findings of this study suggest references to</w:t>
      </w:r>
      <w:r w:rsidR="00B06547" w:rsidRPr="003E7621">
        <w:rPr>
          <w:lang w:bidi="ar-SA"/>
        </w:rPr>
        <w:t xml:space="preserve"> terms such as</w:t>
      </w:r>
      <w:r w:rsidR="00B62371" w:rsidRPr="003E7621">
        <w:rPr>
          <w:lang w:bidi="ar-SA"/>
        </w:rPr>
        <w:t xml:space="preserve"> ‘human milk </w:t>
      </w:r>
      <w:r w:rsidR="00B06547" w:rsidRPr="003E7621">
        <w:rPr>
          <w:lang w:bidi="ar-SA"/>
        </w:rPr>
        <w:t xml:space="preserve">identical </w:t>
      </w:r>
      <w:r w:rsidR="00B62371" w:rsidRPr="003E7621">
        <w:rPr>
          <w:lang w:bidi="ar-SA"/>
        </w:rPr>
        <w:t>oligosaccharide’ on toddler milks could influence caregivers’ perceptions of infant formula products.</w:t>
      </w:r>
      <w:r w:rsidR="00602E9A" w:rsidRPr="003E7621">
        <w:rPr>
          <w:lang w:bidi="ar-SA"/>
        </w:rPr>
        <w:t xml:space="preserve"> In particular, they may believe infant formula products in the same product range are closer </w:t>
      </w:r>
      <w:r w:rsidR="00BC5289" w:rsidRPr="003E7621">
        <w:rPr>
          <w:lang w:bidi="ar-SA"/>
        </w:rPr>
        <w:t xml:space="preserve">in composition </w:t>
      </w:r>
      <w:r w:rsidR="00602E9A" w:rsidRPr="003E7621">
        <w:rPr>
          <w:lang w:bidi="ar-SA"/>
        </w:rPr>
        <w:t>to breastmilk than other products.</w:t>
      </w:r>
    </w:p>
    <w:p w14:paraId="640FCCF3" w14:textId="77777777" w:rsidR="00694D82" w:rsidRPr="003E7621" w:rsidRDefault="00694D82" w:rsidP="00694D82">
      <w:pPr>
        <w:rPr>
          <w:lang w:bidi="ar-SA"/>
        </w:rPr>
      </w:pPr>
    </w:p>
    <w:p w14:paraId="15EEEF4B" w14:textId="54E016E6" w:rsidR="00B716A0" w:rsidRPr="003E7621" w:rsidRDefault="00694D82" w:rsidP="00401676">
      <w:pPr>
        <w:rPr>
          <w:lang w:bidi="ar-SA"/>
        </w:rPr>
      </w:pPr>
      <w:r w:rsidRPr="003E7621">
        <w:rPr>
          <w:lang w:bidi="ar-SA"/>
        </w:rPr>
        <w:t xml:space="preserve">Noting that section 2.9.1—24 states that </w:t>
      </w:r>
      <w:r w:rsidRPr="003E7621">
        <w:rPr>
          <w:i/>
          <w:lang w:bidi="ar-SA"/>
        </w:rPr>
        <w:t xml:space="preserve">the word ‘humanised’ or ‘maternalised’ or any word or words having the same or similar effect and information relating to the nutritional content of human milk </w:t>
      </w:r>
      <w:r w:rsidRPr="003E7621">
        <w:rPr>
          <w:lang w:bidi="ar-SA"/>
        </w:rPr>
        <w:t>are prohibited on infant formula product labels, FSANZ considers the presence of terms such as ‘human milk identical</w:t>
      </w:r>
      <w:r w:rsidR="00783BDA" w:rsidRPr="003E7621">
        <w:rPr>
          <w:lang w:bidi="ar-SA"/>
        </w:rPr>
        <w:t xml:space="preserve"> oligosaccharide</w:t>
      </w:r>
      <w:r w:rsidRPr="003E7621">
        <w:rPr>
          <w:lang w:bidi="ar-SA"/>
        </w:rPr>
        <w:t xml:space="preserve">’ on FSFYC could </w:t>
      </w:r>
      <w:r w:rsidR="00183226" w:rsidRPr="003E7621">
        <w:rPr>
          <w:lang w:bidi="ar-SA"/>
        </w:rPr>
        <w:t xml:space="preserve">imply </w:t>
      </w:r>
      <w:r w:rsidRPr="003E7621">
        <w:rPr>
          <w:lang w:bidi="ar-SA"/>
        </w:rPr>
        <w:t>substantive equivalence with breastmilk.</w:t>
      </w:r>
    </w:p>
    <w:p w14:paraId="6E7B69C0" w14:textId="77777777" w:rsidR="00E37AB5" w:rsidRPr="003E7621" w:rsidRDefault="00E37AB5" w:rsidP="00401676">
      <w:pPr>
        <w:rPr>
          <w:lang w:bidi="ar-SA"/>
        </w:rPr>
      </w:pPr>
    </w:p>
    <w:p w14:paraId="57B06F04" w14:textId="06393B38" w:rsidR="00B716A0" w:rsidRPr="003E7621" w:rsidRDefault="00B716A0" w:rsidP="00401676">
      <w:pPr>
        <w:rPr>
          <w:lang w:bidi="ar-SA"/>
        </w:rPr>
      </w:pPr>
      <w:r w:rsidRPr="003E7621">
        <w:rPr>
          <w:lang w:bidi="ar-SA"/>
        </w:rPr>
        <w:t>Identifying ingredients on FSFYC</w:t>
      </w:r>
      <w:r w:rsidR="0066508C" w:rsidRPr="003E7621">
        <w:rPr>
          <w:lang w:bidi="ar-SA"/>
        </w:rPr>
        <w:t xml:space="preserve"> labels</w:t>
      </w:r>
      <w:r w:rsidRPr="003E7621">
        <w:rPr>
          <w:lang w:bidi="ar-SA"/>
        </w:rPr>
        <w:t xml:space="preserve"> using </w:t>
      </w:r>
      <w:r w:rsidR="00473FEE" w:rsidRPr="003E7621">
        <w:rPr>
          <w:lang w:bidi="ar-SA"/>
        </w:rPr>
        <w:t xml:space="preserve">such </w:t>
      </w:r>
      <w:r w:rsidRPr="003E7621">
        <w:rPr>
          <w:lang w:bidi="ar-SA"/>
        </w:rPr>
        <w:t xml:space="preserve">terms is highly likely to have the same effect on consumer understanding as statements </w:t>
      </w:r>
      <w:r w:rsidR="00604AC7" w:rsidRPr="003E7621">
        <w:rPr>
          <w:lang w:bidi="ar-SA"/>
        </w:rPr>
        <w:t xml:space="preserve">or claims </w:t>
      </w:r>
      <w:r w:rsidRPr="003E7621">
        <w:rPr>
          <w:lang w:bidi="ar-SA"/>
        </w:rPr>
        <w:t>that refer to breastmilk</w:t>
      </w:r>
      <w:r w:rsidR="00604AC7" w:rsidRPr="003E7621">
        <w:rPr>
          <w:lang w:bidi="ar-SA"/>
        </w:rPr>
        <w:t>.</w:t>
      </w:r>
      <w:r w:rsidRPr="003E7621">
        <w:rPr>
          <w:lang w:bidi="ar-SA"/>
        </w:rPr>
        <w:t xml:space="preserve"> </w:t>
      </w:r>
      <w:r w:rsidR="00A264D4" w:rsidRPr="003E7621">
        <w:rPr>
          <w:lang w:bidi="ar-SA"/>
        </w:rPr>
        <w:t>With the exception of the research by Malek et al. (2019), the research described above is limited to Australia. However, FSANZ considers New Zealand caregivers are likely to respond in a similar way to references to human milk as Australian caregivers.</w:t>
      </w:r>
    </w:p>
    <w:p w14:paraId="13A072DD" w14:textId="77777777" w:rsidR="00694D82" w:rsidRPr="003E7621" w:rsidRDefault="00694D82" w:rsidP="0081443C">
      <w:pPr>
        <w:widowControl/>
      </w:pPr>
    </w:p>
    <w:p w14:paraId="15C373A8" w14:textId="29AA82A1" w:rsidR="00D82909" w:rsidRPr="003E7621" w:rsidRDefault="00DB3D36" w:rsidP="00BD31F9">
      <w:pPr>
        <w:rPr>
          <w:b/>
          <w:bCs/>
          <w:i/>
          <w:iCs/>
          <w:szCs w:val="22"/>
          <w:lang w:bidi="ar-SA"/>
        </w:rPr>
      </w:pPr>
      <w:r w:rsidRPr="003E7621">
        <w:rPr>
          <w:noProof/>
          <w:lang w:eastAsia="en-GB" w:bidi="ar-SA"/>
        </w:rPr>
        <mc:AlternateContent>
          <mc:Choice Requires="wps">
            <w:drawing>
              <wp:inline distT="0" distB="0" distL="0" distR="0" wp14:anchorId="53918022" wp14:editId="7160D983">
                <wp:extent cx="5686425" cy="1062317"/>
                <wp:effectExtent l="0" t="0" r="28575" b="2413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062317"/>
                        </a:xfrm>
                        <a:prstGeom prst="rect">
                          <a:avLst/>
                        </a:prstGeom>
                        <a:solidFill>
                          <a:srgbClr val="FFFFFF"/>
                        </a:solidFill>
                        <a:ln w="9525">
                          <a:solidFill>
                            <a:schemeClr val="tx2">
                              <a:lumMod val="60000"/>
                              <a:lumOff val="40000"/>
                            </a:schemeClr>
                          </a:solidFill>
                          <a:miter lim="800000"/>
                          <a:headEnd/>
                          <a:tailEnd/>
                        </a:ln>
                      </wps:spPr>
                      <wps:txbx>
                        <w:txbxContent>
                          <w:p w14:paraId="020E25B6" w14:textId="0686E443" w:rsidR="0025476F" w:rsidRPr="003E7621" w:rsidRDefault="0025476F" w:rsidP="00652F2E">
                            <w:pPr>
                              <w:spacing w:after="120"/>
                            </w:pPr>
                            <w:r w:rsidRPr="003E7621">
                              <w:t xml:space="preserve">FSANZ’s approach is to specifically prohibit the </w:t>
                            </w:r>
                            <w:r w:rsidRPr="003E7621">
                              <w:rPr>
                                <w:szCs w:val="22"/>
                              </w:rPr>
                              <w:t>following terms on the label of FSFYC</w:t>
                            </w:r>
                            <w:r w:rsidRPr="003E7621">
                              <w:t>:</w:t>
                            </w:r>
                          </w:p>
                          <w:p w14:paraId="607FD3F1" w14:textId="7AA433EE" w:rsidR="0025476F" w:rsidRPr="003E7621" w:rsidRDefault="0025476F" w:rsidP="00650176">
                            <w:pPr>
                              <w:pStyle w:val="FSBullet1"/>
                            </w:pPr>
                            <w:r w:rsidRPr="003E7621">
                              <w:t xml:space="preserve">the words ‘human milk oligosaccharide’, ‘human milk identical oligosaccharide’ or any word or words having the same or similar effect </w:t>
                            </w:r>
                          </w:p>
                          <w:p w14:paraId="69B99D1C" w14:textId="48861C55" w:rsidR="0025476F" w:rsidRPr="003E7621" w:rsidRDefault="0025476F" w:rsidP="00FD0300">
                            <w:pPr>
                              <w:pStyle w:val="FSBullet1"/>
                              <w:spacing w:after="120"/>
                            </w:pPr>
                            <w:r w:rsidRPr="003E7621">
                              <w:t>the abbreviations ‘HMO’ or ‘HiMO’ or any abbreviation having the same or similar effect</w:t>
                            </w:r>
                            <w:r>
                              <w:t>.</w:t>
                            </w:r>
                          </w:p>
                          <w:p w14:paraId="2F671E19" w14:textId="4DF83E03" w:rsidR="0025476F" w:rsidRDefault="0025476F" w:rsidP="00652F2E">
                            <w:pPr>
                              <w:spacing w:after="120"/>
                            </w:pPr>
                          </w:p>
                        </w:txbxContent>
                      </wps:txbx>
                      <wps:bodyPr rot="0" vert="horz" wrap="square" lIns="91440" tIns="45720" rIns="91440" bIns="45720" anchor="t" anchorCtr="0">
                        <a:noAutofit/>
                      </wps:bodyPr>
                    </wps:wsp>
                  </a:graphicData>
                </a:graphic>
              </wp:inline>
            </w:drawing>
          </mc:Choice>
          <mc:Fallback>
            <w:pict>
              <v:shape w14:anchorId="53918022" id="Text Box 9" o:spid="_x0000_s1033" type="#_x0000_t202" style="width:447.75pt;height:8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" strokecolor="#548dd4 [1951]">
                <v:textbox>
                  <w:txbxContent>
                    <w:p w14:paraId="020E25B6" w14:textId="0686E443" w:rsidR="0025476F" w:rsidRPr="003E7621" w:rsidRDefault="0025476F" w:rsidP="00652F2E">
                      <w:pPr>
                        <w:spacing w:after="120"/>
                      </w:pPr>
                      <w:r w:rsidRPr="003E7621">
                        <w:t xml:space="preserve">FSANZ’s approach is to specifically prohibit the </w:t>
                      </w:r>
                      <w:r w:rsidRPr="003E7621">
                        <w:rPr>
                          <w:szCs w:val="22"/>
                        </w:rPr>
                        <w:t>following terms on the label of FSFYC</w:t>
                      </w:r>
                      <w:r w:rsidRPr="003E7621">
                        <w:t>:</w:t>
                      </w:r>
                    </w:p>
                    <w:p w14:paraId="607FD3F1" w14:textId="7AA433EE" w:rsidR="0025476F" w:rsidRPr="003E7621" w:rsidRDefault="0025476F" w:rsidP="00650176">
                      <w:pPr>
                        <w:pStyle w:val="FSBullet1"/>
                      </w:pPr>
                      <w:r w:rsidRPr="003E7621">
                        <w:t xml:space="preserve">the words ‘human milk oligosaccharide’, ‘human milk identical oligosaccharide’ or any word or words having the same or similar effect </w:t>
                      </w:r>
                    </w:p>
                    <w:p w14:paraId="69B99D1C" w14:textId="48861C55" w:rsidR="0025476F" w:rsidRPr="003E7621" w:rsidRDefault="0025476F" w:rsidP="00FD0300">
                      <w:pPr>
                        <w:pStyle w:val="FSBullet1"/>
                        <w:spacing w:after="120"/>
                      </w:pPr>
                      <w:r w:rsidRPr="003E7621">
                        <w:t>the abbreviations ‘HMO’ or ‘HiMO’ or any abbreviation having the same or similar effect</w:t>
                      </w:r>
                      <w:r>
                        <w:t>.</w:t>
                      </w:r>
                    </w:p>
                    <w:p w14:paraId="2F671E19" w14:textId="4DF83E03" w:rsidR="0025476F" w:rsidRDefault="0025476F" w:rsidP="00652F2E">
                      <w:pPr>
                        <w:spacing w:after="120"/>
                      </w:pPr>
                    </w:p>
                  </w:txbxContent>
                </v:textbox>
                <w10:anchorlock/>
              </v:shape>
            </w:pict>
          </mc:Fallback>
        </mc:AlternateContent>
      </w:r>
    </w:p>
    <w:p w14:paraId="3047EDEC" w14:textId="051A79A8" w:rsidR="00337A32" w:rsidRPr="003E7621" w:rsidRDefault="00DB7CD9" w:rsidP="00652F2E">
      <w:pPr>
        <w:pStyle w:val="Heading4"/>
      </w:pPr>
      <w:r w:rsidRPr="003E7621">
        <w:t>2.3</w:t>
      </w:r>
      <w:r w:rsidR="003C56AC" w:rsidRPr="003E7621">
        <w:t>.</w:t>
      </w:r>
      <w:r w:rsidR="00DA15EB" w:rsidRPr="003E7621">
        <w:t>5</w:t>
      </w:r>
      <w:r w:rsidR="003C56AC" w:rsidRPr="003E7621">
        <w:t>.</w:t>
      </w:r>
      <w:r w:rsidR="00B014B5" w:rsidRPr="003E7621">
        <w:t>3</w:t>
      </w:r>
      <w:r w:rsidR="00337A32" w:rsidRPr="003E7621">
        <w:tab/>
        <w:t xml:space="preserve">Mandatory nutrition information </w:t>
      </w:r>
      <w:r w:rsidR="00027CED" w:rsidRPr="003E7621">
        <w:t xml:space="preserve"> </w:t>
      </w:r>
    </w:p>
    <w:p w14:paraId="60824A9C" w14:textId="4C8E8F01" w:rsidR="00276E8B" w:rsidRPr="003E7621" w:rsidRDefault="00A83F12" w:rsidP="009C3EC2">
      <w:r w:rsidRPr="003E7621">
        <w:t>For infant formula products, s</w:t>
      </w:r>
      <w:r w:rsidR="001F6C17" w:rsidRPr="003E7621">
        <w:t>ection 2.9.1—21</w:t>
      </w:r>
      <w:r w:rsidR="001B46DA" w:rsidRPr="003E7621">
        <w:t xml:space="preserve"> </w:t>
      </w:r>
      <w:r w:rsidR="001F6C17" w:rsidRPr="003E7621">
        <w:t>regulates the declaration of nutrition information in</w:t>
      </w:r>
      <w:r w:rsidRPr="003E7621">
        <w:t xml:space="preserve"> a nutrition information statement on</w:t>
      </w:r>
      <w:r w:rsidR="001F6C17" w:rsidRPr="003E7621">
        <w:t xml:space="preserve"> the label. </w:t>
      </w:r>
      <w:r w:rsidR="00027CED" w:rsidRPr="003E7621">
        <w:t xml:space="preserve">The nutrition information statement </w:t>
      </w:r>
      <w:r w:rsidR="00276E8B" w:rsidRPr="003E7621">
        <w:t>is a single statement</w:t>
      </w:r>
      <w:r w:rsidR="008B21DD" w:rsidRPr="003E7621">
        <w:t xml:space="preserve"> and</w:t>
      </w:r>
      <w:r w:rsidR="00276E8B" w:rsidRPr="003E7621">
        <w:t xml:space="preserve"> </w:t>
      </w:r>
      <w:r w:rsidR="00027CED" w:rsidRPr="003E7621">
        <w:t>may be in the form of a table</w:t>
      </w:r>
      <w:r w:rsidR="008B21DD" w:rsidRPr="003E7621">
        <w:t>,</w:t>
      </w:r>
      <w:r w:rsidR="00027CED" w:rsidRPr="003E7621">
        <w:t xml:space="preserve"> as indicated in </w:t>
      </w:r>
      <w:r w:rsidR="002D7F97" w:rsidRPr="003E7621">
        <w:t xml:space="preserve">section </w:t>
      </w:r>
      <w:r w:rsidR="00027CED" w:rsidRPr="003E7621">
        <w:t xml:space="preserve">S29—10 </w:t>
      </w:r>
      <w:r w:rsidR="000E3827" w:rsidRPr="003E7621">
        <w:t xml:space="preserve">– </w:t>
      </w:r>
      <w:r w:rsidR="00027CED" w:rsidRPr="003E7621">
        <w:t xml:space="preserve">Guidelines for infant formula products. </w:t>
      </w:r>
    </w:p>
    <w:p w14:paraId="0BD29A23" w14:textId="32896870" w:rsidR="00276E8B" w:rsidRPr="003E7621" w:rsidRDefault="00276E8B" w:rsidP="009C3EC2"/>
    <w:p w14:paraId="205E0F7E" w14:textId="7A144277" w:rsidR="00337A32" w:rsidRPr="003E7621" w:rsidRDefault="00B5260C" w:rsidP="00E763EA">
      <w:r w:rsidRPr="003E7621">
        <w:t xml:space="preserve">Paragraph 2.9.1—21(1)(iii) requires the average amount of each vitamin and mineral and any other substance </w:t>
      </w:r>
      <w:r w:rsidRPr="003E7621">
        <w:rPr>
          <w:i/>
        </w:rPr>
        <w:t>used as a nutritive substance</w:t>
      </w:r>
      <w:r w:rsidRPr="003E7621">
        <w:t xml:space="preserve"> permitted by the standard to be declared in the nutrition information statement. </w:t>
      </w:r>
      <w:r w:rsidR="0061046A" w:rsidRPr="003E7621">
        <w:t xml:space="preserve">As </w:t>
      </w:r>
      <w:r w:rsidR="00C70340" w:rsidRPr="003E7621">
        <w:t>FSANZ proposes to permit both 2</w:t>
      </w:r>
      <w:r w:rsidR="00567609" w:rsidRPr="003E7621">
        <w:t>′</w:t>
      </w:r>
      <w:r w:rsidR="00C70340" w:rsidRPr="003E7621">
        <w:t xml:space="preserve">-FL and LNnT to be </w:t>
      </w:r>
      <w:r w:rsidR="0061046A" w:rsidRPr="003E7621">
        <w:rPr>
          <w:i/>
        </w:rPr>
        <w:t xml:space="preserve">used as a nutritive substance </w:t>
      </w:r>
      <w:r w:rsidR="0061046A" w:rsidRPr="003E7621">
        <w:t>in infant formula products, whe</w:t>
      </w:r>
      <w:r w:rsidR="00D200FC" w:rsidRPr="003E7621">
        <w:t>n</w:t>
      </w:r>
      <w:r w:rsidR="0061046A" w:rsidRPr="003E7621">
        <w:t xml:space="preserve"> they are used, they</w:t>
      </w:r>
      <w:r w:rsidR="00C70340" w:rsidRPr="003E7621">
        <w:t xml:space="preserve"> must be declared in the n</w:t>
      </w:r>
      <w:r w:rsidR="00934A4B" w:rsidRPr="003E7621">
        <w:t>utrition information statement.</w:t>
      </w:r>
      <w:r w:rsidR="00CD6FB6" w:rsidRPr="003E7621">
        <w:t xml:space="preserve"> </w:t>
      </w:r>
    </w:p>
    <w:p w14:paraId="672443D7" w14:textId="66F06422" w:rsidR="001C53C0" w:rsidRPr="003E7621" w:rsidRDefault="001C53C0" w:rsidP="00E763EA"/>
    <w:p w14:paraId="23BE871F" w14:textId="6C3C49F5" w:rsidR="00ED5B13" w:rsidRPr="003E7621" w:rsidRDefault="001C53C0" w:rsidP="00E763EA">
      <w:r w:rsidRPr="003E7621">
        <w:t xml:space="preserve">For FSFYC, the existing </w:t>
      </w:r>
      <w:r w:rsidR="00AC0970" w:rsidRPr="003E7621">
        <w:t xml:space="preserve">general </w:t>
      </w:r>
      <w:r w:rsidRPr="003E7621">
        <w:t xml:space="preserve">requirements </w:t>
      </w:r>
      <w:r w:rsidR="00014AEF" w:rsidRPr="003E7621">
        <w:t xml:space="preserve">in Standard 1.2.8 – Nutrition information requirements </w:t>
      </w:r>
      <w:r w:rsidR="006B4E2C" w:rsidRPr="003E7621">
        <w:t xml:space="preserve">would </w:t>
      </w:r>
      <w:r w:rsidR="00014AEF" w:rsidRPr="003E7621">
        <w:t>apply. That is, t</w:t>
      </w:r>
      <w:r w:rsidR="00946258" w:rsidRPr="003E7621">
        <w:t>he addition of 2</w:t>
      </w:r>
      <w:r w:rsidR="00567609" w:rsidRPr="003E7621">
        <w:t>′</w:t>
      </w:r>
      <w:r w:rsidR="00004FAF" w:rsidRPr="003E7621">
        <w:t>-</w:t>
      </w:r>
      <w:r w:rsidR="00946258" w:rsidRPr="003E7621">
        <w:t xml:space="preserve">FL </w:t>
      </w:r>
      <w:r w:rsidR="00E1548A" w:rsidRPr="003E7621">
        <w:t xml:space="preserve">alone </w:t>
      </w:r>
      <w:r w:rsidR="009013B4" w:rsidRPr="003E7621">
        <w:t>or with</w:t>
      </w:r>
      <w:r w:rsidR="00946258" w:rsidRPr="003E7621">
        <w:t xml:space="preserve"> LNnT to FSFYC as ingredients</w:t>
      </w:r>
      <w:r w:rsidR="00E1548A" w:rsidRPr="003E7621">
        <w:t>,</w:t>
      </w:r>
      <w:r w:rsidR="00946258" w:rsidRPr="003E7621">
        <w:t xml:space="preserve"> would not trigger a mandatory declaration in the nutrition information panel (NIP) unless a claim requiring nutrition information (a nutrition content claim or a health claim) is made. </w:t>
      </w:r>
    </w:p>
    <w:p w14:paraId="3DCDD0A9" w14:textId="77777777" w:rsidR="00FA6D48" w:rsidRPr="003E7621" w:rsidRDefault="00FA6D48" w:rsidP="00E763EA"/>
    <w:p w14:paraId="339156BF" w14:textId="096D366E" w:rsidR="00B51E8E" w:rsidRPr="003E7621" w:rsidRDefault="00C516DB" w:rsidP="00E763EA">
      <w:r w:rsidRPr="003E7621">
        <w:t xml:space="preserve">When a nutrition </w:t>
      </w:r>
      <w:r w:rsidR="00014AEF" w:rsidRPr="003E7621">
        <w:t xml:space="preserve">content </w:t>
      </w:r>
      <w:r w:rsidRPr="003E7621">
        <w:t>claim is made, t</w:t>
      </w:r>
      <w:r w:rsidR="001F45DE" w:rsidRPr="003E7621">
        <w:t xml:space="preserve">he property of the food that is the subject of the claim dictates how the </w:t>
      </w:r>
      <w:r w:rsidR="00453BA3" w:rsidRPr="003E7621">
        <w:t xml:space="preserve">declaration </w:t>
      </w:r>
      <w:r w:rsidR="001F45DE" w:rsidRPr="003E7621">
        <w:t xml:space="preserve">should be made in the NIP. For example, if a nutrition content claim about </w:t>
      </w:r>
      <w:r w:rsidR="00ED5942" w:rsidRPr="003E7621">
        <w:t xml:space="preserve">dietary </w:t>
      </w:r>
      <w:r w:rsidR="001F45DE" w:rsidRPr="003E7621">
        <w:t xml:space="preserve">fibre is made for </w:t>
      </w:r>
      <w:r w:rsidR="00453BA3" w:rsidRPr="003E7621">
        <w:t>2</w:t>
      </w:r>
      <w:r w:rsidR="00567609" w:rsidRPr="003E7621">
        <w:t>′</w:t>
      </w:r>
      <w:r w:rsidR="00004FAF" w:rsidRPr="003E7621">
        <w:t>-</w:t>
      </w:r>
      <w:r w:rsidR="00453BA3" w:rsidRPr="003E7621">
        <w:t>FL or LNnT</w:t>
      </w:r>
      <w:r w:rsidR="001F45DE" w:rsidRPr="003E7621">
        <w:t xml:space="preserve">, the NIP must include a declaration of the presence of dietary fibre in accordance with </w:t>
      </w:r>
      <w:r w:rsidR="00014AEF" w:rsidRPr="003E7621">
        <w:t xml:space="preserve">section 1.2.8—6(5). </w:t>
      </w:r>
    </w:p>
    <w:p w14:paraId="5D40E5BE" w14:textId="38B0A4EE" w:rsidR="00001139" w:rsidRPr="003E7621" w:rsidRDefault="00001139" w:rsidP="00E763EA"/>
    <w:p w14:paraId="725AAD84" w14:textId="77BB3D6D" w:rsidR="00D840EA" w:rsidRPr="003E7621" w:rsidRDefault="00CD6FB6" w:rsidP="00D840EA">
      <w:r w:rsidRPr="003E7621">
        <w:t>FSANZ’s preferred approach</w:t>
      </w:r>
      <w:r w:rsidR="00D840EA" w:rsidRPr="003E7621">
        <w:t xml:space="preserve"> </w:t>
      </w:r>
      <w:r w:rsidRPr="003E7621">
        <w:t>in which the ingredient names are not prescribed</w:t>
      </w:r>
      <w:r w:rsidR="00D840EA" w:rsidRPr="003E7621">
        <w:t xml:space="preserve"> (</w:t>
      </w:r>
      <w:r w:rsidR="00B06547" w:rsidRPr="003E7621">
        <w:t>see</w:t>
      </w:r>
      <w:r w:rsidR="00D840EA" w:rsidRPr="003E7621">
        <w:t xml:space="preserve"> section 2.3.5.</w:t>
      </w:r>
      <w:r w:rsidR="00B06547" w:rsidRPr="003E7621">
        <w:t>1</w:t>
      </w:r>
      <w:r w:rsidR="00D840EA" w:rsidRPr="003E7621">
        <w:t>)</w:t>
      </w:r>
      <w:r w:rsidRPr="003E7621" w:rsidDel="00C10DF4">
        <w:t xml:space="preserve"> </w:t>
      </w:r>
      <w:r w:rsidRPr="003E7621">
        <w:t>would mean that the use of acronyms</w:t>
      </w:r>
      <w:r w:rsidR="00C10DF4" w:rsidRPr="003E7621">
        <w:t xml:space="preserve"> (e.g. </w:t>
      </w:r>
      <w:r w:rsidR="00B51870" w:rsidRPr="003E7621">
        <w:t>2′</w:t>
      </w:r>
      <w:r w:rsidR="00C10DF4" w:rsidRPr="003E7621">
        <w:t>-FL or LNnT)</w:t>
      </w:r>
      <w:r w:rsidRPr="003E7621">
        <w:t xml:space="preserve"> is not prohibited on infant formula products or FSFYC. </w:t>
      </w:r>
      <w:r w:rsidR="00D840EA" w:rsidRPr="003E7621">
        <w:t>However, manufacturers would be prohibited from using the terms ‘human milk</w:t>
      </w:r>
      <w:r w:rsidR="00C10DF4" w:rsidRPr="003E7621">
        <w:t xml:space="preserve"> ol</w:t>
      </w:r>
      <w:r w:rsidR="007036ED" w:rsidRPr="003E7621">
        <w:t>igo</w:t>
      </w:r>
      <w:r w:rsidR="00C10DF4" w:rsidRPr="003E7621">
        <w:t>saccharide</w:t>
      </w:r>
      <w:r w:rsidR="00D840EA" w:rsidRPr="003E7621">
        <w:t>’, ‘human milk identical</w:t>
      </w:r>
      <w:r w:rsidR="00C10DF4" w:rsidRPr="003E7621">
        <w:t xml:space="preserve"> oligosaccharide</w:t>
      </w:r>
      <w:r w:rsidR="00D840EA" w:rsidRPr="003E7621">
        <w:t xml:space="preserve">’ or abbreviations of these (or words or abbreviations having the same or similar effect) when making a mandatory nutrition declaration for an infant formula product or a FSFYC (when a voluntary claim is made for the latter). </w:t>
      </w:r>
    </w:p>
    <w:p w14:paraId="733369F2" w14:textId="2D63BFD0" w:rsidR="009C3EC2" w:rsidRDefault="003C56AC" w:rsidP="009C3EC2">
      <w:pPr>
        <w:pStyle w:val="Heading4"/>
      </w:pPr>
      <w:r w:rsidRPr="003E7621">
        <w:t>2.</w:t>
      </w:r>
      <w:r w:rsidR="00DB7CD9" w:rsidRPr="003E7621">
        <w:t>3</w:t>
      </w:r>
      <w:r w:rsidRPr="003E7621">
        <w:t>.</w:t>
      </w:r>
      <w:r w:rsidR="00DA15EB" w:rsidRPr="003E7621">
        <w:t>5</w:t>
      </w:r>
      <w:r w:rsidRPr="003E7621">
        <w:t>.</w:t>
      </w:r>
      <w:r w:rsidR="00B014B5" w:rsidRPr="003E7621">
        <w:t>4</w:t>
      </w:r>
      <w:r w:rsidRPr="003E7621">
        <w:tab/>
      </w:r>
      <w:r w:rsidR="009C3EC2" w:rsidRPr="003E7621">
        <w:t>Voluntary representations</w:t>
      </w:r>
    </w:p>
    <w:p w14:paraId="31A379B8" w14:textId="14908E28" w:rsidR="00632F05" w:rsidRDefault="00632F05" w:rsidP="00632F05">
      <w:r w:rsidRPr="003F4AD1">
        <w:t>Subsection 1.2.7—4(b) of Standard 1.2.7 states that a nutrition content claim or health claim must not be made about an infant formula product.</w:t>
      </w:r>
    </w:p>
    <w:p w14:paraId="50E3BAAC" w14:textId="77777777" w:rsidR="0021485D" w:rsidRDefault="0021485D" w:rsidP="0021485D"/>
    <w:p w14:paraId="1F845BBA" w14:textId="70284166" w:rsidR="00632F05" w:rsidRDefault="00632F05" w:rsidP="00B82323">
      <w:pPr>
        <w:widowControl/>
      </w:pPr>
      <w:r>
        <w:t>The prohibition is a</w:t>
      </w:r>
      <w:r w:rsidR="00E573F9">
        <w:t>lso set out in section 2.9.1—24</w:t>
      </w:r>
      <w:r>
        <w:t>(1)(f) of Standard 2.9.1</w:t>
      </w:r>
      <w:r w:rsidR="002F459B">
        <w:t>, which</w:t>
      </w:r>
      <w:r w:rsidR="009C3EC2">
        <w:t xml:space="preserve"> prohibits a reference to the presence of a nutrient or substance that may be used as a nutritive substance, except </w:t>
      </w:r>
      <w:r w:rsidR="002F459B">
        <w:t>for a statement relating</w:t>
      </w:r>
      <w:r w:rsidR="009C3EC2" w:rsidRPr="00136178">
        <w:t xml:space="preserve"> to lactose</w:t>
      </w:r>
      <w:r w:rsidR="002F459B">
        <w:t>, a statement of ingredients</w:t>
      </w:r>
      <w:r w:rsidR="009C3EC2" w:rsidRPr="00136178">
        <w:t xml:space="preserve"> or </w:t>
      </w:r>
      <w:r w:rsidR="002F459B">
        <w:t>a declaration of</w:t>
      </w:r>
      <w:r w:rsidR="009C3EC2" w:rsidRPr="00136178">
        <w:t xml:space="preserve"> nutrition information</w:t>
      </w:r>
      <w:r w:rsidR="00934A4B">
        <w:t>.</w:t>
      </w:r>
    </w:p>
    <w:p w14:paraId="0E4BF5CF" w14:textId="77777777" w:rsidR="00632F05" w:rsidRDefault="00632F05" w:rsidP="009C3EC2"/>
    <w:p w14:paraId="55CC6FBA" w14:textId="620BEF76" w:rsidR="009C3EC2" w:rsidRDefault="00632F05" w:rsidP="009C3EC2">
      <w:r>
        <w:t xml:space="preserve">This </w:t>
      </w:r>
      <w:r w:rsidR="00D43BF4">
        <w:t>regulatory</w:t>
      </w:r>
      <w:r>
        <w:t xml:space="preserve"> approach is consistent with the </w:t>
      </w:r>
      <w:r w:rsidR="00F65235">
        <w:t xml:space="preserve">Ministerial </w:t>
      </w:r>
      <w:r>
        <w:t>Policy Guideline</w:t>
      </w:r>
      <w:r w:rsidR="00F65235">
        <w:t>s</w:t>
      </w:r>
      <w:r>
        <w:t xml:space="preserve"> on Nutrition, Health and Related Claims</w:t>
      </w:r>
      <w:r w:rsidR="00D82909">
        <w:rPr>
          <w:rStyle w:val="FootnoteReference"/>
        </w:rPr>
        <w:footnoteReference w:id="15"/>
      </w:r>
      <w:r>
        <w:t xml:space="preserve"> and the Regulation of Infant Formula Products</w:t>
      </w:r>
      <w:r w:rsidR="00014AEF" w:rsidRPr="00014AEF">
        <w:t xml:space="preserve"> </w:t>
      </w:r>
      <w:r w:rsidR="00014AEF">
        <w:t>(specific policy principle n</w:t>
      </w:r>
      <w:r w:rsidR="00DB79B2">
        <w:t xml:space="preserve">, </w:t>
      </w:r>
      <w:r w:rsidR="0061046A">
        <w:t>see</w:t>
      </w:r>
      <w:r w:rsidR="00DB79B2">
        <w:t xml:space="preserve"> </w:t>
      </w:r>
      <w:r w:rsidR="00724A02">
        <w:t>SD2</w:t>
      </w:r>
      <w:r w:rsidR="00014AEF">
        <w:t>)</w:t>
      </w:r>
      <w:r>
        <w:t xml:space="preserve">. </w:t>
      </w:r>
    </w:p>
    <w:p w14:paraId="1EE70E96" w14:textId="77777777" w:rsidR="009C3EC2" w:rsidRDefault="009C3EC2" w:rsidP="009C3EC2"/>
    <w:p w14:paraId="3EC546A2" w14:textId="2E290EE4" w:rsidR="00843575" w:rsidRDefault="00843575" w:rsidP="00E763EA">
      <w:r>
        <w:t xml:space="preserve">The existing prohibition for nutrition content claims and health claims </w:t>
      </w:r>
      <w:r w:rsidR="00B34807">
        <w:t xml:space="preserve">for infant formula products </w:t>
      </w:r>
      <w:r>
        <w:t>w</w:t>
      </w:r>
      <w:r w:rsidR="00B34807">
        <w:t>ould</w:t>
      </w:r>
      <w:r w:rsidDel="00724A02">
        <w:t xml:space="preserve"> </w:t>
      </w:r>
      <w:r w:rsidR="00724A02">
        <w:t xml:space="preserve">apply </w:t>
      </w:r>
      <w:r>
        <w:t>to 2</w:t>
      </w:r>
      <w:r w:rsidR="00567609">
        <w:t>′</w:t>
      </w:r>
      <w:r w:rsidR="00004FAF">
        <w:t>-</w:t>
      </w:r>
      <w:r>
        <w:t>FL and LNn</w:t>
      </w:r>
      <w:r w:rsidR="0021485D">
        <w:t>T</w:t>
      </w:r>
      <w:r>
        <w:t xml:space="preserve">. </w:t>
      </w:r>
      <w:r w:rsidR="003C0772">
        <w:t>Inclusion of</w:t>
      </w:r>
      <w:r w:rsidR="00E14F45" w:rsidRPr="0061046A" w:rsidDel="003C0772">
        <w:t xml:space="preserve"> </w:t>
      </w:r>
      <w:r w:rsidR="00E14F45" w:rsidRPr="0061046A">
        <w:t>these substances</w:t>
      </w:r>
      <w:r w:rsidR="00E14F45">
        <w:t xml:space="preserve"> </w:t>
      </w:r>
      <w:r w:rsidR="003C0772">
        <w:t>in the nutrition information statement</w:t>
      </w:r>
      <w:r w:rsidR="003C0772" w:rsidRPr="003C0772">
        <w:t xml:space="preserve"> </w:t>
      </w:r>
      <w:r w:rsidR="00E14F45">
        <w:t>would not be captured as nutrition content claims by virtue of th</w:t>
      </w:r>
      <w:r w:rsidR="00E31DF5">
        <w:t xml:space="preserve">eir declaration being mandatory </w:t>
      </w:r>
      <w:r w:rsidR="003C0772">
        <w:t>as required in paragraph 2.9.1—24(1)(f) of the Code</w:t>
      </w:r>
      <w:r w:rsidR="00DB79B2">
        <w:t>.</w:t>
      </w:r>
      <w:r w:rsidR="00E14F45">
        <w:t xml:space="preserve"> </w:t>
      </w:r>
    </w:p>
    <w:p w14:paraId="65CB49A8" w14:textId="77777777" w:rsidR="00843575" w:rsidRDefault="00843575" w:rsidP="00E763EA"/>
    <w:p w14:paraId="41193097" w14:textId="06038D2C" w:rsidR="00797FDC" w:rsidRPr="003E7621" w:rsidRDefault="00E14F45" w:rsidP="00BD31F9">
      <w:pPr>
        <w:widowControl/>
      </w:pPr>
      <w:r>
        <w:t>In contrast, t</w:t>
      </w:r>
      <w:r w:rsidR="002F459B">
        <w:t xml:space="preserve">here is no prohibition in the Code for nutrition content or health claims to be made about FSFYC. </w:t>
      </w:r>
      <w:r w:rsidR="00BD404F">
        <w:t>Existing c</w:t>
      </w:r>
      <w:r w:rsidR="00FE1CA0">
        <w:t xml:space="preserve">laim </w:t>
      </w:r>
      <w:r w:rsidR="00797FDC">
        <w:t xml:space="preserve">requirements and </w:t>
      </w:r>
      <w:r w:rsidR="00FE1CA0">
        <w:t xml:space="preserve">conditions set out in Standard 1.2.7 and Schedule 4 </w:t>
      </w:r>
      <w:r w:rsidR="00BD31F9">
        <w:t>–</w:t>
      </w:r>
      <w:r w:rsidR="00724A02">
        <w:t xml:space="preserve"> </w:t>
      </w:r>
      <w:r w:rsidR="00FE1CA0">
        <w:t xml:space="preserve">Nutrition, health and related claims </w:t>
      </w:r>
      <w:r w:rsidR="00797FDC">
        <w:t>w</w:t>
      </w:r>
      <w:r w:rsidR="00250140">
        <w:t>ould</w:t>
      </w:r>
      <w:r w:rsidR="00797FDC">
        <w:t xml:space="preserve"> therefore apply</w:t>
      </w:r>
      <w:r w:rsidR="00B34807">
        <w:t xml:space="preserve"> to FSFYC</w:t>
      </w:r>
      <w:r w:rsidR="00797FDC">
        <w:t xml:space="preserve">. </w:t>
      </w:r>
      <w:r w:rsidR="00143705" w:rsidRPr="003E7621">
        <w:rPr>
          <w:rFonts w:cs="Arial"/>
          <w:szCs w:val="22"/>
        </w:rPr>
        <w:t xml:space="preserve">This is consistent with the current approach for other permitted substances (e.g. lutein, GOS) that may be added voluntarily to FSFYC. </w:t>
      </w:r>
    </w:p>
    <w:p w14:paraId="3B35647B" w14:textId="2B3132DE" w:rsidR="00147CB5" w:rsidRPr="003E7621" w:rsidRDefault="00147CB5" w:rsidP="00147CB5">
      <w:pPr>
        <w:rPr>
          <w:rFonts w:cs="Arial"/>
          <w:sz w:val="20"/>
          <w:szCs w:val="20"/>
        </w:rPr>
      </w:pPr>
    </w:p>
    <w:p w14:paraId="4691BDE5" w14:textId="66225134" w:rsidR="000F4E4B" w:rsidRPr="003E7621" w:rsidRDefault="00143705" w:rsidP="00BD31F9">
      <w:pPr>
        <w:widowControl/>
        <w:rPr>
          <w:rFonts w:cs="Arial"/>
          <w:szCs w:val="22"/>
        </w:rPr>
      </w:pPr>
      <w:r w:rsidRPr="003E7621">
        <w:rPr>
          <w:rFonts w:cs="Arial"/>
          <w:szCs w:val="22"/>
        </w:rPr>
        <w:t>However, n</w:t>
      </w:r>
      <w:r w:rsidR="000F4E4B" w:rsidRPr="003E7621">
        <w:rPr>
          <w:rFonts w:cs="Arial"/>
          <w:szCs w:val="22"/>
        </w:rPr>
        <w:t>oting the preferred approach in section 2.3.5.</w:t>
      </w:r>
      <w:r w:rsidR="00B014B5" w:rsidRPr="003E7621">
        <w:rPr>
          <w:rFonts w:cs="Arial"/>
          <w:szCs w:val="22"/>
        </w:rPr>
        <w:t>2</w:t>
      </w:r>
      <w:r w:rsidR="000F4E4B" w:rsidRPr="003E7621">
        <w:rPr>
          <w:rFonts w:cs="Arial"/>
          <w:szCs w:val="22"/>
        </w:rPr>
        <w:t>, terms such as ‘human milk identical</w:t>
      </w:r>
      <w:r w:rsidR="005E3EDC" w:rsidRPr="003E7621">
        <w:rPr>
          <w:rFonts w:cs="Arial"/>
          <w:szCs w:val="22"/>
        </w:rPr>
        <w:t xml:space="preserve"> oligosaccharide</w:t>
      </w:r>
      <w:r w:rsidR="000F4E4B" w:rsidRPr="003E7621">
        <w:rPr>
          <w:rFonts w:cs="Arial"/>
          <w:szCs w:val="22"/>
        </w:rPr>
        <w:t xml:space="preserve">’ or abbreviations such as ‘HiMO’ would be prohibited, meaning they could not be used </w:t>
      </w:r>
      <w:r w:rsidR="00307FA6" w:rsidRPr="003E7621">
        <w:rPr>
          <w:rFonts w:cs="Arial"/>
          <w:szCs w:val="22"/>
        </w:rPr>
        <w:t xml:space="preserve">in the wording of </w:t>
      </w:r>
      <w:r w:rsidR="000F4E4B" w:rsidRPr="003E7621">
        <w:rPr>
          <w:rFonts w:cs="Arial"/>
          <w:szCs w:val="22"/>
        </w:rPr>
        <w:t xml:space="preserve">a nutrition content or </w:t>
      </w:r>
      <w:r w:rsidR="000F4E4B" w:rsidRPr="003E7621" w:rsidDel="00991464">
        <w:rPr>
          <w:rFonts w:cs="Arial"/>
          <w:szCs w:val="22"/>
        </w:rPr>
        <w:t xml:space="preserve">health </w:t>
      </w:r>
      <w:r w:rsidR="00991464" w:rsidRPr="003E7621">
        <w:rPr>
          <w:rFonts w:cs="Arial"/>
          <w:szCs w:val="22"/>
        </w:rPr>
        <w:t>claim</w:t>
      </w:r>
      <w:r w:rsidR="000F4E4B" w:rsidRPr="003E7621">
        <w:rPr>
          <w:rFonts w:cs="Arial"/>
          <w:szCs w:val="22"/>
        </w:rPr>
        <w:t xml:space="preserve"> for FSFYC.</w:t>
      </w:r>
    </w:p>
    <w:p w14:paraId="29EFE31F" w14:textId="24E51000" w:rsidR="00467529" w:rsidRPr="003E7621" w:rsidRDefault="003C56AC" w:rsidP="00467529">
      <w:pPr>
        <w:pStyle w:val="Heading4"/>
      </w:pPr>
      <w:r w:rsidRPr="003E7621">
        <w:t>2.</w:t>
      </w:r>
      <w:r w:rsidR="00DB7CD9" w:rsidRPr="003E7621">
        <w:t>3</w:t>
      </w:r>
      <w:r w:rsidRPr="003E7621">
        <w:t>.</w:t>
      </w:r>
      <w:r w:rsidR="00DA15EB" w:rsidRPr="003E7621">
        <w:t>5</w:t>
      </w:r>
      <w:r w:rsidRPr="003E7621">
        <w:t>.</w:t>
      </w:r>
      <w:r w:rsidR="000F082C" w:rsidRPr="003E7621">
        <w:t>5</w:t>
      </w:r>
      <w:r w:rsidR="00467529" w:rsidRPr="003E7621">
        <w:tab/>
        <w:t>Labelling as ‘genetically modified’</w:t>
      </w:r>
    </w:p>
    <w:p w14:paraId="13EA841E" w14:textId="7CB631D2" w:rsidR="0043255C" w:rsidRPr="003E7621" w:rsidRDefault="00C6751C" w:rsidP="00E763EA">
      <w:r w:rsidRPr="003E7621">
        <w:t>As discussed in t</w:t>
      </w:r>
      <w:r w:rsidR="000230C9" w:rsidRPr="003E7621">
        <w:t>he safety</w:t>
      </w:r>
      <w:r w:rsidR="003139B2" w:rsidRPr="003E7621">
        <w:t xml:space="preserve">, </w:t>
      </w:r>
      <w:r w:rsidR="003B6517" w:rsidRPr="003E7621">
        <w:t>technical</w:t>
      </w:r>
      <w:r w:rsidR="003139B2" w:rsidRPr="003E7621">
        <w:t xml:space="preserve"> and health effects</w:t>
      </w:r>
      <w:r w:rsidR="003B6517" w:rsidRPr="003E7621">
        <w:t xml:space="preserve"> </w:t>
      </w:r>
      <w:r w:rsidR="000230C9" w:rsidRPr="003E7621">
        <w:t>assessment</w:t>
      </w:r>
      <w:r w:rsidR="00B3761A" w:rsidRPr="003E7621">
        <w:t xml:space="preserve"> </w:t>
      </w:r>
      <w:r w:rsidRPr="003E7621">
        <w:t xml:space="preserve">(SD1), </w:t>
      </w:r>
      <w:r w:rsidR="004A48DA" w:rsidRPr="003E7621">
        <w:t>2</w:t>
      </w:r>
      <w:r w:rsidR="00567609" w:rsidRPr="003E7621">
        <w:t>′</w:t>
      </w:r>
      <w:r w:rsidR="00004FAF" w:rsidRPr="003E7621">
        <w:t>-</w:t>
      </w:r>
      <w:r w:rsidR="004A48DA" w:rsidRPr="003E7621">
        <w:t xml:space="preserve">FL and LNnT are highly </w:t>
      </w:r>
      <w:r w:rsidR="004A48DA" w:rsidRPr="003E7621">
        <w:rPr>
          <w:rFonts w:cs="Arial"/>
        </w:rPr>
        <w:t>unlikely to contain</w:t>
      </w:r>
      <w:r w:rsidR="00C96DF9" w:rsidRPr="003E7621">
        <w:t xml:space="preserve"> </w:t>
      </w:r>
      <w:r w:rsidR="00B422E3" w:rsidRPr="003E7621">
        <w:t xml:space="preserve">novel protein </w:t>
      </w:r>
      <w:r w:rsidR="004F3E47" w:rsidRPr="003E7621">
        <w:t>or</w:t>
      </w:r>
      <w:r w:rsidR="009D1E54" w:rsidRPr="003E7621">
        <w:t xml:space="preserve"> DNA </w:t>
      </w:r>
      <w:r w:rsidR="004A48DA" w:rsidRPr="003E7621">
        <w:rPr>
          <w:rFonts w:cs="Arial"/>
        </w:rPr>
        <w:t xml:space="preserve">due to </w:t>
      </w:r>
      <w:r w:rsidR="00B3761A" w:rsidRPr="003E7621">
        <w:t xml:space="preserve">the </w:t>
      </w:r>
      <w:r w:rsidR="004A48DA" w:rsidRPr="003E7621">
        <w:rPr>
          <w:rFonts w:cs="Arial"/>
        </w:rPr>
        <w:t>purification step used</w:t>
      </w:r>
      <w:r w:rsidR="00C11032" w:rsidRPr="003E7621">
        <w:t xml:space="preserve"> </w:t>
      </w:r>
      <w:r w:rsidR="00C96DF9" w:rsidRPr="003E7621">
        <w:t>in the</w:t>
      </w:r>
      <w:r w:rsidR="00B3761A" w:rsidRPr="003E7621">
        <w:t xml:space="preserve"> production </w:t>
      </w:r>
      <w:r w:rsidR="00C96DF9" w:rsidRPr="003E7621">
        <w:t xml:space="preserve">of </w:t>
      </w:r>
      <w:r w:rsidR="004A48DA" w:rsidRPr="003E7621">
        <w:rPr>
          <w:rFonts w:cs="Arial"/>
        </w:rPr>
        <w:t>these oligosaccharides</w:t>
      </w:r>
      <w:r w:rsidR="0030158F" w:rsidRPr="003E7621">
        <w:t>.</w:t>
      </w:r>
    </w:p>
    <w:p w14:paraId="591B4EC2" w14:textId="62C58DF8" w:rsidR="00467529" w:rsidRPr="003E7621" w:rsidRDefault="00467529" w:rsidP="00E763EA"/>
    <w:p w14:paraId="5F7E4AFA" w14:textId="55AC2E59" w:rsidR="00467529" w:rsidRPr="003E7621" w:rsidRDefault="00730CA7" w:rsidP="000622C9">
      <w:pPr>
        <w:widowControl/>
      </w:pPr>
      <w:r w:rsidRPr="003E7621">
        <w:t>It is therefore highly unlikely that novel protein will be present in an infant formula product or FSFYC that contains 2</w:t>
      </w:r>
      <w:r w:rsidR="00567609" w:rsidRPr="003E7621">
        <w:t>′</w:t>
      </w:r>
      <w:r w:rsidR="00004FAF" w:rsidRPr="003E7621">
        <w:t>-</w:t>
      </w:r>
      <w:r w:rsidRPr="003E7621">
        <w:t>FL or LNnT as ingredients.</w:t>
      </w:r>
      <w:r w:rsidR="005132F8" w:rsidRPr="003E7621">
        <w:t xml:space="preserve"> However, where novel protein is present, the requirement to label 2</w:t>
      </w:r>
      <w:r w:rsidR="00567609" w:rsidRPr="003E7621">
        <w:t>′</w:t>
      </w:r>
      <w:r w:rsidR="00004FAF" w:rsidRPr="003E7621">
        <w:t>-</w:t>
      </w:r>
      <w:r w:rsidR="005132F8" w:rsidRPr="003E7621">
        <w:t>FL or LNnT as ‘genetically modified’ would apply in accordance with section 1.5.2—4 of Standard 1.5.2</w:t>
      </w:r>
      <w:r w:rsidR="00BB3A2C" w:rsidRPr="003E7621">
        <w:t xml:space="preserve">. </w:t>
      </w:r>
    </w:p>
    <w:p w14:paraId="3CCB4659" w14:textId="55003FB9" w:rsidR="00851C8A" w:rsidRPr="003E7621" w:rsidRDefault="003C56AC" w:rsidP="00851C8A">
      <w:pPr>
        <w:pStyle w:val="Heading3"/>
      </w:pPr>
      <w:bookmarkStart w:id="112" w:name="_Toc525729994"/>
      <w:bookmarkStart w:id="113" w:name="_Toc527018240"/>
      <w:bookmarkStart w:id="114" w:name="_Toc11247910"/>
      <w:bookmarkStart w:id="115" w:name="_Toc14427203"/>
      <w:r w:rsidRPr="003E7621">
        <w:t>2.</w:t>
      </w:r>
      <w:r w:rsidR="00DB7CD9" w:rsidRPr="003E7621">
        <w:t>3</w:t>
      </w:r>
      <w:r w:rsidRPr="003E7621">
        <w:t>.</w:t>
      </w:r>
      <w:r w:rsidR="00DA15EB" w:rsidRPr="003E7621">
        <w:t>6</w:t>
      </w:r>
      <w:r w:rsidR="00851C8A" w:rsidRPr="003E7621">
        <w:tab/>
        <w:t>Specifications for 2</w:t>
      </w:r>
      <w:r w:rsidR="00567609" w:rsidRPr="003E7621">
        <w:t>′</w:t>
      </w:r>
      <w:r w:rsidR="00851C8A" w:rsidRPr="003E7621">
        <w:t>-FL and LNnT</w:t>
      </w:r>
      <w:bookmarkEnd w:id="112"/>
      <w:bookmarkEnd w:id="113"/>
      <w:bookmarkEnd w:id="114"/>
      <w:bookmarkEnd w:id="115"/>
    </w:p>
    <w:p w14:paraId="0C2D49A9" w14:textId="02897FEB" w:rsidR="006B1600" w:rsidRPr="003E7621" w:rsidRDefault="00364B68" w:rsidP="00B82323">
      <w:pPr>
        <w:widowControl/>
      </w:pPr>
      <w:r w:rsidRPr="003E7621">
        <w:t>At 1</w:t>
      </w:r>
      <w:r w:rsidRPr="003E7621">
        <w:rPr>
          <w:vertAlign w:val="superscript"/>
        </w:rPr>
        <w:t>st</w:t>
      </w:r>
      <w:r w:rsidRPr="003E7621">
        <w:t xml:space="preserve"> CFS, FSANZ broadly proposed that</w:t>
      </w:r>
      <w:r w:rsidR="00DE1AFA" w:rsidRPr="003E7621">
        <w:t>,</w:t>
      </w:r>
      <w:r w:rsidRPr="003E7621">
        <w:t xml:space="preserve"> s</w:t>
      </w:r>
      <w:r w:rsidR="00851C8A" w:rsidRPr="003E7621">
        <w:t>ince no specifications currently exist for 2</w:t>
      </w:r>
      <w:r w:rsidR="00567609" w:rsidRPr="003E7621">
        <w:t>′</w:t>
      </w:r>
      <w:r w:rsidR="00851C8A" w:rsidRPr="003E7621">
        <w:t xml:space="preserve">-FL or </w:t>
      </w:r>
      <w:r w:rsidR="006422F2" w:rsidRPr="003E7621">
        <w:t xml:space="preserve">LNnT in Schedule 3, </w:t>
      </w:r>
      <w:r w:rsidR="00851C8A" w:rsidRPr="003E7621">
        <w:t>the specifica</w:t>
      </w:r>
      <w:r w:rsidR="008263D7" w:rsidRPr="003E7621">
        <w:t xml:space="preserve">tions provided </w:t>
      </w:r>
      <w:r w:rsidR="00372007" w:rsidRPr="003E7621">
        <w:t>in the a</w:t>
      </w:r>
      <w:r w:rsidR="00FF33C3" w:rsidRPr="003E7621">
        <w:t>pplication</w:t>
      </w:r>
      <w:r w:rsidR="00B1379A" w:rsidRPr="003E7621">
        <w:t xml:space="preserve"> </w:t>
      </w:r>
      <w:r w:rsidRPr="003E7621">
        <w:t xml:space="preserve">would be inserted </w:t>
      </w:r>
      <w:r w:rsidR="00B1379A" w:rsidRPr="003E7621">
        <w:t>into the Code</w:t>
      </w:r>
      <w:r w:rsidR="006B1600" w:rsidRPr="003E7621">
        <w:t>. Following consideration of submissions to the 1</w:t>
      </w:r>
      <w:r w:rsidR="006B1600" w:rsidRPr="003E7621">
        <w:rPr>
          <w:vertAlign w:val="superscript"/>
        </w:rPr>
        <w:t>st</w:t>
      </w:r>
      <w:r w:rsidR="006B1600" w:rsidRPr="003E7621">
        <w:t xml:space="preserve"> </w:t>
      </w:r>
      <w:r w:rsidR="00DE1AFA" w:rsidRPr="003E7621">
        <w:t>CFS,</w:t>
      </w:r>
      <w:r w:rsidR="006B1600" w:rsidRPr="003E7621">
        <w:t xml:space="preserve"> FSANZ </w:t>
      </w:r>
      <w:r w:rsidR="00B06547" w:rsidRPr="003E7621">
        <w:t>confirms</w:t>
      </w:r>
      <w:r w:rsidR="006B1600" w:rsidRPr="003E7621">
        <w:t xml:space="preserve"> that it does not propose to </w:t>
      </w:r>
      <w:r w:rsidR="00B06547" w:rsidRPr="003E7621">
        <w:t>include</w:t>
      </w:r>
      <w:r w:rsidR="006B1600" w:rsidRPr="003E7621">
        <w:t xml:space="preserve"> the</w:t>
      </w:r>
      <w:r w:rsidR="00B06547" w:rsidRPr="003E7621">
        <w:t xml:space="preserve"> applicant’s specific</w:t>
      </w:r>
      <w:r w:rsidR="006B1600" w:rsidRPr="003E7621">
        <w:t xml:space="preserve"> </w:t>
      </w:r>
      <w:r w:rsidR="00B06547" w:rsidRPr="003E7621">
        <w:t>method</w:t>
      </w:r>
      <w:r w:rsidR="00731C61" w:rsidRPr="003E7621">
        <w:t>s</w:t>
      </w:r>
      <w:r w:rsidR="00B06547" w:rsidRPr="003E7621">
        <w:t xml:space="preserve"> of analysis</w:t>
      </w:r>
      <w:r w:rsidR="006B1600" w:rsidRPr="003E7621">
        <w:t xml:space="preserve"> in the s</w:t>
      </w:r>
      <w:r w:rsidR="00B06547" w:rsidRPr="003E7621">
        <w:t xml:space="preserve">pecifications </w:t>
      </w:r>
      <w:r w:rsidR="006B1600" w:rsidRPr="003E7621">
        <w:t>in the Code</w:t>
      </w:r>
      <w:r w:rsidR="00DE1AFA" w:rsidRPr="003E7621">
        <w:t xml:space="preserve"> (Schedule 3). This approach is consistent with other specifications in the Code</w:t>
      </w:r>
      <w:r w:rsidR="00B06547" w:rsidRPr="003E7621">
        <w:t xml:space="preserve"> which do not list </w:t>
      </w:r>
      <w:r w:rsidR="00F45AD0" w:rsidRPr="003E7621">
        <w:t>methods</w:t>
      </w:r>
      <w:r w:rsidR="00B06547" w:rsidRPr="003E7621">
        <w:t xml:space="preserve"> of analysis</w:t>
      </w:r>
      <w:r w:rsidR="006B1600" w:rsidRPr="003E7621">
        <w:t xml:space="preserve">. </w:t>
      </w:r>
    </w:p>
    <w:p w14:paraId="0FB67A2B" w14:textId="77777777" w:rsidR="006B1600" w:rsidRPr="003E7621" w:rsidRDefault="006B1600" w:rsidP="00B82323">
      <w:pPr>
        <w:widowControl/>
      </w:pPr>
    </w:p>
    <w:p w14:paraId="60BA0200" w14:textId="7F4BD50E" w:rsidR="001A7C76" w:rsidRPr="003E7621" w:rsidRDefault="00A44575" w:rsidP="00B927CC">
      <w:pPr>
        <w:widowControl/>
      </w:pPr>
      <w:r w:rsidRPr="003E7621">
        <w:t>The</w:t>
      </w:r>
      <w:r w:rsidR="006B1600" w:rsidRPr="003E7621">
        <w:t xml:space="preserve"> proposed</w:t>
      </w:r>
      <w:r w:rsidR="00851C8A" w:rsidRPr="003E7621">
        <w:t xml:space="preserve"> </w:t>
      </w:r>
      <w:r w:rsidR="008263D7" w:rsidRPr="003E7621">
        <w:t xml:space="preserve">specifications </w:t>
      </w:r>
      <w:r w:rsidR="00851C8A" w:rsidRPr="003E7621">
        <w:t xml:space="preserve">are </w:t>
      </w:r>
      <w:r w:rsidRPr="003E7621">
        <w:t xml:space="preserve">essentially identical to those </w:t>
      </w:r>
      <w:r w:rsidR="00851C8A" w:rsidRPr="003E7621">
        <w:t>approv</w:t>
      </w:r>
      <w:r w:rsidR="008263D7" w:rsidRPr="003E7621">
        <w:t>ed in the EU and US</w:t>
      </w:r>
      <w:r w:rsidRPr="003E7621">
        <w:t xml:space="preserve"> at the time of FSANZ’s assessment (as discussed in SD1), and are captured by the current EU specification</w:t>
      </w:r>
      <w:r w:rsidR="000E23B3" w:rsidRPr="003E7621">
        <w:t>s which have come into force since the 1</w:t>
      </w:r>
      <w:r w:rsidR="000E23B3" w:rsidRPr="003E7621">
        <w:rPr>
          <w:vertAlign w:val="superscript"/>
        </w:rPr>
        <w:t>st</w:t>
      </w:r>
      <w:r w:rsidR="000E23B3" w:rsidRPr="003E7621">
        <w:t xml:space="preserve"> CFS publication</w:t>
      </w:r>
      <w:r w:rsidRPr="003E7621">
        <w:t xml:space="preserve"> (see section 1.3.2.2).</w:t>
      </w:r>
    </w:p>
    <w:p w14:paraId="28285260" w14:textId="77777777" w:rsidR="001A7C76" w:rsidRPr="003E7621" w:rsidRDefault="001A7C76" w:rsidP="002F77E7">
      <w:pPr>
        <w:rPr>
          <w:lang w:eastAsia="en-AU" w:bidi="ar-SA"/>
        </w:rPr>
      </w:pPr>
    </w:p>
    <w:p w14:paraId="1C64D15D" w14:textId="115FF57F" w:rsidR="00D64FA2" w:rsidRPr="003E7621" w:rsidRDefault="00D64FA2" w:rsidP="002F77E7">
      <w:r w:rsidRPr="003E7621">
        <w:rPr>
          <w:noProof/>
          <w:lang w:eastAsia="en-GB" w:bidi="ar-SA"/>
        </w:rPr>
        <mc:AlternateContent>
          <mc:Choice Requires="wps">
            <w:drawing>
              <wp:inline distT="0" distB="0" distL="0" distR="0" wp14:anchorId="6055E386" wp14:editId="27EF9B8C">
                <wp:extent cx="5686425" cy="526212"/>
                <wp:effectExtent l="0" t="0" r="28575" b="2667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26212"/>
                        </a:xfrm>
                        <a:prstGeom prst="rect">
                          <a:avLst/>
                        </a:prstGeom>
                        <a:solidFill>
                          <a:srgbClr val="FFFFFF"/>
                        </a:solidFill>
                        <a:ln w="9525">
                          <a:solidFill>
                            <a:schemeClr val="tx2">
                              <a:lumMod val="60000"/>
                              <a:lumOff val="40000"/>
                            </a:schemeClr>
                          </a:solidFill>
                          <a:miter lim="800000"/>
                          <a:headEnd/>
                          <a:tailEnd/>
                        </a:ln>
                      </wps:spPr>
                      <wps:txbx>
                        <w:txbxContent>
                          <w:p w14:paraId="181DE2DD" w14:textId="208DDB42" w:rsidR="0025476F" w:rsidRDefault="0025476F" w:rsidP="00D64FA2">
                            <w:r>
                              <w:t>FSANZ’s approach is to set specifications for 2′-FL and LNnT in the Code using those provided by the applicant (without specifying the methods of analysis).</w:t>
                            </w:r>
                          </w:p>
                        </w:txbxContent>
                      </wps:txbx>
                      <wps:bodyPr rot="0" vert="horz" wrap="square" lIns="91440" tIns="45720" rIns="91440" bIns="45720" anchor="t" anchorCtr="0">
                        <a:noAutofit/>
                      </wps:bodyPr>
                    </wps:wsp>
                  </a:graphicData>
                </a:graphic>
              </wp:inline>
            </w:drawing>
          </mc:Choice>
          <mc:Fallback>
            <w:pict>
              <v:shape w14:anchorId="6055E386" id="Text Box 12" o:spid="_x0000_s1034" type="#_x0000_t202" style="width:447.7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" strokecolor="#548dd4 [1951]">
                <v:textbox>
                  <w:txbxContent>
                    <w:p w14:paraId="181DE2DD" w14:textId="208DDB42" w:rsidR="0025476F" w:rsidRDefault="0025476F" w:rsidP="00D64FA2">
                      <w:r>
                        <w:t>FSANZ’s approach is to set specifications for 2′-FL and LNnT in the Code using those provided by the applicant (without specifying the methods of analysis).</w:t>
                      </w:r>
                    </w:p>
                  </w:txbxContent>
                </v:textbox>
                <w10:anchorlock/>
              </v:shape>
            </w:pict>
          </mc:Fallback>
        </mc:AlternateContent>
      </w:r>
    </w:p>
    <w:p w14:paraId="4A5D212A" w14:textId="6128D571" w:rsidR="00851C8A" w:rsidRPr="003E7621" w:rsidRDefault="003C56AC" w:rsidP="00851C8A">
      <w:pPr>
        <w:pStyle w:val="Heading3"/>
      </w:pPr>
      <w:bookmarkStart w:id="116" w:name="_Toc525729995"/>
      <w:bookmarkStart w:id="117" w:name="_Toc527018241"/>
      <w:bookmarkStart w:id="118" w:name="_Toc11247911"/>
      <w:bookmarkStart w:id="119" w:name="_Toc14427204"/>
      <w:r w:rsidRPr="003E7621">
        <w:t>2.</w:t>
      </w:r>
      <w:r w:rsidR="00DB7CD9" w:rsidRPr="003E7621">
        <w:t>3</w:t>
      </w:r>
      <w:r w:rsidRPr="003E7621">
        <w:t>.</w:t>
      </w:r>
      <w:r w:rsidR="00DA15EB" w:rsidRPr="003E7621">
        <w:t>7</w:t>
      </w:r>
      <w:r w:rsidR="00851C8A" w:rsidRPr="003E7621">
        <w:tab/>
      </w:r>
      <w:r w:rsidR="00B97D29" w:rsidRPr="003E7621">
        <w:t>Exclusivity</w:t>
      </w:r>
      <w:bookmarkEnd w:id="116"/>
      <w:bookmarkEnd w:id="117"/>
      <w:bookmarkEnd w:id="118"/>
      <w:bookmarkEnd w:id="119"/>
    </w:p>
    <w:p w14:paraId="5DCD3D73" w14:textId="49E568EF" w:rsidR="008D55D9" w:rsidRPr="003E7621" w:rsidRDefault="00F113D3" w:rsidP="00F7323C">
      <w:pPr>
        <w:widowControl/>
        <w:autoSpaceDE w:val="0"/>
        <w:autoSpaceDN w:val="0"/>
        <w:adjustRightInd w:val="0"/>
      </w:pPr>
      <w:r w:rsidRPr="003E7621">
        <w:rPr>
          <w:lang w:eastAsia="en-AU"/>
        </w:rPr>
        <w:t>An applicant may request exclusive permission for a period of 15 months to recognise the investment made in developing the food or ingredient</w:t>
      </w:r>
      <w:r w:rsidR="0081443C" w:rsidRPr="003E7621">
        <w:rPr>
          <w:lang w:eastAsia="en-AU"/>
        </w:rPr>
        <w:t xml:space="preserve"> or nutritive substance</w:t>
      </w:r>
      <w:r w:rsidRPr="003E7621">
        <w:rPr>
          <w:lang w:eastAsia="en-AU"/>
        </w:rPr>
        <w:t xml:space="preserve"> and the need to achieve return on this investment, thereby supporting innovation.</w:t>
      </w:r>
      <w:r w:rsidRPr="003E7621">
        <w:t xml:space="preserve"> </w:t>
      </w:r>
      <w:r w:rsidR="008D55D9" w:rsidRPr="003E7621">
        <w:t>The applicant has requested exclusivity for their specific brand of 2′-FL and LNnT</w:t>
      </w:r>
      <w:r w:rsidR="008D55D9" w:rsidRPr="003E7621">
        <w:rPr>
          <w:rStyle w:val="FootnoteReference"/>
        </w:rPr>
        <w:footnoteReference w:id="16"/>
      </w:r>
      <w:r w:rsidR="008D55D9" w:rsidRPr="003E7621">
        <w:t xml:space="preserve"> on the basis that they, and their business partners, have invested significantly in the technology development and safety studies.</w:t>
      </w:r>
    </w:p>
    <w:p w14:paraId="00F76D33" w14:textId="6C5405CB" w:rsidR="008D55D9" w:rsidRPr="003E7621" w:rsidRDefault="008D55D9" w:rsidP="00F7323C">
      <w:pPr>
        <w:widowControl/>
        <w:autoSpaceDE w:val="0"/>
        <w:autoSpaceDN w:val="0"/>
        <w:adjustRightInd w:val="0"/>
      </w:pPr>
    </w:p>
    <w:p w14:paraId="0BC52BBD" w14:textId="5F0FFB8B" w:rsidR="00F7323C" w:rsidRPr="003E7621" w:rsidRDefault="008D55D9" w:rsidP="00F7323C">
      <w:pPr>
        <w:widowControl/>
        <w:autoSpaceDE w:val="0"/>
        <w:autoSpaceDN w:val="0"/>
        <w:adjustRightInd w:val="0"/>
      </w:pPr>
      <w:r w:rsidRPr="003E7621">
        <w:t>At 1</w:t>
      </w:r>
      <w:r w:rsidRPr="003E7621">
        <w:rPr>
          <w:vertAlign w:val="superscript"/>
        </w:rPr>
        <w:t>st</w:t>
      </w:r>
      <w:r w:rsidRPr="003E7621">
        <w:t xml:space="preserve"> CFS, FSANZ noted the </w:t>
      </w:r>
      <w:r w:rsidR="00B0690D" w:rsidRPr="003E7621">
        <w:t xml:space="preserve">previously </w:t>
      </w:r>
      <w:r w:rsidRPr="003E7621">
        <w:t xml:space="preserve">proposed approval of 2′-FL and LNnT linked to the applicant’s </w:t>
      </w:r>
      <w:r w:rsidR="00B0690D" w:rsidRPr="003E7621">
        <w:t xml:space="preserve">specific </w:t>
      </w:r>
      <w:r w:rsidRPr="003E7621">
        <w:t>GM production strains may provide exclusive permission to the applicant</w:t>
      </w:r>
      <w:r w:rsidR="00B0690D" w:rsidRPr="003E7621">
        <w:t>,</w:t>
      </w:r>
      <w:r w:rsidRPr="003E7621">
        <w:t xml:space="preserve"> without the need for a specific brand name. As discussed in section 2.3.2, FSANZ now proposes </w:t>
      </w:r>
      <w:r w:rsidR="00BC7059" w:rsidRPr="003E7621">
        <w:t>linking</w:t>
      </w:r>
      <w:r w:rsidRPr="003E7621">
        <w:t xml:space="preserve"> permission to the gene-gene donor information specific to the production of the oligosaccharides. </w:t>
      </w:r>
      <w:r w:rsidR="00AF020A" w:rsidRPr="003E7621">
        <w:t>As this new</w:t>
      </w:r>
      <w:r w:rsidR="00B0690D" w:rsidRPr="003E7621">
        <w:t xml:space="preserve"> approach does not inherently provide exclusivity to the </w:t>
      </w:r>
      <w:r w:rsidR="00AF020A" w:rsidRPr="003E7621">
        <w:t xml:space="preserve">applicant, </w:t>
      </w:r>
      <w:r w:rsidR="00B0690D" w:rsidRPr="003E7621">
        <w:t xml:space="preserve">FSANZ proposes to provide 15 months exclusivity from the date of gazettal, linked to the applicant’s brand of </w:t>
      </w:r>
      <w:r w:rsidR="00B51870" w:rsidRPr="003E7621">
        <w:t>2′</w:t>
      </w:r>
      <w:r w:rsidR="00B0690D" w:rsidRPr="003E7621">
        <w:t>-FL and LNnT</w:t>
      </w:r>
      <w:r w:rsidR="00AF020A" w:rsidRPr="003E7621">
        <w:t>. This exclusive permission will be set out</w:t>
      </w:r>
      <w:r w:rsidR="00B67AD2" w:rsidRPr="003E7621">
        <w:t xml:space="preserve"> in Schedule 26 of the Code</w:t>
      </w:r>
      <w:r w:rsidR="00B0690D" w:rsidRPr="003E7621">
        <w:t xml:space="preserve">. </w:t>
      </w:r>
      <w:r w:rsidR="00AB15B5" w:rsidRPr="003E7621">
        <w:t xml:space="preserve">Following the 15 month period, the permission would revert to a general approval for the </w:t>
      </w:r>
      <w:r w:rsidR="00F644CA" w:rsidRPr="003E7621">
        <w:t>class of food</w:t>
      </w:r>
      <w:r w:rsidR="00AB15B5" w:rsidRPr="003E7621">
        <w:t xml:space="preserve">. </w:t>
      </w:r>
    </w:p>
    <w:p w14:paraId="0031F1BB" w14:textId="0F2A351F" w:rsidR="00FF33C3" w:rsidRPr="003E7621" w:rsidRDefault="00FF33C3" w:rsidP="00F7323C">
      <w:pPr>
        <w:widowControl/>
        <w:autoSpaceDE w:val="0"/>
        <w:autoSpaceDN w:val="0"/>
        <w:adjustRightInd w:val="0"/>
        <w:rPr>
          <w:lang w:val="en-AU"/>
        </w:rPr>
      </w:pPr>
    </w:p>
    <w:p w14:paraId="17F6FB0B" w14:textId="42F30271" w:rsidR="008D55D9" w:rsidRPr="00883643" w:rsidRDefault="00BB22B5" w:rsidP="00851C8A">
      <w:pPr>
        <w:widowControl/>
        <w:autoSpaceDE w:val="0"/>
        <w:autoSpaceDN w:val="0"/>
        <w:adjustRightInd w:val="0"/>
        <w:rPr>
          <w:lang w:val="en-AU"/>
        </w:rPr>
      </w:pPr>
      <w:r w:rsidRPr="003E7621">
        <w:t xml:space="preserve">An </w:t>
      </w:r>
      <w:r w:rsidR="00FF33C3" w:rsidRPr="003E7621">
        <w:t xml:space="preserve">exclusivity permission in </w:t>
      </w:r>
      <w:r w:rsidR="00FF33C3" w:rsidRPr="003E7621">
        <w:rPr>
          <w:lang w:val="en-AU"/>
        </w:rPr>
        <w:t xml:space="preserve">the Code does not, and cannot, prevent approval of second or subsequent applications either within the </w:t>
      </w:r>
      <w:r w:rsidR="00FF33C3" w:rsidRPr="003E7621">
        <w:rPr>
          <w:rFonts w:cs="Arial"/>
          <w:szCs w:val="22"/>
          <w:lang w:eastAsia="en-GB" w:bidi="ar-SA"/>
        </w:rPr>
        <w:t xml:space="preserve">exclusive use </w:t>
      </w:r>
      <w:r w:rsidR="00FF33C3" w:rsidRPr="003E7621">
        <w:rPr>
          <w:lang w:val="en-AU"/>
        </w:rPr>
        <w:t>period or during the progression of an application, for the use of the same food or ingredient by other food companies, providing the applica</w:t>
      </w:r>
      <w:r w:rsidR="00883643" w:rsidRPr="003E7621">
        <w:rPr>
          <w:lang w:val="en-AU"/>
        </w:rPr>
        <w:t>tion process is undertaken.</w:t>
      </w:r>
      <w:r w:rsidR="00883643">
        <w:rPr>
          <w:lang w:val="en-AU"/>
        </w:rPr>
        <w:t xml:space="preserve"> </w:t>
      </w:r>
    </w:p>
    <w:p w14:paraId="278BF80D" w14:textId="2465B82B" w:rsidR="00B0690D" w:rsidRDefault="00B0690D" w:rsidP="00851C8A">
      <w:pPr>
        <w:widowControl/>
        <w:autoSpaceDE w:val="0"/>
        <w:autoSpaceDN w:val="0"/>
        <w:adjustRightInd w:val="0"/>
      </w:pPr>
    </w:p>
    <w:p w14:paraId="6D570A0F" w14:textId="5E3FABBD" w:rsidR="00B0690D" w:rsidRDefault="00B0690D" w:rsidP="00851C8A">
      <w:pPr>
        <w:widowControl/>
        <w:autoSpaceDE w:val="0"/>
        <w:autoSpaceDN w:val="0"/>
        <w:adjustRightInd w:val="0"/>
      </w:pPr>
      <w:r>
        <w:rPr>
          <w:noProof/>
          <w:lang w:eastAsia="en-GB" w:bidi="ar-SA"/>
        </w:rPr>
        <mc:AlternateContent>
          <mc:Choice Requires="wps">
            <w:drawing>
              <wp:inline distT="0" distB="0" distL="0" distR="0" wp14:anchorId="4BAC6CB1" wp14:editId="56589F05">
                <wp:extent cx="5686425" cy="474453"/>
                <wp:effectExtent l="0" t="0" r="28575" b="2095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74453"/>
                        </a:xfrm>
                        <a:prstGeom prst="rect">
                          <a:avLst/>
                        </a:prstGeom>
                        <a:solidFill>
                          <a:srgbClr val="FFFFFF"/>
                        </a:solidFill>
                        <a:ln w="9525">
                          <a:solidFill>
                            <a:schemeClr val="tx2">
                              <a:lumMod val="60000"/>
                              <a:lumOff val="40000"/>
                            </a:schemeClr>
                          </a:solidFill>
                          <a:miter lim="800000"/>
                          <a:headEnd/>
                          <a:tailEnd/>
                        </a:ln>
                      </wps:spPr>
                      <wps:txbx>
                        <w:txbxContent>
                          <w:p w14:paraId="2113C4A7" w14:textId="447F92E1" w:rsidR="0025476F" w:rsidRDefault="0025476F" w:rsidP="00B0690D">
                            <w:r w:rsidRPr="003E7621">
                              <w:t>FSANZ’s approach is to provide 15 months exclusivity from the date of gazettal for the applicant’s brand of 2′-FL and LNnT.</w:t>
                            </w:r>
                          </w:p>
                        </w:txbxContent>
                      </wps:txbx>
                      <wps:bodyPr rot="0" vert="horz" wrap="square" lIns="91440" tIns="45720" rIns="91440" bIns="45720" anchor="t" anchorCtr="0">
                        <a:noAutofit/>
                      </wps:bodyPr>
                    </wps:wsp>
                  </a:graphicData>
                </a:graphic>
              </wp:inline>
            </w:drawing>
          </mc:Choice>
          <mc:Fallback>
            <w:pict>
              <v:shape w14:anchorId="4BAC6CB1" id="Text Box 1" o:spid="_x0000_s1035" type="#_x0000_t202" style="width:447.75pt;height: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" strokecolor="#548dd4 [1951]">
                <v:textbox>
                  <w:txbxContent>
                    <w:p w14:paraId="2113C4A7" w14:textId="447F92E1" w:rsidR="0025476F" w:rsidRDefault="0025476F" w:rsidP="00B0690D">
                      <w:r w:rsidRPr="003E7621">
                        <w:t>FSANZ’s approach is to provide 15 months exclusivity from the date of gazettal for the applicant’s brand of 2′-FL and LNnT.</w:t>
                      </w:r>
                    </w:p>
                  </w:txbxContent>
                </v:textbox>
                <w10:anchorlock/>
              </v:shape>
            </w:pict>
          </mc:Fallback>
        </mc:AlternateContent>
      </w:r>
    </w:p>
    <w:p w14:paraId="3DE6FD9D" w14:textId="44DF33C7" w:rsidR="00F87C2D" w:rsidRDefault="006A2410" w:rsidP="0081443C">
      <w:pPr>
        <w:pStyle w:val="Heading3"/>
        <w:widowControl/>
      </w:pPr>
      <w:bookmarkStart w:id="120" w:name="_Toc527018242"/>
      <w:bookmarkStart w:id="121" w:name="_Toc11247912"/>
      <w:bookmarkStart w:id="122" w:name="_Toc14427205"/>
      <w:r>
        <w:t>2.</w:t>
      </w:r>
      <w:r w:rsidR="00DB7CD9">
        <w:t>3</w:t>
      </w:r>
      <w:r>
        <w:t>.8</w:t>
      </w:r>
      <w:r w:rsidR="00F87C2D">
        <w:tab/>
        <w:t>Risk management conclusion</w:t>
      </w:r>
      <w:bookmarkEnd w:id="120"/>
      <w:bookmarkEnd w:id="121"/>
      <w:bookmarkEnd w:id="122"/>
    </w:p>
    <w:p w14:paraId="0C1FE6AB" w14:textId="4FEE009F" w:rsidR="00102683" w:rsidRDefault="00102683" w:rsidP="0081443C">
      <w:pPr>
        <w:widowControl/>
      </w:pPr>
      <w:r>
        <w:t xml:space="preserve">Having considered all aspects of the assessment against the statutory </w:t>
      </w:r>
      <w:r w:rsidR="00B927CC">
        <w:t>requirements, including releva</w:t>
      </w:r>
      <w:r>
        <w:t>nt Ministerial Policy Guidelines,</w:t>
      </w:r>
      <w:r w:rsidR="00F87C2D">
        <w:t xml:space="preserve"> </w:t>
      </w:r>
      <w:r>
        <w:t xml:space="preserve">FSANZ has prepared a draft variation to </w:t>
      </w:r>
    </w:p>
    <w:p w14:paraId="1A09C7E5" w14:textId="11FC3C8E" w:rsidR="002F21A9" w:rsidRDefault="00F87C2D" w:rsidP="0081443C">
      <w:pPr>
        <w:widowControl/>
      </w:pPr>
      <w:r>
        <w:t xml:space="preserve">permit </w:t>
      </w:r>
      <w:r w:rsidR="00CC5D8C">
        <w:t xml:space="preserve">the voluntary </w:t>
      </w:r>
      <w:r w:rsidR="00CC5D8C" w:rsidRPr="00715DC5">
        <w:t>addition</w:t>
      </w:r>
      <w:r w:rsidR="00CC5D8C">
        <w:t xml:space="preserve"> of </w:t>
      </w:r>
      <w:r>
        <w:t>2</w:t>
      </w:r>
      <w:r w:rsidR="00567609">
        <w:t>′</w:t>
      </w:r>
      <w:r>
        <w:t xml:space="preserve">-FL </w:t>
      </w:r>
      <w:r w:rsidR="00CC5D8C">
        <w:t xml:space="preserve">alone, </w:t>
      </w:r>
      <w:r>
        <w:t xml:space="preserve">and </w:t>
      </w:r>
      <w:r w:rsidR="006A2410">
        <w:t>2</w:t>
      </w:r>
      <w:r w:rsidR="00567609">
        <w:t>′</w:t>
      </w:r>
      <w:r w:rsidR="006A2410">
        <w:t xml:space="preserve">-FL and LNnT </w:t>
      </w:r>
      <w:r w:rsidR="00CC5D8C">
        <w:t>combined,</w:t>
      </w:r>
      <w:r>
        <w:t xml:space="preserve"> </w:t>
      </w:r>
      <w:r w:rsidR="00CC5D8C">
        <w:t>to</w:t>
      </w:r>
      <w:r>
        <w:t xml:space="preserve"> infant formula products and FSFYC.</w:t>
      </w:r>
      <w:r w:rsidR="002F21A9">
        <w:t xml:space="preserve"> </w:t>
      </w:r>
    </w:p>
    <w:p w14:paraId="12E764FE" w14:textId="21070F30" w:rsidR="002F21A9" w:rsidRDefault="002F21A9" w:rsidP="0081443C">
      <w:pPr>
        <w:widowControl/>
      </w:pPr>
    </w:p>
    <w:p w14:paraId="3C1CE53F" w14:textId="77777777" w:rsidR="00072A22" w:rsidRDefault="00072A22">
      <w:pPr>
        <w:widowControl/>
      </w:pPr>
      <w:r>
        <w:br w:type="page"/>
      </w:r>
    </w:p>
    <w:p w14:paraId="7A1A6A7F" w14:textId="0461EF10" w:rsidR="00F87C2D" w:rsidRDefault="00575B0F" w:rsidP="00F87C2D">
      <w:r>
        <w:t>The draft variation is based on the proposed</w:t>
      </w:r>
      <w:r w:rsidR="007065FB">
        <w:t xml:space="preserve"> </w:t>
      </w:r>
      <w:r w:rsidR="00BF34F6">
        <w:t>regulatory measures</w:t>
      </w:r>
      <w:r w:rsidR="002F21A9">
        <w:t xml:space="preserve"> </w:t>
      </w:r>
      <w:r w:rsidR="00CC5D8C">
        <w:t>summarised in the following list.</w:t>
      </w:r>
    </w:p>
    <w:p w14:paraId="72476FFB" w14:textId="5A0ED46E" w:rsidR="00F87C2D" w:rsidRPr="00921103" w:rsidRDefault="00F87C2D" w:rsidP="003B6820">
      <w:pPr>
        <w:pStyle w:val="Heading4"/>
      </w:pPr>
      <w:r w:rsidRPr="00921103">
        <w:t xml:space="preserve">Summary of </w:t>
      </w:r>
      <w:r w:rsidR="00F0671F">
        <w:t xml:space="preserve">FSANZ’s </w:t>
      </w:r>
      <w:r w:rsidR="0045667A">
        <w:t>proposed</w:t>
      </w:r>
      <w:r w:rsidR="00F0671F">
        <w:t xml:space="preserve"> </w:t>
      </w:r>
      <w:r w:rsidR="00BF34F6">
        <w:t>regulatory measures</w:t>
      </w:r>
      <w:r w:rsidR="003B6820">
        <w:t xml:space="preserve"> </w:t>
      </w:r>
    </w:p>
    <w:p w14:paraId="399FEFF0" w14:textId="5F119224" w:rsidR="00F87C2D" w:rsidRDefault="00F87C2D" w:rsidP="00B57142">
      <w:pPr>
        <w:pStyle w:val="FSBullet1"/>
      </w:pPr>
      <w:r>
        <w:t xml:space="preserve">Permit </w:t>
      </w:r>
      <w:r w:rsidR="006A2410">
        <w:t xml:space="preserve">both </w:t>
      </w:r>
      <w:r>
        <w:t>2</w:t>
      </w:r>
      <w:r w:rsidR="00567609">
        <w:t>′</w:t>
      </w:r>
      <w:r>
        <w:t>-FL and LNnT</w:t>
      </w:r>
      <w:r w:rsidR="006A2410">
        <w:t xml:space="preserve"> to be</w:t>
      </w:r>
      <w:r>
        <w:t xml:space="preserve"> </w:t>
      </w:r>
      <w:r w:rsidR="006A2410">
        <w:rPr>
          <w:i/>
        </w:rPr>
        <w:t>used as a nutritive substance</w:t>
      </w:r>
      <w:r w:rsidR="006A2410">
        <w:t xml:space="preserve">, and </w:t>
      </w:r>
      <w:r>
        <w:t xml:space="preserve">as </w:t>
      </w:r>
      <w:r w:rsidR="006A2410">
        <w:rPr>
          <w:i/>
        </w:rPr>
        <w:t>food</w:t>
      </w:r>
      <w:r w:rsidRPr="00192E9C">
        <w:rPr>
          <w:i/>
        </w:rPr>
        <w:t xml:space="preserve"> produced using gene </w:t>
      </w:r>
      <w:r w:rsidRPr="0004799D">
        <w:rPr>
          <w:i/>
        </w:rPr>
        <w:t>technology</w:t>
      </w:r>
      <w:r w:rsidR="003B6820" w:rsidRPr="0004799D">
        <w:rPr>
          <w:i/>
        </w:rPr>
        <w:t xml:space="preserve"> </w:t>
      </w:r>
      <w:r w:rsidR="00A342AF" w:rsidRPr="0004799D">
        <w:t>linked to</w:t>
      </w:r>
      <w:r w:rsidR="003B6820" w:rsidRPr="0004799D">
        <w:t xml:space="preserve"> </w:t>
      </w:r>
      <w:r w:rsidR="00C82048" w:rsidRPr="0004799D">
        <w:t xml:space="preserve">the </w:t>
      </w:r>
      <w:r w:rsidR="003B6820" w:rsidRPr="0004799D">
        <w:t>gene-gene donor information s</w:t>
      </w:r>
      <w:r w:rsidR="00C82048" w:rsidRPr="0004799D">
        <w:t xml:space="preserve">pecific to the </w:t>
      </w:r>
      <w:r w:rsidR="00A342AF" w:rsidRPr="0004799D">
        <w:t xml:space="preserve">production of the </w:t>
      </w:r>
      <w:r w:rsidR="00C82048" w:rsidRPr="0004799D">
        <w:t>oligosaccharides</w:t>
      </w:r>
      <w:r w:rsidR="002239E8" w:rsidRPr="0004799D">
        <w:t>,</w:t>
      </w:r>
      <w:r w:rsidR="00192E9C" w:rsidRPr="0004799D">
        <w:t xml:space="preserve"> </w:t>
      </w:r>
      <w:r w:rsidR="00183D6D" w:rsidRPr="0004799D">
        <w:t>f</w:t>
      </w:r>
      <w:r w:rsidR="00192E9C" w:rsidRPr="0004799D">
        <w:t>or</w:t>
      </w:r>
      <w:r w:rsidRPr="0004799D">
        <w:t xml:space="preserve"> use</w:t>
      </w:r>
      <w:r>
        <w:t xml:space="preserve"> in infant formula products and FSFYC. </w:t>
      </w:r>
    </w:p>
    <w:p w14:paraId="47C4987D" w14:textId="77777777" w:rsidR="00F87C2D" w:rsidRPr="00740C90" w:rsidRDefault="00F87C2D" w:rsidP="00F87C2D">
      <w:pPr>
        <w:rPr>
          <w:lang w:bidi="ar-SA"/>
        </w:rPr>
      </w:pPr>
    </w:p>
    <w:p w14:paraId="5C1AC621" w14:textId="61DD0A4F" w:rsidR="00F87C2D" w:rsidRDefault="00F87C2D" w:rsidP="00B57142">
      <w:pPr>
        <w:pStyle w:val="FSBullet1"/>
      </w:pPr>
      <w:r>
        <w:t>Set a maximum permitted use level of 2.4 g/L for 2</w:t>
      </w:r>
      <w:r w:rsidR="00567609">
        <w:t>′</w:t>
      </w:r>
      <w:r>
        <w:t>-FL alone; and a total maximum level of 2.4 g/L for 2</w:t>
      </w:r>
      <w:r w:rsidR="00567609">
        <w:t>′</w:t>
      </w:r>
      <w:r>
        <w:t>-FL and LNnT combined with no more than 0.6 g/L</w:t>
      </w:r>
      <w:r w:rsidRPr="00F14736">
        <w:t xml:space="preserve"> </w:t>
      </w:r>
      <w:r w:rsidR="00E91F65">
        <w:t>of</w:t>
      </w:r>
      <w:r>
        <w:t xml:space="preserve"> LNnT. For consistenc</w:t>
      </w:r>
      <w:r w:rsidR="006C4717">
        <w:t>y with existing voluntary permissions for</w:t>
      </w:r>
      <w:r>
        <w:t xml:space="preserve"> infant formula products and FSFYC, these levels </w:t>
      </w:r>
      <w:r w:rsidR="00C82048">
        <w:t>are</w:t>
      </w:r>
      <w:r>
        <w:t xml:space="preserve"> expressed in mg/100 kJ and g/serving as follows:</w:t>
      </w:r>
    </w:p>
    <w:p w14:paraId="0A2FCE36" w14:textId="10655B0D" w:rsidR="00F87C2D" w:rsidRPr="00F14736" w:rsidRDefault="00F87C2D" w:rsidP="00F87C2D">
      <w:pPr>
        <w:rPr>
          <w:lang w:bidi="ar-SA"/>
        </w:rPr>
      </w:pPr>
    </w:p>
    <w:p w14:paraId="6706A882" w14:textId="77777777" w:rsidR="00F87C2D" w:rsidRDefault="00F87C2D" w:rsidP="00F87C2D">
      <w:pPr>
        <w:pStyle w:val="FSBullet2"/>
        <w:numPr>
          <w:ilvl w:val="0"/>
          <w:numId w:val="0"/>
        </w:numPr>
        <w:ind w:left="1134" w:hanging="567"/>
      </w:pPr>
      <w:r>
        <w:t xml:space="preserve">Infant formula products: </w:t>
      </w:r>
    </w:p>
    <w:p w14:paraId="057B7A97" w14:textId="133C18A7" w:rsidR="00F87C2D" w:rsidRPr="008E4634" w:rsidRDefault="00F87C2D" w:rsidP="00715DC5">
      <w:pPr>
        <w:pStyle w:val="FSBullet3"/>
        <w:numPr>
          <w:ilvl w:val="0"/>
          <w:numId w:val="73"/>
        </w:numPr>
        <w:ind w:left="930"/>
        <w:rPr>
          <w:b w:val="0"/>
        </w:rPr>
      </w:pPr>
      <w:r w:rsidRPr="008E4634">
        <w:rPr>
          <w:b w:val="0"/>
        </w:rPr>
        <w:t>If only 2</w:t>
      </w:r>
      <w:r w:rsidR="00567609">
        <w:rPr>
          <w:b w:val="0"/>
        </w:rPr>
        <w:t>′</w:t>
      </w:r>
      <w:r w:rsidRPr="008E4634">
        <w:rPr>
          <w:b w:val="0"/>
        </w:rPr>
        <w:t>-FL added – no</w:t>
      </w:r>
      <w:r w:rsidR="00715DC5">
        <w:rPr>
          <w:b w:val="0"/>
        </w:rPr>
        <w:t>t</w:t>
      </w:r>
      <w:r w:rsidRPr="008E4634">
        <w:rPr>
          <w:b w:val="0"/>
        </w:rPr>
        <w:t xml:space="preserve"> more than 96 mg/100 kJ of 2</w:t>
      </w:r>
      <w:r w:rsidR="00567609">
        <w:rPr>
          <w:b w:val="0"/>
        </w:rPr>
        <w:t>′</w:t>
      </w:r>
      <w:r w:rsidRPr="008E4634">
        <w:rPr>
          <w:b w:val="0"/>
        </w:rPr>
        <w:t>-FL</w:t>
      </w:r>
    </w:p>
    <w:p w14:paraId="36E73173" w14:textId="138E9AB8" w:rsidR="00C82048" w:rsidRPr="00C82048" w:rsidRDefault="00F87C2D" w:rsidP="00715DC5">
      <w:pPr>
        <w:pStyle w:val="FSBullet3"/>
        <w:numPr>
          <w:ilvl w:val="0"/>
          <w:numId w:val="73"/>
        </w:numPr>
        <w:ind w:left="930"/>
        <w:rPr>
          <w:b w:val="0"/>
        </w:rPr>
      </w:pPr>
      <w:r w:rsidRPr="008E4634">
        <w:rPr>
          <w:b w:val="0"/>
        </w:rPr>
        <w:t xml:space="preserve">If </w:t>
      </w:r>
      <w:r w:rsidR="0081443C">
        <w:rPr>
          <w:b w:val="0"/>
        </w:rPr>
        <w:t xml:space="preserve">both </w:t>
      </w:r>
      <w:r w:rsidRPr="008E4634">
        <w:rPr>
          <w:b w:val="0"/>
        </w:rPr>
        <w:t>2</w:t>
      </w:r>
      <w:r w:rsidR="00567609">
        <w:rPr>
          <w:b w:val="0"/>
        </w:rPr>
        <w:t>′</w:t>
      </w:r>
      <w:r w:rsidRPr="008E4634">
        <w:rPr>
          <w:b w:val="0"/>
        </w:rPr>
        <w:t>-FL and LNnT added – no</w:t>
      </w:r>
      <w:r w:rsidR="00715DC5">
        <w:rPr>
          <w:b w:val="0"/>
        </w:rPr>
        <w:t>t</w:t>
      </w:r>
      <w:r w:rsidRPr="008E4634">
        <w:rPr>
          <w:b w:val="0"/>
        </w:rPr>
        <w:t xml:space="preserve"> more than </w:t>
      </w:r>
      <w:r w:rsidR="00C82048" w:rsidRPr="008E4634">
        <w:rPr>
          <w:b w:val="0"/>
        </w:rPr>
        <w:t>96 mg/100 kJ of 2</w:t>
      </w:r>
      <w:r w:rsidR="00C82048">
        <w:rPr>
          <w:b w:val="0"/>
        </w:rPr>
        <w:t>′</w:t>
      </w:r>
      <w:r w:rsidR="00C82048" w:rsidRPr="008E4634">
        <w:rPr>
          <w:b w:val="0"/>
        </w:rPr>
        <w:t xml:space="preserve">-FL </w:t>
      </w:r>
      <w:r w:rsidR="00C82048">
        <w:rPr>
          <w:b w:val="0"/>
        </w:rPr>
        <w:t>and LNnT combined, of which contains no</w:t>
      </w:r>
      <w:r w:rsidR="00715DC5">
        <w:rPr>
          <w:b w:val="0"/>
        </w:rPr>
        <w:t>t</w:t>
      </w:r>
      <w:r w:rsidR="00C82048">
        <w:rPr>
          <w:b w:val="0"/>
        </w:rPr>
        <w:t xml:space="preserve"> more than </w:t>
      </w:r>
      <w:r w:rsidRPr="008E4634">
        <w:rPr>
          <w:b w:val="0"/>
        </w:rPr>
        <w:t>24 mg/100 kJ of LNnT.</w:t>
      </w:r>
    </w:p>
    <w:p w14:paraId="34742525" w14:textId="77777777" w:rsidR="00F87C2D" w:rsidRPr="00403E4D" w:rsidRDefault="00F87C2D" w:rsidP="00715DC5"/>
    <w:p w14:paraId="66C1C4E5" w14:textId="07374A2B" w:rsidR="00F87C2D" w:rsidRDefault="00F87C2D" w:rsidP="00F87C2D">
      <w:pPr>
        <w:pStyle w:val="FSBullet2"/>
        <w:numPr>
          <w:ilvl w:val="0"/>
          <w:numId w:val="0"/>
        </w:numPr>
        <w:ind w:left="1134" w:hanging="567"/>
      </w:pPr>
      <w:r>
        <w:t>FSFYC:</w:t>
      </w:r>
    </w:p>
    <w:p w14:paraId="32AB77D5" w14:textId="02D3AF4B" w:rsidR="00F87C2D" w:rsidRPr="008E4634" w:rsidRDefault="00F87C2D" w:rsidP="00715DC5">
      <w:pPr>
        <w:pStyle w:val="FSBullet3"/>
        <w:numPr>
          <w:ilvl w:val="0"/>
          <w:numId w:val="74"/>
        </w:numPr>
        <w:rPr>
          <w:b w:val="0"/>
        </w:rPr>
      </w:pPr>
      <w:r w:rsidRPr="008E4634">
        <w:rPr>
          <w:b w:val="0"/>
        </w:rPr>
        <w:t>If only 2</w:t>
      </w:r>
      <w:r w:rsidR="00567609">
        <w:rPr>
          <w:b w:val="0"/>
        </w:rPr>
        <w:t>′</w:t>
      </w:r>
      <w:r w:rsidRPr="008E4634">
        <w:rPr>
          <w:b w:val="0"/>
        </w:rPr>
        <w:t>-FL added – no</w:t>
      </w:r>
      <w:r w:rsidR="00715DC5">
        <w:rPr>
          <w:b w:val="0"/>
        </w:rPr>
        <w:t>t</w:t>
      </w:r>
      <w:r w:rsidRPr="008E4634">
        <w:rPr>
          <w:b w:val="0"/>
        </w:rPr>
        <w:t xml:space="preserve"> more than 0.5</w:t>
      </w:r>
      <w:r w:rsidR="00EC2441">
        <w:rPr>
          <w:b w:val="0"/>
        </w:rPr>
        <w:t>5</w:t>
      </w:r>
      <w:r w:rsidRPr="008E4634">
        <w:rPr>
          <w:b w:val="0"/>
        </w:rPr>
        <w:t xml:space="preserve"> g/serving</w:t>
      </w:r>
    </w:p>
    <w:p w14:paraId="7720FCC5" w14:textId="3B480024" w:rsidR="00F87C2D" w:rsidRDefault="00F87C2D" w:rsidP="00715DC5">
      <w:pPr>
        <w:pStyle w:val="FSBullet3"/>
        <w:numPr>
          <w:ilvl w:val="0"/>
          <w:numId w:val="74"/>
        </w:numPr>
        <w:rPr>
          <w:b w:val="0"/>
        </w:rPr>
      </w:pPr>
      <w:r w:rsidRPr="008E4634">
        <w:rPr>
          <w:b w:val="0"/>
        </w:rPr>
        <w:t xml:space="preserve">If </w:t>
      </w:r>
      <w:r w:rsidR="0081443C">
        <w:rPr>
          <w:b w:val="0"/>
        </w:rPr>
        <w:t xml:space="preserve">both </w:t>
      </w:r>
      <w:r w:rsidRPr="008E4634">
        <w:rPr>
          <w:b w:val="0"/>
        </w:rPr>
        <w:t>2</w:t>
      </w:r>
      <w:r w:rsidR="00567609">
        <w:rPr>
          <w:b w:val="0"/>
        </w:rPr>
        <w:t>′</w:t>
      </w:r>
      <w:r w:rsidRPr="008E4634">
        <w:rPr>
          <w:b w:val="0"/>
        </w:rPr>
        <w:t>-FL and LNnT added – no</w:t>
      </w:r>
      <w:r w:rsidR="00715DC5">
        <w:rPr>
          <w:b w:val="0"/>
        </w:rPr>
        <w:t>t</w:t>
      </w:r>
      <w:r w:rsidRPr="008E4634">
        <w:rPr>
          <w:b w:val="0"/>
        </w:rPr>
        <w:t xml:space="preserve"> more than </w:t>
      </w:r>
      <w:r w:rsidR="00C82048" w:rsidRPr="008E4634">
        <w:rPr>
          <w:b w:val="0"/>
        </w:rPr>
        <w:t>0.5</w:t>
      </w:r>
      <w:r w:rsidR="00C82048">
        <w:rPr>
          <w:b w:val="0"/>
        </w:rPr>
        <w:t>5</w:t>
      </w:r>
      <w:r w:rsidR="00C82048" w:rsidRPr="008E4634">
        <w:rPr>
          <w:b w:val="0"/>
        </w:rPr>
        <w:t xml:space="preserve"> g/serving </w:t>
      </w:r>
      <w:r w:rsidR="00C82048">
        <w:rPr>
          <w:b w:val="0"/>
        </w:rPr>
        <w:t xml:space="preserve">of </w:t>
      </w:r>
      <w:r w:rsidR="00B51870">
        <w:rPr>
          <w:b w:val="0"/>
        </w:rPr>
        <w:t>2′</w:t>
      </w:r>
      <w:r w:rsidR="00C82048">
        <w:rPr>
          <w:b w:val="0"/>
        </w:rPr>
        <w:t>-FL and LNnT combined, of which contains no</w:t>
      </w:r>
      <w:r w:rsidR="00715DC5">
        <w:rPr>
          <w:b w:val="0"/>
        </w:rPr>
        <w:t>t</w:t>
      </w:r>
      <w:r w:rsidR="00C82048">
        <w:rPr>
          <w:b w:val="0"/>
        </w:rPr>
        <w:t xml:space="preserve"> more than </w:t>
      </w:r>
      <w:r w:rsidRPr="008E4634">
        <w:rPr>
          <w:b w:val="0"/>
        </w:rPr>
        <w:t>0.14 g/serving of LNnT.</w:t>
      </w:r>
    </w:p>
    <w:p w14:paraId="478DFBF7" w14:textId="77777777" w:rsidR="00F87C2D" w:rsidRPr="008A1004" w:rsidRDefault="00F87C2D" w:rsidP="00F87C2D">
      <w:pPr>
        <w:pStyle w:val="FSBullet2"/>
        <w:numPr>
          <w:ilvl w:val="0"/>
          <w:numId w:val="0"/>
        </w:numPr>
        <w:ind w:left="1134"/>
      </w:pPr>
    </w:p>
    <w:p w14:paraId="2D0809E0" w14:textId="66F957C0" w:rsidR="00F87C2D" w:rsidRDefault="00F87C2D" w:rsidP="00B57142">
      <w:pPr>
        <w:pStyle w:val="FSBullet1"/>
      </w:pPr>
      <w:r w:rsidRPr="003139B2">
        <w:t xml:space="preserve">Prohibit the </w:t>
      </w:r>
      <w:r w:rsidR="0095689C">
        <w:t>use of 2</w:t>
      </w:r>
      <w:r w:rsidR="00567609">
        <w:t>′</w:t>
      </w:r>
      <w:r w:rsidR="0095689C">
        <w:t>-FL alone or with LNnT</w:t>
      </w:r>
      <w:r w:rsidRPr="003139B2">
        <w:t xml:space="preserve"> in combination with existing permissions for GOS and ITF</w:t>
      </w:r>
      <w:r w:rsidR="00CC3FB5">
        <w:t xml:space="preserve"> for infant formula products and FSFYC</w:t>
      </w:r>
      <w:r>
        <w:t xml:space="preserve"> (i.e. </w:t>
      </w:r>
      <w:r w:rsidR="00CC3FB5">
        <w:t>permissions for</w:t>
      </w:r>
      <w:r w:rsidRPr="003139B2">
        <w:t xml:space="preserve"> 2</w:t>
      </w:r>
      <w:r w:rsidR="00567609">
        <w:t>′</w:t>
      </w:r>
      <w:r>
        <w:t xml:space="preserve">-FL </w:t>
      </w:r>
      <w:r w:rsidR="00CC3FB5">
        <w:t>and</w:t>
      </w:r>
      <w:r>
        <w:t xml:space="preserve"> LNnT</w:t>
      </w:r>
      <w:r w:rsidRPr="003139B2">
        <w:t xml:space="preserve"> would be </w:t>
      </w:r>
      <w:r w:rsidR="00CC3FB5">
        <w:t xml:space="preserve">used as </w:t>
      </w:r>
      <w:r w:rsidRPr="003139B2">
        <w:t>alternative</w:t>
      </w:r>
      <w:r w:rsidR="00CC3FB5">
        <w:t>s</w:t>
      </w:r>
      <w:r w:rsidRPr="003139B2">
        <w:t xml:space="preserve"> to </w:t>
      </w:r>
      <w:r w:rsidR="00493FAA">
        <w:t>GOS and ITF</w:t>
      </w:r>
      <w:r>
        <w:t>)</w:t>
      </w:r>
      <w:r w:rsidRPr="003139B2">
        <w:t>.</w:t>
      </w:r>
    </w:p>
    <w:p w14:paraId="286F935E" w14:textId="77777777" w:rsidR="00F87C2D" w:rsidRDefault="00F87C2D" w:rsidP="00B927CC"/>
    <w:p w14:paraId="3489AFD0" w14:textId="77777777" w:rsidR="00C82048" w:rsidRPr="003E7621" w:rsidRDefault="00C82048" w:rsidP="00B927CC">
      <w:pPr>
        <w:pStyle w:val="FSBullet1"/>
      </w:pPr>
      <w:r w:rsidRPr="003E7621">
        <w:t>Prohibit the following terms on the label of infant formula products and FSFYC:</w:t>
      </w:r>
    </w:p>
    <w:p w14:paraId="212A9B67" w14:textId="77777777" w:rsidR="00C82048" w:rsidRPr="003E7621" w:rsidRDefault="00C82048" w:rsidP="00176B60">
      <w:pPr>
        <w:pStyle w:val="FSBullet3"/>
        <w:numPr>
          <w:ilvl w:val="0"/>
          <w:numId w:val="75"/>
        </w:numPr>
        <w:rPr>
          <w:b w:val="0"/>
        </w:rPr>
      </w:pPr>
      <w:r w:rsidRPr="003E7621">
        <w:rPr>
          <w:b w:val="0"/>
        </w:rPr>
        <w:t xml:space="preserve">the words ‘human milk oligosaccharide’, ‘human milk identical oligosaccharide’ or any word or words having the same or similar effect </w:t>
      </w:r>
    </w:p>
    <w:p w14:paraId="7A9873EA" w14:textId="77777777" w:rsidR="00C82048" w:rsidRPr="003E7621" w:rsidRDefault="00C82048" w:rsidP="00176B60">
      <w:pPr>
        <w:pStyle w:val="FSBullet3"/>
        <w:numPr>
          <w:ilvl w:val="0"/>
          <w:numId w:val="75"/>
        </w:numPr>
        <w:rPr>
          <w:b w:val="0"/>
        </w:rPr>
      </w:pPr>
      <w:r w:rsidRPr="003E7621">
        <w:rPr>
          <w:b w:val="0"/>
        </w:rPr>
        <w:t>the abbreviations ‘HMO’ or ‘HiMO’ or any abbreviation having the same or similar effect.</w:t>
      </w:r>
    </w:p>
    <w:p w14:paraId="65E56789" w14:textId="7B3B2964" w:rsidR="00F87C2D" w:rsidRPr="003E7621" w:rsidRDefault="00F87C2D" w:rsidP="00CC5D8C">
      <w:pPr>
        <w:rPr>
          <w:lang w:bidi="ar-SA"/>
        </w:rPr>
      </w:pPr>
    </w:p>
    <w:p w14:paraId="2CC1DCF2" w14:textId="33673C7F" w:rsidR="00F87C2D" w:rsidRPr="003E7621" w:rsidRDefault="00F87C2D" w:rsidP="00B57142">
      <w:pPr>
        <w:pStyle w:val="FSBullet1"/>
      </w:pPr>
      <w:r w:rsidRPr="003E7621">
        <w:t>Set specificati</w:t>
      </w:r>
      <w:r w:rsidR="00D64FA2" w:rsidRPr="003E7621">
        <w:t>ons</w:t>
      </w:r>
      <w:r w:rsidR="00CC5D8C" w:rsidRPr="003E7621">
        <w:t xml:space="preserve"> for 2</w:t>
      </w:r>
      <w:r w:rsidR="00567609" w:rsidRPr="003E7621">
        <w:t>′</w:t>
      </w:r>
      <w:r w:rsidR="00CC5D8C" w:rsidRPr="003E7621">
        <w:t xml:space="preserve">-FL and LNnT </w:t>
      </w:r>
      <w:r w:rsidR="00EC2441" w:rsidRPr="003E7621">
        <w:t xml:space="preserve">based on </w:t>
      </w:r>
      <w:r w:rsidR="00CC5D8C" w:rsidRPr="003E7621">
        <w:t>the specifications</w:t>
      </w:r>
      <w:r w:rsidR="00D64FA2" w:rsidRPr="003E7621">
        <w:t xml:space="preserve"> provided </w:t>
      </w:r>
      <w:r w:rsidR="00CC5D8C" w:rsidRPr="003E7621">
        <w:t>by the applicant</w:t>
      </w:r>
      <w:r w:rsidR="00B927CC" w:rsidRPr="003E7621">
        <w:t xml:space="preserve"> (without specific methods of analysis)</w:t>
      </w:r>
      <w:r w:rsidRPr="003E7621">
        <w:t>.</w:t>
      </w:r>
    </w:p>
    <w:p w14:paraId="580A1CCF" w14:textId="0B5357A1" w:rsidR="00F638E9" w:rsidRPr="003E7621" w:rsidRDefault="00F638E9" w:rsidP="00F638E9">
      <w:pPr>
        <w:rPr>
          <w:lang w:bidi="ar-SA"/>
        </w:rPr>
      </w:pPr>
    </w:p>
    <w:p w14:paraId="175582E6" w14:textId="17D20E29" w:rsidR="00F638E9" w:rsidRPr="003E7621" w:rsidRDefault="00F638E9" w:rsidP="00B57142">
      <w:pPr>
        <w:pStyle w:val="FSBullet1"/>
      </w:pPr>
      <w:r w:rsidRPr="003E7621">
        <w:t xml:space="preserve">Provide 15 months exclusivity from the date of gazettal of the variation for the applicant’s brand of </w:t>
      </w:r>
      <w:r w:rsidR="00B51870" w:rsidRPr="003E7621">
        <w:t>2′</w:t>
      </w:r>
      <w:r w:rsidRPr="003E7621">
        <w:t>-FL and LNnT.</w:t>
      </w:r>
    </w:p>
    <w:p w14:paraId="2445F227" w14:textId="77777777" w:rsidR="00F87C2D" w:rsidRPr="003E7621" w:rsidRDefault="00F87C2D" w:rsidP="00F87C2D">
      <w:pPr>
        <w:rPr>
          <w:lang w:bidi="ar-SA"/>
        </w:rPr>
      </w:pPr>
    </w:p>
    <w:p w14:paraId="270B3956" w14:textId="16366550" w:rsidR="00F638E9" w:rsidRPr="003E7621" w:rsidRDefault="00102683" w:rsidP="00E91F65">
      <w:pPr>
        <w:widowControl/>
        <w:rPr>
          <w:rFonts w:cs="Arial"/>
          <w:lang w:val="en-AU" w:bidi="ar-SA"/>
        </w:rPr>
      </w:pPr>
      <w:bookmarkStart w:id="123" w:name="_Toc11247913"/>
      <w:r w:rsidRPr="003E7621">
        <w:rPr>
          <w:rFonts w:cs="Arial"/>
          <w:szCs w:val="22"/>
        </w:rPr>
        <w:t xml:space="preserve">The details supporting this recommendation are outlined in the following sections. </w:t>
      </w:r>
      <w:r w:rsidRPr="003E7621">
        <w:rPr>
          <w:rFonts w:cs="Arial"/>
          <w:lang w:val="en-AU" w:bidi="ar-SA"/>
        </w:rPr>
        <w:t>The draft variation reflecting this option is at Attachment A. The draft explanatory statement for the variation is in Attachment B.</w:t>
      </w:r>
      <w:bookmarkEnd w:id="123"/>
    </w:p>
    <w:p w14:paraId="367A2EA0" w14:textId="548B766B" w:rsidR="00E520FE" w:rsidRPr="00932F14" w:rsidRDefault="004B08D4" w:rsidP="00E520FE">
      <w:pPr>
        <w:pStyle w:val="Heading2"/>
      </w:pPr>
      <w:bookmarkStart w:id="124" w:name="_Toc300933435"/>
      <w:bookmarkStart w:id="125" w:name="_Toc525729996"/>
      <w:bookmarkStart w:id="126" w:name="_Toc527018243"/>
      <w:bookmarkStart w:id="127" w:name="_Toc11247914"/>
      <w:bookmarkStart w:id="128" w:name="_Toc14427206"/>
      <w:r w:rsidRPr="003E7621">
        <w:t>2.</w:t>
      </w:r>
      <w:r w:rsidR="00DB7CD9" w:rsidRPr="003E7621">
        <w:t>4</w:t>
      </w:r>
      <w:r w:rsidR="00E520FE" w:rsidRPr="003E7621">
        <w:tab/>
        <w:t>Risk communication</w:t>
      </w:r>
      <w:bookmarkEnd w:id="124"/>
      <w:bookmarkEnd w:id="125"/>
      <w:bookmarkEnd w:id="126"/>
      <w:bookmarkEnd w:id="127"/>
      <w:bookmarkEnd w:id="128"/>
      <w:r w:rsidR="00E520FE">
        <w:t xml:space="preserve"> </w:t>
      </w:r>
    </w:p>
    <w:p w14:paraId="085B828D" w14:textId="0D6E8558" w:rsidR="00E520FE" w:rsidRPr="00E52174" w:rsidRDefault="004B08D4" w:rsidP="00022DBC">
      <w:pPr>
        <w:pStyle w:val="Heading3"/>
        <w:rPr>
          <w:color w:val="auto"/>
        </w:rPr>
      </w:pPr>
      <w:bookmarkStart w:id="129" w:name="_Toc300933437"/>
      <w:bookmarkStart w:id="130" w:name="_Toc525729997"/>
      <w:bookmarkStart w:id="131" w:name="_Toc527018244"/>
      <w:bookmarkStart w:id="132" w:name="_Toc11247915"/>
      <w:bookmarkStart w:id="133" w:name="_Toc14427207"/>
      <w:bookmarkStart w:id="134" w:name="_Toc286391012"/>
      <w:r w:rsidRPr="00E52174">
        <w:rPr>
          <w:color w:val="auto"/>
        </w:rPr>
        <w:t>2.</w:t>
      </w:r>
      <w:r w:rsidR="00DB7CD9">
        <w:rPr>
          <w:color w:val="auto"/>
        </w:rPr>
        <w:t>4</w:t>
      </w:r>
      <w:r w:rsidR="00E520FE" w:rsidRPr="00E52174">
        <w:rPr>
          <w:color w:val="auto"/>
        </w:rPr>
        <w:t>.1</w:t>
      </w:r>
      <w:r w:rsidR="00E520FE" w:rsidRPr="00E52174">
        <w:rPr>
          <w:color w:val="auto"/>
        </w:rPr>
        <w:tab/>
        <w:t>Consultation</w:t>
      </w:r>
      <w:bookmarkEnd w:id="129"/>
      <w:bookmarkEnd w:id="130"/>
      <w:bookmarkEnd w:id="131"/>
      <w:bookmarkEnd w:id="132"/>
      <w:bookmarkEnd w:id="133"/>
    </w:p>
    <w:p w14:paraId="6EAE2605" w14:textId="77777777" w:rsidR="00794CC2" w:rsidRDefault="00F56C07" w:rsidP="00F56C07">
      <w:pPr>
        <w:widowControl/>
        <w:rPr>
          <w:szCs w:val="22"/>
        </w:rPr>
      </w:pPr>
      <w:r w:rsidRPr="00535F8F">
        <w:rPr>
          <w:szCs w:val="22"/>
        </w:rPr>
        <w:t xml:space="preserve">Consultation is a key part of FSANZ’s standards development process. </w:t>
      </w:r>
    </w:p>
    <w:p w14:paraId="2637FEFA" w14:textId="77777777" w:rsidR="00794CC2" w:rsidRDefault="00794CC2" w:rsidP="00F56C07">
      <w:pPr>
        <w:widowControl/>
        <w:rPr>
          <w:szCs w:val="22"/>
        </w:rPr>
      </w:pPr>
    </w:p>
    <w:p w14:paraId="44D9A247" w14:textId="68730233" w:rsidR="00794CC2" w:rsidRPr="002A7881" w:rsidRDefault="00794CC2" w:rsidP="00794CC2">
      <w:pPr>
        <w:widowControl/>
        <w:rPr>
          <w:rFonts w:cs="Arial"/>
          <w:color w:val="000000"/>
        </w:rPr>
      </w:pPr>
      <w:r w:rsidRPr="002A7881">
        <w:rPr>
          <w:rFonts w:cs="Arial"/>
          <w:color w:val="000000"/>
        </w:rPr>
        <w:t xml:space="preserve">FSANZ has developed </w:t>
      </w:r>
      <w:r w:rsidR="00C33606">
        <w:rPr>
          <w:rFonts w:cs="Arial"/>
          <w:color w:val="000000"/>
        </w:rPr>
        <w:t>a communication</w:t>
      </w:r>
      <w:r w:rsidRPr="002A7881">
        <w:rPr>
          <w:rFonts w:cs="Arial"/>
          <w:color w:val="000000"/>
        </w:rPr>
        <w:t xml:space="preserve"> strategy </w:t>
      </w:r>
      <w:r w:rsidR="00C33606">
        <w:rPr>
          <w:rFonts w:cs="Arial"/>
          <w:color w:val="000000"/>
        </w:rPr>
        <w:t>for</w:t>
      </w:r>
      <w:r w:rsidR="00C33606" w:rsidRPr="002A7881">
        <w:rPr>
          <w:rFonts w:cs="Arial"/>
          <w:color w:val="000000"/>
        </w:rPr>
        <w:t xml:space="preserve"> </w:t>
      </w:r>
      <w:r w:rsidRPr="002A7881">
        <w:rPr>
          <w:rFonts w:cs="Arial"/>
          <w:color w:val="000000"/>
        </w:rPr>
        <w:t xml:space="preserve">this application. Subscribers and interested parties have been notified about this </w:t>
      </w:r>
      <w:r w:rsidR="00883643">
        <w:rPr>
          <w:rFonts w:cs="Arial"/>
          <w:color w:val="000000"/>
        </w:rPr>
        <w:t>2</w:t>
      </w:r>
      <w:r w:rsidR="00883643" w:rsidRPr="00883643">
        <w:rPr>
          <w:rFonts w:cs="Arial"/>
          <w:color w:val="000000"/>
          <w:vertAlign w:val="superscript"/>
        </w:rPr>
        <w:t>nd</w:t>
      </w:r>
      <w:r w:rsidR="00883643">
        <w:rPr>
          <w:rFonts w:cs="Arial"/>
          <w:color w:val="000000"/>
        </w:rPr>
        <w:t xml:space="preserve"> CFS</w:t>
      </w:r>
      <w:r w:rsidRPr="002A7881">
        <w:rPr>
          <w:rFonts w:cs="Arial"/>
          <w:color w:val="000000"/>
        </w:rPr>
        <w:t xml:space="preserve"> via the FSANZ Notification Circular, media release and through FSANZ’s social media tools and Food Standards News.</w:t>
      </w:r>
    </w:p>
    <w:p w14:paraId="5846F9C9" w14:textId="3C424021" w:rsidR="00F56C07" w:rsidRPr="00535F8F" w:rsidRDefault="00F56C07" w:rsidP="00F56C07"/>
    <w:p w14:paraId="623B27BF" w14:textId="743063CB" w:rsidR="005C6A16" w:rsidRPr="003E7621" w:rsidRDefault="00883643" w:rsidP="00072A22">
      <w:pPr>
        <w:widowControl/>
        <w:rPr>
          <w:szCs w:val="22"/>
        </w:rPr>
      </w:pPr>
      <w:r w:rsidRPr="003E7621">
        <w:rPr>
          <w:szCs w:val="22"/>
        </w:rPr>
        <w:t>FSANZ sought submissions to its preliminary position in the 1</w:t>
      </w:r>
      <w:r w:rsidRPr="003E7621">
        <w:rPr>
          <w:szCs w:val="22"/>
          <w:vertAlign w:val="superscript"/>
        </w:rPr>
        <w:t>st</w:t>
      </w:r>
      <w:r w:rsidRPr="003E7621">
        <w:rPr>
          <w:szCs w:val="22"/>
        </w:rPr>
        <w:t xml:space="preserve"> CFS from 22 November 201</w:t>
      </w:r>
      <w:r w:rsidR="00BD2004" w:rsidRPr="003E7621">
        <w:rPr>
          <w:szCs w:val="22"/>
        </w:rPr>
        <w:t>8</w:t>
      </w:r>
      <w:r w:rsidRPr="003E7621">
        <w:rPr>
          <w:szCs w:val="22"/>
        </w:rPr>
        <w:t xml:space="preserve"> – 17 January 2019. Twelve submissions were received. </w:t>
      </w:r>
      <w:r w:rsidR="00DB7CD9" w:rsidRPr="003E7621">
        <w:rPr>
          <w:szCs w:val="22"/>
        </w:rPr>
        <w:t xml:space="preserve">The issues raised in submissions are addressed </w:t>
      </w:r>
      <w:r w:rsidR="00FA6D48" w:rsidRPr="003E7621">
        <w:rPr>
          <w:szCs w:val="22"/>
        </w:rPr>
        <w:t>in</w:t>
      </w:r>
      <w:r w:rsidR="00DB7CD9" w:rsidRPr="003E7621">
        <w:rPr>
          <w:szCs w:val="22"/>
        </w:rPr>
        <w:t xml:space="preserve"> section 2.1.</w:t>
      </w:r>
      <w:r w:rsidR="005C6A16" w:rsidRPr="003E7621">
        <w:rPr>
          <w:szCs w:val="22"/>
        </w:rPr>
        <w:t xml:space="preserve"> </w:t>
      </w:r>
    </w:p>
    <w:p w14:paraId="736A7CBE" w14:textId="77777777" w:rsidR="000E3827" w:rsidRPr="003E7621" w:rsidRDefault="000E3827" w:rsidP="005C6A16">
      <w:pPr>
        <w:rPr>
          <w:szCs w:val="22"/>
        </w:rPr>
      </w:pPr>
    </w:p>
    <w:p w14:paraId="3173BC34" w14:textId="2D54B02C" w:rsidR="005C6A16" w:rsidRPr="003E7621" w:rsidRDefault="005C6A16" w:rsidP="00F84D82">
      <w:pPr>
        <w:widowControl/>
        <w:rPr>
          <w:szCs w:val="22"/>
        </w:rPr>
      </w:pPr>
      <w:r w:rsidRPr="003E7621">
        <w:rPr>
          <w:szCs w:val="22"/>
        </w:rPr>
        <w:t>FSANZ acknowledges the time taken by individuals and organisations to make submissions on this application. All comments are valued and contribute to the rigour of our assessment.</w:t>
      </w:r>
    </w:p>
    <w:p w14:paraId="66FB9C62" w14:textId="469CEF0A" w:rsidR="005C6A16" w:rsidRPr="003E7621" w:rsidRDefault="005C6A16" w:rsidP="003278DD">
      <w:pPr>
        <w:widowControl/>
        <w:autoSpaceDE w:val="0"/>
        <w:autoSpaceDN w:val="0"/>
        <w:adjustRightInd w:val="0"/>
        <w:rPr>
          <w:rFonts w:cs="Arial"/>
          <w:color w:val="000000"/>
        </w:rPr>
      </w:pPr>
      <w:r w:rsidRPr="003E7621">
        <w:rPr>
          <w:rFonts w:cs="Arial"/>
          <w:color w:val="000000"/>
        </w:rPr>
        <w:t>Comments received will be taken into account when developing any draft variation(s) for approval by the FSANZ Board.</w:t>
      </w:r>
    </w:p>
    <w:p w14:paraId="20D10B1B" w14:textId="12D4F642" w:rsidR="00883643" w:rsidRPr="003E7621" w:rsidRDefault="00883643" w:rsidP="00934E2E">
      <w:pPr>
        <w:rPr>
          <w:szCs w:val="22"/>
        </w:rPr>
      </w:pPr>
    </w:p>
    <w:p w14:paraId="4640CE1B" w14:textId="2BFB9792" w:rsidR="005C6A16" w:rsidRPr="003E7621" w:rsidRDefault="005C6A16" w:rsidP="005C6A16">
      <w:pPr>
        <w:widowControl/>
        <w:rPr>
          <w:rFonts w:cs="Arial"/>
          <w:color w:val="000000"/>
        </w:rPr>
      </w:pPr>
      <w:r w:rsidRPr="003E7621">
        <w:rPr>
          <w:rFonts w:cs="Arial"/>
          <w:color w:val="000000"/>
        </w:rPr>
        <w:t xml:space="preserve">If the draft variation to the Code is approved by the FSANZ Board, that decision will be notified to the </w:t>
      </w:r>
      <w:r w:rsidRPr="003E7621">
        <w:rPr>
          <w:rFonts w:cs="Arial"/>
          <w:color w:val="000000"/>
          <w:lang w:val="en-AU"/>
        </w:rPr>
        <w:t>Australia and New Zealand Ministerial Forum on Food Regulation</w:t>
      </w:r>
      <w:r w:rsidRPr="003E7621">
        <w:rPr>
          <w:rFonts w:cs="Arial"/>
          <w:color w:val="000000"/>
        </w:rPr>
        <w:t>. If the Board’s decision is not subject to a request for a review, the applicant and stakeholders, including the public, will be notified of the gazettal of the variation to the Code in the national press and on the FSANZ website.</w:t>
      </w:r>
    </w:p>
    <w:p w14:paraId="1EF9D879" w14:textId="1967EBDD" w:rsidR="00934E2E" w:rsidRPr="003E7621" w:rsidRDefault="00DB7CD9" w:rsidP="00DB7CD9">
      <w:pPr>
        <w:pStyle w:val="Heading4"/>
      </w:pPr>
      <w:r w:rsidRPr="003E7621">
        <w:t xml:space="preserve">2.4.1.1 </w:t>
      </w:r>
      <w:r w:rsidRPr="003E7621">
        <w:tab/>
        <w:t>Targeted consultation</w:t>
      </w:r>
    </w:p>
    <w:p w14:paraId="79A4DE7D" w14:textId="448D9927" w:rsidR="004B56AE" w:rsidRPr="003E7621" w:rsidRDefault="004B56AE" w:rsidP="00794CC2">
      <w:pPr>
        <w:widowControl/>
        <w:rPr>
          <w:rFonts w:cs="Arial"/>
          <w:szCs w:val="22"/>
        </w:rPr>
      </w:pPr>
      <w:r w:rsidRPr="003E7621">
        <w:rPr>
          <w:rFonts w:cs="Arial"/>
          <w:szCs w:val="22"/>
        </w:rPr>
        <w:t>FSANZ under</w:t>
      </w:r>
      <w:r w:rsidR="00744F84" w:rsidRPr="003E7621">
        <w:rPr>
          <w:rFonts w:cs="Arial"/>
          <w:szCs w:val="22"/>
        </w:rPr>
        <w:t xml:space="preserve">took targeted consultation with </w:t>
      </w:r>
      <w:r w:rsidR="0035098F">
        <w:rPr>
          <w:rFonts w:cs="Arial"/>
          <w:szCs w:val="22"/>
        </w:rPr>
        <w:t xml:space="preserve">the applicant and with </w:t>
      </w:r>
      <w:r w:rsidRPr="003E7621">
        <w:rPr>
          <w:rFonts w:cs="Arial"/>
          <w:szCs w:val="22"/>
        </w:rPr>
        <w:t>jurisdictions</w:t>
      </w:r>
      <w:r w:rsidR="00744F84" w:rsidRPr="003E7621">
        <w:rPr>
          <w:rFonts w:cs="Arial"/>
          <w:szCs w:val="22"/>
        </w:rPr>
        <w:t xml:space="preserve"> </w:t>
      </w:r>
      <w:r w:rsidRPr="003E7621">
        <w:rPr>
          <w:rFonts w:cs="Arial"/>
          <w:szCs w:val="22"/>
        </w:rPr>
        <w:t xml:space="preserve">in May 2019 to discuss </w:t>
      </w:r>
      <w:r w:rsidR="00EF0FBC" w:rsidRPr="003E7621">
        <w:rPr>
          <w:rFonts w:cs="Arial"/>
          <w:szCs w:val="22"/>
        </w:rPr>
        <w:t>FSANZ’s preliminary position at 1</w:t>
      </w:r>
      <w:r w:rsidR="00EF0FBC" w:rsidRPr="003E7621">
        <w:rPr>
          <w:rFonts w:cs="Arial"/>
          <w:szCs w:val="22"/>
          <w:vertAlign w:val="superscript"/>
        </w:rPr>
        <w:t>st</w:t>
      </w:r>
      <w:r w:rsidR="00EF0FBC" w:rsidRPr="003E7621">
        <w:rPr>
          <w:rFonts w:cs="Arial"/>
          <w:szCs w:val="22"/>
        </w:rPr>
        <w:t xml:space="preserve"> CFS and </w:t>
      </w:r>
      <w:r w:rsidR="003B383F" w:rsidRPr="003E7621">
        <w:rPr>
          <w:rFonts w:cs="Arial"/>
          <w:szCs w:val="22"/>
        </w:rPr>
        <w:t>issues</w:t>
      </w:r>
      <w:r w:rsidR="00E13E9A" w:rsidRPr="003E7621">
        <w:rPr>
          <w:rFonts w:cs="Arial"/>
          <w:szCs w:val="22"/>
        </w:rPr>
        <w:t xml:space="preserve"> raised </w:t>
      </w:r>
      <w:r w:rsidR="00DC2303" w:rsidRPr="003E7621">
        <w:rPr>
          <w:rFonts w:cs="Arial"/>
          <w:szCs w:val="22"/>
        </w:rPr>
        <w:t>in submissions</w:t>
      </w:r>
      <w:r w:rsidRPr="003E7621">
        <w:rPr>
          <w:rFonts w:cs="Arial"/>
          <w:szCs w:val="22"/>
        </w:rPr>
        <w:t xml:space="preserve">. FSANZ has considered the issues </w:t>
      </w:r>
      <w:r w:rsidR="00E13E9A" w:rsidRPr="003E7621">
        <w:rPr>
          <w:rFonts w:cs="Arial"/>
          <w:szCs w:val="22"/>
        </w:rPr>
        <w:t xml:space="preserve">discussed </w:t>
      </w:r>
      <w:r w:rsidR="00DC2303" w:rsidRPr="003E7621">
        <w:rPr>
          <w:rFonts w:cs="Arial"/>
          <w:szCs w:val="22"/>
        </w:rPr>
        <w:t>in</w:t>
      </w:r>
      <w:r w:rsidR="00E13E9A" w:rsidRPr="003E7621">
        <w:rPr>
          <w:rFonts w:cs="Arial"/>
          <w:szCs w:val="22"/>
        </w:rPr>
        <w:t xml:space="preserve"> targeted </w:t>
      </w:r>
      <w:r w:rsidRPr="003E7621">
        <w:rPr>
          <w:rFonts w:cs="Arial"/>
          <w:szCs w:val="22"/>
        </w:rPr>
        <w:t>consultations in its assessment.</w:t>
      </w:r>
    </w:p>
    <w:p w14:paraId="00F0EA8B" w14:textId="6788F5E1" w:rsidR="00E520FE" w:rsidRPr="003E7621" w:rsidRDefault="004B08D4" w:rsidP="00022DBC">
      <w:pPr>
        <w:pStyle w:val="Heading3"/>
      </w:pPr>
      <w:bookmarkStart w:id="135" w:name="_Toc300761912"/>
      <w:bookmarkStart w:id="136" w:name="_Toc300933439"/>
      <w:bookmarkStart w:id="137" w:name="_Toc525729998"/>
      <w:bookmarkStart w:id="138" w:name="_Toc527018245"/>
      <w:bookmarkStart w:id="139" w:name="_Toc11247916"/>
      <w:bookmarkStart w:id="140" w:name="_Toc14427208"/>
      <w:bookmarkEnd w:id="134"/>
      <w:r w:rsidRPr="003E7621">
        <w:t>2.</w:t>
      </w:r>
      <w:r w:rsidR="00DB7CD9" w:rsidRPr="003E7621">
        <w:t>4</w:t>
      </w:r>
      <w:r w:rsidR="00022DBC" w:rsidRPr="003E7621">
        <w:t>.2</w:t>
      </w:r>
      <w:r w:rsidR="00E520FE" w:rsidRPr="003E7621">
        <w:tab/>
        <w:t>World Trade Organization (WTO)</w:t>
      </w:r>
      <w:bookmarkEnd w:id="135"/>
      <w:bookmarkEnd w:id="136"/>
      <w:bookmarkEnd w:id="137"/>
      <w:bookmarkEnd w:id="138"/>
      <w:bookmarkEnd w:id="139"/>
      <w:bookmarkEnd w:id="140"/>
    </w:p>
    <w:p w14:paraId="3FD166D3" w14:textId="5CADCA63" w:rsidR="00934E2E" w:rsidRPr="003E7621" w:rsidRDefault="00934E2E" w:rsidP="00934E2E">
      <w:pPr>
        <w:rPr>
          <w:rFonts w:cs="Arial"/>
          <w:color w:val="000000"/>
        </w:rPr>
      </w:pPr>
      <w:r w:rsidRPr="003E7621">
        <w:rPr>
          <w:rFonts w:cs="Arial"/>
          <w:color w:val="000000"/>
        </w:rPr>
        <w:t>As members of the World Trade Organization (WTO), Australia and New Zealand are obliged to notify WTO members where proposed mandatory regulatory measures are inconsistent with any existing or imminent international standards and the proposed measure may have a significant effect on trade.</w:t>
      </w:r>
    </w:p>
    <w:p w14:paraId="123A10D5" w14:textId="77777777" w:rsidR="00C940E6" w:rsidRPr="003E7621" w:rsidRDefault="00C940E6" w:rsidP="00934E2E">
      <w:pPr>
        <w:rPr>
          <w:rFonts w:cs="Arial"/>
          <w:color w:val="000000"/>
        </w:rPr>
      </w:pPr>
    </w:p>
    <w:p w14:paraId="61FC5F60" w14:textId="384D4566" w:rsidR="00934E2E" w:rsidRPr="003E7621" w:rsidRDefault="00934E2E" w:rsidP="00934E2E">
      <w:pPr>
        <w:tabs>
          <w:tab w:val="left" w:pos="1560"/>
        </w:tabs>
        <w:rPr>
          <w:rFonts w:cs="Arial"/>
          <w:iCs/>
        </w:rPr>
      </w:pPr>
      <w:r w:rsidRPr="003E7621">
        <w:rPr>
          <w:rFonts w:cs="Arial"/>
        </w:rPr>
        <w:t xml:space="preserve">There are relevant </w:t>
      </w:r>
      <w:r w:rsidR="000E3827" w:rsidRPr="003E7621">
        <w:rPr>
          <w:rFonts w:cs="Arial"/>
        </w:rPr>
        <w:t xml:space="preserve">overseas </w:t>
      </w:r>
      <w:r w:rsidRPr="003E7621">
        <w:rPr>
          <w:rFonts w:cs="Arial"/>
        </w:rPr>
        <w:t xml:space="preserve">standards and amending the Code to </w:t>
      </w:r>
      <w:r w:rsidR="00744F84" w:rsidRPr="003E7621">
        <w:rPr>
          <w:rFonts w:cs="Arial"/>
        </w:rPr>
        <w:t xml:space="preserve">permit the addition of </w:t>
      </w:r>
      <w:r w:rsidR="00B51870" w:rsidRPr="003E7621">
        <w:rPr>
          <w:rFonts w:cs="Arial"/>
        </w:rPr>
        <w:t>2′</w:t>
      </w:r>
      <w:r w:rsidR="00744F84" w:rsidRPr="003E7621">
        <w:rPr>
          <w:rFonts w:cs="Arial"/>
        </w:rPr>
        <w:t>-FL alone or with LNnT</w:t>
      </w:r>
      <w:r w:rsidR="002A2746" w:rsidRPr="003E7621">
        <w:rPr>
          <w:rFonts w:cs="Arial"/>
        </w:rPr>
        <w:t xml:space="preserve"> to infant formula products and FSFYC</w:t>
      </w:r>
      <w:r w:rsidR="00185FFF" w:rsidRPr="003E7621">
        <w:rPr>
          <w:rFonts w:cs="Arial"/>
        </w:rPr>
        <w:t xml:space="preserve"> as proposed</w:t>
      </w:r>
      <w:r w:rsidRPr="003E7621">
        <w:rPr>
          <w:rFonts w:cs="Arial"/>
        </w:rPr>
        <w:t xml:space="preserve"> is unlikely to have a significant effect on international trade as</w:t>
      </w:r>
      <w:r w:rsidR="00B46EDE" w:rsidRPr="003E7621">
        <w:rPr>
          <w:rFonts w:cs="Arial"/>
        </w:rPr>
        <w:t xml:space="preserve"> these substances are already permitted in similar products overseas. The proposed permission in the Code may provide some trade opportunities.</w:t>
      </w:r>
      <w:r w:rsidR="00B11738" w:rsidRPr="003E7621">
        <w:rPr>
          <w:rFonts w:cs="Arial"/>
        </w:rPr>
        <w:t xml:space="preserve"> </w:t>
      </w:r>
      <w:r w:rsidRPr="003E7621">
        <w:rPr>
          <w:rFonts w:cs="Arial"/>
          <w:iCs/>
        </w:rPr>
        <w:t xml:space="preserve">Therefore, a notification to the WTO under </w:t>
      </w:r>
      <w:r w:rsidRPr="003E7621">
        <w:rPr>
          <w:rFonts w:cs="Arial"/>
        </w:rPr>
        <w:t>Australia’s and New Zealand’s</w:t>
      </w:r>
      <w:r w:rsidRPr="003E7621">
        <w:rPr>
          <w:rFonts w:cs="Arial"/>
          <w:iCs/>
        </w:rPr>
        <w:t xml:space="preserve"> obligations under the WTO Technical Barriers to Trade or Application of Sanitary and Phytosanitary Measures Agreement was not considered necessary.</w:t>
      </w:r>
    </w:p>
    <w:p w14:paraId="7CF7E022" w14:textId="390AB519" w:rsidR="00E520FE" w:rsidRPr="003E7621" w:rsidRDefault="004B08D4" w:rsidP="00022DBC">
      <w:pPr>
        <w:pStyle w:val="Heading2"/>
      </w:pPr>
      <w:bookmarkStart w:id="141" w:name="_Toc525729999"/>
      <w:bookmarkStart w:id="142" w:name="_Toc527018246"/>
      <w:bookmarkStart w:id="143" w:name="_Toc11247917"/>
      <w:bookmarkStart w:id="144" w:name="_Toc14427209"/>
      <w:r w:rsidRPr="003E7621">
        <w:t>2.</w:t>
      </w:r>
      <w:r w:rsidR="00DB7CD9" w:rsidRPr="003E7621">
        <w:t>5</w:t>
      </w:r>
      <w:r w:rsidR="00022DBC" w:rsidRPr="003E7621">
        <w:tab/>
        <w:t>FSANZ Act assessment requirements</w:t>
      </w:r>
      <w:bookmarkEnd w:id="141"/>
      <w:bookmarkEnd w:id="142"/>
      <w:bookmarkEnd w:id="143"/>
      <w:bookmarkEnd w:id="144"/>
    </w:p>
    <w:p w14:paraId="4C5E824B" w14:textId="7D8BD949" w:rsidR="00726C2F" w:rsidRPr="003E7621" w:rsidRDefault="00BF34F6" w:rsidP="00726C2F">
      <w:r w:rsidRPr="003E7621">
        <w:t>When assessing this a</w:t>
      </w:r>
      <w:r w:rsidR="00726C2F" w:rsidRPr="003E7621">
        <w:t>pplication</w:t>
      </w:r>
      <w:r w:rsidR="00245998" w:rsidRPr="003E7621">
        <w:t xml:space="preserve"> and the subsequent development of food regulatory measures</w:t>
      </w:r>
      <w:r w:rsidR="00726C2F" w:rsidRPr="003E7621">
        <w:t xml:space="preserve">, FSANZ has had regard to the </w:t>
      </w:r>
      <w:r w:rsidR="00726C2F" w:rsidRPr="003E7621" w:rsidDel="00932F14">
        <w:t xml:space="preserve">following </w:t>
      </w:r>
      <w:r w:rsidR="00726C2F" w:rsidRPr="003E7621">
        <w:t>matters in section 29 of the FSANZ Act:</w:t>
      </w:r>
    </w:p>
    <w:p w14:paraId="60B96085" w14:textId="48CCC8B4" w:rsidR="00726C2F" w:rsidRPr="00914030" w:rsidRDefault="004B08D4" w:rsidP="00726C2F">
      <w:pPr>
        <w:pStyle w:val="Heading3"/>
      </w:pPr>
      <w:bookmarkStart w:id="145" w:name="_Toc525730000"/>
      <w:bookmarkStart w:id="146" w:name="_Toc527018247"/>
      <w:bookmarkStart w:id="147" w:name="_Toc11247918"/>
      <w:bookmarkStart w:id="148" w:name="_Toc14427210"/>
      <w:r w:rsidRPr="003E7621">
        <w:t>2.</w:t>
      </w:r>
      <w:r w:rsidR="00DB7CD9" w:rsidRPr="003E7621">
        <w:t>5</w:t>
      </w:r>
      <w:r w:rsidR="00726C2F" w:rsidRPr="003E7621">
        <w:t>.1</w:t>
      </w:r>
      <w:r w:rsidR="00726C2F" w:rsidRPr="003E7621">
        <w:tab/>
        <w:t xml:space="preserve">Section </w:t>
      </w:r>
      <w:r w:rsidR="00726C2F" w:rsidRPr="003E7621">
        <w:rPr>
          <w:color w:val="auto"/>
        </w:rPr>
        <w:t>29</w:t>
      </w:r>
      <w:bookmarkEnd w:id="145"/>
      <w:bookmarkEnd w:id="146"/>
      <w:bookmarkEnd w:id="147"/>
      <w:bookmarkEnd w:id="148"/>
    </w:p>
    <w:p w14:paraId="42B8B006" w14:textId="0F0AB257" w:rsidR="00726C2F" w:rsidRDefault="00195254" w:rsidP="00726C2F">
      <w:pPr>
        <w:pStyle w:val="Heading4"/>
      </w:pPr>
      <w:r>
        <w:t>2</w:t>
      </w:r>
      <w:r w:rsidR="004B08D4">
        <w:t>.</w:t>
      </w:r>
      <w:r w:rsidR="00DB7CD9">
        <w:t>5</w:t>
      </w:r>
      <w:r>
        <w:t>.1.1</w:t>
      </w:r>
      <w:r>
        <w:tab/>
        <w:t>Consideration</w:t>
      </w:r>
      <w:r>
        <w:rPr>
          <w:lang w:val="en-AU"/>
        </w:rPr>
        <w:t xml:space="preserve"> of costs and benefits</w:t>
      </w:r>
    </w:p>
    <w:p w14:paraId="77B47832" w14:textId="7C21F5BC" w:rsidR="00583389" w:rsidRDefault="00583389" w:rsidP="00583389">
      <w:pPr>
        <w:rPr>
          <w:rFonts w:cs="Arial"/>
        </w:rPr>
      </w:pPr>
      <w:r w:rsidRPr="00C57849">
        <w:rPr>
          <w:rFonts w:cs="Arial"/>
        </w:rPr>
        <w:t xml:space="preserve">The Office of Best Practice Regulation (OBPR) exempted FSANZ from the need to undertake a formal Regulation Impact Statement (RIS) in relation to the regulatory change proposed in response to </w:t>
      </w:r>
      <w:r>
        <w:rPr>
          <w:rFonts w:cs="Arial"/>
        </w:rPr>
        <w:t>this a</w:t>
      </w:r>
      <w:r w:rsidRPr="00E13A58">
        <w:rPr>
          <w:rFonts w:cs="Arial"/>
        </w:rPr>
        <w:t xml:space="preserve">pplication (OBPR correspondence dated 1 February 2018, reference 23349). This was due to OPBR being satisfied that the </w:t>
      </w:r>
      <w:r>
        <w:rPr>
          <w:rFonts w:cs="Arial"/>
        </w:rPr>
        <w:t>requested</w:t>
      </w:r>
      <w:r w:rsidRPr="00E13A58">
        <w:rPr>
          <w:rFonts w:cs="Arial"/>
        </w:rPr>
        <w:t xml:space="preserve"> variation is voluntary and deregulatory and likely to have only a minor effect on consumers, businesses, and government. </w:t>
      </w:r>
    </w:p>
    <w:p w14:paraId="3DDD3451" w14:textId="77777777" w:rsidR="009318FC" w:rsidRDefault="009318FC" w:rsidP="00583389">
      <w:pPr>
        <w:rPr>
          <w:rFonts w:cs="Arial"/>
        </w:rPr>
      </w:pPr>
    </w:p>
    <w:p w14:paraId="36FBC2E1" w14:textId="33F03581" w:rsidR="00583389" w:rsidRDefault="00583389" w:rsidP="00072A22">
      <w:pPr>
        <w:widowControl/>
      </w:pPr>
      <w:r w:rsidRPr="00307D9F">
        <w:rPr>
          <w:rFonts w:cs="Arial"/>
        </w:rPr>
        <w:t xml:space="preserve">FSANZ, however, has given consideration to the costs and benefits that may arise from the proposed measure for the purposes of meeting FSANZ Act considerations. </w:t>
      </w:r>
      <w:r>
        <w:t>T</w:t>
      </w:r>
      <w:r w:rsidRPr="00AA2EFF">
        <w:t>he FSANZ Act requires FSANZ</w:t>
      </w:r>
      <w:r>
        <w:rPr>
          <w:rFonts w:cs="Arial"/>
        </w:rPr>
        <w:t xml:space="preserve"> </w:t>
      </w:r>
      <w:r w:rsidRPr="00AA2EFF">
        <w:rPr>
          <w:rFonts w:cs="Arial"/>
        </w:rPr>
        <w:t xml:space="preserve">to have regard to whether costs that would arise from the proposed measure outweigh the </w:t>
      </w:r>
      <w:r w:rsidRPr="00E13A58">
        <w:rPr>
          <w:rFonts w:cs="Arial"/>
        </w:rPr>
        <w:t>direct and indirect benefits to the community, government or industry that would arise from the proposed measure (S29(2)(a)</w:t>
      </w:r>
      <w:r>
        <w:rPr>
          <w:rFonts w:cs="Arial"/>
        </w:rPr>
        <w:t>)</w:t>
      </w:r>
      <w:r w:rsidRPr="00E13A58">
        <w:rPr>
          <w:rFonts w:cs="Arial"/>
        </w:rPr>
        <w:t xml:space="preserve">. </w:t>
      </w:r>
    </w:p>
    <w:p w14:paraId="6872FEAA" w14:textId="77777777" w:rsidR="00D0109A" w:rsidRDefault="00D0109A" w:rsidP="00583389"/>
    <w:p w14:paraId="737013D1" w14:textId="0B8B2357" w:rsidR="00583389" w:rsidRPr="00072A22" w:rsidRDefault="00583389" w:rsidP="00583389">
      <w:r>
        <w:t>The purpose of this consideration is to determine if the community, government, and industry as a whole is likely to benefit, on balance, from a move from the status quo. This analysis considered approving the addition of 2′-FL alone or combined with LNnT to infant formula products and FSFYC as proposed</w:t>
      </w:r>
      <w:r w:rsidR="00D0109A">
        <w:t xml:space="preserve"> in the draft variation</w:t>
      </w:r>
      <w:r>
        <w:t xml:space="preserve">. A consideration of costs and benefits was included in the </w:t>
      </w:r>
      <w:r w:rsidR="00D0109A">
        <w:t>1</w:t>
      </w:r>
      <w:r w:rsidR="00D0109A" w:rsidRPr="00D0109A">
        <w:rPr>
          <w:vertAlign w:val="superscript"/>
        </w:rPr>
        <w:t>st</w:t>
      </w:r>
      <w:r w:rsidR="00D0109A">
        <w:t xml:space="preserve"> </w:t>
      </w:r>
      <w:r>
        <w:t>CFS report based on the information and data held at that time.</w:t>
      </w:r>
      <w:r w:rsidRPr="002C2478">
        <w:t xml:space="preserve"> Information received from </w:t>
      </w:r>
      <w:r w:rsidR="0082209F">
        <w:t xml:space="preserve">some industry </w:t>
      </w:r>
      <w:r w:rsidRPr="002C2478">
        <w:t xml:space="preserve">stakeholders has led to the consideration of costs and benefits to be revised since the </w:t>
      </w:r>
      <w:r w:rsidR="00D0109A">
        <w:t>1</w:t>
      </w:r>
      <w:r w:rsidR="00D0109A" w:rsidRPr="00D0109A">
        <w:rPr>
          <w:vertAlign w:val="superscript"/>
        </w:rPr>
        <w:t>st</w:t>
      </w:r>
      <w:r w:rsidR="00D0109A">
        <w:t xml:space="preserve"> </w:t>
      </w:r>
      <w:r w:rsidRPr="002C2478">
        <w:t>CFS.</w:t>
      </w:r>
    </w:p>
    <w:p w14:paraId="269FEF7F" w14:textId="77777777" w:rsidR="00D0109A" w:rsidRDefault="00D0109A" w:rsidP="00583389"/>
    <w:p w14:paraId="2DB53037" w14:textId="756812A8" w:rsidR="00583389" w:rsidRDefault="00583389" w:rsidP="00583389">
      <w:r w:rsidRPr="00824CF4">
        <w:t xml:space="preserve">The consideration of the costs and benefits in this section is not intended to be an exhaustive, quantitative economic analysis of the proposed measures and, in fact, most of the effects that were considered cannot easily be assigned a dollar value. </w:t>
      </w:r>
      <w:r>
        <w:t>Rather, the assessment seeks to highlight the likely positives and negatives of moving away from the status quo by permitting the voluntary addition of 2′-FL alone, or in combination with LNnT, to infant formula products and FSFYC as proposed in the draft variation.</w:t>
      </w:r>
    </w:p>
    <w:p w14:paraId="1B07680D" w14:textId="77777777" w:rsidR="00583389" w:rsidRDefault="00583389" w:rsidP="00583389">
      <w:pPr>
        <w:pStyle w:val="Heading5"/>
      </w:pPr>
      <w:r>
        <w:t>Costs and benefits of permitting 2′-FL and LNnT as proposed</w:t>
      </w:r>
    </w:p>
    <w:p w14:paraId="6912D91D" w14:textId="31B9229C" w:rsidR="00583389" w:rsidRDefault="00583389" w:rsidP="00583389">
      <w:r>
        <w:t>The use of 2</w:t>
      </w:r>
      <w:r>
        <w:rPr>
          <w:lang w:val="en-AU"/>
        </w:rPr>
        <w:t>′</w:t>
      </w:r>
      <w:r>
        <w:t xml:space="preserve">-FL and LNnT in infant formula products and FSFYC as proposed will not pose a health or safety risk for consumers. </w:t>
      </w:r>
      <w:r w:rsidR="00EE2169">
        <w:t xml:space="preserve">These substances are </w:t>
      </w:r>
      <w:r w:rsidR="002D2084">
        <w:t xml:space="preserve">chemically and structurally </w:t>
      </w:r>
      <w:r w:rsidR="00EE2169">
        <w:t xml:space="preserve">identical to those naturally present in human milk. </w:t>
      </w:r>
    </w:p>
    <w:p w14:paraId="267199AF" w14:textId="77777777" w:rsidR="002D2084" w:rsidRDefault="002D2084" w:rsidP="00583389"/>
    <w:p w14:paraId="13201CBB" w14:textId="4B1DA731" w:rsidR="00583389" w:rsidRDefault="00583389" w:rsidP="00583389">
      <w:r>
        <w:t xml:space="preserve">The proposed </w:t>
      </w:r>
      <w:r w:rsidR="00666252">
        <w:t xml:space="preserve">permission </w:t>
      </w:r>
      <w:r w:rsidR="00532F04">
        <w:t>may provide</w:t>
      </w:r>
      <w:r w:rsidR="00BE2ACC">
        <w:t xml:space="preserve"> </w:t>
      </w:r>
      <w:r w:rsidR="00420B7A">
        <w:t xml:space="preserve">potential </w:t>
      </w:r>
      <w:r>
        <w:t xml:space="preserve">beneficial health outcomes for infants and toddlers. </w:t>
      </w:r>
      <w:r w:rsidR="00D0109A">
        <w:t>As discussed in section 2.3.1, t</w:t>
      </w:r>
      <w:r w:rsidR="00532F04">
        <w:t xml:space="preserve">he evidence for </w:t>
      </w:r>
      <w:r w:rsidR="00B51870">
        <w:t>2′</w:t>
      </w:r>
      <w:r w:rsidR="00532F04">
        <w:t>-FL supports</w:t>
      </w:r>
      <w:r w:rsidR="009C1C22" w:rsidRPr="009C1C22">
        <w:t xml:space="preserve"> </w:t>
      </w:r>
      <w:r w:rsidR="00D7785C">
        <w:t>the biological and mechanistic</w:t>
      </w:r>
      <w:r w:rsidR="009C1C22">
        <w:t xml:space="preserve"> plausibility of</w:t>
      </w:r>
      <w:r w:rsidR="00532F04">
        <w:t xml:space="preserve"> </w:t>
      </w:r>
      <w:r w:rsidR="00D0109A">
        <w:t>a</w:t>
      </w:r>
      <w:r w:rsidR="009C1C22">
        <w:t>n</w:t>
      </w:r>
      <w:r w:rsidR="00D0109A">
        <w:t xml:space="preserve"> inhibitory effect against invasive </w:t>
      </w:r>
      <w:r w:rsidR="00D0109A">
        <w:rPr>
          <w:i/>
        </w:rPr>
        <w:t xml:space="preserve">C.jejuni </w:t>
      </w:r>
      <w:r w:rsidR="00D0109A">
        <w:t>infection</w:t>
      </w:r>
      <w:r w:rsidR="00532F04">
        <w:t>. Evidence also sup</w:t>
      </w:r>
      <w:r w:rsidR="00C645ED">
        <w:t xml:space="preserve">ports the biological </w:t>
      </w:r>
      <w:r w:rsidR="00CE197A">
        <w:t xml:space="preserve">and mechanistic </w:t>
      </w:r>
      <w:r w:rsidR="00C645ED">
        <w:t>plausibility of</w:t>
      </w:r>
      <w:r w:rsidR="00532F04">
        <w:t xml:space="preserve"> </w:t>
      </w:r>
      <w:r w:rsidR="00654C78">
        <w:t xml:space="preserve">a </w:t>
      </w:r>
      <w:r w:rsidR="00532F04">
        <w:t xml:space="preserve">bifidogenic effect from the proposed use of </w:t>
      </w:r>
      <w:r w:rsidR="00B51870">
        <w:t>2′</w:t>
      </w:r>
      <w:r w:rsidR="00532F04">
        <w:t xml:space="preserve">-FL alone or combined with LNnT, </w:t>
      </w:r>
      <w:r w:rsidR="00D0109A">
        <w:t>providing the</w:t>
      </w:r>
      <w:r w:rsidR="00532F04">
        <w:t xml:space="preserve"> bifidobacterium strains which metabolise these oligosaccharides are present.</w:t>
      </w:r>
      <w:r w:rsidR="00D0109A">
        <w:t xml:space="preserve"> </w:t>
      </w:r>
      <w:r>
        <w:t xml:space="preserve">Consumers may therefore benefit from the choice of infant formula products and FSFYC containing </w:t>
      </w:r>
      <w:r w:rsidR="0082209F">
        <w:t xml:space="preserve">the applicant’s </w:t>
      </w:r>
      <w:r>
        <w:t xml:space="preserve">2′-FL alone or with LNnT that become available. </w:t>
      </w:r>
    </w:p>
    <w:p w14:paraId="25A8216E" w14:textId="62173372" w:rsidR="009C1C22" w:rsidRDefault="009C1C22" w:rsidP="00583389"/>
    <w:p w14:paraId="7BA5AA43" w14:textId="2FEE658B" w:rsidR="00583389" w:rsidRDefault="00583389" w:rsidP="00583389">
      <w:r>
        <w:t xml:space="preserve">As the proposed permission is voluntary, industry will use 2′-FL alone or in combination with LNnT in infant formula products and FSFYC only where they believe a net benefit exists. Industry will benefit from having alternative options available to existing permitted </w:t>
      </w:r>
      <w:r w:rsidR="00A0764E">
        <w:t>oligosaccharides GOS and ITF</w:t>
      </w:r>
      <w:r w:rsidR="00666252">
        <w:t xml:space="preserve"> </w:t>
      </w:r>
      <w:r w:rsidR="00B46EDE">
        <w:t>providing</w:t>
      </w:r>
      <w:r w:rsidR="006D5D22">
        <w:t xml:space="preserve"> product innov</w:t>
      </w:r>
      <w:r w:rsidR="00675CA6">
        <w:t>ation opportunities.</w:t>
      </w:r>
    </w:p>
    <w:p w14:paraId="759244F3" w14:textId="77777777" w:rsidR="00420B7A" w:rsidRDefault="00420B7A" w:rsidP="00583389"/>
    <w:p w14:paraId="4164FBC2" w14:textId="019C8D84" w:rsidR="0082209F" w:rsidRPr="003E7621" w:rsidRDefault="0082209F" w:rsidP="009A3796">
      <w:pPr>
        <w:pStyle w:val="CommentText"/>
      </w:pPr>
      <w:r w:rsidRPr="003E7621">
        <w:rPr>
          <w:sz w:val="22"/>
          <w:szCs w:val="22"/>
        </w:rPr>
        <w:t xml:space="preserve">The applicant’s </w:t>
      </w:r>
      <w:r w:rsidR="00583389" w:rsidRPr="003E7621">
        <w:rPr>
          <w:sz w:val="22"/>
          <w:szCs w:val="22"/>
        </w:rPr>
        <w:t>2</w:t>
      </w:r>
      <w:r w:rsidR="00583389" w:rsidRPr="003E7621">
        <w:rPr>
          <w:sz w:val="22"/>
          <w:szCs w:val="22"/>
          <w:lang w:val="en-AU"/>
        </w:rPr>
        <w:t>′</w:t>
      </w:r>
      <w:r w:rsidR="00583389" w:rsidRPr="003E7621">
        <w:rPr>
          <w:sz w:val="22"/>
          <w:szCs w:val="22"/>
        </w:rPr>
        <w:t xml:space="preserve">-FL and LNnT is permitted for use in infant formula products and FSFYC in some overseas countries including the EU and US. The proposed permission will enable Australian and New Zealand </w:t>
      </w:r>
      <w:r w:rsidR="00013980" w:rsidRPr="003E7621">
        <w:rPr>
          <w:sz w:val="22"/>
          <w:szCs w:val="22"/>
        </w:rPr>
        <w:t xml:space="preserve">industries </w:t>
      </w:r>
      <w:r w:rsidR="00583389" w:rsidRPr="003E7621">
        <w:rPr>
          <w:sz w:val="22"/>
          <w:szCs w:val="22"/>
        </w:rPr>
        <w:t>to access and use ingredients that are available to their overseas competitors, which may provide trade opportunities.</w:t>
      </w:r>
      <w:r w:rsidR="00583389" w:rsidRPr="003E7621">
        <w:t xml:space="preserve"> </w:t>
      </w:r>
    </w:p>
    <w:p w14:paraId="34105350" w14:textId="77777777" w:rsidR="0082209F" w:rsidRPr="003E7621" w:rsidRDefault="0082209F" w:rsidP="009A3796">
      <w:pPr>
        <w:pStyle w:val="CommentText"/>
      </w:pPr>
    </w:p>
    <w:p w14:paraId="02B78340" w14:textId="6CE57F48" w:rsidR="009A3796" w:rsidRDefault="0082209F" w:rsidP="009A3796">
      <w:pPr>
        <w:pStyle w:val="CommentText"/>
        <w:rPr>
          <w:sz w:val="22"/>
          <w:szCs w:val="22"/>
          <w:lang w:bidi="ar-SA"/>
        </w:rPr>
      </w:pPr>
      <w:r w:rsidRPr="003E7621">
        <w:rPr>
          <w:sz w:val="22"/>
          <w:szCs w:val="22"/>
        </w:rPr>
        <w:t xml:space="preserve">FSANZ has received feedback from some industry noting that a significant portion of Australia and New Zealand’s infant formula revenue is derived from exports. </w:t>
      </w:r>
      <w:r w:rsidR="009805B3" w:rsidRPr="003E7621">
        <w:rPr>
          <w:sz w:val="22"/>
          <w:szCs w:val="22"/>
        </w:rPr>
        <w:t>In New Zealand, infant formula exports were valued at around NZ$1.</w:t>
      </w:r>
      <w:r w:rsidR="001B3CC8" w:rsidRPr="003E7621">
        <w:rPr>
          <w:sz w:val="22"/>
          <w:szCs w:val="22"/>
        </w:rPr>
        <w:t>1</w:t>
      </w:r>
      <w:r w:rsidR="009805B3" w:rsidRPr="003E7621">
        <w:rPr>
          <w:sz w:val="22"/>
          <w:szCs w:val="22"/>
        </w:rPr>
        <w:t xml:space="preserve"> billion in 2017/2018</w:t>
      </w:r>
      <w:r w:rsidR="001B3CC8" w:rsidRPr="003E7621">
        <w:rPr>
          <w:sz w:val="22"/>
          <w:szCs w:val="22"/>
        </w:rPr>
        <w:t xml:space="preserve"> (NZIER, 2018)</w:t>
      </w:r>
      <w:r w:rsidR="009805B3" w:rsidRPr="003E7621">
        <w:rPr>
          <w:sz w:val="22"/>
          <w:szCs w:val="22"/>
        </w:rPr>
        <w:t xml:space="preserve">. </w:t>
      </w:r>
      <w:r w:rsidR="009A3796" w:rsidRPr="003E7621">
        <w:rPr>
          <w:sz w:val="22"/>
          <w:szCs w:val="22"/>
        </w:rPr>
        <w:t xml:space="preserve">In </w:t>
      </w:r>
      <w:r w:rsidR="009805B3" w:rsidRPr="003E7621">
        <w:rPr>
          <w:sz w:val="22"/>
          <w:szCs w:val="22"/>
        </w:rPr>
        <w:t>Australia</w:t>
      </w:r>
      <w:r w:rsidR="009A3796" w:rsidRPr="003E7621">
        <w:rPr>
          <w:sz w:val="22"/>
          <w:szCs w:val="22"/>
        </w:rPr>
        <w:t xml:space="preserve">, China is </w:t>
      </w:r>
      <w:r w:rsidR="009805B3" w:rsidRPr="003E7621">
        <w:rPr>
          <w:sz w:val="22"/>
          <w:szCs w:val="22"/>
        </w:rPr>
        <w:t>the</w:t>
      </w:r>
      <w:r w:rsidR="009A3796" w:rsidRPr="003E7621">
        <w:rPr>
          <w:sz w:val="22"/>
          <w:szCs w:val="22"/>
        </w:rPr>
        <w:t xml:space="preserve"> largest dairy export market (by volume</w:t>
      </w:r>
      <w:r w:rsidR="00C96225" w:rsidRPr="003E7621">
        <w:rPr>
          <w:sz w:val="22"/>
          <w:szCs w:val="22"/>
        </w:rPr>
        <w:t xml:space="preserve"> and value</w:t>
      </w:r>
      <w:r w:rsidR="009A3796" w:rsidRPr="003E7621">
        <w:rPr>
          <w:sz w:val="22"/>
          <w:szCs w:val="22"/>
        </w:rPr>
        <w:t>). In 2017/18, ‘infant powder’ was the top Australian dairy export</w:t>
      </w:r>
      <w:r w:rsidR="007223BD" w:rsidRPr="003E7621">
        <w:rPr>
          <w:sz w:val="22"/>
          <w:szCs w:val="22"/>
        </w:rPr>
        <w:t xml:space="preserve"> to China</w:t>
      </w:r>
      <w:r w:rsidR="00EB773C" w:rsidRPr="003E7621">
        <w:rPr>
          <w:sz w:val="22"/>
          <w:szCs w:val="22"/>
        </w:rPr>
        <w:t xml:space="preserve"> by value (</w:t>
      </w:r>
      <w:r w:rsidR="009A3796" w:rsidRPr="003E7621">
        <w:rPr>
          <w:sz w:val="22"/>
          <w:szCs w:val="22"/>
        </w:rPr>
        <w:t>USD</w:t>
      </w:r>
      <w:r w:rsidR="00EB773C" w:rsidRPr="003E7621">
        <w:rPr>
          <w:sz w:val="22"/>
          <w:szCs w:val="22"/>
        </w:rPr>
        <w:t>$325 million</w:t>
      </w:r>
      <w:r w:rsidR="009A3796" w:rsidRPr="003E7621">
        <w:rPr>
          <w:sz w:val="22"/>
          <w:szCs w:val="22"/>
        </w:rPr>
        <w:t>)</w:t>
      </w:r>
      <w:r w:rsidR="00C96225" w:rsidRPr="003E7621">
        <w:rPr>
          <w:sz w:val="22"/>
          <w:szCs w:val="22"/>
        </w:rPr>
        <w:t>,</w:t>
      </w:r>
      <w:r w:rsidR="009A3796" w:rsidRPr="003E7621">
        <w:rPr>
          <w:sz w:val="22"/>
          <w:szCs w:val="22"/>
        </w:rPr>
        <w:t xml:space="preserve"> with the </w:t>
      </w:r>
      <w:r w:rsidR="007223BD" w:rsidRPr="003E7621">
        <w:rPr>
          <w:sz w:val="22"/>
          <w:szCs w:val="22"/>
        </w:rPr>
        <w:t>volume of exports growing by 614</w:t>
      </w:r>
      <w:r w:rsidR="009A3796" w:rsidRPr="003E7621">
        <w:rPr>
          <w:sz w:val="22"/>
          <w:szCs w:val="22"/>
        </w:rPr>
        <w:t>% from 2013/14 to 2017/1</w:t>
      </w:r>
      <w:r w:rsidR="00965B69" w:rsidRPr="003E7621">
        <w:rPr>
          <w:sz w:val="22"/>
          <w:szCs w:val="22"/>
        </w:rPr>
        <w:t>8</w:t>
      </w:r>
      <w:r w:rsidR="00B46EDE" w:rsidRPr="003E7621">
        <w:rPr>
          <w:sz w:val="22"/>
          <w:szCs w:val="22"/>
        </w:rPr>
        <w:t xml:space="preserve"> (Dairy Australia, 2018)</w:t>
      </w:r>
      <w:r w:rsidR="009A3796" w:rsidRPr="003E7621">
        <w:rPr>
          <w:sz w:val="22"/>
          <w:szCs w:val="22"/>
        </w:rPr>
        <w:t>.</w:t>
      </w:r>
      <w:r w:rsidR="009805B3" w:rsidRPr="003E7621">
        <w:rPr>
          <w:sz w:val="22"/>
          <w:szCs w:val="22"/>
        </w:rPr>
        <w:t xml:space="preserve"> </w:t>
      </w:r>
      <w:r w:rsidR="009A3796" w:rsidRPr="003E7621">
        <w:rPr>
          <w:sz w:val="22"/>
          <w:szCs w:val="22"/>
        </w:rPr>
        <w:t xml:space="preserve">CBEC (cross border e-commerce) trade into China is governed by the regulations of the market of origin. Approving the use of 2′-FL and LNnT as proposed will potentially allow Australia and New Zealand industries to better compete with overseas businesses in the </w:t>
      </w:r>
      <w:r w:rsidR="00D1141D" w:rsidRPr="003E7621">
        <w:rPr>
          <w:sz w:val="22"/>
          <w:szCs w:val="22"/>
        </w:rPr>
        <w:t xml:space="preserve">CBEC </w:t>
      </w:r>
      <w:r w:rsidR="009A3796" w:rsidRPr="003E7621">
        <w:rPr>
          <w:sz w:val="22"/>
          <w:szCs w:val="22"/>
        </w:rPr>
        <w:t xml:space="preserve">Chinese market that have access to and use these ingredients. Facilitating trade opportunities may lead to flow-on </w:t>
      </w:r>
      <w:r w:rsidR="00D1141D" w:rsidRPr="003E7621">
        <w:rPr>
          <w:sz w:val="22"/>
          <w:szCs w:val="22"/>
        </w:rPr>
        <w:t>economic and employment benefits to Australia and New Zealand</w:t>
      </w:r>
      <w:r w:rsidR="009A3796" w:rsidRPr="003E7621">
        <w:rPr>
          <w:sz w:val="22"/>
          <w:szCs w:val="22"/>
        </w:rPr>
        <w:t>.</w:t>
      </w:r>
    </w:p>
    <w:p w14:paraId="5532D1B1" w14:textId="77777777" w:rsidR="009A3796" w:rsidRDefault="009A3796" w:rsidP="009A3796">
      <w:pPr>
        <w:pStyle w:val="CommentText"/>
        <w:rPr>
          <w:sz w:val="22"/>
          <w:szCs w:val="22"/>
        </w:rPr>
      </w:pPr>
    </w:p>
    <w:p w14:paraId="1D81B83D" w14:textId="3F73F5B7" w:rsidR="00583389" w:rsidRDefault="00E34140" w:rsidP="000622C9">
      <w:pPr>
        <w:widowControl/>
      </w:pPr>
      <w:r>
        <w:t xml:space="preserve">The proposed permission </w:t>
      </w:r>
      <w:r w:rsidR="00583389">
        <w:t>could also result in competing imports from overseas markets into Australia and New Zealand.</w:t>
      </w:r>
    </w:p>
    <w:p w14:paraId="6E39FA19" w14:textId="77777777" w:rsidR="00B5515A" w:rsidRDefault="00B5515A" w:rsidP="00B5515A">
      <w:pPr>
        <w:pStyle w:val="Heading5"/>
        <w:rPr>
          <w:lang w:eastAsia="ja-JP"/>
        </w:rPr>
      </w:pPr>
      <w:r>
        <w:t>Conclusion from cost benefit considerations</w:t>
      </w:r>
    </w:p>
    <w:p w14:paraId="413C72CA" w14:textId="7E2D8F3B" w:rsidR="00B5515A" w:rsidRDefault="00B5515A" w:rsidP="00F84D82">
      <w:pPr>
        <w:widowControl/>
      </w:pPr>
      <w:r>
        <w:t>FSANZ’s assessment is that the direct and indirect benefits that would arise from permitting the voluntary addition of 2′-FL and LNnT in the manner proposed are likely</w:t>
      </w:r>
      <w:r w:rsidR="00550411">
        <w:t xml:space="preserve"> to</w:t>
      </w:r>
      <w:r>
        <w:t xml:space="preserve"> outweigh the associated costs.</w:t>
      </w:r>
    </w:p>
    <w:p w14:paraId="70B7A410" w14:textId="022D04BB" w:rsidR="003E0C59" w:rsidRDefault="004B08D4" w:rsidP="00B250CB">
      <w:pPr>
        <w:pStyle w:val="Heading4"/>
      </w:pPr>
      <w:r>
        <w:t>2.</w:t>
      </w:r>
      <w:r w:rsidR="004252F3">
        <w:t>5</w:t>
      </w:r>
      <w:r w:rsidR="00726C2F">
        <w:t>.1.2</w:t>
      </w:r>
      <w:r w:rsidR="00726C2F">
        <w:tab/>
        <w:t>Other measures</w:t>
      </w:r>
    </w:p>
    <w:p w14:paraId="49B11F61" w14:textId="2614CD1D" w:rsidR="003E0C59" w:rsidRDefault="00F64509" w:rsidP="00726C2F">
      <w:r>
        <w:t>There are no other</w:t>
      </w:r>
      <w:r w:rsidR="003E0C59">
        <w:t xml:space="preserve"> measure</w:t>
      </w:r>
      <w:r>
        <w:t xml:space="preserve">s, whether available to FSANZ or not, </w:t>
      </w:r>
      <w:r w:rsidR="003E0C59">
        <w:t xml:space="preserve">which would be more cost effective </w:t>
      </w:r>
      <w:r w:rsidR="003E0C59" w:rsidRPr="00612597">
        <w:t>than a food regulatory measure developed or varied as a result of the application</w:t>
      </w:r>
      <w:r w:rsidR="003E0C59">
        <w:t xml:space="preserve">. </w:t>
      </w:r>
    </w:p>
    <w:p w14:paraId="0CA9B6E8" w14:textId="3B3545C4" w:rsidR="00726C2F" w:rsidRDefault="004B08D4" w:rsidP="008B0075">
      <w:pPr>
        <w:pStyle w:val="Heading4"/>
      </w:pPr>
      <w:r>
        <w:t>2.</w:t>
      </w:r>
      <w:r w:rsidR="004252F3">
        <w:t>5</w:t>
      </w:r>
      <w:r w:rsidR="008B0075">
        <w:t>.1.3</w:t>
      </w:r>
      <w:r w:rsidR="008B0075">
        <w:tab/>
        <w:t>A</w:t>
      </w:r>
      <w:r w:rsidR="00726C2F" w:rsidRPr="00914030">
        <w:t>ny relevant New Zealand standards</w:t>
      </w:r>
    </w:p>
    <w:p w14:paraId="65DAA3EB" w14:textId="77777777" w:rsidR="008B0075" w:rsidRDefault="008B0075" w:rsidP="008B0075">
      <w:pPr>
        <w:rPr>
          <w:lang w:bidi="ar-SA"/>
        </w:rPr>
      </w:pPr>
      <w:r>
        <w:rPr>
          <w:lang w:bidi="ar-SA"/>
        </w:rPr>
        <w:t>There are no relevant New Zealand Standards.</w:t>
      </w:r>
    </w:p>
    <w:p w14:paraId="0FCF4CB6" w14:textId="254DA872" w:rsidR="00726C2F" w:rsidRPr="00914030" w:rsidRDefault="004B08D4" w:rsidP="00BE3818">
      <w:pPr>
        <w:pStyle w:val="Heading4"/>
      </w:pPr>
      <w:r>
        <w:t>2.</w:t>
      </w:r>
      <w:r w:rsidR="004252F3">
        <w:t>5</w:t>
      </w:r>
      <w:r w:rsidR="00BE3818">
        <w:t>.1.4</w:t>
      </w:r>
      <w:r w:rsidR="00BE3818">
        <w:tab/>
      </w:r>
      <w:r w:rsidR="0027513D">
        <w:t>A</w:t>
      </w:r>
      <w:r w:rsidR="00BE3818">
        <w:t>ny other relevant matters</w:t>
      </w:r>
    </w:p>
    <w:p w14:paraId="6808A0D2" w14:textId="77777777" w:rsidR="00BE3818" w:rsidRDefault="008B5567" w:rsidP="00BE3818">
      <w:pPr>
        <w:rPr>
          <w:lang w:bidi="ar-SA"/>
        </w:rPr>
      </w:pPr>
      <w:r>
        <w:t>Other relevant matters are considered below</w:t>
      </w:r>
      <w:r w:rsidR="00BE3818">
        <w:rPr>
          <w:lang w:bidi="ar-SA"/>
        </w:rPr>
        <w:t>.</w:t>
      </w:r>
      <w:r>
        <w:t xml:space="preserve"> </w:t>
      </w:r>
    </w:p>
    <w:p w14:paraId="2E0E76ED" w14:textId="2C5787C8" w:rsidR="00022DBC" w:rsidRPr="00914030" w:rsidRDefault="004B08D4" w:rsidP="00022DBC">
      <w:pPr>
        <w:pStyle w:val="Heading3"/>
      </w:pPr>
      <w:bookmarkStart w:id="149" w:name="_Toc525730001"/>
      <w:bookmarkStart w:id="150" w:name="_Toc527018248"/>
      <w:bookmarkStart w:id="151" w:name="_Toc11247919"/>
      <w:bookmarkStart w:id="152" w:name="_Toc14427211"/>
      <w:bookmarkStart w:id="153" w:name="_Toc300761897"/>
      <w:bookmarkStart w:id="154" w:name="_Toc300933440"/>
      <w:r>
        <w:t>2.</w:t>
      </w:r>
      <w:r w:rsidR="004252F3">
        <w:t>5</w:t>
      </w:r>
      <w:r w:rsidR="00387103">
        <w:t>.2</w:t>
      </w:r>
      <w:r w:rsidR="00022DBC" w:rsidRPr="00914030">
        <w:tab/>
      </w:r>
      <w:r w:rsidR="00BE3818">
        <w:t>Subsection 18(1)</w:t>
      </w:r>
      <w:bookmarkEnd w:id="149"/>
      <w:bookmarkEnd w:id="150"/>
      <w:bookmarkEnd w:id="151"/>
      <w:bookmarkEnd w:id="152"/>
      <w:r w:rsidR="00BE3818">
        <w:t xml:space="preserve"> </w:t>
      </w:r>
      <w:bookmarkEnd w:id="153"/>
      <w:bookmarkEnd w:id="154"/>
    </w:p>
    <w:p w14:paraId="7BF52561" w14:textId="77777777" w:rsidR="00022DBC" w:rsidRPr="00914030" w:rsidRDefault="00022DBC" w:rsidP="00E91F65">
      <w:pPr>
        <w:widowControl/>
      </w:pPr>
      <w:r w:rsidRPr="00914030">
        <w:rPr>
          <w:rFonts w:cs="Arial"/>
        </w:rPr>
        <w:t xml:space="preserve">FSANZ has also </w:t>
      </w:r>
      <w:r w:rsidRPr="00914030">
        <w:t xml:space="preserve">considered the three objectives in subsection 18(1) of the </w:t>
      </w:r>
      <w:r>
        <w:t>FSANZ Act during the assessment.</w:t>
      </w:r>
    </w:p>
    <w:p w14:paraId="06A7FECA" w14:textId="7CB8C323" w:rsidR="00022DBC" w:rsidRPr="00914030" w:rsidRDefault="004B08D4" w:rsidP="00022DBC">
      <w:pPr>
        <w:pStyle w:val="Heading4"/>
        <w:rPr>
          <w:lang w:eastAsia="en-AU"/>
        </w:rPr>
      </w:pPr>
      <w:bookmarkStart w:id="155" w:name="_Toc297029117"/>
      <w:bookmarkStart w:id="156" w:name="_Toc300761898"/>
      <w:bookmarkStart w:id="157" w:name="_Toc300933441"/>
      <w:r>
        <w:rPr>
          <w:lang w:eastAsia="en-AU"/>
        </w:rPr>
        <w:t>2.</w:t>
      </w:r>
      <w:r w:rsidR="004252F3">
        <w:rPr>
          <w:lang w:eastAsia="en-AU"/>
        </w:rPr>
        <w:t>5</w:t>
      </w:r>
      <w:r w:rsidR="00BE3818">
        <w:rPr>
          <w:lang w:eastAsia="en-AU"/>
        </w:rPr>
        <w:t>.2</w:t>
      </w:r>
      <w:r w:rsidR="00022DBC" w:rsidRPr="00914030">
        <w:rPr>
          <w:lang w:eastAsia="en-AU"/>
        </w:rPr>
        <w:t>.1</w:t>
      </w:r>
      <w:r w:rsidR="00022DBC" w:rsidRPr="00914030">
        <w:rPr>
          <w:lang w:eastAsia="en-AU"/>
        </w:rPr>
        <w:tab/>
        <w:t>Protection of public health and safety</w:t>
      </w:r>
      <w:bookmarkEnd w:id="155"/>
      <w:bookmarkEnd w:id="156"/>
      <w:bookmarkEnd w:id="157"/>
    </w:p>
    <w:p w14:paraId="75E64B4B" w14:textId="71333316" w:rsidR="00022DBC" w:rsidRPr="001A6DFD" w:rsidRDefault="00395E78" w:rsidP="00022DBC">
      <w:r w:rsidRPr="001A6DFD">
        <w:t>F</w:t>
      </w:r>
      <w:r w:rsidR="00ED7B35">
        <w:t xml:space="preserve">SANZ has completed a safety, technical and health </w:t>
      </w:r>
      <w:r w:rsidR="00CA6000">
        <w:t xml:space="preserve">effects </w:t>
      </w:r>
      <w:r w:rsidRPr="001A6DFD">
        <w:t>assessment (SD1) which is summarised in section 2.</w:t>
      </w:r>
      <w:r w:rsidR="00F04F14">
        <w:t>2</w:t>
      </w:r>
      <w:r w:rsidRPr="001A6DFD">
        <w:t>. The assessment concluded that there are no public health and safety concerns associated with the addition of 2</w:t>
      </w:r>
      <w:r w:rsidR="00567609">
        <w:t>′</w:t>
      </w:r>
      <w:r w:rsidRPr="001A6DFD">
        <w:t>-FL</w:t>
      </w:r>
      <w:r w:rsidR="00CF5133">
        <w:t xml:space="preserve"> alone </w:t>
      </w:r>
      <w:r w:rsidRPr="001A6DFD">
        <w:t xml:space="preserve">or in combination with LNnT to infant formula products and </w:t>
      </w:r>
      <w:r w:rsidRPr="006D7863">
        <w:t>FSFYC a</w:t>
      </w:r>
      <w:r w:rsidR="004629BC" w:rsidRPr="006D7863">
        <w:t xml:space="preserve">t the </w:t>
      </w:r>
      <w:r w:rsidR="007F0865" w:rsidRPr="006D7863">
        <w:t xml:space="preserve">requested </w:t>
      </w:r>
      <w:r w:rsidR="004629BC" w:rsidRPr="006D7863">
        <w:t>levels</w:t>
      </w:r>
      <w:r w:rsidR="00CF5133" w:rsidRPr="006D7863">
        <w:t>,</w:t>
      </w:r>
      <w:r w:rsidRPr="006D7863">
        <w:t xml:space="preserve"> or at </w:t>
      </w:r>
      <w:r w:rsidR="004629BC" w:rsidRPr="006D7863">
        <w:t>higher</w:t>
      </w:r>
      <w:r w:rsidRPr="006D7863">
        <w:t xml:space="preserve"> estimated</w:t>
      </w:r>
      <w:r w:rsidR="007F0865" w:rsidRPr="006D7863">
        <w:t xml:space="preserve"> levels of </w:t>
      </w:r>
      <w:r w:rsidRPr="006D7863">
        <w:t>dietary intakes based on 2.4 g/L</w:t>
      </w:r>
      <w:r w:rsidR="007F0865" w:rsidRPr="006D7863">
        <w:t xml:space="preserve"> 2</w:t>
      </w:r>
      <w:r w:rsidR="00567609">
        <w:t>′</w:t>
      </w:r>
      <w:r w:rsidR="007F0865" w:rsidRPr="006D7863">
        <w:t>-FL</w:t>
      </w:r>
      <w:r w:rsidRPr="006D7863">
        <w:t xml:space="preserve">. </w:t>
      </w:r>
    </w:p>
    <w:p w14:paraId="1EE37A21" w14:textId="5EDF744E" w:rsidR="00022DBC" w:rsidRPr="00914030" w:rsidRDefault="004B08D4" w:rsidP="00313EDE">
      <w:pPr>
        <w:pStyle w:val="Heading4"/>
        <w:ind w:left="1134" w:hanging="1134"/>
        <w:rPr>
          <w:lang w:eastAsia="en-AU"/>
        </w:rPr>
      </w:pPr>
      <w:bookmarkStart w:id="158" w:name="_Toc300761899"/>
      <w:bookmarkStart w:id="159" w:name="_Toc300933442"/>
      <w:r>
        <w:rPr>
          <w:lang w:eastAsia="en-AU"/>
        </w:rPr>
        <w:t>2.</w:t>
      </w:r>
      <w:r w:rsidR="004252F3">
        <w:rPr>
          <w:lang w:eastAsia="en-AU"/>
        </w:rPr>
        <w:t>5</w:t>
      </w:r>
      <w:r w:rsidR="00BE3818">
        <w:rPr>
          <w:lang w:eastAsia="en-AU"/>
        </w:rPr>
        <w:t>.2</w:t>
      </w:r>
      <w:r w:rsidR="00022DBC">
        <w:rPr>
          <w:lang w:eastAsia="en-AU"/>
        </w:rPr>
        <w:t>.</w:t>
      </w:r>
      <w:r w:rsidR="00022DBC" w:rsidRPr="00914030">
        <w:rPr>
          <w:lang w:eastAsia="en-AU"/>
        </w:rPr>
        <w:t>2</w:t>
      </w:r>
      <w:r w:rsidR="00022DBC" w:rsidRPr="00914030">
        <w:rPr>
          <w:lang w:eastAsia="en-AU"/>
        </w:rPr>
        <w:tab/>
        <w:t>The provision of adequate information relating to food to enable consumers to make informed choices</w:t>
      </w:r>
      <w:bookmarkEnd w:id="158"/>
      <w:bookmarkEnd w:id="159"/>
    </w:p>
    <w:p w14:paraId="17D0FD76" w14:textId="5E849CAE" w:rsidR="00022DBC" w:rsidRPr="00813705" w:rsidRDefault="00143705" w:rsidP="0081443C">
      <w:pPr>
        <w:widowControl/>
      </w:pPr>
      <w:r w:rsidRPr="00DA5399">
        <w:rPr>
          <w:rFonts w:cs="Arial"/>
          <w:szCs w:val="22"/>
        </w:rPr>
        <w:t>Current labellin</w:t>
      </w:r>
      <w:r>
        <w:rPr>
          <w:rFonts w:cs="Arial"/>
          <w:szCs w:val="22"/>
        </w:rPr>
        <w:t xml:space="preserve">g requirements </w:t>
      </w:r>
      <w:r w:rsidRPr="00DA5399">
        <w:rPr>
          <w:rFonts w:cs="Arial"/>
          <w:szCs w:val="22"/>
        </w:rPr>
        <w:t xml:space="preserve">would apply to </w:t>
      </w:r>
      <w:r w:rsidR="005865E4">
        <w:t>2′-FL and LNnT when added to infant formula or FSFYC</w:t>
      </w:r>
      <w:r w:rsidR="00FA6D48">
        <w:t>,</w:t>
      </w:r>
      <w:r>
        <w:t xml:space="preserve"> as</w:t>
      </w:r>
      <w:r w:rsidR="00395E78" w:rsidRPr="00395E78">
        <w:t xml:space="preserve"> </w:t>
      </w:r>
      <w:r w:rsidR="006A2410">
        <w:t xml:space="preserve">discussed </w:t>
      </w:r>
      <w:r w:rsidR="00A06560" w:rsidRPr="006A2410">
        <w:t>in section 2.</w:t>
      </w:r>
      <w:r w:rsidR="0004292E">
        <w:t>3</w:t>
      </w:r>
      <w:r w:rsidR="00A06560" w:rsidRPr="006A2410">
        <w:t>.5</w:t>
      </w:r>
      <w:r w:rsidR="00FA6D48">
        <w:t>,</w:t>
      </w:r>
      <w:r w:rsidR="00A06560">
        <w:t xml:space="preserve"> w</w:t>
      </w:r>
      <w:r w:rsidR="000866B0">
        <w:t xml:space="preserve">hich </w:t>
      </w:r>
      <w:r w:rsidR="00A447AC">
        <w:t>provide</w:t>
      </w:r>
      <w:r w:rsidR="005865E4">
        <w:t>s</w:t>
      </w:r>
      <w:r w:rsidR="00A447AC">
        <w:t xml:space="preserve"> information to </w:t>
      </w:r>
      <w:r w:rsidR="00813705" w:rsidRPr="00395E78">
        <w:t xml:space="preserve">enable </w:t>
      </w:r>
      <w:r w:rsidR="00A447AC">
        <w:t xml:space="preserve">consumers make </w:t>
      </w:r>
      <w:r w:rsidR="00813705" w:rsidRPr="00395E78">
        <w:t>an informed choice</w:t>
      </w:r>
      <w:r w:rsidR="00F63BAD">
        <w:t>.</w:t>
      </w:r>
    </w:p>
    <w:p w14:paraId="4798578E" w14:textId="2897C8A2" w:rsidR="00022DBC" w:rsidRPr="00914030" w:rsidRDefault="004B08D4" w:rsidP="00022DBC">
      <w:pPr>
        <w:pStyle w:val="Heading4"/>
        <w:rPr>
          <w:lang w:eastAsia="en-AU"/>
        </w:rPr>
      </w:pPr>
      <w:bookmarkStart w:id="160" w:name="_Toc300761900"/>
      <w:bookmarkStart w:id="161" w:name="_Toc300933443"/>
      <w:r>
        <w:rPr>
          <w:lang w:eastAsia="en-AU"/>
        </w:rPr>
        <w:t>2.</w:t>
      </w:r>
      <w:r w:rsidR="004252F3">
        <w:rPr>
          <w:lang w:eastAsia="en-AU"/>
        </w:rPr>
        <w:t>5</w:t>
      </w:r>
      <w:r w:rsidR="00BE3818">
        <w:rPr>
          <w:lang w:eastAsia="en-AU"/>
        </w:rPr>
        <w:t>.2</w:t>
      </w:r>
      <w:r w:rsidR="00022DBC">
        <w:rPr>
          <w:lang w:eastAsia="en-AU"/>
        </w:rPr>
        <w:t>.</w:t>
      </w:r>
      <w:r w:rsidR="00022DBC" w:rsidRPr="00914030">
        <w:rPr>
          <w:lang w:eastAsia="en-AU"/>
        </w:rPr>
        <w:t>3</w:t>
      </w:r>
      <w:r w:rsidR="00022DBC" w:rsidRPr="00914030">
        <w:rPr>
          <w:lang w:eastAsia="en-AU"/>
        </w:rPr>
        <w:tab/>
        <w:t>The prevention of misleading or deceptive conduct</w:t>
      </w:r>
      <w:bookmarkEnd w:id="160"/>
      <w:bookmarkEnd w:id="161"/>
    </w:p>
    <w:p w14:paraId="3F272DF0" w14:textId="02C59874" w:rsidR="00BB56F4" w:rsidRPr="00523BA7" w:rsidRDefault="00BB56F4" w:rsidP="00BB56F4">
      <w:pPr>
        <w:widowControl/>
        <w:rPr>
          <w:rFonts w:cs="Arial"/>
          <w:szCs w:val="22"/>
        </w:rPr>
      </w:pPr>
      <w:r w:rsidRPr="003E7621">
        <w:rPr>
          <w:rFonts w:cs="Arial"/>
          <w:szCs w:val="22"/>
        </w:rPr>
        <w:t xml:space="preserve">Current labelling requirements, which aim to prevent misleading or deceptive conduct, would apply </w:t>
      </w:r>
      <w:r w:rsidR="00FA6D48" w:rsidRPr="003E7621">
        <w:rPr>
          <w:rFonts w:cs="Arial"/>
          <w:szCs w:val="22"/>
        </w:rPr>
        <w:t xml:space="preserve">to </w:t>
      </w:r>
      <w:r w:rsidR="00C90EEF" w:rsidRPr="003E7621">
        <w:t>2′-FL and LNnT when added</w:t>
      </w:r>
      <w:r w:rsidRPr="003E7621">
        <w:rPr>
          <w:rFonts w:cs="Arial"/>
          <w:szCs w:val="22"/>
        </w:rPr>
        <w:t xml:space="preserve"> to </w:t>
      </w:r>
      <w:r w:rsidR="00C90EEF" w:rsidRPr="003E7621">
        <w:t>infant formula or FSFYC</w:t>
      </w:r>
      <w:r w:rsidR="005237D0" w:rsidRPr="003E7621">
        <w:rPr>
          <w:rFonts w:cs="Arial"/>
          <w:szCs w:val="22"/>
        </w:rPr>
        <w:t>.</w:t>
      </w:r>
      <w:r w:rsidRPr="003E7621">
        <w:rPr>
          <w:rFonts w:cs="Arial"/>
          <w:szCs w:val="22"/>
        </w:rPr>
        <w:t xml:space="preserve"> </w:t>
      </w:r>
      <w:r w:rsidR="0004292E" w:rsidRPr="003E7621">
        <w:rPr>
          <w:rFonts w:cs="Arial"/>
          <w:szCs w:val="22"/>
        </w:rPr>
        <w:t xml:space="preserve">Further, a specific prohibition of terms such as ‘human milk </w:t>
      </w:r>
      <w:r w:rsidR="00801F93" w:rsidRPr="003E7621">
        <w:rPr>
          <w:rFonts w:cs="Arial"/>
          <w:szCs w:val="22"/>
        </w:rPr>
        <w:t xml:space="preserve">identical </w:t>
      </w:r>
      <w:r w:rsidR="0004292E" w:rsidRPr="003E7621">
        <w:rPr>
          <w:rFonts w:cs="Arial"/>
          <w:szCs w:val="22"/>
        </w:rPr>
        <w:t>oligosaccharide’ and ‘HiMO’ is intended to prevent consumers from being misled about the equivalency of infant formula products and FSFYC with breastmilk</w:t>
      </w:r>
      <w:r w:rsidR="00002D6B" w:rsidRPr="003E7621">
        <w:rPr>
          <w:rFonts w:cs="Arial"/>
          <w:szCs w:val="22"/>
        </w:rPr>
        <w:t xml:space="preserve"> (see section 2.3.5.2)</w:t>
      </w:r>
      <w:r w:rsidR="0004292E" w:rsidRPr="003E7621">
        <w:rPr>
          <w:rFonts w:cs="Arial"/>
          <w:szCs w:val="22"/>
        </w:rPr>
        <w:t>.</w:t>
      </w:r>
    </w:p>
    <w:p w14:paraId="21851926" w14:textId="46D6DB2A" w:rsidR="00022DBC" w:rsidRPr="00914030" w:rsidRDefault="004B08D4" w:rsidP="00B51E03">
      <w:pPr>
        <w:pStyle w:val="Heading3"/>
      </w:pPr>
      <w:bookmarkStart w:id="162" w:name="_Toc300761901"/>
      <w:bookmarkStart w:id="163" w:name="_Toc300933444"/>
      <w:bookmarkStart w:id="164" w:name="_Toc525730002"/>
      <w:bookmarkStart w:id="165" w:name="_Toc527018249"/>
      <w:bookmarkStart w:id="166" w:name="_Toc11247920"/>
      <w:bookmarkStart w:id="167" w:name="_Toc14427212"/>
      <w:r>
        <w:t>2.</w:t>
      </w:r>
      <w:r w:rsidR="004252F3">
        <w:t>5</w:t>
      </w:r>
      <w:r w:rsidR="00B51E03">
        <w:t>.3</w:t>
      </w:r>
      <w:r w:rsidR="00022DBC" w:rsidRPr="00914030">
        <w:tab/>
        <w:t xml:space="preserve">Subsection 18(2) </w:t>
      </w:r>
      <w:bookmarkEnd w:id="162"/>
      <w:bookmarkEnd w:id="163"/>
      <w:r w:rsidR="00022DBC" w:rsidRPr="00914030">
        <w:t>considerations</w:t>
      </w:r>
      <w:bookmarkEnd w:id="164"/>
      <w:bookmarkEnd w:id="165"/>
      <w:bookmarkEnd w:id="166"/>
      <w:bookmarkEnd w:id="167"/>
    </w:p>
    <w:p w14:paraId="0A228560" w14:textId="77777777" w:rsidR="00022DBC" w:rsidRPr="00914030" w:rsidRDefault="00022DBC" w:rsidP="00022DBC">
      <w:pPr>
        <w:rPr>
          <w:rFonts w:cs="Arial"/>
        </w:rPr>
      </w:pPr>
      <w:r w:rsidRPr="00914030">
        <w:rPr>
          <w:rFonts w:cs="Arial"/>
        </w:rPr>
        <w:t>FSANZ has also had regard to:</w:t>
      </w:r>
    </w:p>
    <w:p w14:paraId="69635AB0" w14:textId="77777777" w:rsidR="00022DBC" w:rsidRPr="00914030" w:rsidRDefault="00022DBC" w:rsidP="00022DBC">
      <w:pPr>
        <w:rPr>
          <w:rFonts w:cs="Arial"/>
        </w:rPr>
      </w:pPr>
    </w:p>
    <w:p w14:paraId="74777D28" w14:textId="77777777" w:rsidR="00E63BE9" w:rsidRPr="00072A22" w:rsidRDefault="00E63BE9" w:rsidP="00B57142">
      <w:pPr>
        <w:pStyle w:val="FSBullet1"/>
        <w:rPr>
          <w:b/>
        </w:rPr>
      </w:pPr>
      <w:r w:rsidRPr="00072A22">
        <w:rPr>
          <w:b/>
        </w:rPr>
        <w:t>the need for standards to be based on risk analysis using the best available scientific evidence</w:t>
      </w:r>
    </w:p>
    <w:p w14:paraId="09D83D05" w14:textId="77777777" w:rsidR="008828D9" w:rsidRDefault="008828D9" w:rsidP="008828D9">
      <w:pPr>
        <w:rPr>
          <w:lang w:bidi="ar-SA"/>
        </w:rPr>
      </w:pPr>
    </w:p>
    <w:p w14:paraId="4DCDC5DD" w14:textId="2E135996" w:rsidR="00801F93" w:rsidRPr="001A6DFD" w:rsidRDefault="00ED7B35" w:rsidP="008828D9">
      <w:r w:rsidRPr="00087609">
        <w:t xml:space="preserve">FSANZ has used the best available scientific evidence to </w:t>
      </w:r>
      <w:r w:rsidR="00087609" w:rsidRPr="00087609">
        <w:t>assess this application</w:t>
      </w:r>
      <w:r w:rsidRPr="00087609">
        <w:t xml:space="preserve">. The applicant submitted a dossier of scientific </w:t>
      </w:r>
      <w:r w:rsidRPr="003E7621">
        <w:t xml:space="preserve">studies as part of its application. </w:t>
      </w:r>
      <w:r w:rsidR="00087609" w:rsidRPr="003E7621">
        <w:t>Other relevant information including scientific literature was also used in assessing the application.</w:t>
      </w:r>
      <w:r w:rsidR="009228B9" w:rsidRPr="003E7621">
        <w:t xml:space="preserve"> In light of issues raised in submissions, the applicant was asked to provide any additional available evidence to support the application. This was to ensure the assessment was based on the best available evidence. An additional clinical study provided by the applicant has been assessed by FSANZ in SD1.</w:t>
      </w:r>
    </w:p>
    <w:p w14:paraId="5122B7D0" w14:textId="77777777" w:rsidR="008828D9" w:rsidRPr="008828D9" w:rsidRDefault="008828D9" w:rsidP="008828D9">
      <w:pPr>
        <w:rPr>
          <w:lang w:bidi="ar-SA"/>
        </w:rPr>
      </w:pPr>
    </w:p>
    <w:p w14:paraId="5EAC07C2" w14:textId="77777777" w:rsidR="00E63BE9" w:rsidRPr="00072A22" w:rsidRDefault="00E63BE9" w:rsidP="00B57142">
      <w:pPr>
        <w:pStyle w:val="FSBullet1"/>
        <w:rPr>
          <w:b/>
        </w:rPr>
      </w:pPr>
      <w:r w:rsidRPr="00072A22">
        <w:rPr>
          <w:b/>
        </w:rPr>
        <w:t>the promotion of consistency between domestic and international food standards</w:t>
      </w:r>
    </w:p>
    <w:p w14:paraId="639065EE" w14:textId="77777777" w:rsidR="008828D9" w:rsidRDefault="008828D9" w:rsidP="008828D9">
      <w:pPr>
        <w:rPr>
          <w:lang w:bidi="ar-SA"/>
        </w:rPr>
      </w:pPr>
    </w:p>
    <w:p w14:paraId="1FA0600C" w14:textId="766ADE6B" w:rsidR="005832EA" w:rsidRPr="00B21422" w:rsidRDefault="005832EA" w:rsidP="00785730">
      <w:pPr>
        <w:widowControl/>
        <w:ind w:right="-286"/>
      </w:pPr>
      <w:r>
        <w:t>The applicant’s 2</w:t>
      </w:r>
      <w:r w:rsidR="00567609">
        <w:t>′</w:t>
      </w:r>
      <w:r>
        <w:t xml:space="preserve">-FL and LNnT are permitted for use overseas, including in the US and EU. </w:t>
      </w:r>
      <w:r w:rsidR="000664C4">
        <w:t xml:space="preserve">Permitting </w:t>
      </w:r>
      <w:r>
        <w:t>2</w:t>
      </w:r>
      <w:r w:rsidR="00567609">
        <w:t>′</w:t>
      </w:r>
      <w:r>
        <w:t>-FL and LNnT</w:t>
      </w:r>
      <w:r w:rsidR="000664C4">
        <w:t xml:space="preserve"> </w:t>
      </w:r>
      <w:r w:rsidR="006D55B1">
        <w:t>as</w:t>
      </w:r>
      <w:r w:rsidR="000664C4">
        <w:t xml:space="preserve"> proposed </w:t>
      </w:r>
      <w:r w:rsidR="00DA5399">
        <w:t xml:space="preserve">by FSANZ </w:t>
      </w:r>
      <w:r w:rsidR="00785730" w:rsidRPr="00B21422">
        <w:t xml:space="preserve">will promote </w:t>
      </w:r>
      <w:r w:rsidR="006D7863">
        <w:t>greater compatibility</w:t>
      </w:r>
      <w:r w:rsidR="00785730" w:rsidRPr="00B21422">
        <w:t xml:space="preserve"> between domestic and </w:t>
      </w:r>
      <w:r w:rsidR="006D7863">
        <w:t>overseas</w:t>
      </w:r>
      <w:r w:rsidR="00785730" w:rsidRPr="00B21422">
        <w:t xml:space="preserve"> food standards</w:t>
      </w:r>
      <w:r>
        <w:t xml:space="preserve"> </w:t>
      </w:r>
      <w:r w:rsidR="00DA5399">
        <w:t>for</w:t>
      </w:r>
      <w:r>
        <w:t xml:space="preserve"> infant formula products and FSFYC</w:t>
      </w:r>
      <w:r w:rsidR="00397C30">
        <w:t>.</w:t>
      </w:r>
      <w:r>
        <w:t xml:space="preserve"> </w:t>
      </w:r>
    </w:p>
    <w:p w14:paraId="53B90031" w14:textId="77777777" w:rsidR="008828D9" w:rsidRPr="008828D9" w:rsidRDefault="008828D9" w:rsidP="008828D9">
      <w:pPr>
        <w:rPr>
          <w:lang w:bidi="ar-SA"/>
        </w:rPr>
      </w:pPr>
    </w:p>
    <w:p w14:paraId="77B60539" w14:textId="77777777" w:rsidR="00E63BE9" w:rsidRPr="00072A22" w:rsidRDefault="00E63BE9" w:rsidP="00B57142">
      <w:pPr>
        <w:pStyle w:val="FSBullet1"/>
        <w:rPr>
          <w:b/>
        </w:rPr>
      </w:pPr>
      <w:r w:rsidRPr="00072A22">
        <w:rPr>
          <w:b/>
        </w:rPr>
        <w:t>the desirability of an efficient and internationally competitive food industry</w:t>
      </w:r>
    </w:p>
    <w:p w14:paraId="440D5AB6" w14:textId="77777777" w:rsidR="008828D9" w:rsidRDefault="008828D9" w:rsidP="008828D9">
      <w:pPr>
        <w:rPr>
          <w:lang w:bidi="ar-SA"/>
        </w:rPr>
      </w:pPr>
    </w:p>
    <w:p w14:paraId="371D09BA" w14:textId="23558B5D" w:rsidR="00785730" w:rsidRPr="00B21422" w:rsidRDefault="00785730" w:rsidP="00785730">
      <w:pPr>
        <w:widowControl/>
        <w:rPr>
          <w:lang w:bidi="ar-SA"/>
        </w:rPr>
      </w:pPr>
      <w:r>
        <w:t xml:space="preserve">The proposed </w:t>
      </w:r>
      <w:r w:rsidR="001B4D30">
        <w:t>permission</w:t>
      </w:r>
      <w:r w:rsidR="007051FC">
        <w:t xml:space="preserve"> </w:t>
      </w:r>
      <w:r w:rsidR="005832EA">
        <w:t xml:space="preserve">would </w:t>
      </w:r>
      <w:r w:rsidR="007051FC">
        <w:t>s</w:t>
      </w:r>
      <w:r w:rsidR="005832EA">
        <w:t>upport</w:t>
      </w:r>
      <w:r w:rsidRPr="00B21422">
        <w:t xml:space="preserve"> an internationally competitive food industry</w:t>
      </w:r>
      <w:r w:rsidR="005832EA">
        <w:t xml:space="preserve"> </w:t>
      </w:r>
      <w:r w:rsidR="00397C30">
        <w:t xml:space="preserve">in relation to the </w:t>
      </w:r>
      <w:r w:rsidR="00176B60">
        <w:t>addition</w:t>
      </w:r>
      <w:r w:rsidR="00397C30">
        <w:t xml:space="preserve"> of </w:t>
      </w:r>
      <w:r w:rsidR="00B51870">
        <w:t>2′</w:t>
      </w:r>
      <w:r w:rsidR="00397C30">
        <w:t xml:space="preserve">-FL and LNnT </w:t>
      </w:r>
      <w:r w:rsidR="00F84588">
        <w:t>to</w:t>
      </w:r>
      <w:r w:rsidR="00397C30">
        <w:t xml:space="preserve"> </w:t>
      </w:r>
      <w:r w:rsidR="005832EA">
        <w:t>infant formula products and FSFYC</w:t>
      </w:r>
      <w:r w:rsidR="001B4D30">
        <w:t>.</w:t>
      </w:r>
      <w:r w:rsidRPr="00B21422">
        <w:t xml:space="preserve"> </w:t>
      </w:r>
    </w:p>
    <w:p w14:paraId="5FD058B5" w14:textId="77777777" w:rsidR="008828D9" w:rsidRPr="008828D9" w:rsidRDefault="008828D9" w:rsidP="008828D9">
      <w:pPr>
        <w:rPr>
          <w:lang w:bidi="ar-SA"/>
        </w:rPr>
      </w:pPr>
    </w:p>
    <w:p w14:paraId="3331A255" w14:textId="77777777" w:rsidR="00E63BE9" w:rsidRPr="00072A22" w:rsidRDefault="00E63BE9" w:rsidP="00B57142">
      <w:pPr>
        <w:pStyle w:val="FSBullet1"/>
        <w:rPr>
          <w:b/>
        </w:rPr>
      </w:pPr>
      <w:r w:rsidRPr="00072A22">
        <w:rPr>
          <w:b/>
        </w:rPr>
        <w:t>the promotion of fair trading in food</w:t>
      </w:r>
    </w:p>
    <w:p w14:paraId="1ABEEACF" w14:textId="77777777" w:rsidR="008828D9" w:rsidRDefault="008828D9" w:rsidP="008828D9">
      <w:pPr>
        <w:rPr>
          <w:lang w:bidi="ar-SA"/>
        </w:rPr>
      </w:pPr>
    </w:p>
    <w:p w14:paraId="2942BD60" w14:textId="4BDD927B" w:rsidR="008828D9" w:rsidRPr="00E63BE9" w:rsidRDefault="00813705" w:rsidP="008828D9">
      <w:r w:rsidRPr="00E63BE9">
        <w:t xml:space="preserve">No negative impact is anticipated on fair trading. </w:t>
      </w:r>
    </w:p>
    <w:p w14:paraId="0067CBDE" w14:textId="77777777" w:rsidR="008828D9" w:rsidRPr="00E63BE9" w:rsidRDefault="008828D9" w:rsidP="008828D9">
      <w:pPr>
        <w:rPr>
          <w:lang w:bidi="ar-SA"/>
        </w:rPr>
      </w:pPr>
    </w:p>
    <w:p w14:paraId="4414B2BC" w14:textId="77777777" w:rsidR="00E63BE9" w:rsidRPr="00072A22" w:rsidRDefault="00E63BE9" w:rsidP="00B57142">
      <w:pPr>
        <w:pStyle w:val="FSBullet1"/>
        <w:rPr>
          <w:b/>
        </w:rPr>
      </w:pPr>
      <w:r w:rsidRPr="00072A22">
        <w:rPr>
          <w:b/>
        </w:rPr>
        <w:t xml:space="preserve">any written policy guidelines formulated by the Forum on Food Regulation </w:t>
      </w:r>
    </w:p>
    <w:p w14:paraId="35A45048" w14:textId="77777777" w:rsidR="00022DBC" w:rsidRDefault="00022DBC" w:rsidP="00022DBC">
      <w:pPr>
        <w:rPr>
          <w:lang w:bidi="ar-SA"/>
        </w:rPr>
      </w:pPr>
    </w:p>
    <w:p w14:paraId="5C41FDD5" w14:textId="5ECB1D57" w:rsidR="00240451" w:rsidRDefault="00240451" w:rsidP="00240451">
      <w:bookmarkStart w:id="168" w:name="_Toc286391014"/>
      <w:bookmarkStart w:id="169" w:name="_Toc175381455"/>
      <w:bookmarkStart w:id="170" w:name="_Toc300933445"/>
      <w:bookmarkStart w:id="171" w:name="_Toc11735643"/>
      <w:bookmarkStart w:id="172" w:name="_Toc29883130"/>
      <w:bookmarkStart w:id="173" w:name="_Toc41906817"/>
      <w:bookmarkStart w:id="174" w:name="_Toc41907564"/>
      <w:bookmarkStart w:id="175" w:name="_Toc43112360"/>
      <w:bookmarkEnd w:id="54"/>
      <w:bookmarkEnd w:id="55"/>
      <w:bookmarkEnd w:id="56"/>
      <w:bookmarkEnd w:id="57"/>
      <w:bookmarkEnd w:id="58"/>
      <w:bookmarkEnd w:id="59"/>
      <w:bookmarkEnd w:id="92"/>
      <w:bookmarkEnd w:id="168"/>
      <w:bookmarkEnd w:id="169"/>
      <w:bookmarkEnd w:id="170"/>
      <w:r>
        <w:t>T</w:t>
      </w:r>
      <w:r w:rsidR="00C730BD">
        <w:t>wo</w:t>
      </w:r>
      <w:r w:rsidRPr="00BF53F9">
        <w:t xml:space="preserve"> Ministerial Policy Guideline</w:t>
      </w:r>
      <w:r w:rsidR="00647065">
        <w:t>s apply to this a</w:t>
      </w:r>
      <w:r>
        <w:t>pplication:</w:t>
      </w:r>
    </w:p>
    <w:p w14:paraId="14371EAE" w14:textId="77777777" w:rsidR="007B6110" w:rsidRDefault="007B6110" w:rsidP="00240451"/>
    <w:p w14:paraId="6AB3A8F8" w14:textId="28F1EE7A" w:rsidR="00240451" w:rsidRDefault="00240451" w:rsidP="00B57142">
      <w:pPr>
        <w:pStyle w:val="FSBullet1"/>
      </w:pPr>
      <w:r w:rsidRPr="00B10359">
        <w:t>Regulation of Infant Formula Products</w:t>
      </w:r>
      <w:r w:rsidR="00C67FF5">
        <w:t xml:space="preserve"> </w:t>
      </w:r>
    </w:p>
    <w:p w14:paraId="09663512" w14:textId="2E7038F7" w:rsidR="00240451" w:rsidRDefault="00240451" w:rsidP="00B87FD6">
      <w:pPr>
        <w:pStyle w:val="FSBullet1"/>
      </w:pPr>
      <w:r w:rsidRPr="00B10359">
        <w:t>Intent of Part 2.9 – Special Purpose Foods</w:t>
      </w:r>
    </w:p>
    <w:p w14:paraId="7DD2B03E" w14:textId="1C03417C" w:rsidR="00240451" w:rsidRPr="00EB2937" w:rsidRDefault="00240451" w:rsidP="00240451">
      <w:pPr>
        <w:autoSpaceDE w:val="0"/>
        <w:autoSpaceDN w:val="0"/>
        <w:adjustRightInd w:val="0"/>
      </w:pPr>
    </w:p>
    <w:p w14:paraId="16C02EBD" w14:textId="517DAE9E" w:rsidR="00240451" w:rsidRPr="00EB2937" w:rsidRDefault="00240451" w:rsidP="00240451">
      <w:r w:rsidRPr="00EB2937">
        <w:t>FSANZ</w:t>
      </w:r>
      <w:r w:rsidR="00813705">
        <w:t xml:space="preserve"> considers</w:t>
      </w:r>
      <w:r w:rsidR="007B6110">
        <w:t xml:space="preserve"> these policy guidelines ha</w:t>
      </w:r>
      <w:r w:rsidR="00C730BD">
        <w:t>ve</w:t>
      </w:r>
      <w:r w:rsidR="007B6110">
        <w:t xml:space="preserve"> been </w:t>
      </w:r>
      <w:r w:rsidR="00F65235">
        <w:t>adequately addressed</w:t>
      </w:r>
      <w:r w:rsidR="007B6110">
        <w:t>. Our</w:t>
      </w:r>
      <w:r w:rsidRPr="00EB2937">
        <w:t xml:space="preserve"> assessment against the policy guidelines is provided at SD2. </w:t>
      </w:r>
    </w:p>
    <w:p w14:paraId="521048DE" w14:textId="672229DD" w:rsidR="00D26814" w:rsidRDefault="00D26814" w:rsidP="002432EE">
      <w:pPr>
        <w:rPr>
          <w:rFonts w:cs="Arial"/>
        </w:rPr>
      </w:pPr>
    </w:p>
    <w:p w14:paraId="4B326DF0" w14:textId="28869547" w:rsidR="00934E2E" w:rsidRPr="003E7621" w:rsidRDefault="00934E2E" w:rsidP="00F04F14">
      <w:pPr>
        <w:pStyle w:val="Heading1"/>
      </w:pPr>
      <w:bookmarkStart w:id="176" w:name="_Toc425174945"/>
      <w:bookmarkStart w:id="177" w:name="_Toc11247921"/>
      <w:bookmarkStart w:id="178" w:name="_Toc14427213"/>
      <w:r w:rsidRPr="003E7621">
        <w:t>3</w:t>
      </w:r>
      <w:r w:rsidRPr="003E7621">
        <w:tab/>
        <w:t>Draft variation</w:t>
      </w:r>
      <w:bookmarkEnd w:id="176"/>
      <w:bookmarkEnd w:id="177"/>
      <w:bookmarkEnd w:id="178"/>
      <w:r w:rsidR="00F04F14" w:rsidRPr="003E7621">
        <w:t xml:space="preserve"> </w:t>
      </w:r>
    </w:p>
    <w:p w14:paraId="68B05DE3" w14:textId="7FD963E3" w:rsidR="00934E2E" w:rsidRPr="003E7621" w:rsidRDefault="00934E2E" w:rsidP="00934E2E">
      <w:pPr>
        <w:rPr>
          <w:color w:val="000000" w:themeColor="text1"/>
        </w:rPr>
      </w:pPr>
      <w:r w:rsidRPr="003E7621">
        <w:t>The draft variation to the Code is at Attachment A and is intended to take effect on gazetta</w:t>
      </w:r>
      <w:r w:rsidR="00F04F14" w:rsidRPr="003E7621">
        <w:t>l</w:t>
      </w:r>
      <w:r w:rsidRPr="003E7621">
        <w:rPr>
          <w:color w:val="000000" w:themeColor="text1"/>
        </w:rPr>
        <w:t>.</w:t>
      </w:r>
    </w:p>
    <w:p w14:paraId="510ECC2B" w14:textId="77777777" w:rsidR="00934E2E" w:rsidRPr="003E7621" w:rsidRDefault="00934E2E" w:rsidP="00934E2E">
      <w:pPr>
        <w:rPr>
          <w:color w:val="000000" w:themeColor="text1"/>
        </w:rPr>
      </w:pPr>
    </w:p>
    <w:p w14:paraId="3FBB6D61" w14:textId="77777777" w:rsidR="00934E2E" w:rsidRPr="00D26814" w:rsidRDefault="00934E2E" w:rsidP="00934E2E">
      <w:pPr>
        <w:rPr>
          <w:u w:val="single"/>
        </w:rPr>
      </w:pPr>
      <w:r w:rsidRPr="003E7621">
        <w:t>A draft explanatory statement is at Attachment B. An explanatory statement is required to accompany an instrument if it is lodged on the Federal Register of Legislation.</w:t>
      </w:r>
      <w:r>
        <w:t xml:space="preserve"> </w:t>
      </w:r>
    </w:p>
    <w:p w14:paraId="24ACF4BB" w14:textId="77777777" w:rsidR="00934E2E" w:rsidRPr="006D7863" w:rsidRDefault="00934E2E" w:rsidP="002432EE">
      <w:pPr>
        <w:rPr>
          <w:rFonts w:cs="Arial"/>
        </w:rPr>
      </w:pPr>
    </w:p>
    <w:p w14:paraId="55C8400B" w14:textId="7310B513" w:rsidR="00924C80" w:rsidRPr="007B6110" w:rsidRDefault="00934E2E" w:rsidP="00E75054">
      <w:pPr>
        <w:pStyle w:val="Heading1"/>
      </w:pPr>
      <w:bookmarkStart w:id="179" w:name="_Toc300933452"/>
      <w:bookmarkStart w:id="180" w:name="_Toc525730003"/>
      <w:bookmarkStart w:id="181" w:name="_Toc527018250"/>
      <w:bookmarkStart w:id="182" w:name="_Toc11247922"/>
      <w:bookmarkStart w:id="183" w:name="_Toc14427214"/>
      <w:r>
        <w:t>4</w:t>
      </w:r>
      <w:r w:rsidR="00924C80" w:rsidRPr="007B6110">
        <w:tab/>
        <w:t>R</w:t>
      </w:r>
      <w:bookmarkEnd w:id="179"/>
      <w:r w:rsidR="006C28E2" w:rsidRPr="007B6110">
        <w:t>eferences</w:t>
      </w:r>
      <w:bookmarkEnd w:id="180"/>
      <w:bookmarkEnd w:id="181"/>
      <w:bookmarkEnd w:id="182"/>
      <w:bookmarkEnd w:id="183"/>
    </w:p>
    <w:bookmarkEnd w:id="171"/>
    <w:bookmarkEnd w:id="172"/>
    <w:bookmarkEnd w:id="173"/>
    <w:bookmarkEnd w:id="174"/>
    <w:bookmarkEnd w:id="175"/>
    <w:p w14:paraId="072C054F" w14:textId="77777777" w:rsidR="00C50ED7" w:rsidRPr="00C50ED7" w:rsidRDefault="00C50ED7" w:rsidP="00C50ED7">
      <w:pPr>
        <w:pStyle w:val="CommentText"/>
      </w:pPr>
      <w:r w:rsidRPr="00C50ED7">
        <w:t>Berry, N. J., Jones, S., &amp; Iverson, D. (2010). It's all formula to me: Women's understandings of toddler milk ads. Breastfeeding Review, 18, 21–30.</w:t>
      </w:r>
    </w:p>
    <w:p w14:paraId="3ED452DC" w14:textId="77777777" w:rsidR="00C50ED7" w:rsidRPr="00C50ED7" w:rsidRDefault="00C50ED7" w:rsidP="00C50ED7">
      <w:pPr>
        <w:pStyle w:val="CommentText"/>
      </w:pPr>
    </w:p>
    <w:p w14:paraId="727B8D5F" w14:textId="77777777" w:rsidR="00C50ED7" w:rsidRPr="00C50ED7" w:rsidRDefault="00C50ED7" w:rsidP="00C50ED7">
      <w:pPr>
        <w:pStyle w:val="CommentText"/>
      </w:pPr>
      <w:r w:rsidRPr="00C50ED7">
        <w:t>Berry, N. J., Jones, S. C., &amp; Iverson, D. (2011). Relax, you're soaking in it: Sources of information about infant formula. Breastfeeding Review, 19, 9–18.</w:t>
      </w:r>
    </w:p>
    <w:p w14:paraId="08EB7259" w14:textId="77777777" w:rsidR="00C50ED7" w:rsidRPr="00C50ED7" w:rsidRDefault="00C50ED7" w:rsidP="00C50ED7">
      <w:pPr>
        <w:pStyle w:val="CommentText"/>
      </w:pPr>
    </w:p>
    <w:p w14:paraId="4B8E651F" w14:textId="28A6B7A7" w:rsidR="00C50ED7" w:rsidRDefault="00C50ED7" w:rsidP="00C50ED7">
      <w:pPr>
        <w:rPr>
          <w:sz w:val="20"/>
          <w:szCs w:val="20"/>
        </w:rPr>
      </w:pPr>
      <w:r w:rsidRPr="00C50ED7">
        <w:rPr>
          <w:sz w:val="20"/>
          <w:szCs w:val="20"/>
        </w:rPr>
        <w:t>Berry, N. J., Jones, S. C., &amp; Iverson, D. (2012). Toddler milk advertising in Australia: Infant formula advertising in disguise? Australasian Marketing Journal, 20, 24–27.</w:t>
      </w:r>
    </w:p>
    <w:p w14:paraId="1EE05717" w14:textId="4D7CE98B" w:rsidR="00B46EDE" w:rsidRDefault="00B46EDE" w:rsidP="00C50ED7">
      <w:pPr>
        <w:rPr>
          <w:sz w:val="20"/>
          <w:szCs w:val="20"/>
        </w:rPr>
      </w:pPr>
    </w:p>
    <w:p w14:paraId="34CE88CE" w14:textId="77777777" w:rsidR="00B46EDE" w:rsidRPr="00B46EDE" w:rsidRDefault="00B46EDE" w:rsidP="00B46EDE">
      <w:pPr>
        <w:pStyle w:val="FootnoteText"/>
        <w:rPr>
          <w:lang w:val="en-AU"/>
        </w:rPr>
      </w:pPr>
      <w:r w:rsidRPr="00B46EDE">
        <w:t xml:space="preserve">Dairy Australia Limited (2018), </w:t>
      </w:r>
      <w:hyperlink r:id="rId31" w:history="1">
        <w:r w:rsidRPr="00B46EDE">
          <w:rPr>
            <w:rStyle w:val="Hyperlink"/>
          </w:rPr>
          <w:t>Market Brief China</w:t>
        </w:r>
      </w:hyperlink>
      <w:r w:rsidRPr="00B46EDE">
        <w:t>, October 2018. Accessed 31 May 2019.</w:t>
      </w:r>
    </w:p>
    <w:p w14:paraId="238999A2" w14:textId="72FA8522" w:rsidR="00C50ED7" w:rsidRDefault="00C50ED7" w:rsidP="00DE37EF">
      <w:pPr>
        <w:rPr>
          <w:sz w:val="20"/>
          <w:szCs w:val="20"/>
        </w:rPr>
      </w:pPr>
    </w:p>
    <w:p w14:paraId="04437BEE" w14:textId="3E868B65" w:rsidR="00DE37EF" w:rsidRDefault="00DE37EF" w:rsidP="00072A22">
      <w:pPr>
        <w:widowControl/>
        <w:rPr>
          <w:sz w:val="20"/>
          <w:szCs w:val="20"/>
        </w:rPr>
      </w:pPr>
      <w:r>
        <w:rPr>
          <w:sz w:val="20"/>
          <w:szCs w:val="20"/>
        </w:rPr>
        <w:t>EU (2017a</w:t>
      </w:r>
      <w:r w:rsidRPr="00DE37EF">
        <w:rPr>
          <w:sz w:val="20"/>
          <w:szCs w:val="20"/>
        </w:rPr>
        <w:t xml:space="preserve">) </w:t>
      </w:r>
      <w:hyperlink r:id="rId32" w:history="1">
        <w:r w:rsidRPr="00DE37EF">
          <w:rPr>
            <w:rStyle w:val="Hyperlink"/>
            <w:sz w:val="20"/>
            <w:szCs w:val="20"/>
          </w:rPr>
          <w:t>Commission Implementing Regulation (EU) 2017/2470</w:t>
        </w:r>
      </w:hyperlink>
      <w:r w:rsidRPr="00DE37EF">
        <w:rPr>
          <w:sz w:val="20"/>
          <w:szCs w:val="20"/>
        </w:rPr>
        <w:t xml:space="preserve"> of 20 December 2017 establishing the Union list of novel foods in accordance with Regulation (EU) 2015/2283 of the European Parliament and of the Council of novel foods. Accessed 17 September 2018.</w:t>
      </w:r>
    </w:p>
    <w:p w14:paraId="4A9E7217" w14:textId="77777777" w:rsidR="00B250CB" w:rsidRDefault="00B250CB" w:rsidP="00DE37EF">
      <w:pPr>
        <w:rPr>
          <w:sz w:val="20"/>
          <w:szCs w:val="20"/>
        </w:rPr>
      </w:pPr>
    </w:p>
    <w:p w14:paraId="28A3C84A" w14:textId="1F51E3E3" w:rsidR="00DE37EF" w:rsidRPr="00DE37EF" w:rsidRDefault="00987B64" w:rsidP="00DE37EF">
      <w:pPr>
        <w:pStyle w:val="FootnoteText"/>
        <w:rPr>
          <w:lang w:val="en-AU"/>
        </w:rPr>
      </w:pPr>
      <w:hyperlink r:id="rId33" w:history="1">
        <w:r w:rsidR="00DE37EF" w:rsidRPr="00DE37EF">
          <w:t xml:space="preserve">EU (2017b) </w:t>
        </w:r>
        <w:r w:rsidR="00DE37EF" w:rsidRPr="00DE37EF">
          <w:rPr>
            <w:rStyle w:val="Hyperlink"/>
            <w:lang w:val="en-AU"/>
          </w:rPr>
          <w:t>Commission Implementing Decision (EU) 2017/2201</w:t>
        </w:r>
      </w:hyperlink>
      <w:r w:rsidR="00DE37EF" w:rsidRPr="00DE37EF">
        <w:rPr>
          <w:lang w:val="en-AU"/>
        </w:rPr>
        <w:t xml:space="preserve"> </w:t>
      </w:r>
      <w:r w:rsidR="00DE37EF">
        <w:rPr>
          <w:lang w:val="en-AU"/>
        </w:rPr>
        <w:t xml:space="preserve">of 27 November 2017 authorising the placing on the market of </w:t>
      </w:r>
      <w:r w:rsidR="00DE37EF">
        <w:t xml:space="preserve">2′-fucosyllactose produced with Escherichia coli strain BL21 as a novel food ingredient under Regulation (EC) No 258/97 of the European Parliament and of the Council (notified under document C(2017) 7662). </w:t>
      </w:r>
      <w:r w:rsidR="00E73890">
        <w:t xml:space="preserve">Accessed </w:t>
      </w:r>
      <w:r w:rsidR="00DE37EF">
        <w:rPr>
          <w:lang w:val="en-AU"/>
        </w:rPr>
        <w:t>17 September 2018</w:t>
      </w:r>
      <w:r w:rsidR="002D67A3">
        <w:rPr>
          <w:lang w:val="en-AU"/>
        </w:rPr>
        <w:t>.</w:t>
      </w:r>
    </w:p>
    <w:p w14:paraId="2D77D69B" w14:textId="66D221BF" w:rsidR="00DE37EF" w:rsidRDefault="00DE37EF" w:rsidP="00A97ABF">
      <w:pPr>
        <w:rPr>
          <w:sz w:val="20"/>
          <w:szCs w:val="20"/>
        </w:rPr>
      </w:pPr>
    </w:p>
    <w:p w14:paraId="0658C601" w14:textId="4A557C61" w:rsidR="00EF4541" w:rsidRDefault="00EF4541" w:rsidP="00A97ABF">
      <w:pPr>
        <w:rPr>
          <w:sz w:val="20"/>
          <w:szCs w:val="20"/>
        </w:rPr>
      </w:pPr>
      <w:r>
        <w:rPr>
          <w:sz w:val="20"/>
          <w:szCs w:val="20"/>
        </w:rPr>
        <w:t xml:space="preserve">EU (2018) </w:t>
      </w:r>
      <w:hyperlink r:id="rId34" w:history="1">
        <w:r w:rsidRPr="00EF4541">
          <w:rPr>
            <w:rStyle w:val="Hyperlink"/>
            <w:sz w:val="20"/>
            <w:szCs w:val="20"/>
          </w:rPr>
          <w:t>Commission Implementing Regulation (EU) 2018/1023</w:t>
        </w:r>
      </w:hyperlink>
      <w:r>
        <w:rPr>
          <w:sz w:val="20"/>
          <w:szCs w:val="20"/>
        </w:rPr>
        <w:t xml:space="preserve"> of 23 July 2018 correcting Implementing Regulation (EU) 2017/2470 </w:t>
      </w:r>
      <w:r w:rsidRPr="00DE37EF">
        <w:rPr>
          <w:sz w:val="20"/>
          <w:szCs w:val="20"/>
        </w:rPr>
        <w:t>establishing the Union list of novel foods</w:t>
      </w:r>
      <w:r w:rsidR="00D13672">
        <w:rPr>
          <w:sz w:val="20"/>
          <w:szCs w:val="20"/>
        </w:rPr>
        <w:t>. Accessed 20 May 2019.</w:t>
      </w:r>
    </w:p>
    <w:p w14:paraId="609884E0" w14:textId="77777777" w:rsidR="00EF4541" w:rsidRDefault="00EF4541" w:rsidP="00A97ABF">
      <w:pPr>
        <w:rPr>
          <w:sz w:val="20"/>
          <w:szCs w:val="20"/>
        </w:rPr>
      </w:pPr>
    </w:p>
    <w:p w14:paraId="6CDAA6AC" w14:textId="5AC39911" w:rsidR="00B44AA0" w:rsidRPr="00B44AA0" w:rsidRDefault="00B44AA0" w:rsidP="00B44AA0">
      <w:pPr>
        <w:rPr>
          <w:rFonts w:cs="Arial"/>
          <w:sz w:val="20"/>
          <w:szCs w:val="20"/>
        </w:rPr>
      </w:pPr>
      <w:r w:rsidRPr="00B44AA0">
        <w:rPr>
          <w:rFonts w:cs="Arial"/>
          <w:sz w:val="20"/>
          <w:szCs w:val="20"/>
        </w:rPr>
        <w:t xml:space="preserve">EU (2019) </w:t>
      </w:r>
      <w:hyperlink r:id="rId35" w:history="1">
        <w:r w:rsidRPr="00B44AA0">
          <w:rPr>
            <w:rStyle w:val="Hyperlink"/>
            <w:rFonts w:cs="Arial"/>
            <w:sz w:val="20"/>
            <w:szCs w:val="20"/>
            <w:lang w:val="en"/>
          </w:rPr>
          <w:t>Commission Implementing Regulation (EU) 2019/388</w:t>
        </w:r>
      </w:hyperlink>
      <w:r w:rsidRPr="00B44AA0">
        <w:rPr>
          <w:rFonts w:cs="Arial"/>
          <w:color w:val="444444"/>
          <w:sz w:val="20"/>
          <w:szCs w:val="20"/>
          <w:lang w:val="en"/>
        </w:rPr>
        <w:t xml:space="preserve"> of 11 March 2019 authorising the change of the specifications of the novel food 2′-fucosyllactose produced with Escherichia coli K-12 under Regulation (EU) 2015/2283 of the European Parliament and of the Council and amending Commission Implementing Regulation (EU) 2017/2470</w:t>
      </w:r>
      <w:r w:rsidR="00D13672">
        <w:rPr>
          <w:rFonts w:cs="Arial"/>
          <w:color w:val="444444"/>
          <w:sz w:val="20"/>
          <w:szCs w:val="20"/>
          <w:lang w:val="en"/>
        </w:rPr>
        <w:t>. Accessed 20 May 2019.</w:t>
      </w:r>
    </w:p>
    <w:p w14:paraId="134C5683" w14:textId="77777777" w:rsidR="00B44AA0" w:rsidRPr="00B44AA0" w:rsidRDefault="00B44AA0" w:rsidP="00A97ABF">
      <w:pPr>
        <w:rPr>
          <w:rFonts w:cs="Arial"/>
          <w:sz w:val="20"/>
          <w:szCs w:val="20"/>
        </w:rPr>
      </w:pPr>
    </w:p>
    <w:p w14:paraId="0D44A990" w14:textId="1ECF5714" w:rsidR="00A97ABF" w:rsidRDefault="00AC43CE" w:rsidP="00A97ABF">
      <w:pPr>
        <w:rPr>
          <w:sz w:val="20"/>
          <w:szCs w:val="20"/>
        </w:rPr>
      </w:pPr>
      <w:r>
        <w:rPr>
          <w:sz w:val="20"/>
          <w:szCs w:val="20"/>
        </w:rPr>
        <w:t xml:space="preserve">FSANZ (2008) Proposal P306, Final Assessment Report, </w:t>
      </w:r>
      <w:r w:rsidR="00A97ABF">
        <w:rPr>
          <w:sz w:val="20"/>
          <w:szCs w:val="20"/>
        </w:rPr>
        <w:t>Addition of Inulin/FOS &amp; GOS to Food. Food Standards Australia New Zealand</w:t>
      </w:r>
      <w:r w:rsidR="00BB46FF">
        <w:rPr>
          <w:sz w:val="20"/>
          <w:szCs w:val="20"/>
        </w:rPr>
        <w:t>.</w:t>
      </w:r>
    </w:p>
    <w:p w14:paraId="1E29C43E" w14:textId="77777777" w:rsidR="00A97ABF" w:rsidRDefault="00A97ABF" w:rsidP="00A97ABF">
      <w:pPr>
        <w:rPr>
          <w:sz w:val="20"/>
          <w:szCs w:val="20"/>
        </w:rPr>
      </w:pPr>
    </w:p>
    <w:p w14:paraId="435A4A93" w14:textId="19B6784E" w:rsidR="00A97ABF" w:rsidRDefault="00A97ABF" w:rsidP="00A97ABF">
      <w:pPr>
        <w:rPr>
          <w:sz w:val="20"/>
          <w:szCs w:val="20"/>
        </w:rPr>
      </w:pPr>
      <w:r>
        <w:rPr>
          <w:sz w:val="20"/>
          <w:szCs w:val="20"/>
        </w:rPr>
        <w:t xml:space="preserve">FSANZ (2013) </w:t>
      </w:r>
      <w:r w:rsidR="00AC43CE">
        <w:rPr>
          <w:sz w:val="20"/>
          <w:szCs w:val="20"/>
        </w:rPr>
        <w:t xml:space="preserve">Application A1055, </w:t>
      </w:r>
      <w:r>
        <w:rPr>
          <w:sz w:val="20"/>
          <w:szCs w:val="20"/>
        </w:rPr>
        <w:t>Approval Report</w:t>
      </w:r>
      <w:r w:rsidR="00AC43CE">
        <w:rPr>
          <w:sz w:val="20"/>
          <w:szCs w:val="20"/>
        </w:rPr>
        <w:t>,</w:t>
      </w:r>
      <w:r>
        <w:rPr>
          <w:sz w:val="20"/>
          <w:szCs w:val="20"/>
        </w:rPr>
        <w:t xml:space="preserve"> Short Chain Fructo-oligosaccharides. Food Standards Australia New Zealand</w:t>
      </w:r>
      <w:r w:rsidR="00BB46FF">
        <w:rPr>
          <w:sz w:val="20"/>
          <w:szCs w:val="20"/>
        </w:rPr>
        <w:t>.</w:t>
      </w:r>
    </w:p>
    <w:p w14:paraId="74D99B19" w14:textId="77777777" w:rsidR="00A97ABF" w:rsidRDefault="00A97ABF" w:rsidP="00A97ABF">
      <w:pPr>
        <w:rPr>
          <w:sz w:val="20"/>
          <w:szCs w:val="20"/>
        </w:rPr>
      </w:pPr>
    </w:p>
    <w:p w14:paraId="5A4E5726" w14:textId="1ED71D75" w:rsidR="00236BFD" w:rsidRDefault="00236BFD" w:rsidP="00236BFD">
      <w:pPr>
        <w:rPr>
          <w:sz w:val="20"/>
          <w:szCs w:val="20"/>
        </w:rPr>
      </w:pPr>
      <w:r>
        <w:rPr>
          <w:sz w:val="20"/>
          <w:szCs w:val="20"/>
        </w:rPr>
        <w:t xml:space="preserve">Israel </w:t>
      </w:r>
      <w:r w:rsidR="00BB022D">
        <w:rPr>
          <w:sz w:val="20"/>
          <w:szCs w:val="20"/>
        </w:rPr>
        <w:t xml:space="preserve">MOH </w:t>
      </w:r>
      <w:r>
        <w:rPr>
          <w:sz w:val="20"/>
          <w:szCs w:val="20"/>
        </w:rPr>
        <w:t xml:space="preserve">(2017) </w:t>
      </w:r>
      <w:r w:rsidR="008768E7">
        <w:rPr>
          <w:sz w:val="20"/>
          <w:szCs w:val="20"/>
        </w:rPr>
        <w:t>New Food Directive</w:t>
      </w:r>
      <w:r>
        <w:rPr>
          <w:sz w:val="20"/>
          <w:szCs w:val="20"/>
        </w:rPr>
        <w:t xml:space="preserve"> </w:t>
      </w:r>
      <w:r w:rsidR="008768E7">
        <w:rPr>
          <w:sz w:val="20"/>
          <w:szCs w:val="20"/>
        </w:rPr>
        <w:t>on: o</w:t>
      </w:r>
      <w:r>
        <w:rPr>
          <w:sz w:val="20"/>
          <w:szCs w:val="20"/>
        </w:rPr>
        <w:t>ligosaccharide 2</w:t>
      </w:r>
      <w:r w:rsidR="00567609">
        <w:rPr>
          <w:sz w:val="20"/>
          <w:szCs w:val="20"/>
        </w:rPr>
        <w:t>′</w:t>
      </w:r>
      <w:r>
        <w:rPr>
          <w:sz w:val="20"/>
          <w:szCs w:val="20"/>
        </w:rPr>
        <w:t>-fucosyllactose</w:t>
      </w:r>
      <w:r w:rsidR="008768E7">
        <w:rPr>
          <w:sz w:val="20"/>
          <w:szCs w:val="20"/>
        </w:rPr>
        <w:t xml:space="preserve"> dated</w:t>
      </w:r>
      <w:r w:rsidR="00BB022D">
        <w:rPr>
          <w:sz w:val="20"/>
          <w:szCs w:val="20"/>
        </w:rPr>
        <w:t xml:space="preserve"> January 16 2017</w:t>
      </w:r>
      <w:r>
        <w:rPr>
          <w:sz w:val="20"/>
          <w:szCs w:val="20"/>
        </w:rPr>
        <w:t xml:space="preserve">. </w:t>
      </w:r>
      <w:r w:rsidR="006670CE">
        <w:rPr>
          <w:sz w:val="20"/>
          <w:szCs w:val="20"/>
        </w:rPr>
        <w:t>Ministry o</w:t>
      </w:r>
      <w:r w:rsidR="00BB46FF">
        <w:rPr>
          <w:sz w:val="20"/>
          <w:szCs w:val="20"/>
        </w:rPr>
        <w:t>f Health, Food Control Services.</w:t>
      </w:r>
      <w:r w:rsidR="006670CE">
        <w:rPr>
          <w:sz w:val="20"/>
          <w:szCs w:val="20"/>
        </w:rPr>
        <w:t xml:space="preserve"> </w:t>
      </w:r>
    </w:p>
    <w:p w14:paraId="4E59CB7B" w14:textId="487CABEA" w:rsidR="00236BFD" w:rsidRDefault="00236BFD" w:rsidP="00DF24CF">
      <w:pPr>
        <w:rPr>
          <w:sz w:val="20"/>
          <w:szCs w:val="20"/>
        </w:rPr>
      </w:pPr>
    </w:p>
    <w:p w14:paraId="71DC09D8" w14:textId="29F3B42E" w:rsidR="0073347D" w:rsidRDefault="0073347D" w:rsidP="00DF24CF">
      <w:pPr>
        <w:rPr>
          <w:sz w:val="20"/>
          <w:szCs w:val="20"/>
        </w:rPr>
      </w:pPr>
      <w:r>
        <w:rPr>
          <w:sz w:val="20"/>
          <w:szCs w:val="20"/>
        </w:rPr>
        <w:t>Israel MOH (2019) Updated new food directive on: Lacto-N-Neotetraose of 18 February 2019. Ministry of Health, Food Control Services.</w:t>
      </w:r>
    </w:p>
    <w:p w14:paraId="51503775" w14:textId="77777777" w:rsidR="0073347D" w:rsidRDefault="0073347D" w:rsidP="00DF24CF">
      <w:pPr>
        <w:rPr>
          <w:sz w:val="20"/>
          <w:szCs w:val="20"/>
        </w:rPr>
      </w:pPr>
    </w:p>
    <w:p w14:paraId="084AFEE1" w14:textId="56053EBC" w:rsidR="00937475" w:rsidRPr="00A9167D" w:rsidRDefault="00937475" w:rsidP="00DF24CF">
      <w:pPr>
        <w:rPr>
          <w:sz w:val="20"/>
          <w:szCs w:val="20"/>
        </w:rPr>
      </w:pPr>
      <w:r w:rsidRPr="00A9167D">
        <w:rPr>
          <w:sz w:val="20"/>
          <w:szCs w:val="20"/>
        </w:rPr>
        <w:t xml:space="preserve">Malek, L., Fowler, H., Duffy, G., Katzer, L. </w:t>
      </w:r>
      <w:r w:rsidR="006E4C34">
        <w:rPr>
          <w:sz w:val="20"/>
          <w:szCs w:val="20"/>
        </w:rPr>
        <w:t>(</w:t>
      </w:r>
      <w:r w:rsidRPr="00A9167D">
        <w:rPr>
          <w:sz w:val="20"/>
          <w:szCs w:val="20"/>
        </w:rPr>
        <w:t>2019</w:t>
      </w:r>
      <w:r w:rsidR="006E4C34">
        <w:rPr>
          <w:sz w:val="20"/>
          <w:szCs w:val="20"/>
        </w:rPr>
        <w:t>)</w:t>
      </w:r>
      <w:r w:rsidRPr="00A9167D">
        <w:rPr>
          <w:sz w:val="20"/>
          <w:szCs w:val="20"/>
        </w:rPr>
        <w:t>. Informed choice or guessing game? Understanding caregivers' perceptions and use of infant formula labelling. Public Health Nutrition 22, 273–286. 10.1017/S1368980018003178.</w:t>
      </w:r>
    </w:p>
    <w:p w14:paraId="1E0CF84D" w14:textId="77777777" w:rsidR="00937475" w:rsidRDefault="00937475" w:rsidP="00DF24CF">
      <w:pPr>
        <w:rPr>
          <w:sz w:val="20"/>
          <w:szCs w:val="20"/>
        </w:rPr>
      </w:pPr>
    </w:p>
    <w:p w14:paraId="31EF59A8" w14:textId="5400CEB8" w:rsidR="00DF24CF" w:rsidRDefault="00DF24CF" w:rsidP="00DF24CF">
      <w:pPr>
        <w:rPr>
          <w:sz w:val="20"/>
          <w:szCs w:val="20"/>
        </w:rPr>
      </w:pPr>
      <w:r>
        <w:rPr>
          <w:sz w:val="20"/>
          <w:szCs w:val="20"/>
        </w:rPr>
        <w:t>MEB (2017a) 2</w:t>
      </w:r>
      <w:r w:rsidR="00567609">
        <w:rPr>
          <w:sz w:val="20"/>
          <w:szCs w:val="20"/>
        </w:rPr>
        <w:t>′</w:t>
      </w:r>
      <w:r>
        <w:rPr>
          <w:sz w:val="20"/>
          <w:szCs w:val="20"/>
        </w:rPr>
        <w:t>-Fucosyllactose (2), Assessment of substantial equivalence for a notification, in accordance with European Regulation 258/97 concerning novel foods and novel food ingr</w:t>
      </w:r>
      <w:r w:rsidR="006670CE">
        <w:rPr>
          <w:sz w:val="20"/>
          <w:szCs w:val="20"/>
        </w:rPr>
        <w:t>edients. Novel Foods Unit, Medicines Evaluation Board (MEB).</w:t>
      </w:r>
    </w:p>
    <w:p w14:paraId="2AD318CD" w14:textId="3E073A84" w:rsidR="00DF24CF" w:rsidRDefault="00DF24CF" w:rsidP="00924C80">
      <w:pPr>
        <w:rPr>
          <w:sz w:val="20"/>
          <w:szCs w:val="20"/>
        </w:rPr>
      </w:pPr>
    </w:p>
    <w:p w14:paraId="0B1BC46C" w14:textId="040C30AF" w:rsidR="00DF24CF" w:rsidRDefault="00DF24CF" w:rsidP="00DF24CF">
      <w:pPr>
        <w:rPr>
          <w:sz w:val="20"/>
          <w:szCs w:val="20"/>
        </w:rPr>
      </w:pPr>
      <w:r>
        <w:rPr>
          <w:sz w:val="20"/>
          <w:szCs w:val="20"/>
        </w:rPr>
        <w:t>MEB (2017b) 2</w:t>
      </w:r>
      <w:r w:rsidR="00567609">
        <w:rPr>
          <w:sz w:val="20"/>
          <w:szCs w:val="20"/>
        </w:rPr>
        <w:t>′</w:t>
      </w:r>
      <w:r>
        <w:rPr>
          <w:sz w:val="20"/>
          <w:szCs w:val="20"/>
        </w:rPr>
        <w:t>-Fucosyllactose (3), Assessment of substantial equivalence for a notification, in accordance with European Regulation 258/97 concerning novel foods and novel food ingredients. Novel Foods Unit, MEB</w:t>
      </w:r>
      <w:r w:rsidR="00E17BDA">
        <w:rPr>
          <w:sz w:val="20"/>
          <w:szCs w:val="20"/>
        </w:rPr>
        <w:t>.</w:t>
      </w:r>
    </w:p>
    <w:p w14:paraId="62B46C8F" w14:textId="4C69D0A2" w:rsidR="0082209F" w:rsidRDefault="0082209F" w:rsidP="00DF24CF">
      <w:pPr>
        <w:rPr>
          <w:sz w:val="20"/>
          <w:szCs w:val="20"/>
        </w:rPr>
      </w:pPr>
    </w:p>
    <w:p w14:paraId="1275BA0F" w14:textId="4226F5AC" w:rsidR="0082209F" w:rsidRDefault="0082209F" w:rsidP="00DF24CF">
      <w:pPr>
        <w:rPr>
          <w:sz w:val="20"/>
          <w:szCs w:val="20"/>
        </w:rPr>
      </w:pPr>
      <w:r>
        <w:rPr>
          <w:sz w:val="20"/>
          <w:szCs w:val="20"/>
        </w:rPr>
        <w:t xml:space="preserve">NZIER (2018) </w:t>
      </w:r>
      <w:r w:rsidR="00826330">
        <w:rPr>
          <w:sz w:val="20"/>
          <w:szCs w:val="20"/>
        </w:rPr>
        <w:t>How does the dairy sector share its growth? An analysis of the flow-on benefits of dairy’s revenue generation. NZIER final report to Dairy Companies Association of New Zealand. October 2018.</w:t>
      </w:r>
    </w:p>
    <w:p w14:paraId="45483317" w14:textId="0C7E9335" w:rsidR="006E4C34" w:rsidRDefault="006E4C34" w:rsidP="00DF24CF">
      <w:pPr>
        <w:rPr>
          <w:sz w:val="20"/>
          <w:szCs w:val="20"/>
        </w:rPr>
      </w:pPr>
    </w:p>
    <w:p w14:paraId="6EE20954" w14:textId="013F967B" w:rsidR="006E4C34" w:rsidRDefault="006E4C34" w:rsidP="00DF24CF">
      <w:pPr>
        <w:rPr>
          <w:sz w:val="20"/>
          <w:szCs w:val="20"/>
        </w:rPr>
      </w:pPr>
      <w:r w:rsidRPr="006E4C34">
        <w:rPr>
          <w:sz w:val="20"/>
          <w:szCs w:val="20"/>
        </w:rPr>
        <w:t>Pl</w:t>
      </w:r>
      <w:r>
        <w:rPr>
          <w:sz w:val="20"/>
          <w:szCs w:val="20"/>
        </w:rPr>
        <w:t>aza-Díaz J. Fontana L.,</w:t>
      </w:r>
      <w:r w:rsidRPr="006E4C34">
        <w:rPr>
          <w:sz w:val="20"/>
          <w:szCs w:val="20"/>
        </w:rPr>
        <w:t xml:space="preserve"> Gil A</w:t>
      </w:r>
      <w:r>
        <w:rPr>
          <w:sz w:val="20"/>
          <w:szCs w:val="20"/>
        </w:rPr>
        <w:t xml:space="preserve">. (2018) </w:t>
      </w:r>
      <w:r w:rsidRPr="006E4C34">
        <w:rPr>
          <w:sz w:val="20"/>
          <w:szCs w:val="20"/>
        </w:rPr>
        <w:t>Human Milk Oligosaccharides and Immune System Development.</w:t>
      </w:r>
      <w:r>
        <w:rPr>
          <w:sz w:val="20"/>
          <w:szCs w:val="20"/>
        </w:rPr>
        <w:t xml:space="preserve"> Nutrients 10:</w:t>
      </w:r>
      <w:r w:rsidRPr="006E4C34">
        <w:rPr>
          <w:sz w:val="20"/>
          <w:szCs w:val="20"/>
        </w:rPr>
        <w:t>pii: E1038. doi: 10.3390/nu10081038.</w:t>
      </w:r>
    </w:p>
    <w:p w14:paraId="5599643C" w14:textId="1E0BBE4F" w:rsidR="00E17BDA" w:rsidRDefault="00E17BDA" w:rsidP="00DF24CF">
      <w:pPr>
        <w:rPr>
          <w:sz w:val="20"/>
          <w:szCs w:val="20"/>
        </w:rPr>
      </w:pPr>
    </w:p>
    <w:p w14:paraId="43909EC9" w14:textId="34D799DC" w:rsidR="00E17BDA" w:rsidRDefault="00E17BDA" w:rsidP="00DF24CF">
      <w:pPr>
        <w:rPr>
          <w:sz w:val="20"/>
          <w:szCs w:val="20"/>
        </w:rPr>
      </w:pPr>
      <w:r>
        <w:rPr>
          <w:sz w:val="20"/>
          <w:szCs w:val="20"/>
        </w:rPr>
        <w:t>Singapore (2018) Sale of Food Act (Chapter 283, Section 56(1)) Food Reg</w:t>
      </w:r>
      <w:r w:rsidR="006670CE">
        <w:rPr>
          <w:sz w:val="20"/>
          <w:szCs w:val="20"/>
        </w:rPr>
        <w:t>u</w:t>
      </w:r>
      <w:r>
        <w:rPr>
          <w:sz w:val="20"/>
          <w:szCs w:val="20"/>
        </w:rPr>
        <w:t>lations. Agri-Food &amp; Veterinary Authority of Singapore. Version in force from 28/3/2018.</w:t>
      </w:r>
    </w:p>
    <w:p w14:paraId="37D9F39B" w14:textId="46097A9B" w:rsidR="00DF24CF" w:rsidRDefault="00DF24CF" w:rsidP="00924C80">
      <w:pPr>
        <w:rPr>
          <w:sz w:val="20"/>
          <w:szCs w:val="20"/>
        </w:rPr>
      </w:pPr>
    </w:p>
    <w:p w14:paraId="04531D6B" w14:textId="77F022AC" w:rsidR="00D13672" w:rsidRDefault="00D13672" w:rsidP="00D13672">
      <w:pPr>
        <w:pStyle w:val="FootnoteText"/>
      </w:pPr>
      <w:r>
        <w:t>USFDA (201</w:t>
      </w:r>
      <w:r w:rsidR="006D365C">
        <w:t>5a</w:t>
      </w:r>
      <w:r>
        <w:t xml:space="preserve">) GRAS Notice </w:t>
      </w:r>
      <w:hyperlink r:id="rId36" w:history="1">
        <w:r w:rsidRPr="00D13672">
          <w:rPr>
            <w:rStyle w:val="Hyperlink"/>
          </w:rPr>
          <w:t>GRN No. 546</w:t>
        </w:r>
      </w:hyperlink>
      <w:r>
        <w:t xml:space="preserve">, </w:t>
      </w:r>
      <w:r w:rsidR="00B51870">
        <w:t>2′</w:t>
      </w:r>
      <w:r>
        <w:t>-</w:t>
      </w:r>
      <w:r w:rsidRPr="00D13672">
        <w:rPr>
          <w:i/>
        </w:rPr>
        <w:t>O</w:t>
      </w:r>
      <w:r>
        <w:t>-fucosyllactose</w:t>
      </w:r>
      <w:r w:rsidR="006D365C">
        <w:t>, Glycom A/S</w:t>
      </w:r>
      <w:r>
        <w:t xml:space="preserve">. Accessed 17 September 2018. </w:t>
      </w:r>
    </w:p>
    <w:p w14:paraId="77B76BAD" w14:textId="77777777" w:rsidR="00D13672" w:rsidRDefault="00D13672" w:rsidP="00D13672">
      <w:pPr>
        <w:pStyle w:val="FootnoteText"/>
      </w:pPr>
    </w:p>
    <w:p w14:paraId="5D0259CB" w14:textId="6F1F32F9" w:rsidR="006D365C" w:rsidRDefault="006D365C" w:rsidP="00D13672">
      <w:pPr>
        <w:pStyle w:val="FootnoteText"/>
      </w:pPr>
      <w:r>
        <w:t xml:space="preserve">USFDA (2015b) GRAS Notice </w:t>
      </w:r>
      <w:hyperlink r:id="rId37" w:history="1">
        <w:r w:rsidRPr="006D365C">
          <w:rPr>
            <w:rStyle w:val="Hyperlink"/>
          </w:rPr>
          <w:t>GRN No. 571</w:t>
        </w:r>
      </w:hyperlink>
      <w:r>
        <w:t>, 2-Fucosyllactose, Jennewein Biotechnologies, GmgH. Accessed 17 September 2018.</w:t>
      </w:r>
    </w:p>
    <w:p w14:paraId="68288EF1" w14:textId="77777777" w:rsidR="006D365C" w:rsidRDefault="006D365C" w:rsidP="00D13672">
      <w:pPr>
        <w:pStyle w:val="FootnoteText"/>
      </w:pPr>
    </w:p>
    <w:p w14:paraId="3FD530DA" w14:textId="1B0D19D5" w:rsidR="004B749C" w:rsidRDefault="004B749C" w:rsidP="00D13672">
      <w:pPr>
        <w:pStyle w:val="FootnoteText"/>
        <w:rPr>
          <w:lang w:val="en-AU"/>
        </w:rPr>
      </w:pPr>
      <w:r>
        <w:t>U</w:t>
      </w:r>
      <w:r w:rsidR="00D13672">
        <w:t>SFDA (2016</w:t>
      </w:r>
      <w:r w:rsidR="00F22E9C">
        <w:t>a</w:t>
      </w:r>
      <w:r>
        <w:t xml:space="preserve">) GRAS Notice </w:t>
      </w:r>
      <w:hyperlink r:id="rId38" w:history="1">
        <w:r w:rsidRPr="004B749C">
          <w:rPr>
            <w:rStyle w:val="Hyperlink"/>
          </w:rPr>
          <w:t>GRN No.</w:t>
        </w:r>
        <w:r w:rsidR="00D13672">
          <w:rPr>
            <w:rStyle w:val="Hyperlink"/>
          </w:rPr>
          <w:t xml:space="preserve"> </w:t>
        </w:r>
        <w:r w:rsidRPr="004B749C">
          <w:rPr>
            <w:rStyle w:val="Hyperlink"/>
          </w:rPr>
          <w:t>650</w:t>
        </w:r>
      </w:hyperlink>
      <w:r w:rsidR="00D13672">
        <w:t xml:space="preserve">, </w:t>
      </w:r>
      <w:r w:rsidR="00B51870">
        <w:t>2′</w:t>
      </w:r>
      <w:r w:rsidR="00D13672">
        <w:t>-</w:t>
      </w:r>
      <w:r w:rsidR="00D13672" w:rsidRPr="00D13672">
        <w:rPr>
          <w:i/>
        </w:rPr>
        <w:t>O</w:t>
      </w:r>
      <w:r w:rsidR="00D13672">
        <w:t>-fucosyllactose Produced by Fermentation</w:t>
      </w:r>
      <w:r w:rsidR="006D365C">
        <w:t>, Glycom A/S</w:t>
      </w:r>
      <w:r w:rsidR="00D13672">
        <w:t xml:space="preserve">. Accessed </w:t>
      </w:r>
      <w:r w:rsidR="00D13672">
        <w:rPr>
          <w:lang w:val="en-AU"/>
        </w:rPr>
        <w:t>17 September 2018.</w:t>
      </w:r>
    </w:p>
    <w:p w14:paraId="0B86091B" w14:textId="786E748F" w:rsidR="006D365C" w:rsidRDefault="006D365C" w:rsidP="00D13672">
      <w:pPr>
        <w:pStyle w:val="FootnoteText"/>
        <w:rPr>
          <w:lang w:val="en-AU"/>
        </w:rPr>
      </w:pPr>
    </w:p>
    <w:p w14:paraId="5EDE6D77" w14:textId="54A1A81A" w:rsidR="00F22E9C" w:rsidRDefault="00F22E9C" w:rsidP="00072A22">
      <w:pPr>
        <w:pStyle w:val="FootnoteText"/>
        <w:widowControl/>
        <w:rPr>
          <w:lang w:val="en-AU"/>
        </w:rPr>
      </w:pPr>
      <w:r>
        <w:rPr>
          <w:lang w:val="en-AU"/>
        </w:rPr>
        <w:t xml:space="preserve">USFDA (2016b) </w:t>
      </w:r>
      <w:hyperlink r:id="rId39" w:history="1">
        <w:r w:rsidRPr="00F22E9C">
          <w:rPr>
            <w:rStyle w:val="Hyperlink"/>
            <w:lang w:val="en-AU"/>
          </w:rPr>
          <w:t>About the GRAS Notification Program</w:t>
        </w:r>
      </w:hyperlink>
      <w:r w:rsidR="000A69F3">
        <w:rPr>
          <w:lang w:val="en-AU"/>
        </w:rPr>
        <w:t xml:space="preserve">, </w:t>
      </w:r>
      <w:r>
        <w:rPr>
          <w:lang w:val="en-AU"/>
        </w:rPr>
        <w:t>October 2016.</w:t>
      </w:r>
      <w:r w:rsidR="000A69F3">
        <w:rPr>
          <w:lang w:val="en-AU"/>
        </w:rPr>
        <w:t xml:space="preserve"> Accessed 14 June 2019.</w:t>
      </w:r>
    </w:p>
    <w:p w14:paraId="407A9274" w14:textId="3B875794" w:rsidR="006D365C" w:rsidRDefault="006D365C" w:rsidP="00072A22">
      <w:pPr>
        <w:pStyle w:val="FootnoteText"/>
        <w:widowControl/>
      </w:pPr>
      <w:r>
        <w:rPr>
          <w:lang w:val="en-AU"/>
        </w:rPr>
        <w:t>USFDA (2018</w:t>
      </w:r>
      <w:r w:rsidR="009A04CA">
        <w:rPr>
          <w:lang w:val="en-AU"/>
        </w:rPr>
        <w:t>a</w:t>
      </w:r>
      <w:r>
        <w:rPr>
          <w:lang w:val="en-AU"/>
        </w:rPr>
        <w:t xml:space="preserve">) GRAS Notice </w:t>
      </w:r>
      <w:hyperlink r:id="rId40" w:history="1">
        <w:r w:rsidRPr="006D365C">
          <w:rPr>
            <w:rStyle w:val="Hyperlink"/>
            <w:lang w:val="en-AU"/>
          </w:rPr>
          <w:t>GRN No. 735</w:t>
        </w:r>
      </w:hyperlink>
      <w:r>
        <w:rPr>
          <w:lang w:val="en-AU"/>
        </w:rPr>
        <w:t xml:space="preserve">, </w:t>
      </w:r>
      <w:r>
        <w:t xml:space="preserve">2-Fucosyllactose, Glycosyn, LLC and Friesland Campina Domo B.V. Accessed 17 September 2018. </w:t>
      </w:r>
    </w:p>
    <w:p w14:paraId="19E976AC" w14:textId="771C7E71" w:rsidR="009A04CA" w:rsidRDefault="009A04CA" w:rsidP="00D13672">
      <w:pPr>
        <w:pStyle w:val="FootnoteText"/>
      </w:pPr>
    </w:p>
    <w:p w14:paraId="1B2BA5E5" w14:textId="1A714E81" w:rsidR="009A04CA" w:rsidRPr="00D13672" w:rsidRDefault="009A04CA" w:rsidP="00D13672">
      <w:pPr>
        <w:pStyle w:val="FootnoteText"/>
        <w:rPr>
          <w:lang w:val="en-AU"/>
        </w:rPr>
      </w:pPr>
      <w:r>
        <w:t xml:space="preserve">USFDA (2018b) GRAS Notice </w:t>
      </w:r>
      <w:hyperlink r:id="rId41" w:history="1">
        <w:r w:rsidRPr="009A04CA">
          <w:rPr>
            <w:rStyle w:val="Hyperlink"/>
          </w:rPr>
          <w:t>GRN No. 749</w:t>
        </w:r>
      </w:hyperlink>
      <w:r>
        <w:t>, 2-</w:t>
      </w:r>
      <w:r w:rsidRPr="00D13672">
        <w:rPr>
          <w:i/>
        </w:rPr>
        <w:t>O</w:t>
      </w:r>
      <w:r>
        <w:t xml:space="preserve">-fucosyllactose, DuPont Nutrition &amp; Health. Accessed 17 September 2018. </w:t>
      </w:r>
    </w:p>
    <w:p w14:paraId="08B99B6D" w14:textId="77777777" w:rsidR="003C4969" w:rsidRPr="00924C80" w:rsidRDefault="00924C80" w:rsidP="002432EE">
      <w:pPr>
        <w:spacing w:before="240"/>
        <w:rPr>
          <w:b/>
          <w:sz w:val="28"/>
          <w:szCs w:val="28"/>
        </w:rPr>
      </w:pPr>
      <w:r w:rsidRPr="00924C80">
        <w:rPr>
          <w:b/>
          <w:sz w:val="28"/>
          <w:szCs w:val="28"/>
        </w:rPr>
        <w:t>A</w:t>
      </w:r>
      <w:r>
        <w:rPr>
          <w:b/>
          <w:sz w:val="28"/>
          <w:szCs w:val="28"/>
        </w:rPr>
        <w:t>ttachments</w:t>
      </w:r>
    </w:p>
    <w:p w14:paraId="538C52AD" w14:textId="77777777" w:rsidR="00A4175D" w:rsidRPr="00E203C2" w:rsidRDefault="00A4175D" w:rsidP="00AF06FC"/>
    <w:p w14:paraId="758FD1FF" w14:textId="583A4073" w:rsidR="00D75348" w:rsidRDefault="00D75348" w:rsidP="00D75348">
      <w:pPr>
        <w:ind w:left="567" w:hanging="567"/>
      </w:pPr>
      <w:r>
        <w:t>A.</w:t>
      </w:r>
      <w:r>
        <w:tab/>
        <w:t xml:space="preserve">Draft variation to the </w:t>
      </w:r>
      <w:r w:rsidRPr="000576EB">
        <w:rPr>
          <w:i/>
        </w:rPr>
        <w:t xml:space="preserve">Australia New </w:t>
      </w:r>
      <w:r>
        <w:rPr>
          <w:i/>
        </w:rPr>
        <w:t>Zealand Food Sta</w:t>
      </w:r>
      <w:r w:rsidRPr="000576EB">
        <w:rPr>
          <w:i/>
        </w:rPr>
        <w:t>n</w:t>
      </w:r>
      <w:r>
        <w:rPr>
          <w:i/>
        </w:rPr>
        <w:t>d</w:t>
      </w:r>
      <w:r w:rsidRPr="000576EB">
        <w:rPr>
          <w:i/>
        </w:rPr>
        <w:t>ards Code</w:t>
      </w:r>
      <w:r>
        <w:t xml:space="preserve"> </w:t>
      </w:r>
    </w:p>
    <w:p w14:paraId="29780FC3" w14:textId="77777777" w:rsidR="00D75348" w:rsidRDefault="00D75348" w:rsidP="00D75348">
      <w:pPr>
        <w:ind w:left="567" w:hanging="567"/>
      </w:pPr>
      <w:r w:rsidRPr="00456BD5">
        <w:t>B.</w:t>
      </w:r>
      <w:r w:rsidRPr="00456BD5">
        <w:tab/>
      </w:r>
      <w:r>
        <w:t xml:space="preserve">Draft Explanatory Statement </w:t>
      </w:r>
    </w:p>
    <w:p w14:paraId="2AEC3D60" w14:textId="6EDB70D3" w:rsidR="00D60568" w:rsidRPr="00E203C2" w:rsidRDefault="00D75348" w:rsidP="00DF5256">
      <w:pPr>
        <w:ind w:left="567" w:hanging="567"/>
      </w:pPr>
      <w:r>
        <w:t>C</w:t>
      </w:r>
      <w:r w:rsidR="00AB0275">
        <w:t>.</w:t>
      </w:r>
      <w:r w:rsidR="00AB0275">
        <w:tab/>
      </w:r>
      <w:r w:rsidR="007B6110">
        <w:t>Units basis for expressing maximum permitted amounts</w:t>
      </w:r>
      <w:r w:rsidR="00AB0275" w:rsidRPr="008356C4">
        <w:rPr>
          <w:strike/>
        </w:rPr>
        <w:t xml:space="preserve"> </w:t>
      </w:r>
    </w:p>
    <w:p w14:paraId="082B8BE1" w14:textId="519B6F53" w:rsidR="00D75348" w:rsidRDefault="00AB0275" w:rsidP="00D75348">
      <w:pPr>
        <w:pStyle w:val="Heading2"/>
        <w:ind w:left="0" w:firstLine="0"/>
        <w:rPr>
          <w:i/>
        </w:rPr>
      </w:pPr>
      <w:bookmarkStart w:id="184" w:name="_Toc300933454"/>
      <w:r w:rsidRPr="00932F14">
        <w:br w:type="page"/>
      </w:r>
      <w:bookmarkStart w:id="185" w:name="_Toc11247923"/>
      <w:bookmarkStart w:id="186" w:name="_Toc425174950"/>
      <w:bookmarkStart w:id="187" w:name="_Toc14427215"/>
      <w:bookmarkStart w:id="188" w:name="_Toc29883131"/>
      <w:bookmarkStart w:id="189" w:name="_Toc41906818"/>
      <w:bookmarkStart w:id="190" w:name="_Toc41907565"/>
      <w:bookmarkStart w:id="191" w:name="_Toc120358596"/>
      <w:bookmarkStart w:id="192" w:name="_Toc175381458"/>
      <w:bookmarkStart w:id="193" w:name="_Toc11735644"/>
      <w:bookmarkStart w:id="194" w:name="_Toc415572037"/>
      <w:bookmarkStart w:id="195" w:name="_Toc525730004"/>
      <w:bookmarkStart w:id="196" w:name="_Toc527018251"/>
      <w:r w:rsidR="00D75348" w:rsidRPr="00932F14">
        <w:t xml:space="preserve">Attachment </w:t>
      </w:r>
      <w:r w:rsidR="00D75348">
        <w:t xml:space="preserve">A – </w:t>
      </w:r>
      <w:bookmarkStart w:id="197" w:name="_Toc415572039"/>
      <w:r w:rsidR="00D75348">
        <w:t xml:space="preserve">Draft </w:t>
      </w:r>
      <w:r w:rsidR="00D75348" w:rsidRPr="00932F14">
        <w:t>variation to the</w:t>
      </w:r>
      <w:r w:rsidR="00D75348" w:rsidRPr="00755F02">
        <w:t xml:space="preserve"> </w:t>
      </w:r>
      <w:r w:rsidR="00D75348" w:rsidRPr="00795D86">
        <w:rPr>
          <w:i/>
        </w:rPr>
        <w:t>Australia New Zealand Food Standards Code</w:t>
      </w:r>
      <w:bookmarkEnd w:id="185"/>
      <w:bookmarkEnd w:id="186"/>
      <w:bookmarkEnd w:id="197"/>
      <w:bookmarkEnd w:id="187"/>
    </w:p>
    <w:p w14:paraId="5D12A68D" w14:textId="5FF98663" w:rsidR="00BA1917" w:rsidRDefault="00BA1917" w:rsidP="00BA1917">
      <w:pPr>
        <w:rPr>
          <w:lang w:bidi="ar-SA"/>
        </w:rPr>
      </w:pPr>
    </w:p>
    <w:p w14:paraId="02A56513" w14:textId="77777777" w:rsidR="00BA1917" w:rsidRPr="00BA1917" w:rsidRDefault="00BA1917" w:rsidP="00BA1917">
      <w:pPr>
        <w:rPr>
          <w:lang w:bidi="ar-SA"/>
        </w:rPr>
      </w:pPr>
    </w:p>
    <w:p w14:paraId="75976A8B" w14:textId="77777777" w:rsidR="00BA1917" w:rsidRPr="00C0014E" w:rsidRDefault="00BA1917" w:rsidP="00BA1917">
      <w:pPr>
        <w:rPr>
          <w:noProof/>
          <w:sz w:val="20"/>
          <w:lang w:val="en-AU" w:eastAsia="en-AU"/>
        </w:rPr>
      </w:pPr>
      <w:r w:rsidRPr="00C0014E">
        <w:rPr>
          <w:noProof/>
          <w:sz w:val="20"/>
          <w:lang w:eastAsia="en-GB" w:bidi="ar-SA"/>
        </w:rPr>
        <w:drawing>
          <wp:inline distT="0" distB="0" distL="0" distR="0" wp14:anchorId="6E20C9A8" wp14:editId="7AE51D40">
            <wp:extent cx="2657475" cy="438150"/>
            <wp:effectExtent l="0" t="0" r="9525" b="0"/>
            <wp:docPr id="4"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4CDF4DDB" w14:textId="77777777" w:rsidR="00BA1917" w:rsidRPr="006153A1" w:rsidRDefault="00BA1917" w:rsidP="00BA1917">
      <w:pPr>
        <w:pBdr>
          <w:bottom w:val="single" w:sz="4" w:space="1" w:color="auto"/>
        </w:pBdr>
        <w:rPr>
          <w:b/>
          <w:bCs/>
        </w:rPr>
      </w:pPr>
    </w:p>
    <w:p w14:paraId="2DBAB209" w14:textId="77777777" w:rsidR="00BA1917" w:rsidRDefault="00BA1917" w:rsidP="00BA1917">
      <w:pPr>
        <w:pBdr>
          <w:bottom w:val="single" w:sz="4" w:space="1" w:color="auto"/>
        </w:pBdr>
        <w:rPr>
          <w:b/>
          <w:sz w:val="20"/>
        </w:rPr>
      </w:pPr>
      <w:r w:rsidRPr="006153A1">
        <w:rPr>
          <w:b/>
          <w:sz w:val="20"/>
        </w:rPr>
        <w:t>Food Standards (</w:t>
      </w:r>
      <w:r>
        <w:rPr>
          <w:b/>
          <w:sz w:val="20"/>
        </w:rPr>
        <w:t>Application A1155</w:t>
      </w:r>
      <w:r w:rsidRPr="00F618DF">
        <w:rPr>
          <w:b/>
          <w:sz w:val="20"/>
        </w:rPr>
        <w:t xml:space="preserve"> </w:t>
      </w:r>
      <w:r w:rsidRPr="00A32232">
        <w:rPr>
          <w:b/>
          <w:sz w:val="20"/>
        </w:rPr>
        <w:t xml:space="preserve">– </w:t>
      </w:r>
      <w:r>
        <w:rPr>
          <w:b/>
          <w:sz w:val="20"/>
        </w:rPr>
        <w:t>2</w:t>
      </w:r>
      <w:r w:rsidRPr="00D02515">
        <w:rPr>
          <w:rFonts w:cs="Arial"/>
          <w:b/>
        </w:rPr>
        <w:t>′</w:t>
      </w:r>
      <w:r>
        <w:rPr>
          <w:b/>
          <w:sz w:val="20"/>
        </w:rPr>
        <w:t xml:space="preserve">-FL and </w:t>
      </w:r>
      <w:r w:rsidRPr="00D02515">
        <w:rPr>
          <w:b/>
          <w:sz w:val="20"/>
        </w:rPr>
        <w:t>LNnT</w:t>
      </w:r>
      <w:r>
        <w:rPr>
          <w:b/>
          <w:sz w:val="20"/>
        </w:rPr>
        <w:t xml:space="preserve"> in infant formula and other products)</w:t>
      </w:r>
      <w:r w:rsidRPr="00C0014E">
        <w:rPr>
          <w:b/>
          <w:sz w:val="20"/>
        </w:rPr>
        <w:t xml:space="preserve"> Variation</w:t>
      </w:r>
    </w:p>
    <w:p w14:paraId="6E4CD730" w14:textId="77777777" w:rsidR="00BA1917" w:rsidRPr="00C0014E" w:rsidRDefault="00BA1917" w:rsidP="00BA1917">
      <w:pPr>
        <w:pBdr>
          <w:bottom w:val="single" w:sz="4" w:space="1" w:color="auto"/>
        </w:pBdr>
        <w:rPr>
          <w:b/>
          <w:sz w:val="20"/>
        </w:rPr>
      </w:pPr>
    </w:p>
    <w:p w14:paraId="14E83710" w14:textId="77777777" w:rsidR="00BA1917" w:rsidRPr="008F2616" w:rsidRDefault="00BA1917" w:rsidP="00BA1917">
      <w:pPr>
        <w:rPr>
          <w:sz w:val="20"/>
        </w:rPr>
      </w:pPr>
    </w:p>
    <w:p w14:paraId="2B952693" w14:textId="77777777" w:rsidR="00BA1917" w:rsidRPr="008F2616" w:rsidRDefault="00BA1917" w:rsidP="00BA1917">
      <w:pPr>
        <w:rPr>
          <w:sz w:val="20"/>
        </w:rPr>
      </w:pPr>
      <w:r w:rsidRPr="008F2616">
        <w:rPr>
          <w:sz w:val="20"/>
        </w:rPr>
        <w:t xml:space="preserve">The Board of Food Standards Australia New Zealand gives notice of the making of this variation under section 92 of the </w:t>
      </w:r>
      <w:r w:rsidRPr="008F2616">
        <w:rPr>
          <w:i/>
          <w:sz w:val="20"/>
        </w:rPr>
        <w:t>Food Standards Australia New Zealand Act 1991</w:t>
      </w:r>
      <w:r w:rsidRPr="008F2616">
        <w:rPr>
          <w:sz w:val="20"/>
        </w:rPr>
        <w:t xml:space="preserve">.  The </w:t>
      </w:r>
      <w:r>
        <w:rPr>
          <w:sz w:val="20"/>
        </w:rPr>
        <w:t>variation</w:t>
      </w:r>
      <w:r w:rsidRPr="008F2616">
        <w:rPr>
          <w:sz w:val="20"/>
        </w:rPr>
        <w:t xml:space="preserve"> commences on the date specified in clause 3 of this variation.</w:t>
      </w:r>
    </w:p>
    <w:p w14:paraId="13F58D01" w14:textId="77777777" w:rsidR="00BA1917" w:rsidRPr="008F2616" w:rsidRDefault="00BA1917" w:rsidP="00BA1917">
      <w:pPr>
        <w:rPr>
          <w:sz w:val="20"/>
        </w:rPr>
      </w:pPr>
    </w:p>
    <w:p w14:paraId="4E2F0A4C" w14:textId="77777777" w:rsidR="00BA1917" w:rsidRPr="008F2616" w:rsidRDefault="00BA1917" w:rsidP="00BA1917">
      <w:pPr>
        <w:rPr>
          <w:sz w:val="20"/>
        </w:rPr>
      </w:pPr>
      <w:r w:rsidRPr="008F2616">
        <w:rPr>
          <w:sz w:val="20"/>
        </w:rPr>
        <w:t xml:space="preserve">Dated </w:t>
      </w:r>
      <w:r>
        <w:rPr>
          <w:sz w:val="20"/>
        </w:rPr>
        <w:t>[To be completed by Delegate]</w:t>
      </w:r>
    </w:p>
    <w:p w14:paraId="7DAAE284" w14:textId="77777777" w:rsidR="00BA1917" w:rsidRPr="008F2616" w:rsidRDefault="00BA1917" w:rsidP="00BA1917">
      <w:pPr>
        <w:rPr>
          <w:sz w:val="20"/>
        </w:rPr>
      </w:pPr>
    </w:p>
    <w:p w14:paraId="1FC0EB26" w14:textId="77777777" w:rsidR="00BA1917" w:rsidRDefault="00BA1917" w:rsidP="00BA1917">
      <w:pPr>
        <w:rPr>
          <w:sz w:val="20"/>
        </w:rPr>
      </w:pPr>
    </w:p>
    <w:p w14:paraId="4709DAC2" w14:textId="77777777" w:rsidR="00BA1917" w:rsidRDefault="00BA1917" w:rsidP="00BA1917">
      <w:pPr>
        <w:rPr>
          <w:sz w:val="20"/>
        </w:rPr>
      </w:pPr>
    </w:p>
    <w:p w14:paraId="601A2907" w14:textId="77777777" w:rsidR="00BA1917" w:rsidRPr="008F2616" w:rsidRDefault="00BA1917" w:rsidP="00BA1917">
      <w:pPr>
        <w:rPr>
          <w:sz w:val="20"/>
        </w:rPr>
      </w:pPr>
    </w:p>
    <w:p w14:paraId="66A4E89A" w14:textId="77777777" w:rsidR="00BA1917" w:rsidRPr="008F2616" w:rsidRDefault="00BA1917" w:rsidP="00BA1917">
      <w:pPr>
        <w:rPr>
          <w:sz w:val="20"/>
        </w:rPr>
      </w:pPr>
    </w:p>
    <w:p w14:paraId="5F7C4DD6" w14:textId="77777777" w:rsidR="00BA1917" w:rsidRPr="008F2616" w:rsidRDefault="00BA1917" w:rsidP="00BA1917">
      <w:pPr>
        <w:rPr>
          <w:sz w:val="20"/>
        </w:rPr>
      </w:pPr>
      <w:r>
        <w:rPr>
          <w:sz w:val="20"/>
        </w:rPr>
        <w:t>[Insert name of Delegate]</w:t>
      </w:r>
    </w:p>
    <w:p w14:paraId="3EC2E82E" w14:textId="77777777" w:rsidR="00BA1917" w:rsidRPr="008F2616" w:rsidRDefault="00BA1917" w:rsidP="00BA1917">
      <w:pPr>
        <w:rPr>
          <w:sz w:val="20"/>
        </w:rPr>
      </w:pPr>
      <w:r w:rsidRPr="008F2616">
        <w:rPr>
          <w:sz w:val="20"/>
        </w:rPr>
        <w:t>Delegate of the Board of Food Standards Australia New Zealand</w:t>
      </w:r>
    </w:p>
    <w:p w14:paraId="5651F398" w14:textId="77777777" w:rsidR="00BA1917" w:rsidRDefault="00BA1917" w:rsidP="00BA1917">
      <w:pPr>
        <w:rPr>
          <w:sz w:val="20"/>
        </w:rPr>
      </w:pPr>
    </w:p>
    <w:p w14:paraId="20FAE19E" w14:textId="77777777" w:rsidR="00BA1917" w:rsidRDefault="00BA1917" w:rsidP="00BA1917">
      <w:pPr>
        <w:rPr>
          <w:sz w:val="20"/>
        </w:rPr>
      </w:pPr>
    </w:p>
    <w:p w14:paraId="53AE243E" w14:textId="77777777" w:rsidR="00BA1917" w:rsidRDefault="00BA1917" w:rsidP="00BA1917">
      <w:pPr>
        <w:rPr>
          <w:sz w:val="20"/>
        </w:rPr>
      </w:pPr>
    </w:p>
    <w:p w14:paraId="5AB1410E" w14:textId="77777777" w:rsidR="00BA1917" w:rsidRDefault="00BA1917" w:rsidP="00BA1917">
      <w:pPr>
        <w:rPr>
          <w:sz w:val="20"/>
        </w:rPr>
      </w:pPr>
    </w:p>
    <w:p w14:paraId="5D198A74" w14:textId="77777777" w:rsidR="00BA1917" w:rsidRDefault="00BA1917" w:rsidP="00BA1917">
      <w:pPr>
        <w:rPr>
          <w:sz w:val="20"/>
        </w:rPr>
      </w:pPr>
    </w:p>
    <w:p w14:paraId="37E17236" w14:textId="4701EA90" w:rsidR="00BA1917" w:rsidRPr="00360C8F" w:rsidRDefault="00BA1917" w:rsidP="00BA1917">
      <w:pPr>
        <w:pBdr>
          <w:top w:val="single" w:sz="4" w:space="1" w:color="auto"/>
          <w:left w:val="single" w:sz="4" w:space="4" w:color="auto"/>
          <w:bottom w:val="single" w:sz="4" w:space="1" w:color="auto"/>
          <w:right w:val="single" w:sz="4" w:space="4" w:color="auto"/>
        </w:pBdr>
        <w:rPr>
          <w:b/>
          <w:sz w:val="20"/>
          <w:lang w:val="en-AU"/>
        </w:rPr>
      </w:pPr>
      <w:r w:rsidRPr="00360C8F">
        <w:rPr>
          <w:b/>
          <w:sz w:val="20"/>
          <w:lang w:val="en-AU"/>
        </w:rPr>
        <w:t>Note:</w:t>
      </w:r>
    </w:p>
    <w:p w14:paraId="5EE754F0" w14:textId="77777777" w:rsidR="00BA1917" w:rsidRPr="00360C8F" w:rsidRDefault="00BA1917" w:rsidP="00BA1917">
      <w:pPr>
        <w:pBdr>
          <w:top w:val="single" w:sz="4" w:space="1" w:color="auto"/>
          <w:left w:val="single" w:sz="4" w:space="4" w:color="auto"/>
          <w:bottom w:val="single" w:sz="4" w:space="1" w:color="auto"/>
          <w:right w:val="single" w:sz="4" w:space="4" w:color="auto"/>
        </w:pBdr>
        <w:rPr>
          <w:sz w:val="20"/>
          <w:lang w:val="en-AU"/>
        </w:rPr>
      </w:pPr>
    </w:p>
    <w:p w14:paraId="6BB2546D" w14:textId="77777777" w:rsidR="00BA1917" w:rsidRPr="00360C8F" w:rsidRDefault="00BA1917" w:rsidP="00BA1917">
      <w:pPr>
        <w:pBdr>
          <w:top w:val="single" w:sz="4" w:space="1" w:color="auto"/>
          <w:left w:val="single" w:sz="4" w:space="4" w:color="auto"/>
          <w:bottom w:val="single" w:sz="4" w:space="1" w:color="auto"/>
          <w:right w:val="single" w:sz="4" w:space="4" w:color="auto"/>
        </w:pBdr>
        <w:rPr>
          <w:sz w:val="20"/>
          <w:lang w:val="en-AU"/>
        </w:rPr>
      </w:pPr>
      <w:r w:rsidRPr="00360C8F">
        <w:rPr>
          <w:sz w:val="20"/>
          <w:lang w:val="en-AU"/>
        </w:rPr>
        <w:t xml:space="preserve">This variation will be published in the Commonwealth of Australia Gazette No. FSC </w:t>
      </w:r>
      <w:r w:rsidRPr="00360C8F">
        <w:rPr>
          <w:color w:val="FF0000"/>
          <w:sz w:val="20"/>
          <w:lang w:val="en-AU"/>
        </w:rPr>
        <w:t>XX on XX Month 20XX</w:t>
      </w:r>
      <w:r w:rsidRPr="00360C8F">
        <w:rPr>
          <w:sz w:val="20"/>
          <w:lang w:val="en-AU"/>
        </w:rPr>
        <w:t xml:space="preserve">. This means that this date is the gazettal date for the purposes of clause 3 of the variation. </w:t>
      </w:r>
    </w:p>
    <w:p w14:paraId="335DC040" w14:textId="77777777" w:rsidR="00BA1917" w:rsidRDefault="00BA1917" w:rsidP="00BA1917">
      <w:pPr>
        <w:rPr>
          <w:sz w:val="20"/>
        </w:rPr>
      </w:pPr>
    </w:p>
    <w:p w14:paraId="2EA52B65" w14:textId="77777777" w:rsidR="00BA1917" w:rsidRDefault="00BA1917" w:rsidP="00BA1917">
      <w:pPr>
        <w:widowControl/>
        <w:rPr>
          <w:sz w:val="20"/>
        </w:rPr>
      </w:pPr>
      <w:r>
        <w:rPr>
          <w:sz w:val="20"/>
        </w:rPr>
        <w:br w:type="page"/>
      </w:r>
    </w:p>
    <w:p w14:paraId="117E9ADC" w14:textId="77777777" w:rsidR="00BA1917" w:rsidRPr="005F585D" w:rsidRDefault="00BA1917" w:rsidP="00BA1917">
      <w:pPr>
        <w:pStyle w:val="FSCDraftingitemheading"/>
      </w:pPr>
      <w:r w:rsidRPr="00D433B1">
        <w:t>1</w:t>
      </w:r>
      <w:r w:rsidRPr="00D433B1">
        <w:tab/>
        <w:t>Name</w:t>
      </w:r>
    </w:p>
    <w:p w14:paraId="4107A33E" w14:textId="77777777" w:rsidR="00BA1917" w:rsidRPr="00F618DF" w:rsidRDefault="00BA1917" w:rsidP="00BA1917">
      <w:pPr>
        <w:pStyle w:val="FSCDraftingitem"/>
      </w:pPr>
      <w:r w:rsidRPr="00DB170D">
        <w:t xml:space="preserve">This instrument is the </w:t>
      </w:r>
      <w:r w:rsidRPr="00792F7C">
        <w:rPr>
          <w:i/>
        </w:rPr>
        <w:t>Food Sta</w:t>
      </w:r>
      <w:r>
        <w:rPr>
          <w:i/>
        </w:rPr>
        <w:t>ndards (Appli</w:t>
      </w:r>
      <w:r w:rsidRPr="00675956">
        <w:rPr>
          <w:i/>
        </w:rPr>
        <w:t>cation A1155 – 2</w:t>
      </w:r>
      <w:r>
        <w:rPr>
          <w:rFonts w:cs="Arial"/>
          <w:i/>
        </w:rPr>
        <w:t>′</w:t>
      </w:r>
      <w:r w:rsidRPr="00675956">
        <w:rPr>
          <w:i/>
        </w:rPr>
        <w:t xml:space="preserve">-FL and </w:t>
      </w:r>
      <w:r w:rsidRPr="00D02515">
        <w:rPr>
          <w:i/>
        </w:rPr>
        <w:t>LNnT</w:t>
      </w:r>
      <w:r w:rsidRPr="00675956">
        <w:rPr>
          <w:i/>
        </w:rPr>
        <w:t xml:space="preserve"> in infant formula and other products</w:t>
      </w:r>
      <w:r w:rsidRPr="00792F7C">
        <w:rPr>
          <w:i/>
        </w:rPr>
        <w:t>) Variation</w:t>
      </w:r>
      <w:r w:rsidRPr="00F618DF">
        <w:t>.</w:t>
      </w:r>
    </w:p>
    <w:p w14:paraId="5D0E59A3" w14:textId="77777777" w:rsidR="00BA1917" w:rsidRPr="00675956" w:rsidRDefault="00BA1917" w:rsidP="00BA1917">
      <w:pPr>
        <w:pStyle w:val="FSCDraftingitemheading"/>
      </w:pPr>
      <w:r w:rsidRPr="00675956">
        <w:t>2</w:t>
      </w:r>
      <w:r w:rsidRPr="00675956">
        <w:tab/>
        <w:t xml:space="preserve">Variation to standards in the </w:t>
      </w:r>
      <w:r w:rsidRPr="00675956">
        <w:rPr>
          <w:i/>
        </w:rPr>
        <w:t>Australia New Zealand Food Standards Code</w:t>
      </w:r>
    </w:p>
    <w:p w14:paraId="0A91B36F" w14:textId="77777777" w:rsidR="00BA1917" w:rsidRPr="00675956" w:rsidRDefault="00BA1917" w:rsidP="00BA1917">
      <w:pPr>
        <w:pStyle w:val="FSCDraftingitem"/>
      </w:pPr>
      <w:r w:rsidRPr="00675956">
        <w:t xml:space="preserve">The Schedule varies Standards in the </w:t>
      </w:r>
      <w:r w:rsidRPr="00675956">
        <w:rPr>
          <w:i/>
        </w:rPr>
        <w:t>Australia New Zealand Food Standards Code</w:t>
      </w:r>
      <w:r w:rsidRPr="00675956">
        <w:t>.</w:t>
      </w:r>
    </w:p>
    <w:p w14:paraId="129D6E69" w14:textId="77777777" w:rsidR="00BA1917" w:rsidRPr="00D433B1" w:rsidRDefault="00BA1917" w:rsidP="00BA1917">
      <w:pPr>
        <w:pStyle w:val="FSCDraftingitemheading"/>
      </w:pPr>
      <w:r w:rsidRPr="00D433B1">
        <w:t>3</w:t>
      </w:r>
      <w:r w:rsidRPr="00D433B1">
        <w:tab/>
        <w:t>Commencement</w:t>
      </w:r>
    </w:p>
    <w:p w14:paraId="3CA177C1" w14:textId="77777777" w:rsidR="00BA1917" w:rsidRDefault="00BA1917" w:rsidP="00BA1917">
      <w:pPr>
        <w:pStyle w:val="FSCDraftingitem"/>
      </w:pPr>
      <w:r>
        <w:t>The variation commenc</w:t>
      </w:r>
      <w:r w:rsidRPr="000055C4">
        <w:t>e</w:t>
      </w:r>
      <w:r>
        <w:t>s</w:t>
      </w:r>
      <w:r w:rsidRPr="000055C4">
        <w:t xml:space="preserve"> on</w:t>
      </w:r>
      <w:r>
        <w:t xml:space="preserve"> the date of gazettal.</w:t>
      </w:r>
    </w:p>
    <w:p w14:paraId="197BF724" w14:textId="77777777" w:rsidR="00BA1917" w:rsidRPr="00D433B1" w:rsidRDefault="00BA1917" w:rsidP="00BA1917">
      <w:pPr>
        <w:jc w:val="center"/>
        <w:rPr>
          <w:b/>
          <w:sz w:val="20"/>
        </w:rPr>
      </w:pPr>
      <w:r w:rsidRPr="00D433B1">
        <w:rPr>
          <w:b/>
          <w:sz w:val="20"/>
        </w:rPr>
        <w:t>Schedule</w:t>
      </w:r>
    </w:p>
    <w:p w14:paraId="43C4D341" w14:textId="77777777" w:rsidR="00BA1917" w:rsidRPr="00675956" w:rsidRDefault="00BA1917" w:rsidP="00BA1917">
      <w:pPr>
        <w:pStyle w:val="FSCDraftingitem"/>
      </w:pPr>
      <w:r w:rsidRPr="00675956">
        <w:rPr>
          <w:b/>
          <w:lang w:bidi="en-US"/>
        </w:rPr>
        <w:t>[1]</w:t>
      </w:r>
      <w:r w:rsidRPr="00675956">
        <w:rPr>
          <w:b/>
          <w:lang w:bidi="en-US"/>
        </w:rPr>
        <w:tab/>
        <w:t xml:space="preserve">Standard </w:t>
      </w:r>
      <w:r>
        <w:rPr>
          <w:b/>
          <w:lang w:bidi="en-US"/>
        </w:rPr>
        <w:t>2.9.1</w:t>
      </w:r>
      <w:r w:rsidRPr="00675956">
        <w:rPr>
          <w:b/>
          <w:lang w:bidi="en-US"/>
        </w:rPr>
        <w:t xml:space="preserve"> </w:t>
      </w:r>
      <w:r w:rsidRPr="00675956">
        <w:rPr>
          <w:lang w:bidi="en-US"/>
        </w:rPr>
        <w:t>is varied by</w:t>
      </w:r>
    </w:p>
    <w:p w14:paraId="70E940C6" w14:textId="492FC7B1" w:rsidR="00BA1917" w:rsidRDefault="00BA1917" w:rsidP="00BA1917">
      <w:pPr>
        <w:pStyle w:val="FSCDraftingitem"/>
      </w:pPr>
      <w:r w:rsidDel="00F375F8">
        <w:rPr>
          <w:lang w:bidi="en-US"/>
        </w:rPr>
        <w:t xml:space="preserve"> </w:t>
      </w:r>
      <w:r>
        <w:rPr>
          <w:lang w:bidi="en-US"/>
        </w:rPr>
        <w:t>[1.1</w:t>
      </w:r>
      <w:r w:rsidRPr="002D5929">
        <w:rPr>
          <w:lang w:bidi="en-US"/>
        </w:rPr>
        <w:t>]</w:t>
      </w:r>
      <w:r w:rsidRPr="002D5929">
        <w:rPr>
          <w:lang w:bidi="en-US"/>
        </w:rPr>
        <w:tab/>
      </w:r>
      <w:r>
        <w:rPr>
          <w:lang w:bidi="en-US"/>
        </w:rPr>
        <w:t xml:space="preserve">omitting section </w:t>
      </w:r>
      <w:r>
        <w:t>2.9.1—7, substituting</w:t>
      </w:r>
    </w:p>
    <w:p w14:paraId="3F66D5CE" w14:textId="77777777" w:rsidR="00BA1917" w:rsidRDefault="00BA1917" w:rsidP="00BA1917">
      <w:pPr>
        <w:pStyle w:val="FSCh5Section"/>
      </w:pPr>
      <w:bookmarkStart w:id="198" w:name="_Toc400032269"/>
      <w:r w:rsidRPr="001D1563">
        <w:t>2.9.1—7</w:t>
      </w:r>
      <w:r w:rsidRPr="001D1563">
        <w:tab/>
      </w:r>
      <w:r>
        <w:t>Restriction on addition to infant formula product of</w:t>
      </w:r>
      <w:r w:rsidRPr="001D1563">
        <w:t xml:space="preserve"> i</w:t>
      </w:r>
      <w:r>
        <w:t>nulin-type fructans and galacto</w:t>
      </w:r>
      <w:r>
        <w:noBreakHyphen/>
      </w:r>
      <w:r w:rsidRPr="001D1563">
        <w:t>oligosaccharides</w:t>
      </w:r>
      <w:bookmarkEnd w:id="198"/>
      <w:r>
        <w:t xml:space="preserve"> </w:t>
      </w:r>
    </w:p>
    <w:p w14:paraId="67250CA3" w14:textId="77777777" w:rsidR="00BA1917" w:rsidRPr="001D1563" w:rsidRDefault="00BA1917" w:rsidP="00BA1917">
      <w:pPr>
        <w:pStyle w:val="FSCtMain"/>
      </w:pPr>
      <w:r w:rsidRPr="001D1563">
        <w:tab/>
      </w:r>
      <w:r>
        <w:t>(1)</w:t>
      </w:r>
      <w:r w:rsidRPr="001D1563">
        <w:tab/>
        <w:t>If an inulin-type fructan or a galacto-oligosaccharide is added to an infant formula product, the product must contain (taking into account both the naturally-occurring and added substances) no more than:</w:t>
      </w:r>
    </w:p>
    <w:p w14:paraId="1362AA06" w14:textId="77777777" w:rsidR="00BA1917" w:rsidRPr="001D1563" w:rsidRDefault="00BA1917" w:rsidP="00BA1917">
      <w:pPr>
        <w:pStyle w:val="FSCtPara"/>
      </w:pPr>
      <w:r w:rsidRPr="001D1563">
        <w:tab/>
        <w:t>(a)</w:t>
      </w:r>
      <w:r w:rsidRPr="001D1563">
        <w:tab/>
        <w:t>if only *inulin-type fructans are added—110 mg/100 kJ of inulin-type fructans; or</w:t>
      </w:r>
    </w:p>
    <w:p w14:paraId="4B2175BB" w14:textId="77777777" w:rsidR="00BA1917" w:rsidRPr="001D1563" w:rsidRDefault="00BA1917" w:rsidP="00BA1917">
      <w:pPr>
        <w:pStyle w:val="FSCtPara"/>
      </w:pPr>
      <w:r w:rsidRPr="001D1563">
        <w:tab/>
        <w:t>(b)</w:t>
      </w:r>
      <w:r w:rsidRPr="001D1563">
        <w:tab/>
        <w:t>if only *galacto-oligosaccharides are added—290 mg/100 kJ of galacto-oligosaccharides; or</w:t>
      </w:r>
    </w:p>
    <w:p w14:paraId="5DAE60B2" w14:textId="77777777" w:rsidR="00BA1917" w:rsidRPr="001D1563" w:rsidRDefault="00BA1917" w:rsidP="00BA1917">
      <w:pPr>
        <w:pStyle w:val="FSCtPara"/>
      </w:pPr>
      <w:r w:rsidRPr="001D1563">
        <w:tab/>
        <w:t>(c)</w:t>
      </w:r>
      <w:r w:rsidRPr="001D1563">
        <w:tab/>
        <w:t>if both inulin-type fructans and galacto-oligosaccharides are added:</w:t>
      </w:r>
    </w:p>
    <w:p w14:paraId="05C07DBC" w14:textId="77777777" w:rsidR="00BA1917" w:rsidRDefault="00BA1917" w:rsidP="00BA1917">
      <w:pPr>
        <w:pStyle w:val="FSCtSubpara"/>
      </w:pPr>
      <w:r w:rsidRPr="001D1563">
        <w:tab/>
        <w:t>(i)</w:t>
      </w:r>
      <w:r w:rsidRPr="001D1563">
        <w:tab/>
        <w:t>no more than 110 mg/100 kJ of inulin-type fructans; and</w:t>
      </w:r>
    </w:p>
    <w:p w14:paraId="44A44C72" w14:textId="77777777" w:rsidR="00BA1917" w:rsidRDefault="00BA1917" w:rsidP="00BA1917">
      <w:pPr>
        <w:pStyle w:val="FSCtSubpara"/>
      </w:pPr>
      <w:r>
        <w:tab/>
      </w:r>
      <w:r w:rsidRPr="001D1563">
        <w:t>(ii)</w:t>
      </w:r>
      <w:r w:rsidRPr="001D1563">
        <w:tab/>
        <w:t>no more than 290 mg/100 kJ of combined inulin-type fructans and galacto-oligosaccharides.</w:t>
      </w:r>
    </w:p>
    <w:p w14:paraId="6E157F43" w14:textId="77777777" w:rsidR="00BA1917" w:rsidRDefault="00BA1917" w:rsidP="00BA1917">
      <w:pPr>
        <w:pStyle w:val="FSCDraftingitem"/>
        <w:tabs>
          <w:tab w:val="clear" w:pos="851"/>
          <w:tab w:val="left" w:pos="1134"/>
        </w:tabs>
        <w:ind w:left="1701" w:hanging="1701"/>
      </w:pPr>
      <w:r>
        <w:tab/>
        <w:t>(2)</w:t>
      </w:r>
      <w:r>
        <w:tab/>
        <w:t xml:space="preserve">An </w:t>
      </w:r>
      <w:r w:rsidRPr="001D1563">
        <w:t>infant formula product</w:t>
      </w:r>
      <w:r>
        <w:t xml:space="preserve"> to which </w:t>
      </w:r>
      <w:r w:rsidRPr="001D1563">
        <w:t>an i</w:t>
      </w:r>
      <w:r>
        <w:t>nulin-type fructan or a galacto</w:t>
      </w:r>
      <w:r>
        <w:noBreakHyphen/>
      </w:r>
      <w:r w:rsidRPr="001D1563">
        <w:t xml:space="preserve">oligosaccharide is added must </w:t>
      </w:r>
      <w:r>
        <w:t>not contain any of the following added substances:</w:t>
      </w:r>
    </w:p>
    <w:p w14:paraId="49C022FA" w14:textId="77777777" w:rsidR="00BA1917" w:rsidRDefault="00BA1917" w:rsidP="00BA1917">
      <w:pPr>
        <w:pStyle w:val="FSCDraftingitem"/>
        <w:tabs>
          <w:tab w:val="clear" w:pos="851"/>
          <w:tab w:val="left" w:pos="1701"/>
        </w:tabs>
        <w:ind w:left="2268" w:hanging="2268"/>
      </w:pPr>
      <w:r>
        <w:rPr>
          <w:i/>
        </w:rPr>
        <w:tab/>
      </w:r>
      <w:r w:rsidRPr="003002DD">
        <w:t>(a)</w:t>
      </w:r>
      <w:r w:rsidRPr="003002DD">
        <w:tab/>
      </w:r>
      <w:r w:rsidRPr="00EC41A5">
        <w:t>2</w:t>
      </w:r>
      <w:r>
        <w:rPr>
          <w:rFonts w:cs="Arial"/>
        </w:rPr>
        <w:t>′</w:t>
      </w:r>
      <w:r w:rsidRPr="00C56598">
        <w:t>-</w:t>
      </w:r>
      <w:r w:rsidRPr="00EC41A5">
        <w:t>O</w:t>
      </w:r>
      <w:r w:rsidRPr="00C56598">
        <w:t>-</w:t>
      </w:r>
      <w:r>
        <w:t>f</w:t>
      </w:r>
      <w:r w:rsidRPr="00C56598">
        <w:t>ucosyllactose</w:t>
      </w:r>
      <w:r>
        <w:t xml:space="preserve">; or </w:t>
      </w:r>
    </w:p>
    <w:p w14:paraId="6B0AB18D" w14:textId="77777777" w:rsidR="00BA1917" w:rsidRDefault="00BA1917" w:rsidP="00BA1917">
      <w:pPr>
        <w:pStyle w:val="FSCDraftingitem"/>
        <w:tabs>
          <w:tab w:val="clear" w:pos="851"/>
          <w:tab w:val="left" w:pos="1701"/>
        </w:tabs>
        <w:ind w:left="2268" w:hanging="2268"/>
      </w:pPr>
      <w:r>
        <w:tab/>
        <w:t>(b)</w:t>
      </w:r>
      <w:r>
        <w:tab/>
        <w:t xml:space="preserve">a combination of </w:t>
      </w:r>
      <w:r w:rsidRPr="00EC41A5">
        <w:t>2</w:t>
      </w:r>
      <w:r>
        <w:rPr>
          <w:rFonts w:cs="Arial"/>
          <w:i/>
        </w:rPr>
        <w:t>′</w:t>
      </w:r>
      <w:r w:rsidRPr="00323630">
        <w:rPr>
          <w:i/>
        </w:rPr>
        <w:t>-</w:t>
      </w:r>
      <w:r w:rsidRPr="00EC41A5">
        <w:t>O</w:t>
      </w:r>
      <w:r w:rsidRPr="00C56598">
        <w:t>-</w:t>
      </w:r>
      <w:r>
        <w:t>f</w:t>
      </w:r>
      <w:r w:rsidRPr="00C56598">
        <w:t>ucosyllactose</w:t>
      </w:r>
      <w:r>
        <w:t xml:space="preserve"> and l</w:t>
      </w:r>
      <w:r w:rsidRPr="00B307E9">
        <w:t>acto-</w:t>
      </w:r>
      <w:r w:rsidRPr="00EC41A5">
        <w:t>N</w:t>
      </w:r>
      <w:r>
        <w:t>-neotetraose.</w:t>
      </w:r>
    </w:p>
    <w:p w14:paraId="144A5B2C" w14:textId="77777777" w:rsidR="00BA1917" w:rsidRDefault="00BA1917" w:rsidP="00BA1917">
      <w:pPr>
        <w:pStyle w:val="FSCtMain"/>
        <w:ind w:left="0" w:firstLine="0"/>
      </w:pPr>
      <w:r>
        <w:rPr>
          <w:lang w:bidi="en-US"/>
        </w:rPr>
        <w:t>[1.2</w:t>
      </w:r>
      <w:r w:rsidRPr="002D5929">
        <w:rPr>
          <w:lang w:bidi="en-US"/>
        </w:rPr>
        <w:t>]</w:t>
      </w:r>
      <w:r w:rsidRPr="002D5929">
        <w:rPr>
          <w:lang w:bidi="en-US"/>
        </w:rPr>
        <w:tab/>
      </w:r>
      <w:r>
        <w:rPr>
          <w:lang w:bidi="en-US"/>
        </w:rPr>
        <w:t xml:space="preserve">inserting after paragraph </w:t>
      </w:r>
      <w:r>
        <w:t>2.9.1—24(1)(c)</w:t>
      </w:r>
    </w:p>
    <w:p w14:paraId="03985EA9" w14:textId="77777777" w:rsidR="00BA1917" w:rsidRDefault="00BA1917" w:rsidP="00BA1917">
      <w:pPr>
        <w:pStyle w:val="FSCtPara"/>
      </w:pPr>
      <w:r w:rsidRPr="001D1563">
        <w:tab/>
        <w:t>(c</w:t>
      </w:r>
      <w:r>
        <w:t>a</w:t>
      </w:r>
      <w:r w:rsidRPr="001D1563">
        <w:t>)</w:t>
      </w:r>
      <w:r w:rsidRPr="001D1563">
        <w:tab/>
      </w:r>
      <w:r w:rsidRPr="00985AB6">
        <w:t>the words ‘human milk</w:t>
      </w:r>
      <w:r>
        <w:t xml:space="preserve"> oligosaccharide’, ‘human milk identical oligosaccharide’</w:t>
      </w:r>
      <w:r w:rsidRPr="00985AB6">
        <w:t xml:space="preserve"> or any word or words havin</w:t>
      </w:r>
      <w:r>
        <w:t>g the same or similar effect; or</w:t>
      </w:r>
    </w:p>
    <w:p w14:paraId="07742B4D" w14:textId="77777777" w:rsidR="00BA1917" w:rsidRDefault="00BA1917" w:rsidP="00BA1917">
      <w:pPr>
        <w:pStyle w:val="FSCtPara"/>
      </w:pPr>
      <w:r>
        <w:tab/>
        <w:t>(cb)</w:t>
      </w:r>
      <w:r>
        <w:tab/>
        <w:t xml:space="preserve">the abbreviations ‘HMO’ or HiMO’ or any abbreviation </w:t>
      </w:r>
      <w:r w:rsidRPr="00985AB6">
        <w:t>havin</w:t>
      </w:r>
      <w:r>
        <w:t>g the same or similar effect; or</w:t>
      </w:r>
    </w:p>
    <w:p w14:paraId="0EADDB67" w14:textId="77777777" w:rsidR="00BA1917" w:rsidRPr="00675956" w:rsidRDefault="00BA1917" w:rsidP="00BA1917">
      <w:pPr>
        <w:pStyle w:val="FSCDraftingitem"/>
      </w:pPr>
      <w:r>
        <w:rPr>
          <w:b/>
          <w:lang w:bidi="en-US"/>
        </w:rPr>
        <w:t>[2</w:t>
      </w:r>
      <w:r w:rsidRPr="00675956">
        <w:rPr>
          <w:b/>
          <w:lang w:bidi="en-US"/>
        </w:rPr>
        <w:t>]</w:t>
      </w:r>
      <w:r w:rsidRPr="00675956">
        <w:rPr>
          <w:b/>
          <w:lang w:bidi="en-US"/>
        </w:rPr>
        <w:tab/>
        <w:t xml:space="preserve">Standard 2.9.3 </w:t>
      </w:r>
      <w:r w:rsidRPr="00675956">
        <w:rPr>
          <w:lang w:bidi="en-US"/>
        </w:rPr>
        <w:t>is varied by</w:t>
      </w:r>
    </w:p>
    <w:p w14:paraId="3EC6BB43" w14:textId="77777777" w:rsidR="00BA1917" w:rsidRDefault="00BA1917" w:rsidP="00BA1917">
      <w:pPr>
        <w:pStyle w:val="FSCDraftingitem"/>
      </w:pPr>
      <w:r>
        <w:t>[2</w:t>
      </w:r>
      <w:r w:rsidRPr="00675956">
        <w:t>.1]</w:t>
      </w:r>
      <w:r w:rsidRPr="00675956">
        <w:tab/>
      </w:r>
      <w:r>
        <w:t>inserting after subsection 2.9.3</w:t>
      </w:r>
      <w:r w:rsidRPr="001D1563">
        <w:t>—</w:t>
      </w:r>
      <w:r>
        <w:t>7(2)</w:t>
      </w:r>
    </w:p>
    <w:p w14:paraId="690ABFB2" w14:textId="77777777" w:rsidR="00BA1917" w:rsidRPr="00943699" w:rsidRDefault="00BA1917" w:rsidP="00BA1917">
      <w:pPr>
        <w:pStyle w:val="FSCtMain"/>
      </w:pPr>
      <w:r w:rsidRPr="001D1563">
        <w:tab/>
      </w:r>
      <w:r w:rsidRPr="00943699">
        <w:t>(2A)</w:t>
      </w:r>
      <w:r w:rsidRPr="00943699">
        <w:tab/>
        <w:t>A substance listed in Column 1 of the table to section S29—15A may be *used as a nutritive substance in a formulated supplementary food for young children if:</w:t>
      </w:r>
    </w:p>
    <w:p w14:paraId="5C68FF02" w14:textId="77777777" w:rsidR="00BA1917" w:rsidRPr="00943699" w:rsidRDefault="00BA1917" w:rsidP="00BA1917">
      <w:pPr>
        <w:pStyle w:val="FSCtPara"/>
      </w:pPr>
      <w:r w:rsidRPr="00943699">
        <w:tab/>
        <w:t>(a)</w:t>
      </w:r>
      <w:r w:rsidRPr="00943699">
        <w:tab/>
        <w:t>the substance is in a permitted form listed in Column 2 of the table; and</w:t>
      </w:r>
    </w:p>
    <w:p w14:paraId="430BC66B" w14:textId="77777777" w:rsidR="00BA1917" w:rsidRDefault="00BA1917" w:rsidP="00BA1917">
      <w:pPr>
        <w:pStyle w:val="FSCtPara"/>
      </w:pPr>
      <w:r w:rsidRPr="00943699">
        <w:tab/>
        <w:t xml:space="preserve">(b) </w:t>
      </w:r>
      <w:r w:rsidRPr="00943699">
        <w:tab/>
        <w:t>the amount of the substance in the food (including any naturally-occurring amount) is no more than the corresponding amount listed in Column 3 of the table.</w:t>
      </w:r>
    </w:p>
    <w:p w14:paraId="35C7D6C8" w14:textId="77777777" w:rsidR="00BA1917" w:rsidRDefault="00BA1917" w:rsidP="00BA1917">
      <w:pPr>
        <w:pStyle w:val="FSCDraftingitem"/>
      </w:pPr>
      <w:r>
        <w:t>[2.2</w:t>
      </w:r>
      <w:r w:rsidRPr="00675956">
        <w:t>]</w:t>
      </w:r>
      <w:r w:rsidRPr="00675956">
        <w:tab/>
      </w:r>
      <w:r>
        <w:t>omitting subsection 2.9.2</w:t>
      </w:r>
      <w:r w:rsidRPr="001D1563">
        <w:t>—</w:t>
      </w:r>
      <w:r>
        <w:t>7(3), substituting</w:t>
      </w:r>
    </w:p>
    <w:p w14:paraId="4E877D50" w14:textId="77777777" w:rsidR="00BA1917" w:rsidRDefault="00BA1917" w:rsidP="00BA1917">
      <w:pPr>
        <w:pStyle w:val="FSCtMain"/>
      </w:pPr>
      <w:r w:rsidRPr="001D1563">
        <w:tab/>
        <w:t>(3)</w:t>
      </w:r>
      <w:r w:rsidRPr="001D1563">
        <w:tab/>
        <w:t>If *inulin-type fructans or *galacto-oligosaccharides are added to a formulated supplem</w:t>
      </w:r>
      <w:r>
        <w:t>entary food for young children:</w:t>
      </w:r>
    </w:p>
    <w:p w14:paraId="3EDF4AEB" w14:textId="77777777" w:rsidR="00BA1917" w:rsidRDefault="00BA1917" w:rsidP="00BA1917">
      <w:pPr>
        <w:pStyle w:val="FSCtMain"/>
        <w:tabs>
          <w:tab w:val="clear" w:pos="1134"/>
          <w:tab w:val="left" w:pos="1701"/>
        </w:tabs>
        <w:ind w:left="2268" w:hanging="2268"/>
      </w:pPr>
      <w:r>
        <w:tab/>
        <w:t xml:space="preserve">(a) </w:t>
      </w:r>
      <w:r>
        <w:tab/>
      </w:r>
      <w:r w:rsidRPr="001D1563">
        <w:t>the total amount of those substances, both added and naturally occurring, must</w:t>
      </w:r>
      <w:r>
        <w:t xml:space="preserve"> not be more than 1.6 g/serving; and</w:t>
      </w:r>
    </w:p>
    <w:p w14:paraId="1749DF95" w14:textId="77777777" w:rsidR="00BA1917" w:rsidRDefault="00BA1917" w:rsidP="00BA1917">
      <w:pPr>
        <w:pStyle w:val="FSCtMain"/>
        <w:tabs>
          <w:tab w:val="clear" w:pos="1134"/>
          <w:tab w:val="left" w:pos="1701"/>
        </w:tabs>
        <w:ind w:left="2268" w:hanging="2268"/>
      </w:pPr>
      <w:r>
        <w:tab/>
        <w:t xml:space="preserve">(b) </w:t>
      </w:r>
      <w:r>
        <w:tab/>
      </w:r>
      <w:r w:rsidRPr="001D1563">
        <w:t xml:space="preserve">the </w:t>
      </w:r>
      <w:r>
        <w:t>food</w:t>
      </w:r>
      <w:r w:rsidRPr="001D1563">
        <w:t xml:space="preserve"> must </w:t>
      </w:r>
      <w:r>
        <w:t>not contain any of the following added substances:</w:t>
      </w:r>
    </w:p>
    <w:p w14:paraId="0813122D" w14:textId="67D09E91" w:rsidR="00BA1917" w:rsidRDefault="00BA1917" w:rsidP="00BA1917">
      <w:pPr>
        <w:pStyle w:val="FSCDraftingitem"/>
        <w:tabs>
          <w:tab w:val="clear" w:pos="851"/>
          <w:tab w:val="left" w:pos="2268"/>
        </w:tabs>
        <w:ind w:left="2835" w:hanging="2835"/>
      </w:pPr>
      <w:r>
        <w:rPr>
          <w:i/>
        </w:rPr>
        <w:tab/>
      </w:r>
      <w:r>
        <w:t>(i)</w:t>
      </w:r>
      <w:r>
        <w:tab/>
      </w:r>
      <w:r w:rsidRPr="00EC41A5">
        <w:t>2</w:t>
      </w:r>
      <w:r>
        <w:rPr>
          <w:rFonts w:cs="Arial"/>
        </w:rPr>
        <w:t>′</w:t>
      </w:r>
      <w:r w:rsidRPr="00C56598">
        <w:t>-</w:t>
      </w:r>
      <w:r w:rsidRPr="00EC41A5">
        <w:t>O</w:t>
      </w:r>
      <w:r w:rsidRPr="00C56598">
        <w:t>-</w:t>
      </w:r>
      <w:r>
        <w:t>f</w:t>
      </w:r>
      <w:r w:rsidRPr="00C56598">
        <w:t>ucosyllactose</w:t>
      </w:r>
      <w:r>
        <w:t>; or</w:t>
      </w:r>
    </w:p>
    <w:p w14:paraId="5EAD00EB" w14:textId="77777777" w:rsidR="00BA1917" w:rsidRDefault="00BA1917" w:rsidP="00BA1917">
      <w:pPr>
        <w:pStyle w:val="FSCtMain"/>
        <w:tabs>
          <w:tab w:val="left" w:pos="2268"/>
        </w:tabs>
        <w:ind w:left="2835" w:hanging="2835"/>
      </w:pPr>
      <w:r>
        <w:tab/>
      </w:r>
      <w:r>
        <w:tab/>
        <w:t>(ii)</w:t>
      </w:r>
      <w:r>
        <w:tab/>
        <w:t xml:space="preserve">a combination of </w:t>
      </w:r>
      <w:r w:rsidRPr="00EC41A5">
        <w:t>2′</w:t>
      </w:r>
      <w:r w:rsidRPr="00323630">
        <w:rPr>
          <w:i/>
        </w:rPr>
        <w:t>-</w:t>
      </w:r>
      <w:r w:rsidRPr="00EC41A5">
        <w:t>O</w:t>
      </w:r>
      <w:r w:rsidRPr="00C56598">
        <w:t>-</w:t>
      </w:r>
      <w:r>
        <w:t>f</w:t>
      </w:r>
      <w:r w:rsidRPr="00C56598">
        <w:t>ucosyllactose</w:t>
      </w:r>
      <w:r>
        <w:t xml:space="preserve"> and l</w:t>
      </w:r>
      <w:r w:rsidRPr="00B307E9">
        <w:t>acto-</w:t>
      </w:r>
      <w:r w:rsidRPr="00EC41A5">
        <w:t>N</w:t>
      </w:r>
      <w:r>
        <w:t>-neotetraose.</w:t>
      </w:r>
    </w:p>
    <w:p w14:paraId="2E091688" w14:textId="77777777" w:rsidR="00BA1917" w:rsidRDefault="00BA1917" w:rsidP="00BA1917">
      <w:pPr>
        <w:pStyle w:val="FSCDraftingitem"/>
      </w:pPr>
      <w:r w:rsidRPr="00943699">
        <w:t>[2.</w:t>
      </w:r>
      <w:r>
        <w:t>3</w:t>
      </w:r>
      <w:r w:rsidRPr="00943699">
        <w:t>]</w:t>
      </w:r>
      <w:r w:rsidRPr="00943699">
        <w:tab/>
        <w:t>omitting subsection 2.9.3—7(4)</w:t>
      </w:r>
    </w:p>
    <w:p w14:paraId="2DB22D1C" w14:textId="77777777" w:rsidR="00BA1917" w:rsidRDefault="00BA1917" w:rsidP="00BA1917">
      <w:pPr>
        <w:pStyle w:val="FSCDraftingitem"/>
      </w:pPr>
      <w:r>
        <w:t>[2.4]</w:t>
      </w:r>
      <w:r>
        <w:tab/>
        <w:t>omitting subsection 2.9.3</w:t>
      </w:r>
      <w:r w:rsidRPr="001D1563">
        <w:t>—</w:t>
      </w:r>
      <w:r>
        <w:t>8(6), substituting</w:t>
      </w:r>
    </w:p>
    <w:p w14:paraId="27794C83" w14:textId="77777777" w:rsidR="00BA1917" w:rsidRDefault="00BA1917" w:rsidP="00BA1917">
      <w:pPr>
        <w:pStyle w:val="FSCDraftingitem"/>
        <w:tabs>
          <w:tab w:val="clear" w:pos="851"/>
          <w:tab w:val="left" w:pos="1134"/>
        </w:tabs>
        <w:ind w:left="1701" w:hanging="1701"/>
        <w:rPr>
          <w:rFonts w:cs="Arial"/>
        </w:rPr>
      </w:pPr>
      <w:r>
        <w:tab/>
        <w:t>(6)</w:t>
      </w:r>
      <w:r>
        <w:tab/>
      </w:r>
      <w:r w:rsidRPr="00985AB6">
        <w:rPr>
          <w:rFonts w:cs="Arial"/>
        </w:rPr>
        <w:t>The label on a package of a</w:t>
      </w:r>
      <w:r w:rsidRPr="00985AB6">
        <w:t xml:space="preserve"> formulated supplementary food for young children</w:t>
      </w:r>
      <w:r w:rsidRPr="00985AB6">
        <w:rPr>
          <w:rFonts w:cs="Arial"/>
        </w:rPr>
        <w:t xml:space="preserve"> must not contain</w:t>
      </w:r>
      <w:r>
        <w:rPr>
          <w:rFonts w:cs="Arial"/>
        </w:rPr>
        <w:t>:</w:t>
      </w:r>
    </w:p>
    <w:p w14:paraId="7379000C" w14:textId="77777777" w:rsidR="00BA1917" w:rsidRDefault="00BA1917" w:rsidP="00BA1917">
      <w:pPr>
        <w:pStyle w:val="FSCDraftingitem"/>
        <w:tabs>
          <w:tab w:val="clear" w:pos="851"/>
          <w:tab w:val="left" w:pos="1701"/>
        </w:tabs>
        <w:ind w:left="2268" w:hanging="2268"/>
        <w:rPr>
          <w:rFonts w:cs="Arial"/>
        </w:rPr>
      </w:pPr>
      <w:r>
        <w:rPr>
          <w:rFonts w:cs="Arial"/>
        </w:rPr>
        <w:tab/>
        <w:t>(a)</w:t>
      </w:r>
      <w:r>
        <w:rPr>
          <w:rFonts w:cs="Arial"/>
        </w:rPr>
        <w:tab/>
      </w:r>
      <w:r w:rsidRPr="00985AB6">
        <w:rPr>
          <w:rFonts w:cs="Arial"/>
        </w:rPr>
        <w:t>the words ‘human milk</w:t>
      </w:r>
      <w:r>
        <w:rPr>
          <w:rFonts w:cs="Arial"/>
        </w:rPr>
        <w:t xml:space="preserve"> oligosaccharide’ or</w:t>
      </w:r>
      <w:r w:rsidRPr="00985AB6">
        <w:rPr>
          <w:rFonts w:cs="Arial"/>
        </w:rPr>
        <w:t xml:space="preserve"> ‘human milk </w:t>
      </w:r>
      <w:r>
        <w:rPr>
          <w:rFonts w:cs="Arial"/>
        </w:rPr>
        <w:t>identical oligosaccharide</w:t>
      </w:r>
      <w:r w:rsidRPr="00985AB6">
        <w:rPr>
          <w:rFonts w:cs="Arial"/>
        </w:rPr>
        <w:t>’</w:t>
      </w:r>
      <w:r>
        <w:rPr>
          <w:rFonts w:cs="Arial"/>
        </w:rPr>
        <w:t xml:space="preserve"> </w:t>
      </w:r>
      <w:r w:rsidRPr="00985AB6">
        <w:rPr>
          <w:rFonts w:cs="Arial"/>
        </w:rPr>
        <w:t>or any word or words havin</w:t>
      </w:r>
      <w:r>
        <w:rPr>
          <w:rFonts w:cs="Arial"/>
        </w:rPr>
        <w:t>g the same or similar effect; or</w:t>
      </w:r>
    </w:p>
    <w:p w14:paraId="0403D0FD" w14:textId="77777777" w:rsidR="00BA1917" w:rsidRDefault="00BA1917" w:rsidP="00BA1917">
      <w:pPr>
        <w:pStyle w:val="FSCDraftingitem"/>
        <w:tabs>
          <w:tab w:val="clear" w:pos="851"/>
          <w:tab w:val="left" w:pos="1701"/>
        </w:tabs>
        <w:ind w:left="2268" w:hanging="2268"/>
        <w:rPr>
          <w:rFonts w:cs="Arial"/>
        </w:rPr>
      </w:pPr>
      <w:r>
        <w:rPr>
          <w:rFonts w:cs="Arial"/>
        </w:rPr>
        <w:tab/>
        <w:t xml:space="preserve">(b) </w:t>
      </w:r>
      <w:r>
        <w:rPr>
          <w:rFonts w:cs="Arial"/>
        </w:rPr>
        <w:tab/>
        <w:t xml:space="preserve">the abbreviations ‘HMO’ or HiMO’ or any abbreviation </w:t>
      </w:r>
      <w:r w:rsidRPr="00985AB6">
        <w:rPr>
          <w:rFonts w:cs="Arial"/>
        </w:rPr>
        <w:t>havin</w:t>
      </w:r>
      <w:r>
        <w:rPr>
          <w:rFonts w:cs="Arial"/>
        </w:rPr>
        <w:t>g the same or similar effect; or</w:t>
      </w:r>
    </w:p>
    <w:p w14:paraId="21751A82" w14:textId="77777777" w:rsidR="00BA1917" w:rsidRDefault="00BA1917" w:rsidP="00BA1917">
      <w:pPr>
        <w:pStyle w:val="FSCDraftingitem"/>
        <w:tabs>
          <w:tab w:val="clear" w:pos="851"/>
          <w:tab w:val="left" w:pos="1701"/>
        </w:tabs>
        <w:ind w:left="2268" w:hanging="2268"/>
        <w:rPr>
          <w:rFonts w:cs="Arial"/>
        </w:rPr>
      </w:pPr>
      <w:r>
        <w:rPr>
          <w:rFonts w:cs="Arial"/>
        </w:rPr>
        <w:tab/>
        <w:t>(c)</w:t>
      </w:r>
      <w:r>
        <w:rPr>
          <w:rFonts w:cs="Arial"/>
        </w:rPr>
        <w:tab/>
        <w:t xml:space="preserve">any words indicating, or any other indication, that the product contains lutein unless the total amount of lutein is no less than 30 </w:t>
      </w:r>
      <w:r w:rsidRPr="00943699">
        <w:t>µg</w:t>
      </w:r>
      <w:r>
        <w:t>/serving.</w:t>
      </w:r>
    </w:p>
    <w:p w14:paraId="2486A13B" w14:textId="77777777" w:rsidR="00BA1917" w:rsidRDefault="00BA1917" w:rsidP="00BA1917">
      <w:pPr>
        <w:pStyle w:val="FSCDraftingitem"/>
      </w:pPr>
      <w:r>
        <w:rPr>
          <w:b/>
          <w:lang w:bidi="en-US"/>
        </w:rPr>
        <w:t>[3</w:t>
      </w:r>
      <w:r w:rsidRPr="00675956">
        <w:rPr>
          <w:b/>
          <w:lang w:bidi="en-US"/>
        </w:rPr>
        <w:t>]</w:t>
      </w:r>
      <w:r w:rsidRPr="00675956">
        <w:rPr>
          <w:b/>
          <w:lang w:bidi="en-US"/>
        </w:rPr>
        <w:tab/>
      </w:r>
      <w:r>
        <w:rPr>
          <w:b/>
          <w:lang w:bidi="en-US"/>
        </w:rPr>
        <w:t>Schedule 2</w:t>
      </w:r>
      <w:r w:rsidRPr="00675956">
        <w:rPr>
          <w:b/>
          <w:lang w:bidi="en-US"/>
        </w:rPr>
        <w:t xml:space="preserve"> </w:t>
      </w:r>
      <w:r w:rsidRPr="00675956">
        <w:rPr>
          <w:lang w:bidi="en-US"/>
        </w:rPr>
        <w:t>is varied by</w:t>
      </w:r>
      <w:r>
        <w:rPr>
          <w:lang w:bidi="en-US"/>
        </w:rPr>
        <w:t xml:space="preserve"> inserting in the table to section S</w:t>
      </w:r>
      <w:r>
        <w:t>2—2, in alphabetical order</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ariation to Schedule 2"/>
        <w:tblDescription w:val="Schedule 2 is varied by inserting the unit of measure EU/mg (endotoxin units per milligram) in the table to section S2-2."/>
      </w:tblPr>
      <w:tblGrid>
        <w:gridCol w:w="1844"/>
        <w:gridCol w:w="2692"/>
      </w:tblGrid>
      <w:tr w:rsidR="00BA1917" w:rsidRPr="00EB0272" w14:paraId="35CD3089" w14:textId="77777777" w:rsidTr="00BA1917">
        <w:trPr>
          <w:jc w:val="center"/>
        </w:trPr>
        <w:tc>
          <w:tcPr>
            <w:tcW w:w="1844" w:type="dxa"/>
          </w:tcPr>
          <w:p w14:paraId="5BE40A28" w14:textId="77777777" w:rsidR="00BA1917" w:rsidRPr="00EB0272" w:rsidRDefault="00BA1917" w:rsidP="00BA1917">
            <w:pPr>
              <w:pStyle w:val="FSCtblMain"/>
            </w:pPr>
            <w:r>
              <w:t>EU/mg</w:t>
            </w:r>
          </w:p>
        </w:tc>
        <w:tc>
          <w:tcPr>
            <w:tcW w:w="2692" w:type="dxa"/>
          </w:tcPr>
          <w:p w14:paraId="56668370" w14:textId="77777777" w:rsidR="00BA1917" w:rsidRPr="00EB0272" w:rsidRDefault="00BA1917" w:rsidP="00BA1917">
            <w:pPr>
              <w:pStyle w:val="FSCtblMain"/>
            </w:pPr>
            <w:r>
              <w:t>Endotoxin units per milligram</w:t>
            </w:r>
          </w:p>
        </w:tc>
      </w:tr>
    </w:tbl>
    <w:p w14:paraId="1BCBD13D" w14:textId="77777777" w:rsidR="00BA1917" w:rsidRDefault="00BA1917" w:rsidP="00BA1917">
      <w:pPr>
        <w:pStyle w:val="FSCDraftingitem"/>
        <w:rPr>
          <w:lang w:bidi="en-US"/>
        </w:rPr>
      </w:pPr>
      <w:r>
        <w:rPr>
          <w:b/>
          <w:lang w:bidi="en-US"/>
        </w:rPr>
        <w:t>[4</w:t>
      </w:r>
      <w:r w:rsidRPr="00675956">
        <w:rPr>
          <w:b/>
          <w:lang w:bidi="en-US"/>
        </w:rPr>
        <w:t>]</w:t>
      </w:r>
      <w:r w:rsidRPr="00675956">
        <w:rPr>
          <w:b/>
          <w:lang w:bidi="en-US"/>
        </w:rPr>
        <w:tab/>
      </w:r>
      <w:r>
        <w:rPr>
          <w:b/>
          <w:lang w:bidi="en-US"/>
        </w:rPr>
        <w:t>Schedule 3</w:t>
      </w:r>
      <w:r w:rsidRPr="00675956">
        <w:rPr>
          <w:b/>
          <w:lang w:bidi="en-US"/>
        </w:rPr>
        <w:t xml:space="preserve"> </w:t>
      </w:r>
      <w:r w:rsidRPr="00675956">
        <w:rPr>
          <w:lang w:bidi="en-US"/>
        </w:rPr>
        <w:t>is varied by</w:t>
      </w:r>
      <w:r>
        <w:rPr>
          <w:lang w:bidi="en-US"/>
        </w:rPr>
        <w:t xml:space="preserve"> </w:t>
      </w:r>
    </w:p>
    <w:p w14:paraId="7526BFFD" w14:textId="77777777" w:rsidR="00BA1917" w:rsidRDefault="00BA1917" w:rsidP="00BA1917">
      <w:pPr>
        <w:pStyle w:val="FSCDraftingitem"/>
        <w:rPr>
          <w:lang w:bidi="en-US"/>
        </w:rPr>
      </w:pPr>
      <w:r>
        <w:rPr>
          <w:lang w:bidi="en-US"/>
        </w:rPr>
        <w:t>[4.1]</w:t>
      </w:r>
      <w:r>
        <w:rPr>
          <w:lang w:bidi="en-US"/>
        </w:rPr>
        <w:tab/>
        <w:t xml:space="preserve">inserting in the table to subsection </w:t>
      </w:r>
      <w:r>
        <w:t>S3—2</w:t>
      </w:r>
      <w:r>
        <w:rPr>
          <w:lang w:bidi="en-US"/>
        </w:rPr>
        <w:t>(2) in alphabetical order</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ariation to Schedule 3 for 2′-O-fucosyllactose"/>
        <w:tblDescription w:val="Schedule 3 is vaired by inserting '2′-O-fucosyllactose' in the table in subsection S3-2(2) in alphabetical order."/>
      </w:tblPr>
      <w:tblGrid>
        <w:gridCol w:w="4254"/>
        <w:gridCol w:w="2550"/>
      </w:tblGrid>
      <w:tr w:rsidR="00BA1917" w14:paraId="536BFE36" w14:textId="77777777" w:rsidTr="00BA1917">
        <w:trPr>
          <w:cantSplit/>
          <w:jc w:val="center"/>
        </w:trPr>
        <w:tc>
          <w:tcPr>
            <w:tcW w:w="4254" w:type="dxa"/>
            <w:hideMark/>
          </w:tcPr>
          <w:p w14:paraId="6AA03AE7" w14:textId="77777777" w:rsidR="00BA1917" w:rsidRDefault="00BA1917" w:rsidP="00BA1917">
            <w:pPr>
              <w:pStyle w:val="FSCtblMain"/>
              <w:rPr>
                <w:rFonts w:cs="Times New Roman"/>
              </w:rPr>
            </w:pPr>
            <w:r w:rsidRPr="00EC41A5">
              <w:t>2</w:t>
            </w:r>
            <w:r>
              <w:rPr>
                <w:i/>
              </w:rPr>
              <w:t>′</w:t>
            </w:r>
            <w:r w:rsidRPr="00631733">
              <w:rPr>
                <w:i/>
              </w:rPr>
              <w:t>-</w:t>
            </w:r>
            <w:r w:rsidRPr="00EC41A5">
              <w:t>O</w:t>
            </w:r>
            <w:r w:rsidRPr="00C56598">
              <w:t>-</w:t>
            </w:r>
            <w:r>
              <w:t>f</w:t>
            </w:r>
            <w:r w:rsidRPr="00C56598">
              <w:t>ucosyllactose</w:t>
            </w:r>
          </w:p>
        </w:tc>
        <w:tc>
          <w:tcPr>
            <w:tcW w:w="2550" w:type="dxa"/>
            <w:hideMark/>
          </w:tcPr>
          <w:p w14:paraId="2000A2A3" w14:textId="77777777" w:rsidR="00BA1917" w:rsidRDefault="00BA1917" w:rsidP="00BA1917">
            <w:pPr>
              <w:pStyle w:val="FSCtblMain"/>
            </w:pPr>
            <w:r>
              <w:t>section S3—40</w:t>
            </w:r>
          </w:p>
        </w:tc>
      </w:tr>
    </w:tbl>
    <w:p w14:paraId="710443E4" w14:textId="77777777" w:rsidR="00BA1917" w:rsidRDefault="00BA1917" w:rsidP="00BA1917">
      <w:pPr>
        <w:pStyle w:val="FSCDraftingitem"/>
        <w:rPr>
          <w:lang w:bidi="en-US"/>
        </w:rPr>
      </w:pPr>
      <w:r>
        <w:rPr>
          <w:lang w:bidi="en-US"/>
        </w:rPr>
        <w:t>[4.2]</w:t>
      </w:r>
      <w:r>
        <w:rPr>
          <w:lang w:bidi="en-US"/>
        </w:rPr>
        <w:tab/>
        <w:t xml:space="preserve">inserting in the table to subsection </w:t>
      </w:r>
      <w:r>
        <w:t>S3—2</w:t>
      </w:r>
      <w:r>
        <w:rPr>
          <w:lang w:bidi="en-US"/>
        </w:rPr>
        <w:t>(2) in alphabetical order</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ariation to Schedule 3 for lacto-N-neotetraose"/>
        <w:tblDescription w:val="Schedule 3 is vaired by inserting 'lacto-N-neotetraose' in the table in subsection S3-2(2) in alphabetical order"/>
      </w:tblPr>
      <w:tblGrid>
        <w:gridCol w:w="4254"/>
        <w:gridCol w:w="2550"/>
      </w:tblGrid>
      <w:tr w:rsidR="00BA1917" w14:paraId="2B80BA8C" w14:textId="77777777" w:rsidTr="00BA1917">
        <w:trPr>
          <w:cantSplit/>
          <w:jc w:val="center"/>
        </w:trPr>
        <w:tc>
          <w:tcPr>
            <w:tcW w:w="4254" w:type="dxa"/>
            <w:hideMark/>
          </w:tcPr>
          <w:p w14:paraId="4BAD7FB5" w14:textId="77777777" w:rsidR="00BA1917" w:rsidRDefault="00BA1917" w:rsidP="00BA1917">
            <w:pPr>
              <w:pStyle w:val="FSCtblMain"/>
              <w:rPr>
                <w:rFonts w:cs="Times New Roman"/>
              </w:rPr>
            </w:pPr>
            <w:r>
              <w:t>l</w:t>
            </w:r>
            <w:r w:rsidRPr="00B307E9">
              <w:t>acto-</w:t>
            </w:r>
            <w:r w:rsidRPr="00EC41A5">
              <w:t>N</w:t>
            </w:r>
            <w:r>
              <w:t>-neotetraose</w:t>
            </w:r>
          </w:p>
        </w:tc>
        <w:tc>
          <w:tcPr>
            <w:tcW w:w="2550" w:type="dxa"/>
            <w:hideMark/>
          </w:tcPr>
          <w:p w14:paraId="5A092296" w14:textId="77777777" w:rsidR="00BA1917" w:rsidRDefault="00BA1917" w:rsidP="00BA1917">
            <w:pPr>
              <w:pStyle w:val="FSCtblMain"/>
            </w:pPr>
            <w:r>
              <w:t>section S3—41</w:t>
            </w:r>
          </w:p>
        </w:tc>
      </w:tr>
    </w:tbl>
    <w:p w14:paraId="04814F79" w14:textId="77777777" w:rsidR="00BA1917" w:rsidRDefault="00BA1917" w:rsidP="00BA1917">
      <w:pPr>
        <w:pStyle w:val="FSCDraftingitem"/>
        <w:rPr>
          <w:lang w:bidi="en-US"/>
        </w:rPr>
      </w:pPr>
      <w:r w:rsidDel="00E86BEF">
        <w:rPr>
          <w:lang w:bidi="en-US"/>
        </w:rPr>
        <w:t xml:space="preserve"> </w:t>
      </w:r>
      <w:r>
        <w:rPr>
          <w:lang w:bidi="en-US"/>
        </w:rPr>
        <w:t>[4.3]</w:t>
      </w:r>
      <w:r>
        <w:rPr>
          <w:lang w:bidi="en-US"/>
        </w:rPr>
        <w:tab/>
        <w:t xml:space="preserve">inserting after subsection </w:t>
      </w:r>
      <w:r w:rsidRPr="007809F6">
        <w:rPr>
          <w:lang w:bidi="en-US"/>
        </w:rPr>
        <w:t>S</w:t>
      </w:r>
      <w:r w:rsidRPr="007809F6">
        <w:t>3—39</w:t>
      </w:r>
    </w:p>
    <w:p w14:paraId="6FD29ACA" w14:textId="32744D70" w:rsidR="00BA1917" w:rsidRPr="00471238" w:rsidRDefault="00BA1917" w:rsidP="00BA1917">
      <w:pPr>
        <w:pStyle w:val="FSCh5Section"/>
      </w:pPr>
      <w:r>
        <w:t>S3—40</w:t>
      </w:r>
      <w:r w:rsidRPr="00471238">
        <w:tab/>
        <w:t xml:space="preserve">Specification for </w:t>
      </w:r>
      <w:r w:rsidRPr="00631733">
        <w:rPr>
          <w:i/>
        </w:rPr>
        <w:t>2</w:t>
      </w:r>
      <w:r>
        <w:rPr>
          <w:rFonts w:cs="Arial"/>
          <w:i/>
        </w:rPr>
        <w:t>′</w:t>
      </w:r>
      <w:r w:rsidRPr="00631733">
        <w:rPr>
          <w:i/>
        </w:rPr>
        <w:t>-</w:t>
      </w:r>
      <w:r w:rsidRPr="00EC41A5">
        <w:t>O</w:t>
      </w:r>
      <w:r w:rsidRPr="00804935">
        <w:t>-</w:t>
      </w:r>
      <w:r>
        <w:t>f</w:t>
      </w:r>
      <w:r w:rsidRPr="00804935">
        <w:t>ucosyllactose</w:t>
      </w:r>
    </w:p>
    <w:p w14:paraId="7D891C4F" w14:textId="77777777" w:rsidR="00BA1917" w:rsidRPr="00C56598" w:rsidRDefault="00BA1917" w:rsidP="00BA1917">
      <w:pPr>
        <w:pStyle w:val="FSCtMain"/>
        <w:rPr>
          <w:szCs w:val="20"/>
        </w:rPr>
      </w:pPr>
      <w:r>
        <w:tab/>
      </w:r>
      <w:r>
        <w:tab/>
      </w:r>
      <w:r w:rsidRPr="00C56598">
        <w:rPr>
          <w:szCs w:val="20"/>
        </w:rPr>
        <w:t xml:space="preserve">For </w:t>
      </w:r>
      <w:r w:rsidRPr="00EC41A5">
        <w:rPr>
          <w:szCs w:val="20"/>
        </w:rPr>
        <w:t>2</w:t>
      </w:r>
      <w:r>
        <w:rPr>
          <w:szCs w:val="20"/>
        </w:rPr>
        <w:t>′</w:t>
      </w:r>
      <w:r w:rsidRPr="00631733">
        <w:rPr>
          <w:i/>
          <w:szCs w:val="20"/>
        </w:rPr>
        <w:t>-</w:t>
      </w:r>
      <w:r w:rsidRPr="00EC41A5">
        <w:rPr>
          <w:szCs w:val="20"/>
        </w:rPr>
        <w:t>O</w:t>
      </w:r>
      <w:r w:rsidRPr="00C56598">
        <w:rPr>
          <w:szCs w:val="20"/>
        </w:rPr>
        <w:t>-</w:t>
      </w:r>
      <w:r>
        <w:rPr>
          <w:szCs w:val="20"/>
        </w:rPr>
        <w:t>f</w:t>
      </w:r>
      <w:r w:rsidRPr="00C56598">
        <w:rPr>
          <w:szCs w:val="20"/>
        </w:rPr>
        <w:t>ucosyllactose (2′-FL), the specifications are the following:</w:t>
      </w:r>
    </w:p>
    <w:p w14:paraId="100FF651" w14:textId="77777777" w:rsidR="00BA1917" w:rsidRPr="00C56598" w:rsidRDefault="00BA1917" w:rsidP="00BA1917">
      <w:pPr>
        <w:pStyle w:val="FSCtPara"/>
        <w:rPr>
          <w:szCs w:val="20"/>
        </w:rPr>
      </w:pPr>
      <w:r w:rsidRPr="00C56598">
        <w:rPr>
          <w:szCs w:val="20"/>
        </w:rPr>
        <w:tab/>
        <w:t>(a)</w:t>
      </w:r>
      <w:r w:rsidRPr="00C56598">
        <w:rPr>
          <w:szCs w:val="20"/>
        </w:rPr>
        <w:tab/>
        <w:t>chemical name—–α-L-</w:t>
      </w:r>
      <w:r>
        <w:rPr>
          <w:szCs w:val="20"/>
        </w:rPr>
        <w:t>f</w:t>
      </w:r>
      <w:r w:rsidRPr="00C56598">
        <w:rPr>
          <w:szCs w:val="20"/>
        </w:rPr>
        <w:t xml:space="preserve">ucopyranosyl-(1→2)-β-D-galactopyranosyl-(1→4)-D-glucopyranose; </w:t>
      </w:r>
    </w:p>
    <w:p w14:paraId="4F693F64" w14:textId="77777777" w:rsidR="00BA1917" w:rsidRPr="00C56598" w:rsidRDefault="00BA1917" w:rsidP="00BA1917">
      <w:pPr>
        <w:pStyle w:val="FSCtPara"/>
        <w:rPr>
          <w:szCs w:val="20"/>
        </w:rPr>
      </w:pPr>
      <w:r w:rsidRPr="00C56598">
        <w:rPr>
          <w:szCs w:val="20"/>
        </w:rPr>
        <w:tab/>
        <w:t>(b)</w:t>
      </w:r>
      <w:r w:rsidRPr="00C56598">
        <w:rPr>
          <w:szCs w:val="20"/>
        </w:rPr>
        <w:tab/>
        <w:t>chemical formula—</w:t>
      </w:r>
      <w:r w:rsidRPr="00C56598">
        <w:rPr>
          <w:szCs w:val="20"/>
          <w:lang w:val="en"/>
        </w:rPr>
        <w:t>C</w:t>
      </w:r>
      <w:r w:rsidRPr="00C56598">
        <w:rPr>
          <w:szCs w:val="20"/>
          <w:vertAlign w:val="subscript"/>
          <w:lang w:val="en"/>
        </w:rPr>
        <w:t>18</w:t>
      </w:r>
      <w:r w:rsidRPr="00C56598">
        <w:rPr>
          <w:szCs w:val="20"/>
          <w:lang w:val="en"/>
        </w:rPr>
        <w:t>H</w:t>
      </w:r>
      <w:r w:rsidRPr="00C56598">
        <w:rPr>
          <w:szCs w:val="20"/>
          <w:vertAlign w:val="subscript"/>
          <w:lang w:val="en"/>
        </w:rPr>
        <w:t>32</w:t>
      </w:r>
      <w:r w:rsidRPr="00C56598">
        <w:rPr>
          <w:szCs w:val="20"/>
          <w:lang w:val="en"/>
        </w:rPr>
        <w:t>O</w:t>
      </w:r>
      <w:r w:rsidRPr="00C56598">
        <w:rPr>
          <w:szCs w:val="20"/>
          <w:vertAlign w:val="subscript"/>
          <w:lang w:val="en"/>
        </w:rPr>
        <w:t>15</w:t>
      </w:r>
      <w:r w:rsidRPr="00C56598">
        <w:rPr>
          <w:szCs w:val="20"/>
        </w:rPr>
        <w:t>;</w:t>
      </w:r>
    </w:p>
    <w:p w14:paraId="13B1C17D" w14:textId="77777777" w:rsidR="00BA1917" w:rsidRPr="00C56598" w:rsidRDefault="00BA1917" w:rsidP="00BA1917">
      <w:pPr>
        <w:pStyle w:val="FSCtPara"/>
        <w:rPr>
          <w:szCs w:val="20"/>
        </w:rPr>
      </w:pPr>
      <w:r w:rsidRPr="00C56598">
        <w:rPr>
          <w:szCs w:val="20"/>
        </w:rPr>
        <w:tab/>
        <w:t>(c)</w:t>
      </w:r>
      <w:r w:rsidRPr="00C56598">
        <w:rPr>
          <w:szCs w:val="20"/>
        </w:rPr>
        <w:tab/>
        <w:t>CAS number—41263-94-9;</w:t>
      </w:r>
    </w:p>
    <w:p w14:paraId="255889F1" w14:textId="56923428" w:rsidR="00BA1917" w:rsidRPr="00C56598" w:rsidRDefault="00BA1917" w:rsidP="00BA1917">
      <w:pPr>
        <w:pStyle w:val="FSCtPara"/>
        <w:rPr>
          <w:szCs w:val="20"/>
        </w:rPr>
      </w:pPr>
      <w:r w:rsidRPr="00C56598">
        <w:rPr>
          <w:szCs w:val="20"/>
        </w:rPr>
        <w:tab/>
        <w:t>(d)</w:t>
      </w:r>
      <w:r w:rsidRPr="00C56598">
        <w:rPr>
          <w:szCs w:val="20"/>
        </w:rPr>
        <w:tab/>
        <w:t xml:space="preserve">description— </w:t>
      </w:r>
      <w:r w:rsidR="00577DE8">
        <w:rPr>
          <w:szCs w:val="20"/>
        </w:rPr>
        <w:t>w</w:t>
      </w:r>
      <w:r w:rsidR="00577DE8" w:rsidRPr="00C56598">
        <w:rPr>
          <w:szCs w:val="20"/>
        </w:rPr>
        <w:t xml:space="preserve">hite </w:t>
      </w:r>
      <w:r w:rsidRPr="00C56598">
        <w:rPr>
          <w:szCs w:val="20"/>
        </w:rPr>
        <w:t>to off white powder or agglomerates;</w:t>
      </w:r>
    </w:p>
    <w:p w14:paraId="50B09880" w14:textId="77777777" w:rsidR="00BA1917" w:rsidRPr="00C56598" w:rsidRDefault="00BA1917" w:rsidP="00BA1917">
      <w:pPr>
        <w:pStyle w:val="FSCtPara"/>
        <w:rPr>
          <w:szCs w:val="20"/>
        </w:rPr>
      </w:pPr>
      <w:r w:rsidRPr="00C56598">
        <w:rPr>
          <w:szCs w:val="20"/>
        </w:rPr>
        <w:tab/>
        <w:t>(e)</w:t>
      </w:r>
      <w:r w:rsidRPr="00C56598">
        <w:rPr>
          <w:szCs w:val="20"/>
        </w:rPr>
        <w:tab/>
        <w:t>assay (water free) for sum of 2′-FL, lactose,</w:t>
      </w:r>
      <w:r w:rsidRPr="00C56598">
        <w:rPr>
          <w:i/>
          <w:szCs w:val="20"/>
        </w:rPr>
        <w:t xml:space="preserve"> </w:t>
      </w:r>
      <w:r>
        <w:rPr>
          <w:szCs w:val="20"/>
        </w:rPr>
        <w:t xml:space="preserve">difucosyllactose </w:t>
      </w:r>
      <w:r w:rsidRPr="00C56598">
        <w:rPr>
          <w:szCs w:val="20"/>
        </w:rPr>
        <w:t>and fucose—not less than 96.0%;</w:t>
      </w:r>
    </w:p>
    <w:p w14:paraId="21D737F3" w14:textId="77777777" w:rsidR="00BA1917" w:rsidRPr="00C56598" w:rsidRDefault="00BA1917" w:rsidP="00BA1917">
      <w:pPr>
        <w:pStyle w:val="FSCtPara"/>
        <w:rPr>
          <w:szCs w:val="20"/>
        </w:rPr>
      </w:pPr>
      <w:r w:rsidRPr="00C56598">
        <w:rPr>
          <w:szCs w:val="20"/>
        </w:rPr>
        <w:tab/>
        <w:t>(f)</w:t>
      </w:r>
      <w:r w:rsidRPr="00C56598">
        <w:rPr>
          <w:szCs w:val="20"/>
        </w:rPr>
        <w:tab/>
      </w:r>
      <w:r>
        <w:rPr>
          <w:szCs w:val="20"/>
        </w:rPr>
        <w:t>a</w:t>
      </w:r>
      <w:r w:rsidRPr="00C56598">
        <w:rPr>
          <w:szCs w:val="20"/>
        </w:rPr>
        <w:t>ssay (water free) 2′-FL—–not less than 94.0%;</w:t>
      </w:r>
    </w:p>
    <w:p w14:paraId="588A29C3" w14:textId="77777777" w:rsidR="00BA1917" w:rsidRPr="00C56598" w:rsidRDefault="00BA1917" w:rsidP="00BA1917">
      <w:pPr>
        <w:pStyle w:val="FSCtPara"/>
        <w:rPr>
          <w:szCs w:val="20"/>
        </w:rPr>
      </w:pPr>
      <w:r w:rsidRPr="00C56598">
        <w:rPr>
          <w:szCs w:val="20"/>
          <w:lang w:bidi="en-US"/>
        </w:rPr>
        <w:tab/>
      </w:r>
      <w:r w:rsidRPr="00C56598">
        <w:rPr>
          <w:szCs w:val="20"/>
        </w:rPr>
        <w:t>(g)</w:t>
      </w:r>
      <w:r w:rsidRPr="00C56598">
        <w:rPr>
          <w:szCs w:val="20"/>
        </w:rPr>
        <w:tab/>
      </w:r>
      <w:r>
        <w:rPr>
          <w:szCs w:val="20"/>
        </w:rPr>
        <w:t>D</w:t>
      </w:r>
      <w:r w:rsidRPr="00C56598">
        <w:rPr>
          <w:szCs w:val="20"/>
        </w:rPr>
        <w:t>-</w:t>
      </w:r>
      <w:r>
        <w:rPr>
          <w:szCs w:val="20"/>
        </w:rPr>
        <w:t>l</w:t>
      </w:r>
      <w:r w:rsidRPr="00C56598">
        <w:rPr>
          <w:szCs w:val="20"/>
        </w:rPr>
        <w:t>actose—–not more than 3.0%</w:t>
      </w:r>
    </w:p>
    <w:p w14:paraId="4770F86E" w14:textId="77777777" w:rsidR="00BA1917" w:rsidRPr="00C56598" w:rsidRDefault="00BA1917" w:rsidP="00BA1917">
      <w:pPr>
        <w:pStyle w:val="FSCtPara"/>
        <w:rPr>
          <w:szCs w:val="20"/>
        </w:rPr>
      </w:pPr>
      <w:r>
        <w:rPr>
          <w:szCs w:val="20"/>
        </w:rPr>
        <w:tab/>
        <w:t>(h)</w:t>
      </w:r>
      <w:r>
        <w:rPr>
          <w:szCs w:val="20"/>
        </w:rPr>
        <w:tab/>
        <w:t>L</w:t>
      </w:r>
      <w:r w:rsidRPr="00C56598">
        <w:rPr>
          <w:szCs w:val="20"/>
        </w:rPr>
        <w:t>-</w:t>
      </w:r>
      <w:r>
        <w:rPr>
          <w:szCs w:val="20"/>
        </w:rPr>
        <w:t>f</w:t>
      </w:r>
      <w:r w:rsidRPr="00C56598">
        <w:rPr>
          <w:szCs w:val="20"/>
        </w:rPr>
        <w:t>ucose—–not more than 1.0%</w:t>
      </w:r>
    </w:p>
    <w:p w14:paraId="53F75E97" w14:textId="77777777" w:rsidR="00BA1917" w:rsidRPr="00C56598" w:rsidRDefault="00BA1917" w:rsidP="00BA1917">
      <w:pPr>
        <w:pStyle w:val="FSCtPara"/>
        <w:rPr>
          <w:szCs w:val="20"/>
        </w:rPr>
      </w:pPr>
      <w:r>
        <w:rPr>
          <w:szCs w:val="20"/>
        </w:rPr>
        <w:tab/>
        <w:t>(i)</w:t>
      </w:r>
      <w:r>
        <w:rPr>
          <w:szCs w:val="20"/>
        </w:rPr>
        <w:tab/>
        <w:t>d</w:t>
      </w:r>
      <w:r w:rsidRPr="00C56598">
        <w:rPr>
          <w:szCs w:val="20"/>
        </w:rPr>
        <w:t>ifucosyllactose—–not more than 1.0%</w:t>
      </w:r>
    </w:p>
    <w:p w14:paraId="53F49D66" w14:textId="77777777" w:rsidR="00BA1917" w:rsidRPr="00C56598" w:rsidRDefault="00BA1917" w:rsidP="00BA1917">
      <w:pPr>
        <w:pStyle w:val="FSCtPara"/>
        <w:rPr>
          <w:szCs w:val="20"/>
        </w:rPr>
      </w:pPr>
      <w:r w:rsidRPr="00C56598">
        <w:rPr>
          <w:szCs w:val="20"/>
        </w:rPr>
        <w:tab/>
        <w:t>(j)</w:t>
      </w:r>
      <w:r w:rsidRPr="00C56598">
        <w:rPr>
          <w:szCs w:val="20"/>
        </w:rPr>
        <w:tab/>
        <w:t>2′-</w:t>
      </w:r>
      <w:r>
        <w:rPr>
          <w:szCs w:val="20"/>
        </w:rPr>
        <w:t>f</w:t>
      </w:r>
      <w:r w:rsidRPr="00C56598">
        <w:rPr>
          <w:szCs w:val="20"/>
        </w:rPr>
        <w:t>ucosyl-</w:t>
      </w:r>
      <w:r>
        <w:rPr>
          <w:szCs w:val="20"/>
        </w:rPr>
        <w:t>D</w:t>
      </w:r>
      <w:r w:rsidRPr="00C56598">
        <w:rPr>
          <w:szCs w:val="20"/>
        </w:rPr>
        <w:t>-lactulose—–not more than 1.0%</w:t>
      </w:r>
    </w:p>
    <w:p w14:paraId="6A472406" w14:textId="77777777" w:rsidR="00BA1917" w:rsidRPr="00C56598" w:rsidRDefault="00BA1917" w:rsidP="00BA1917">
      <w:pPr>
        <w:pStyle w:val="FSCtPara"/>
        <w:rPr>
          <w:szCs w:val="20"/>
        </w:rPr>
      </w:pPr>
      <w:r w:rsidRPr="00C56598">
        <w:rPr>
          <w:szCs w:val="20"/>
        </w:rPr>
        <w:tab/>
        <w:t>(k)</w:t>
      </w:r>
      <w:r w:rsidRPr="00C56598">
        <w:rPr>
          <w:szCs w:val="20"/>
        </w:rPr>
        <w:tab/>
        <w:t>pH (20°C, 5% solution)—–3.2 to 5.0</w:t>
      </w:r>
    </w:p>
    <w:p w14:paraId="463DEF71" w14:textId="77777777" w:rsidR="00BA1917" w:rsidRPr="00C56598" w:rsidRDefault="00BA1917" w:rsidP="00BA1917">
      <w:pPr>
        <w:pStyle w:val="FSCtPara"/>
        <w:rPr>
          <w:szCs w:val="20"/>
        </w:rPr>
      </w:pPr>
      <w:r>
        <w:rPr>
          <w:szCs w:val="20"/>
        </w:rPr>
        <w:tab/>
        <w:t>(l)</w:t>
      </w:r>
      <w:r>
        <w:rPr>
          <w:szCs w:val="20"/>
        </w:rPr>
        <w:tab/>
        <w:t>w</w:t>
      </w:r>
      <w:r w:rsidRPr="00C56598">
        <w:rPr>
          <w:szCs w:val="20"/>
        </w:rPr>
        <w:t>ater—–not more than 5.0%</w:t>
      </w:r>
    </w:p>
    <w:p w14:paraId="5117A627" w14:textId="77777777" w:rsidR="00BA1917" w:rsidRPr="00C56598" w:rsidRDefault="00BA1917" w:rsidP="00BA1917">
      <w:pPr>
        <w:pStyle w:val="FSCtPara"/>
        <w:rPr>
          <w:szCs w:val="20"/>
        </w:rPr>
      </w:pPr>
      <w:r>
        <w:rPr>
          <w:szCs w:val="20"/>
        </w:rPr>
        <w:tab/>
        <w:t>(m)</w:t>
      </w:r>
      <w:r>
        <w:rPr>
          <w:szCs w:val="20"/>
        </w:rPr>
        <w:tab/>
        <w:t>a</w:t>
      </w:r>
      <w:r w:rsidRPr="00C56598">
        <w:rPr>
          <w:szCs w:val="20"/>
        </w:rPr>
        <w:t>sh, sulphated—–not more than 1.5%</w:t>
      </w:r>
    </w:p>
    <w:p w14:paraId="134E19C9" w14:textId="77777777" w:rsidR="00BA1917" w:rsidRPr="00C56598" w:rsidRDefault="00BA1917" w:rsidP="00BA1917">
      <w:pPr>
        <w:pStyle w:val="FSCtPara"/>
        <w:rPr>
          <w:szCs w:val="20"/>
        </w:rPr>
      </w:pPr>
      <w:r>
        <w:rPr>
          <w:szCs w:val="20"/>
        </w:rPr>
        <w:tab/>
        <w:t>(n)</w:t>
      </w:r>
      <w:r>
        <w:rPr>
          <w:szCs w:val="20"/>
        </w:rPr>
        <w:tab/>
        <w:t>a</w:t>
      </w:r>
      <w:r w:rsidRPr="00C56598">
        <w:rPr>
          <w:szCs w:val="20"/>
        </w:rPr>
        <w:t>cetic acid (as free acid and/or sodium acetate)—–not more than 1.0%</w:t>
      </w:r>
    </w:p>
    <w:p w14:paraId="363FF1E9" w14:textId="77777777" w:rsidR="00BA1917" w:rsidRPr="00C56598" w:rsidRDefault="00BA1917" w:rsidP="00BA1917">
      <w:pPr>
        <w:pStyle w:val="FSCtPara"/>
        <w:rPr>
          <w:szCs w:val="20"/>
        </w:rPr>
      </w:pPr>
      <w:r>
        <w:rPr>
          <w:szCs w:val="20"/>
        </w:rPr>
        <w:tab/>
        <w:t>(o)</w:t>
      </w:r>
      <w:r>
        <w:rPr>
          <w:szCs w:val="20"/>
        </w:rPr>
        <w:tab/>
        <w:t>r</w:t>
      </w:r>
      <w:r w:rsidRPr="00C56598">
        <w:rPr>
          <w:szCs w:val="20"/>
        </w:rPr>
        <w:t>esidual proteins—–not more than 0.01%</w:t>
      </w:r>
    </w:p>
    <w:p w14:paraId="4E3052D5" w14:textId="77777777" w:rsidR="00BA1917" w:rsidRPr="00C56598" w:rsidRDefault="00BA1917" w:rsidP="00BA1917">
      <w:pPr>
        <w:pStyle w:val="FSCtPara"/>
        <w:rPr>
          <w:szCs w:val="20"/>
        </w:rPr>
      </w:pPr>
      <w:r>
        <w:rPr>
          <w:szCs w:val="20"/>
        </w:rPr>
        <w:tab/>
        <w:t>(p)</w:t>
      </w:r>
      <w:r>
        <w:rPr>
          <w:szCs w:val="20"/>
        </w:rPr>
        <w:tab/>
        <w:t>l</w:t>
      </w:r>
      <w:r w:rsidRPr="00C56598">
        <w:rPr>
          <w:szCs w:val="20"/>
        </w:rPr>
        <w:t>ead—–not more than 0.1 mg/kg</w:t>
      </w:r>
    </w:p>
    <w:p w14:paraId="2EE69164" w14:textId="77777777" w:rsidR="00BA1917" w:rsidRPr="00C56598" w:rsidRDefault="00BA1917" w:rsidP="00BA1917">
      <w:pPr>
        <w:pStyle w:val="ListParagraph"/>
        <w:tabs>
          <w:tab w:val="left" w:pos="1701"/>
        </w:tabs>
        <w:ind w:left="2268" w:hanging="2268"/>
        <w:rPr>
          <w:sz w:val="20"/>
          <w:szCs w:val="20"/>
        </w:rPr>
      </w:pPr>
      <w:r>
        <w:rPr>
          <w:sz w:val="20"/>
          <w:szCs w:val="20"/>
        </w:rPr>
        <w:tab/>
        <w:t>(q)</w:t>
      </w:r>
      <w:r>
        <w:rPr>
          <w:sz w:val="20"/>
          <w:szCs w:val="20"/>
        </w:rPr>
        <w:tab/>
        <w:t>m</w:t>
      </w:r>
      <w:r w:rsidRPr="00C56598">
        <w:rPr>
          <w:sz w:val="20"/>
          <w:szCs w:val="20"/>
        </w:rPr>
        <w:t>icrobiological:</w:t>
      </w:r>
    </w:p>
    <w:p w14:paraId="5E648543" w14:textId="77777777" w:rsidR="00BA1917" w:rsidRPr="00C56598" w:rsidRDefault="00BA1917" w:rsidP="00BA1917">
      <w:pPr>
        <w:pStyle w:val="ListParagraph"/>
        <w:tabs>
          <w:tab w:val="left" w:pos="2268"/>
        </w:tabs>
        <w:ind w:left="2835" w:hanging="2835"/>
        <w:rPr>
          <w:sz w:val="20"/>
          <w:szCs w:val="20"/>
        </w:rPr>
      </w:pPr>
      <w:r w:rsidRPr="00C56598">
        <w:rPr>
          <w:i/>
          <w:sz w:val="20"/>
          <w:szCs w:val="20"/>
        </w:rPr>
        <w:tab/>
      </w:r>
      <w:r w:rsidRPr="00652A95">
        <w:rPr>
          <w:sz w:val="20"/>
          <w:szCs w:val="20"/>
        </w:rPr>
        <w:t xml:space="preserve">(i) </w:t>
      </w:r>
      <w:r w:rsidRPr="00652A95">
        <w:rPr>
          <w:sz w:val="20"/>
          <w:szCs w:val="20"/>
        </w:rPr>
        <w:tab/>
      </w:r>
      <w:r>
        <w:rPr>
          <w:i/>
          <w:sz w:val="20"/>
          <w:szCs w:val="20"/>
        </w:rPr>
        <w:t>s</w:t>
      </w:r>
      <w:r w:rsidRPr="00C56598">
        <w:rPr>
          <w:i/>
          <w:sz w:val="20"/>
          <w:szCs w:val="20"/>
        </w:rPr>
        <w:t>almonella</w:t>
      </w:r>
      <w:r w:rsidRPr="00C56598">
        <w:rPr>
          <w:sz w:val="20"/>
          <w:szCs w:val="20"/>
        </w:rPr>
        <w:t>—–absent in 25 g</w:t>
      </w:r>
    </w:p>
    <w:p w14:paraId="515956AC" w14:textId="77777777" w:rsidR="00BA1917" w:rsidRPr="00C56598" w:rsidRDefault="00BA1917" w:rsidP="00BA1917">
      <w:pPr>
        <w:pStyle w:val="ListParagraph"/>
        <w:tabs>
          <w:tab w:val="left" w:pos="2268"/>
        </w:tabs>
        <w:ind w:left="2835" w:hanging="2835"/>
        <w:rPr>
          <w:sz w:val="20"/>
          <w:szCs w:val="20"/>
        </w:rPr>
      </w:pPr>
      <w:r>
        <w:rPr>
          <w:sz w:val="20"/>
          <w:szCs w:val="20"/>
        </w:rPr>
        <w:t xml:space="preserve"> </w:t>
      </w:r>
      <w:r>
        <w:rPr>
          <w:sz w:val="20"/>
          <w:szCs w:val="20"/>
        </w:rPr>
        <w:tab/>
        <w:t xml:space="preserve">(ii) </w:t>
      </w:r>
      <w:r>
        <w:rPr>
          <w:sz w:val="20"/>
          <w:szCs w:val="20"/>
        </w:rPr>
        <w:tab/>
        <w:t>t</w:t>
      </w:r>
      <w:r w:rsidRPr="00C56598">
        <w:rPr>
          <w:sz w:val="20"/>
          <w:szCs w:val="20"/>
        </w:rPr>
        <w:t>otal plate count—–not more than 500 cfu/g</w:t>
      </w:r>
    </w:p>
    <w:p w14:paraId="6B5EDD92" w14:textId="77777777" w:rsidR="00BA1917" w:rsidRPr="00C56598" w:rsidRDefault="00BA1917" w:rsidP="00BA1917">
      <w:pPr>
        <w:pStyle w:val="ListParagraph"/>
        <w:tabs>
          <w:tab w:val="left" w:pos="2268"/>
        </w:tabs>
        <w:ind w:left="2835" w:hanging="2835"/>
        <w:rPr>
          <w:sz w:val="20"/>
          <w:szCs w:val="20"/>
        </w:rPr>
      </w:pPr>
      <w:r>
        <w:rPr>
          <w:sz w:val="20"/>
          <w:szCs w:val="20"/>
        </w:rPr>
        <w:tab/>
        <w:t xml:space="preserve">(iii) </w:t>
      </w:r>
      <w:r>
        <w:rPr>
          <w:sz w:val="20"/>
          <w:szCs w:val="20"/>
        </w:rPr>
        <w:tab/>
        <w:t>e</w:t>
      </w:r>
      <w:r w:rsidRPr="00C56598">
        <w:rPr>
          <w:sz w:val="20"/>
          <w:szCs w:val="20"/>
        </w:rPr>
        <w:t>nterobacteriaceae—–absent in 10 g</w:t>
      </w:r>
    </w:p>
    <w:p w14:paraId="3167291E" w14:textId="77777777" w:rsidR="00BA1917" w:rsidRPr="00C56598" w:rsidRDefault="00BA1917" w:rsidP="00BA1917">
      <w:pPr>
        <w:pStyle w:val="ListParagraph"/>
        <w:tabs>
          <w:tab w:val="left" w:pos="2268"/>
        </w:tabs>
        <w:ind w:left="2835" w:hanging="2835"/>
        <w:rPr>
          <w:sz w:val="20"/>
          <w:szCs w:val="20"/>
        </w:rPr>
      </w:pPr>
      <w:r w:rsidRPr="00C56598">
        <w:rPr>
          <w:i/>
          <w:sz w:val="20"/>
          <w:szCs w:val="20"/>
        </w:rPr>
        <w:tab/>
      </w:r>
      <w:r w:rsidRPr="00652A95">
        <w:rPr>
          <w:sz w:val="20"/>
          <w:szCs w:val="20"/>
        </w:rPr>
        <w:t xml:space="preserve">(iv) </w:t>
      </w:r>
      <w:r w:rsidRPr="00652A95">
        <w:rPr>
          <w:sz w:val="20"/>
          <w:szCs w:val="20"/>
        </w:rPr>
        <w:tab/>
      </w:r>
      <w:r>
        <w:rPr>
          <w:i/>
          <w:sz w:val="20"/>
          <w:szCs w:val="20"/>
        </w:rPr>
        <w:t>c</w:t>
      </w:r>
      <w:r w:rsidRPr="00C56598">
        <w:rPr>
          <w:i/>
          <w:sz w:val="20"/>
          <w:szCs w:val="20"/>
        </w:rPr>
        <w:t>ronobacter (Enterobacter) sakazakii</w:t>
      </w:r>
      <w:r w:rsidRPr="00C56598">
        <w:rPr>
          <w:sz w:val="20"/>
          <w:szCs w:val="20"/>
        </w:rPr>
        <w:t>—–absent in 10 g</w:t>
      </w:r>
    </w:p>
    <w:p w14:paraId="5DA14022" w14:textId="77777777" w:rsidR="00BA1917" w:rsidRPr="00C56598" w:rsidRDefault="00BA1917" w:rsidP="00BA1917">
      <w:pPr>
        <w:pStyle w:val="ListParagraph"/>
        <w:tabs>
          <w:tab w:val="left" w:pos="2268"/>
        </w:tabs>
        <w:ind w:left="2835" w:hanging="2835"/>
        <w:rPr>
          <w:sz w:val="20"/>
          <w:szCs w:val="20"/>
        </w:rPr>
      </w:pPr>
      <w:r w:rsidRPr="00C56598">
        <w:rPr>
          <w:i/>
          <w:sz w:val="20"/>
          <w:szCs w:val="20"/>
        </w:rPr>
        <w:tab/>
      </w:r>
      <w:r w:rsidRPr="00652A95">
        <w:rPr>
          <w:sz w:val="20"/>
          <w:szCs w:val="20"/>
        </w:rPr>
        <w:t xml:space="preserve">(v) </w:t>
      </w:r>
      <w:r w:rsidRPr="00652A95">
        <w:rPr>
          <w:sz w:val="20"/>
          <w:szCs w:val="20"/>
        </w:rPr>
        <w:tab/>
      </w:r>
      <w:r>
        <w:rPr>
          <w:i/>
          <w:sz w:val="20"/>
          <w:szCs w:val="20"/>
        </w:rPr>
        <w:t>l</w:t>
      </w:r>
      <w:r w:rsidRPr="00C56598">
        <w:rPr>
          <w:i/>
          <w:sz w:val="20"/>
          <w:szCs w:val="20"/>
        </w:rPr>
        <w:t>isteria monocytogenes</w:t>
      </w:r>
      <w:r w:rsidRPr="00C56598">
        <w:rPr>
          <w:sz w:val="20"/>
          <w:szCs w:val="20"/>
        </w:rPr>
        <w:t>—–absent in 25 g</w:t>
      </w:r>
    </w:p>
    <w:p w14:paraId="0E264932" w14:textId="77777777" w:rsidR="00BA1917" w:rsidRPr="00C56598" w:rsidRDefault="00BA1917" w:rsidP="00BA1917">
      <w:pPr>
        <w:pStyle w:val="ListParagraph"/>
        <w:tabs>
          <w:tab w:val="left" w:pos="2268"/>
        </w:tabs>
        <w:ind w:left="2835" w:hanging="2835"/>
        <w:rPr>
          <w:sz w:val="20"/>
          <w:szCs w:val="20"/>
        </w:rPr>
      </w:pPr>
      <w:r w:rsidRPr="00C56598">
        <w:rPr>
          <w:i/>
          <w:sz w:val="20"/>
          <w:szCs w:val="20"/>
        </w:rPr>
        <w:tab/>
      </w:r>
      <w:r w:rsidRPr="00652A95">
        <w:rPr>
          <w:sz w:val="20"/>
          <w:szCs w:val="20"/>
        </w:rPr>
        <w:t xml:space="preserve">(vi) </w:t>
      </w:r>
      <w:r w:rsidRPr="00652A95">
        <w:rPr>
          <w:sz w:val="20"/>
          <w:szCs w:val="20"/>
        </w:rPr>
        <w:tab/>
      </w:r>
      <w:r>
        <w:rPr>
          <w:i/>
          <w:sz w:val="20"/>
          <w:szCs w:val="20"/>
        </w:rPr>
        <w:t>b</w:t>
      </w:r>
      <w:r w:rsidRPr="00C56598">
        <w:rPr>
          <w:i/>
          <w:sz w:val="20"/>
          <w:szCs w:val="20"/>
        </w:rPr>
        <w:t>acillus cereus</w:t>
      </w:r>
      <w:r w:rsidRPr="00C56598">
        <w:rPr>
          <w:sz w:val="20"/>
          <w:szCs w:val="20"/>
        </w:rPr>
        <w:t>—–not more than 50 cfu/g</w:t>
      </w:r>
    </w:p>
    <w:p w14:paraId="6DD2CBC4" w14:textId="77777777" w:rsidR="00BA1917" w:rsidRPr="00C56598" w:rsidRDefault="00BA1917" w:rsidP="00BA1917">
      <w:pPr>
        <w:pStyle w:val="ListParagraph"/>
        <w:tabs>
          <w:tab w:val="left" w:pos="2268"/>
        </w:tabs>
        <w:ind w:left="2835" w:hanging="2835"/>
        <w:rPr>
          <w:sz w:val="20"/>
          <w:szCs w:val="20"/>
        </w:rPr>
      </w:pPr>
      <w:r>
        <w:rPr>
          <w:sz w:val="20"/>
          <w:szCs w:val="20"/>
        </w:rPr>
        <w:tab/>
        <w:t xml:space="preserve">(vii) </w:t>
      </w:r>
      <w:r>
        <w:rPr>
          <w:sz w:val="20"/>
          <w:szCs w:val="20"/>
        </w:rPr>
        <w:tab/>
        <w:t>y</w:t>
      </w:r>
      <w:r w:rsidRPr="00C56598">
        <w:rPr>
          <w:sz w:val="20"/>
          <w:szCs w:val="20"/>
        </w:rPr>
        <w:t>easts—–not more than 10 cfu/g</w:t>
      </w:r>
    </w:p>
    <w:p w14:paraId="4AE01EC8" w14:textId="77777777" w:rsidR="00BA1917" w:rsidRPr="00C56598" w:rsidRDefault="00BA1917" w:rsidP="00BA1917">
      <w:pPr>
        <w:pStyle w:val="ListParagraph"/>
        <w:tabs>
          <w:tab w:val="left" w:pos="2268"/>
        </w:tabs>
        <w:ind w:left="2835" w:hanging="2835"/>
        <w:rPr>
          <w:sz w:val="20"/>
          <w:szCs w:val="20"/>
        </w:rPr>
      </w:pPr>
      <w:r>
        <w:rPr>
          <w:sz w:val="20"/>
          <w:szCs w:val="20"/>
        </w:rPr>
        <w:t xml:space="preserve"> </w:t>
      </w:r>
      <w:r>
        <w:rPr>
          <w:sz w:val="20"/>
          <w:szCs w:val="20"/>
        </w:rPr>
        <w:tab/>
        <w:t>(viii)</w:t>
      </w:r>
      <w:r>
        <w:rPr>
          <w:sz w:val="20"/>
          <w:szCs w:val="20"/>
        </w:rPr>
        <w:tab/>
        <w:t>m</w:t>
      </w:r>
      <w:r w:rsidRPr="00C56598">
        <w:rPr>
          <w:sz w:val="20"/>
          <w:szCs w:val="20"/>
        </w:rPr>
        <w:t>oulds—–not more than 10 cfu/g</w:t>
      </w:r>
    </w:p>
    <w:p w14:paraId="1309ACCF" w14:textId="77777777" w:rsidR="00BA1917" w:rsidRDefault="00BA1917" w:rsidP="00BA1917">
      <w:pPr>
        <w:pStyle w:val="FSCtPara"/>
        <w:tabs>
          <w:tab w:val="clear" w:pos="1701"/>
          <w:tab w:val="left" w:pos="2268"/>
        </w:tabs>
        <w:spacing w:before="0" w:after="0"/>
        <w:ind w:left="2835" w:hanging="2835"/>
        <w:rPr>
          <w:szCs w:val="20"/>
        </w:rPr>
      </w:pPr>
      <w:r>
        <w:rPr>
          <w:szCs w:val="20"/>
        </w:rPr>
        <w:tab/>
        <w:t>(ix)</w:t>
      </w:r>
      <w:r>
        <w:rPr>
          <w:szCs w:val="20"/>
        </w:rPr>
        <w:tab/>
        <w:t>r</w:t>
      </w:r>
      <w:r w:rsidRPr="00C56598">
        <w:rPr>
          <w:szCs w:val="20"/>
        </w:rPr>
        <w:t>esidual endotoxins—–not more than 10 EU/mg</w:t>
      </w:r>
    </w:p>
    <w:p w14:paraId="753745FB" w14:textId="77777777" w:rsidR="00BA1917" w:rsidRDefault="00BA1917" w:rsidP="00BA1917">
      <w:pPr>
        <w:pStyle w:val="FSCtPara"/>
        <w:tabs>
          <w:tab w:val="clear" w:pos="1701"/>
          <w:tab w:val="left" w:pos="2268"/>
        </w:tabs>
        <w:spacing w:before="0" w:after="0"/>
        <w:ind w:left="2835" w:hanging="2835"/>
        <w:rPr>
          <w:szCs w:val="20"/>
        </w:rPr>
      </w:pPr>
    </w:p>
    <w:p w14:paraId="6484A4A5" w14:textId="1C066D8D" w:rsidR="00BA1917" w:rsidRPr="00471238" w:rsidRDefault="00BA1917" w:rsidP="00BA1917">
      <w:pPr>
        <w:pStyle w:val="FSCh5Section"/>
      </w:pPr>
      <w:r>
        <w:t>S3—41</w:t>
      </w:r>
      <w:r w:rsidRPr="00471238">
        <w:tab/>
        <w:t xml:space="preserve">Specification for </w:t>
      </w:r>
      <w:r>
        <w:t>l</w:t>
      </w:r>
      <w:r w:rsidRPr="00B307E9">
        <w:t>acto-</w:t>
      </w:r>
      <w:r w:rsidRPr="00EC41A5">
        <w:t>N</w:t>
      </w:r>
      <w:r>
        <w:t>-neotetraose</w:t>
      </w:r>
    </w:p>
    <w:p w14:paraId="4FAD2E86" w14:textId="77777777" w:rsidR="00BA1917" w:rsidRPr="00CE262E" w:rsidRDefault="00BA1917" w:rsidP="00BA1917">
      <w:pPr>
        <w:pStyle w:val="FSCtMain"/>
        <w:rPr>
          <w:szCs w:val="20"/>
        </w:rPr>
      </w:pPr>
      <w:r w:rsidRPr="00CE262E">
        <w:rPr>
          <w:szCs w:val="20"/>
        </w:rPr>
        <w:tab/>
      </w:r>
      <w:r w:rsidRPr="00CE262E">
        <w:rPr>
          <w:szCs w:val="20"/>
        </w:rPr>
        <w:tab/>
        <w:t xml:space="preserve">For </w:t>
      </w:r>
      <w:r>
        <w:rPr>
          <w:szCs w:val="20"/>
        </w:rPr>
        <w:t>l</w:t>
      </w:r>
      <w:r w:rsidRPr="00CE262E">
        <w:rPr>
          <w:szCs w:val="20"/>
        </w:rPr>
        <w:t>acto-</w:t>
      </w:r>
      <w:r w:rsidRPr="00EC41A5">
        <w:rPr>
          <w:szCs w:val="20"/>
        </w:rPr>
        <w:t>N</w:t>
      </w:r>
      <w:r w:rsidRPr="00CE262E">
        <w:rPr>
          <w:szCs w:val="20"/>
        </w:rPr>
        <w:t>-neotetraose (LNnT), the specifications are the following:</w:t>
      </w:r>
    </w:p>
    <w:p w14:paraId="41DEA9B0" w14:textId="77777777" w:rsidR="00BA1917" w:rsidRPr="00CE262E" w:rsidRDefault="00BA1917" w:rsidP="00BA1917">
      <w:pPr>
        <w:pStyle w:val="ListParagraph"/>
        <w:tabs>
          <w:tab w:val="left" w:pos="1701"/>
        </w:tabs>
        <w:spacing w:before="60" w:after="60"/>
        <w:ind w:left="2268" w:hanging="2268"/>
        <w:rPr>
          <w:sz w:val="20"/>
          <w:szCs w:val="20"/>
        </w:rPr>
      </w:pPr>
      <w:r w:rsidRPr="00CE262E">
        <w:rPr>
          <w:sz w:val="20"/>
          <w:szCs w:val="20"/>
        </w:rPr>
        <w:tab/>
        <w:t xml:space="preserve">(a) </w:t>
      </w:r>
      <w:r w:rsidRPr="00CE262E">
        <w:rPr>
          <w:sz w:val="20"/>
          <w:szCs w:val="20"/>
        </w:rPr>
        <w:tab/>
        <w:t>chemical name—–β-D-</w:t>
      </w:r>
      <w:r>
        <w:rPr>
          <w:sz w:val="20"/>
          <w:szCs w:val="20"/>
        </w:rPr>
        <w:t>g</w:t>
      </w:r>
      <w:r w:rsidRPr="00CE262E">
        <w:rPr>
          <w:sz w:val="20"/>
          <w:szCs w:val="20"/>
        </w:rPr>
        <w:t>alactopyranosyl-(1→4)-2-acetamido-2-deoxy-β-D-glucopyranosyl-(1→3)-β-D-galactopyranosyl-(1→4)-D-glucopyranose</w:t>
      </w:r>
    </w:p>
    <w:p w14:paraId="1620AB11" w14:textId="77777777" w:rsidR="00BA1917" w:rsidRPr="00CE262E" w:rsidRDefault="00BA1917" w:rsidP="00BA1917">
      <w:pPr>
        <w:tabs>
          <w:tab w:val="left" w:pos="1701"/>
        </w:tabs>
        <w:spacing w:before="60" w:after="60"/>
        <w:ind w:left="2268" w:hanging="2268"/>
        <w:rPr>
          <w:sz w:val="20"/>
        </w:rPr>
      </w:pPr>
      <w:r w:rsidRPr="00CE262E">
        <w:rPr>
          <w:sz w:val="20"/>
        </w:rPr>
        <w:t xml:space="preserve"> </w:t>
      </w:r>
      <w:r w:rsidRPr="00CE262E">
        <w:rPr>
          <w:sz w:val="20"/>
        </w:rPr>
        <w:tab/>
        <w:t xml:space="preserve">(b) </w:t>
      </w:r>
      <w:r w:rsidRPr="00CE262E">
        <w:rPr>
          <w:sz w:val="20"/>
        </w:rPr>
        <w:tab/>
        <w:t>chemical formula—–C</w:t>
      </w:r>
      <w:r w:rsidRPr="00CE262E">
        <w:rPr>
          <w:sz w:val="20"/>
          <w:vertAlign w:val="subscript"/>
        </w:rPr>
        <w:t>26</w:t>
      </w:r>
      <w:r w:rsidRPr="00CE262E">
        <w:rPr>
          <w:sz w:val="20"/>
        </w:rPr>
        <w:t>H</w:t>
      </w:r>
      <w:r w:rsidRPr="00CE262E">
        <w:rPr>
          <w:sz w:val="20"/>
          <w:vertAlign w:val="subscript"/>
        </w:rPr>
        <w:t>45</w:t>
      </w:r>
      <w:r w:rsidRPr="00CE262E">
        <w:rPr>
          <w:sz w:val="20"/>
        </w:rPr>
        <w:t>NO</w:t>
      </w:r>
      <w:r w:rsidRPr="00CE262E">
        <w:rPr>
          <w:sz w:val="20"/>
          <w:vertAlign w:val="subscript"/>
        </w:rPr>
        <w:t>21</w:t>
      </w:r>
    </w:p>
    <w:p w14:paraId="7E4F74C0" w14:textId="77777777" w:rsidR="00BA1917" w:rsidRPr="00CE262E" w:rsidRDefault="00BA1917" w:rsidP="00BA1917">
      <w:pPr>
        <w:tabs>
          <w:tab w:val="left" w:pos="1701"/>
        </w:tabs>
        <w:spacing w:before="60" w:after="60"/>
        <w:ind w:left="2268" w:hanging="2268"/>
        <w:rPr>
          <w:sz w:val="20"/>
        </w:rPr>
      </w:pPr>
      <w:r w:rsidRPr="00CE262E">
        <w:rPr>
          <w:sz w:val="20"/>
        </w:rPr>
        <w:tab/>
        <w:t xml:space="preserve">(c) </w:t>
      </w:r>
      <w:r w:rsidRPr="00CE262E">
        <w:rPr>
          <w:sz w:val="20"/>
        </w:rPr>
        <w:tab/>
        <w:t>CAS number—–13007-32-4</w:t>
      </w:r>
    </w:p>
    <w:p w14:paraId="493EF830" w14:textId="1A57DCE4" w:rsidR="00BA1917" w:rsidRPr="00CE262E" w:rsidRDefault="00BA1917" w:rsidP="00BA1917">
      <w:pPr>
        <w:tabs>
          <w:tab w:val="left" w:pos="1701"/>
        </w:tabs>
        <w:spacing w:before="60" w:after="60"/>
        <w:ind w:left="2268" w:hanging="2268"/>
        <w:rPr>
          <w:sz w:val="20"/>
        </w:rPr>
      </w:pPr>
      <w:r w:rsidRPr="00CE262E">
        <w:rPr>
          <w:sz w:val="20"/>
        </w:rPr>
        <w:tab/>
        <w:t>(d)</w:t>
      </w:r>
      <w:r w:rsidRPr="00CE262E">
        <w:rPr>
          <w:sz w:val="20"/>
        </w:rPr>
        <w:tab/>
        <w:t>description—–</w:t>
      </w:r>
      <w:r w:rsidR="00537A8A">
        <w:rPr>
          <w:sz w:val="20"/>
        </w:rPr>
        <w:t>w</w:t>
      </w:r>
      <w:r w:rsidR="00537A8A" w:rsidRPr="00CE262E">
        <w:rPr>
          <w:sz w:val="20"/>
        </w:rPr>
        <w:t xml:space="preserve">hite </w:t>
      </w:r>
      <w:r w:rsidRPr="00CE262E">
        <w:rPr>
          <w:sz w:val="20"/>
        </w:rPr>
        <w:t>to off white powder or agglomerates</w:t>
      </w:r>
    </w:p>
    <w:p w14:paraId="0FC42ED2" w14:textId="77777777" w:rsidR="00BA1917" w:rsidRPr="00CE262E" w:rsidRDefault="00BA1917" w:rsidP="00BA1917">
      <w:pPr>
        <w:tabs>
          <w:tab w:val="left" w:pos="1701"/>
        </w:tabs>
        <w:spacing w:before="60" w:after="60"/>
        <w:ind w:left="2268" w:hanging="2268"/>
        <w:rPr>
          <w:sz w:val="20"/>
        </w:rPr>
      </w:pPr>
      <w:r w:rsidRPr="00CE262E">
        <w:rPr>
          <w:sz w:val="20"/>
        </w:rPr>
        <w:tab/>
        <w:t xml:space="preserve">(e) </w:t>
      </w:r>
      <w:r w:rsidRPr="00CE262E">
        <w:rPr>
          <w:sz w:val="20"/>
        </w:rPr>
        <w:tab/>
        <w:t xml:space="preserve">assay (water free) for sum of </w:t>
      </w:r>
      <w:r w:rsidRPr="00CE262E">
        <w:rPr>
          <w:rFonts w:cs="Arial"/>
          <w:sz w:val="20"/>
        </w:rPr>
        <w:t>LNnT, lactose, lacto-</w:t>
      </w:r>
      <w:r w:rsidRPr="00EC41A5">
        <w:rPr>
          <w:rFonts w:cs="Arial"/>
          <w:iCs/>
          <w:sz w:val="20"/>
        </w:rPr>
        <w:t>N</w:t>
      </w:r>
      <w:r w:rsidRPr="00DC11F3">
        <w:rPr>
          <w:rFonts w:cs="Arial"/>
          <w:iCs/>
          <w:sz w:val="20"/>
        </w:rPr>
        <w:t>-</w:t>
      </w:r>
      <w:r w:rsidRPr="00CE262E">
        <w:rPr>
          <w:rFonts w:cs="Arial"/>
          <w:sz w:val="20"/>
        </w:rPr>
        <w:t xml:space="preserve">triose II, and </w:t>
      </w:r>
      <w:r w:rsidRPr="00CE262E">
        <w:rPr>
          <w:rFonts w:cs="Arial"/>
          <w:i/>
          <w:iCs/>
          <w:sz w:val="20"/>
        </w:rPr>
        <w:t>para</w:t>
      </w:r>
      <w:r w:rsidRPr="00CE262E">
        <w:rPr>
          <w:rFonts w:cs="Arial"/>
          <w:sz w:val="20"/>
        </w:rPr>
        <w:t>-lacto-</w:t>
      </w:r>
      <w:r w:rsidRPr="00EC41A5">
        <w:rPr>
          <w:rFonts w:cs="Arial"/>
          <w:iCs/>
          <w:sz w:val="20"/>
        </w:rPr>
        <w:t>N</w:t>
      </w:r>
      <w:r w:rsidRPr="00DC11F3">
        <w:rPr>
          <w:rFonts w:cs="Arial"/>
          <w:iCs/>
          <w:sz w:val="20"/>
        </w:rPr>
        <w:t>-</w:t>
      </w:r>
      <w:r w:rsidRPr="00CE262E">
        <w:rPr>
          <w:rFonts w:cs="Arial"/>
          <w:sz w:val="20"/>
        </w:rPr>
        <w:t>hexaose</w:t>
      </w:r>
      <w:r w:rsidRPr="00CE262E">
        <w:rPr>
          <w:sz w:val="20"/>
        </w:rPr>
        <w:t>—–not less than 95.0%</w:t>
      </w:r>
    </w:p>
    <w:p w14:paraId="7444D88C" w14:textId="77777777" w:rsidR="00BA1917" w:rsidRPr="00CE262E" w:rsidRDefault="00BA1917" w:rsidP="00BA1917">
      <w:pPr>
        <w:tabs>
          <w:tab w:val="left" w:pos="1701"/>
        </w:tabs>
        <w:spacing w:before="60" w:after="60"/>
        <w:ind w:left="2268" w:hanging="2268"/>
        <w:rPr>
          <w:sz w:val="20"/>
        </w:rPr>
      </w:pPr>
      <w:r w:rsidRPr="00CE262E">
        <w:rPr>
          <w:sz w:val="20"/>
        </w:rPr>
        <w:tab/>
        <w:t>(f)</w:t>
      </w:r>
      <w:r w:rsidRPr="00CE262E">
        <w:rPr>
          <w:sz w:val="20"/>
        </w:rPr>
        <w:tab/>
      </w:r>
      <w:r w:rsidRPr="00CE262E">
        <w:rPr>
          <w:rFonts w:cs="Arial"/>
          <w:sz w:val="20"/>
        </w:rPr>
        <w:t xml:space="preserve">assay (water free) </w:t>
      </w:r>
      <w:r w:rsidRPr="00CE262E">
        <w:rPr>
          <w:sz w:val="20"/>
        </w:rPr>
        <w:t>LNnT—–not less than 92.0%</w:t>
      </w:r>
    </w:p>
    <w:p w14:paraId="10345DC9" w14:textId="77777777" w:rsidR="00BA1917" w:rsidRPr="00CE262E" w:rsidRDefault="00BA1917" w:rsidP="00BA1917">
      <w:pPr>
        <w:tabs>
          <w:tab w:val="left" w:pos="1701"/>
        </w:tabs>
        <w:spacing w:before="60" w:after="60"/>
        <w:ind w:left="2268" w:hanging="2268"/>
        <w:rPr>
          <w:sz w:val="20"/>
        </w:rPr>
      </w:pPr>
      <w:r w:rsidRPr="00CE262E">
        <w:rPr>
          <w:sz w:val="20"/>
        </w:rPr>
        <w:tab/>
        <w:t xml:space="preserve">(g) </w:t>
      </w:r>
      <w:r w:rsidRPr="00CE262E">
        <w:rPr>
          <w:sz w:val="20"/>
        </w:rPr>
        <w:tab/>
      </w:r>
      <w:r>
        <w:rPr>
          <w:sz w:val="20"/>
        </w:rPr>
        <w:t>D</w:t>
      </w:r>
      <w:r w:rsidRPr="00CE262E">
        <w:rPr>
          <w:sz w:val="20"/>
        </w:rPr>
        <w:t>-</w:t>
      </w:r>
      <w:r>
        <w:rPr>
          <w:sz w:val="20"/>
        </w:rPr>
        <w:t>l</w:t>
      </w:r>
      <w:r w:rsidRPr="00CE262E">
        <w:rPr>
          <w:sz w:val="20"/>
        </w:rPr>
        <w:t>actose—–not more than 3.0%</w:t>
      </w:r>
    </w:p>
    <w:p w14:paraId="43FEA34A" w14:textId="77777777" w:rsidR="00BA1917" w:rsidRPr="00CE262E" w:rsidRDefault="00BA1917" w:rsidP="00BA1917">
      <w:pPr>
        <w:tabs>
          <w:tab w:val="left" w:pos="1701"/>
        </w:tabs>
        <w:spacing w:before="60" w:after="60"/>
        <w:ind w:left="2268" w:hanging="2268"/>
        <w:rPr>
          <w:sz w:val="20"/>
        </w:rPr>
      </w:pPr>
      <w:r w:rsidRPr="00CE262E">
        <w:rPr>
          <w:sz w:val="20"/>
        </w:rPr>
        <w:tab/>
        <w:t>(h)</w:t>
      </w:r>
      <w:r w:rsidRPr="00CE262E">
        <w:rPr>
          <w:sz w:val="20"/>
        </w:rPr>
        <w:tab/>
        <w:t>lacto-</w:t>
      </w:r>
      <w:r w:rsidRPr="00EC41A5">
        <w:rPr>
          <w:sz w:val="20"/>
        </w:rPr>
        <w:t>N</w:t>
      </w:r>
      <w:r w:rsidRPr="00CE262E">
        <w:rPr>
          <w:sz w:val="20"/>
        </w:rPr>
        <w:t>-triose II—–not more than 3.0%</w:t>
      </w:r>
    </w:p>
    <w:p w14:paraId="1ACB1B5C" w14:textId="77777777" w:rsidR="00BA1917" w:rsidRPr="00CE262E" w:rsidRDefault="00BA1917" w:rsidP="00BA1917">
      <w:pPr>
        <w:tabs>
          <w:tab w:val="left" w:pos="1701"/>
        </w:tabs>
        <w:spacing w:before="60" w:after="60"/>
        <w:ind w:left="2268" w:hanging="2268"/>
        <w:rPr>
          <w:sz w:val="20"/>
        </w:rPr>
      </w:pPr>
      <w:r w:rsidRPr="00CE262E">
        <w:rPr>
          <w:sz w:val="20"/>
        </w:rPr>
        <w:tab/>
        <w:t>(i)</w:t>
      </w:r>
      <w:r w:rsidRPr="00CE262E">
        <w:rPr>
          <w:sz w:val="20"/>
        </w:rPr>
        <w:tab/>
      </w:r>
      <w:r w:rsidRPr="00997C33">
        <w:rPr>
          <w:i/>
          <w:sz w:val="20"/>
        </w:rPr>
        <w:t>para</w:t>
      </w:r>
      <w:r w:rsidRPr="00CE262E">
        <w:rPr>
          <w:sz w:val="20"/>
        </w:rPr>
        <w:t>-</w:t>
      </w:r>
      <w:r>
        <w:rPr>
          <w:sz w:val="20"/>
        </w:rPr>
        <w:t>l</w:t>
      </w:r>
      <w:r w:rsidRPr="00CE262E">
        <w:rPr>
          <w:sz w:val="20"/>
        </w:rPr>
        <w:t>acto-</w:t>
      </w:r>
      <w:r w:rsidRPr="00EC41A5">
        <w:rPr>
          <w:sz w:val="20"/>
        </w:rPr>
        <w:t>N</w:t>
      </w:r>
      <w:r w:rsidRPr="00CE262E">
        <w:rPr>
          <w:sz w:val="20"/>
        </w:rPr>
        <w:t>-neohexaose—–not more than 3.0%</w:t>
      </w:r>
    </w:p>
    <w:p w14:paraId="7CE56B37" w14:textId="77777777" w:rsidR="00BA1917" w:rsidRPr="00CE262E" w:rsidRDefault="00BA1917" w:rsidP="00BA1917">
      <w:pPr>
        <w:tabs>
          <w:tab w:val="left" w:pos="1701"/>
        </w:tabs>
        <w:spacing w:before="60" w:after="60"/>
        <w:ind w:left="2268" w:hanging="2268"/>
        <w:rPr>
          <w:sz w:val="20"/>
        </w:rPr>
      </w:pPr>
      <w:r w:rsidRPr="00CE262E">
        <w:rPr>
          <w:sz w:val="20"/>
        </w:rPr>
        <w:tab/>
        <w:t>(j)</w:t>
      </w:r>
      <w:r w:rsidRPr="00CE262E">
        <w:rPr>
          <w:sz w:val="20"/>
        </w:rPr>
        <w:tab/>
        <w:t>LNnT fructose isomer—–not more than 1.0%</w:t>
      </w:r>
    </w:p>
    <w:p w14:paraId="084F122C" w14:textId="77777777" w:rsidR="00BA1917" w:rsidRPr="00CE262E" w:rsidRDefault="00BA1917" w:rsidP="00BA1917">
      <w:pPr>
        <w:tabs>
          <w:tab w:val="left" w:pos="1701"/>
        </w:tabs>
        <w:spacing w:before="60" w:after="60"/>
        <w:ind w:left="2268" w:hanging="2268"/>
        <w:rPr>
          <w:sz w:val="20"/>
        </w:rPr>
      </w:pPr>
      <w:r w:rsidRPr="00CE262E">
        <w:rPr>
          <w:sz w:val="20"/>
        </w:rPr>
        <w:tab/>
        <w:t>(</w:t>
      </w:r>
      <w:r>
        <w:rPr>
          <w:sz w:val="20"/>
        </w:rPr>
        <w:t>k</w:t>
      </w:r>
      <w:r w:rsidRPr="00CE262E">
        <w:rPr>
          <w:sz w:val="20"/>
        </w:rPr>
        <w:t xml:space="preserve">) </w:t>
      </w:r>
      <w:r w:rsidRPr="00CE262E">
        <w:rPr>
          <w:sz w:val="20"/>
        </w:rPr>
        <w:tab/>
        <w:t>pH (20°C, 5% solution) —–4.0 to 7.0</w:t>
      </w:r>
    </w:p>
    <w:p w14:paraId="5C78D8C1" w14:textId="77777777" w:rsidR="00BA1917" w:rsidRPr="00CE262E" w:rsidRDefault="00BA1917" w:rsidP="00BA1917">
      <w:pPr>
        <w:tabs>
          <w:tab w:val="left" w:pos="1701"/>
        </w:tabs>
        <w:spacing w:before="60" w:after="60"/>
        <w:ind w:left="2268" w:hanging="2268"/>
        <w:rPr>
          <w:sz w:val="20"/>
        </w:rPr>
      </w:pPr>
      <w:r w:rsidRPr="00CE262E">
        <w:rPr>
          <w:sz w:val="20"/>
        </w:rPr>
        <w:tab/>
        <w:t>(</w:t>
      </w:r>
      <w:r>
        <w:rPr>
          <w:sz w:val="20"/>
        </w:rPr>
        <w:t>l</w:t>
      </w:r>
      <w:r w:rsidRPr="00CE262E">
        <w:rPr>
          <w:sz w:val="20"/>
        </w:rPr>
        <w:t>)</w:t>
      </w:r>
      <w:r w:rsidRPr="00CE262E">
        <w:rPr>
          <w:sz w:val="20"/>
        </w:rPr>
        <w:tab/>
        <w:t>water—–not more than 9.0%</w:t>
      </w:r>
    </w:p>
    <w:p w14:paraId="23205BDA" w14:textId="77777777" w:rsidR="00BA1917" w:rsidRPr="00CE262E" w:rsidRDefault="00BA1917" w:rsidP="00BA1917">
      <w:pPr>
        <w:tabs>
          <w:tab w:val="left" w:pos="1701"/>
        </w:tabs>
        <w:spacing w:before="60" w:after="60"/>
        <w:ind w:left="2268" w:hanging="2268"/>
        <w:rPr>
          <w:sz w:val="20"/>
        </w:rPr>
      </w:pPr>
      <w:r w:rsidRPr="00CE262E">
        <w:rPr>
          <w:sz w:val="20"/>
        </w:rPr>
        <w:tab/>
        <w:t>(</w:t>
      </w:r>
      <w:r>
        <w:rPr>
          <w:sz w:val="20"/>
        </w:rPr>
        <w:t>m</w:t>
      </w:r>
      <w:r w:rsidRPr="00CE262E">
        <w:rPr>
          <w:sz w:val="20"/>
        </w:rPr>
        <w:t xml:space="preserve">) </w:t>
      </w:r>
      <w:r w:rsidRPr="00CE262E">
        <w:rPr>
          <w:sz w:val="20"/>
        </w:rPr>
        <w:tab/>
        <w:t>ash, sulphated—–not more than 1.5%</w:t>
      </w:r>
    </w:p>
    <w:p w14:paraId="2B7077B7" w14:textId="77777777" w:rsidR="00BA1917" w:rsidRPr="00CE262E" w:rsidRDefault="00BA1917" w:rsidP="00BA1917">
      <w:pPr>
        <w:tabs>
          <w:tab w:val="left" w:pos="1701"/>
        </w:tabs>
        <w:spacing w:before="60" w:after="60"/>
        <w:ind w:left="2268" w:hanging="2268"/>
        <w:rPr>
          <w:sz w:val="20"/>
        </w:rPr>
      </w:pPr>
      <w:r w:rsidRPr="00CE262E">
        <w:rPr>
          <w:sz w:val="20"/>
        </w:rPr>
        <w:tab/>
        <w:t>(</w:t>
      </w:r>
      <w:r>
        <w:rPr>
          <w:sz w:val="20"/>
        </w:rPr>
        <w:t>n</w:t>
      </w:r>
      <w:r w:rsidRPr="00CE262E">
        <w:rPr>
          <w:sz w:val="20"/>
        </w:rPr>
        <w:t>)</w:t>
      </w:r>
      <w:r w:rsidRPr="00CE262E">
        <w:rPr>
          <w:sz w:val="20"/>
        </w:rPr>
        <w:tab/>
        <w:t>methanol—–not more than 100 mg/kg</w:t>
      </w:r>
    </w:p>
    <w:p w14:paraId="14AD5FD4" w14:textId="77777777" w:rsidR="00BA1917" w:rsidRPr="00CE262E" w:rsidRDefault="00BA1917" w:rsidP="00BA1917">
      <w:pPr>
        <w:tabs>
          <w:tab w:val="left" w:pos="1701"/>
        </w:tabs>
        <w:spacing w:before="60" w:after="60"/>
        <w:ind w:left="2268" w:hanging="2268"/>
        <w:rPr>
          <w:sz w:val="20"/>
        </w:rPr>
      </w:pPr>
      <w:r w:rsidRPr="00CE262E">
        <w:rPr>
          <w:sz w:val="20"/>
        </w:rPr>
        <w:tab/>
        <w:t>(</w:t>
      </w:r>
      <w:r>
        <w:rPr>
          <w:sz w:val="20"/>
        </w:rPr>
        <w:t>o</w:t>
      </w:r>
      <w:r w:rsidRPr="00CE262E">
        <w:rPr>
          <w:sz w:val="20"/>
        </w:rPr>
        <w:t>)</w:t>
      </w:r>
      <w:r w:rsidRPr="00CE262E">
        <w:rPr>
          <w:sz w:val="20"/>
        </w:rPr>
        <w:tab/>
        <w:t>residual proteins—–not more than 0.01%</w:t>
      </w:r>
    </w:p>
    <w:p w14:paraId="5A421245" w14:textId="77777777" w:rsidR="00BA1917" w:rsidRPr="00CE262E" w:rsidRDefault="00BA1917" w:rsidP="00BA1917">
      <w:pPr>
        <w:tabs>
          <w:tab w:val="left" w:pos="1701"/>
        </w:tabs>
        <w:spacing w:before="60" w:after="60"/>
        <w:ind w:left="2268" w:hanging="2268"/>
        <w:rPr>
          <w:sz w:val="20"/>
        </w:rPr>
      </w:pPr>
      <w:r w:rsidRPr="00CE262E">
        <w:rPr>
          <w:sz w:val="20"/>
        </w:rPr>
        <w:tab/>
        <w:t>(</w:t>
      </w:r>
      <w:r>
        <w:rPr>
          <w:sz w:val="20"/>
        </w:rPr>
        <w:t>p</w:t>
      </w:r>
      <w:r w:rsidRPr="00CE262E">
        <w:rPr>
          <w:sz w:val="20"/>
        </w:rPr>
        <w:t>)</w:t>
      </w:r>
      <w:r w:rsidRPr="00CE262E">
        <w:rPr>
          <w:sz w:val="20"/>
        </w:rPr>
        <w:tab/>
        <w:t>lead—–not more than 0.1 mg/kg</w:t>
      </w:r>
    </w:p>
    <w:p w14:paraId="33C3BB22" w14:textId="77777777" w:rsidR="00BA1917" w:rsidRPr="00CE262E" w:rsidRDefault="00BA1917" w:rsidP="00BA1917">
      <w:pPr>
        <w:tabs>
          <w:tab w:val="left" w:pos="1701"/>
        </w:tabs>
        <w:spacing w:before="60" w:after="60"/>
        <w:ind w:left="2268" w:hanging="2268"/>
        <w:rPr>
          <w:sz w:val="20"/>
        </w:rPr>
      </w:pPr>
      <w:r w:rsidRPr="00CE262E">
        <w:rPr>
          <w:sz w:val="20"/>
        </w:rPr>
        <w:tab/>
        <w:t>(</w:t>
      </w:r>
      <w:r>
        <w:rPr>
          <w:sz w:val="20"/>
        </w:rPr>
        <w:t>q</w:t>
      </w:r>
      <w:r w:rsidRPr="00CE262E">
        <w:rPr>
          <w:sz w:val="20"/>
        </w:rPr>
        <w:t>)</w:t>
      </w:r>
      <w:r w:rsidRPr="00CE262E">
        <w:rPr>
          <w:sz w:val="20"/>
        </w:rPr>
        <w:tab/>
        <w:t>microbiological:</w:t>
      </w:r>
    </w:p>
    <w:p w14:paraId="76EEC790" w14:textId="77777777" w:rsidR="00BA1917" w:rsidRPr="00CE262E" w:rsidRDefault="00BA1917" w:rsidP="00BA1917">
      <w:pPr>
        <w:tabs>
          <w:tab w:val="left" w:pos="2268"/>
        </w:tabs>
        <w:ind w:left="2835" w:hanging="2835"/>
        <w:rPr>
          <w:sz w:val="20"/>
        </w:rPr>
      </w:pPr>
      <w:r w:rsidRPr="00CE262E">
        <w:rPr>
          <w:i/>
          <w:sz w:val="20"/>
        </w:rPr>
        <w:tab/>
      </w:r>
      <w:r w:rsidRPr="00CE262E">
        <w:rPr>
          <w:sz w:val="20"/>
        </w:rPr>
        <w:t xml:space="preserve">(i) </w:t>
      </w:r>
      <w:r w:rsidRPr="00CE262E">
        <w:rPr>
          <w:sz w:val="20"/>
        </w:rPr>
        <w:tab/>
      </w:r>
      <w:r w:rsidRPr="00CE262E">
        <w:rPr>
          <w:i/>
          <w:sz w:val="20"/>
        </w:rPr>
        <w:t>salmonella</w:t>
      </w:r>
      <w:r w:rsidRPr="00CE262E">
        <w:rPr>
          <w:sz w:val="20"/>
        </w:rPr>
        <w:t>—–absent in 25 g</w:t>
      </w:r>
    </w:p>
    <w:p w14:paraId="416AD2B4" w14:textId="77777777" w:rsidR="00BA1917" w:rsidRPr="00CE262E" w:rsidRDefault="00BA1917" w:rsidP="00BA1917">
      <w:pPr>
        <w:tabs>
          <w:tab w:val="left" w:pos="2268"/>
        </w:tabs>
        <w:ind w:left="2835" w:hanging="2835"/>
        <w:rPr>
          <w:sz w:val="20"/>
        </w:rPr>
      </w:pPr>
      <w:r w:rsidRPr="00CE262E">
        <w:rPr>
          <w:i/>
          <w:sz w:val="20"/>
        </w:rPr>
        <w:tab/>
      </w:r>
      <w:r w:rsidRPr="00CE262E">
        <w:rPr>
          <w:sz w:val="20"/>
        </w:rPr>
        <w:t xml:space="preserve">(ii) </w:t>
      </w:r>
      <w:r w:rsidRPr="00CE262E">
        <w:rPr>
          <w:sz w:val="20"/>
        </w:rPr>
        <w:tab/>
        <w:t>total plate count—–not more than 500 cfu/g</w:t>
      </w:r>
    </w:p>
    <w:p w14:paraId="3A2212BE" w14:textId="77777777" w:rsidR="00BA1917" w:rsidRPr="00CE262E" w:rsidRDefault="00BA1917" w:rsidP="00BA1917">
      <w:pPr>
        <w:tabs>
          <w:tab w:val="left" w:pos="2268"/>
        </w:tabs>
        <w:ind w:left="2835" w:hanging="2835"/>
        <w:rPr>
          <w:sz w:val="20"/>
        </w:rPr>
      </w:pPr>
      <w:r w:rsidRPr="00CE262E">
        <w:rPr>
          <w:i/>
          <w:sz w:val="20"/>
        </w:rPr>
        <w:tab/>
      </w:r>
      <w:r w:rsidRPr="00CE262E">
        <w:rPr>
          <w:sz w:val="20"/>
        </w:rPr>
        <w:t>(iii)</w:t>
      </w:r>
      <w:r w:rsidRPr="00CE262E">
        <w:rPr>
          <w:sz w:val="20"/>
        </w:rPr>
        <w:tab/>
        <w:t>enterobacteriaceae—–absent in 10 g</w:t>
      </w:r>
    </w:p>
    <w:p w14:paraId="4835C436" w14:textId="77777777" w:rsidR="00BA1917" w:rsidRPr="00CE262E" w:rsidRDefault="00BA1917" w:rsidP="00BA1917">
      <w:pPr>
        <w:tabs>
          <w:tab w:val="left" w:pos="2268"/>
        </w:tabs>
        <w:ind w:left="2835" w:hanging="2835"/>
        <w:rPr>
          <w:sz w:val="20"/>
        </w:rPr>
      </w:pPr>
      <w:r w:rsidRPr="00CE262E">
        <w:rPr>
          <w:i/>
          <w:sz w:val="20"/>
        </w:rPr>
        <w:tab/>
      </w:r>
      <w:r w:rsidRPr="00CE262E">
        <w:rPr>
          <w:sz w:val="20"/>
        </w:rPr>
        <w:t>(iv)</w:t>
      </w:r>
      <w:r w:rsidRPr="00CE262E">
        <w:rPr>
          <w:sz w:val="20"/>
        </w:rPr>
        <w:tab/>
      </w:r>
      <w:r w:rsidRPr="00CE262E">
        <w:rPr>
          <w:i/>
          <w:sz w:val="20"/>
        </w:rPr>
        <w:t>cronobacter (Enterobacter) sakazakii</w:t>
      </w:r>
      <w:r w:rsidRPr="00CE262E">
        <w:rPr>
          <w:sz w:val="20"/>
        </w:rPr>
        <w:t>—–absent in 10 g</w:t>
      </w:r>
    </w:p>
    <w:p w14:paraId="51B52681" w14:textId="77777777" w:rsidR="00BA1917" w:rsidRPr="00CE262E" w:rsidRDefault="00BA1917" w:rsidP="00BA1917">
      <w:pPr>
        <w:tabs>
          <w:tab w:val="left" w:pos="2268"/>
        </w:tabs>
        <w:ind w:left="2835" w:hanging="2835"/>
        <w:rPr>
          <w:sz w:val="20"/>
        </w:rPr>
      </w:pPr>
      <w:r w:rsidRPr="00CE262E">
        <w:rPr>
          <w:i/>
          <w:sz w:val="20"/>
        </w:rPr>
        <w:tab/>
      </w:r>
      <w:r w:rsidRPr="00CE262E">
        <w:rPr>
          <w:sz w:val="20"/>
        </w:rPr>
        <w:t>(v)</w:t>
      </w:r>
      <w:r w:rsidRPr="00CE262E">
        <w:rPr>
          <w:sz w:val="20"/>
        </w:rPr>
        <w:tab/>
      </w:r>
      <w:r w:rsidRPr="00CE262E">
        <w:rPr>
          <w:i/>
          <w:sz w:val="20"/>
        </w:rPr>
        <w:t>listeria monocytogenes</w:t>
      </w:r>
      <w:r w:rsidRPr="00CE262E">
        <w:rPr>
          <w:sz w:val="20"/>
        </w:rPr>
        <w:t>—–absent in 25 g</w:t>
      </w:r>
    </w:p>
    <w:p w14:paraId="2D93095E" w14:textId="77777777" w:rsidR="00BA1917" w:rsidRPr="00CE262E" w:rsidRDefault="00BA1917" w:rsidP="00BA1917">
      <w:pPr>
        <w:tabs>
          <w:tab w:val="left" w:pos="2268"/>
        </w:tabs>
        <w:ind w:left="2835" w:hanging="2835"/>
        <w:rPr>
          <w:sz w:val="20"/>
        </w:rPr>
      </w:pPr>
      <w:r w:rsidRPr="00CE262E">
        <w:rPr>
          <w:i/>
          <w:sz w:val="20"/>
        </w:rPr>
        <w:tab/>
      </w:r>
      <w:r w:rsidRPr="00CE262E">
        <w:rPr>
          <w:sz w:val="20"/>
        </w:rPr>
        <w:t>(vi)</w:t>
      </w:r>
      <w:r w:rsidRPr="00CE262E">
        <w:rPr>
          <w:sz w:val="20"/>
        </w:rPr>
        <w:tab/>
      </w:r>
      <w:r w:rsidRPr="00CE262E">
        <w:rPr>
          <w:i/>
          <w:sz w:val="20"/>
        </w:rPr>
        <w:t>bacillus cereus</w:t>
      </w:r>
      <w:r w:rsidRPr="00CE262E">
        <w:rPr>
          <w:sz w:val="20"/>
        </w:rPr>
        <w:t>—–not more than 50 cfu/g</w:t>
      </w:r>
    </w:p>
    <w:p w14:paraId="7CDB2134" w14:textId="77777777" w:rsidR="00BA1917" w:rsidRPr="00CE262E" w:rsidRDefault="00BA1917" w:rsidP="00BA1917">
      <w:pPr>
        <w:tabs>
          <w:tab w:val="left" w:pos="2268"/>
        </w:tabs>
        <w:ind w:left="2835" w:hanging="2835"/>
        <w:rPr>
          <w:sz w:val="20"/>
        </w:rPr>
      </w:pPr>
      <w:r w:rsidRPr="00CE262E">
        <w:rPr>
          <w:i/>
          <w:sz w:val="20"/>
        </w:rPr>
        <w:tab/>
      </w:r>
      <w:r w:rsidRPr="00CE262E">
        <w:rPr>
          <w:sz w:val="20"/>
        </w:rPr>
        <w:t>(vii)</w:t>
      </w:r>
      <w:r w:rsidRPr="00CE262E">
        <w:rPr>
          <w:sz w:val="20"/>
        </w:rPr>
        <w:tab/>
      </w:r>
      <w:r w:rsidRPr="00D02515">
        <w:rPr>
          <w:sz w:val="20"/>
        </w:rPr>
        <w:t>yeasts</w:t>
      </w:r>
      <w:r w:rsidRPr="00CE262E">
        <w:rPr>
          <w:sz w:val="20"/>
        </w:rPr>
        <w:t>—–</w:t>
      </w:r>
      <w:r w:rsidRPr="00D02515">
        <w:rPr>
          <w:sz w:val="20"/>
        </w:rPr>
        <w:t>not</w:t>
      </w:r>
      <w:r w:rsidRPr="00CE262E">
        <w:rPr>
          <w:sz w:val="20"/>
        </w:rPr>
        <w:t xml:space="preserve"> more than 10 cfu/g</w:t>
      </w:r>
    </w:p>
    <w:p w14:paraId="7D95C1B8" w14:textId="77777777" w:rsidR="00BA1917" w:rsidRPr="00CE262E" w:rsidRDefault="00BA1917" w:rsidP="00BA1917">
      <w:pPr>
        <w:tabs>
          <w:tab w:val="left" w:pos="2268"/>
        </w:tabs>
        <w:ind w:left="2835" w:hanging="2835"/>
        <w:rPr>
          <w:sz w:val="20"/>
        </w:rPr>
      </w:pPr>
      <w:r w:rsidRPr="00CE262E">
        <w:rPr>
          <w:i/>
          <w:sz w:val="20"/>
        </w:rPr>
        <w:tab/>
      </w:r>
      <w:r w:rsidRPr="00CE262E">
        <w:rPr>
          <w:sz w:val="20"/>
        </w:rPr>
        <w:t>(viii)</w:t>
      </w:r>
      <w:r w:rsidRPr="00CE262E">
        <w:rPr>
          <w:sz w:val="20"/>
        </w:rPr>
        <w:tab/>
      </w:r>
      <w:r w:rsidRPr="00D02515">
        <w:rPr>
          <w:sz w:val="20"/>
        </w:rPr>
        <w:t>moulds</w:t>
      </w:r>
      <w:r w:rsidRPr="00CE262E">
        <w:rPr>
          <w:sz w:val="20"/>
        </w:rPr>
        <w:t>—–</w:t>
      </w:r>
      <w:r>
        <w:rPr>
          <w:sz w:val="20"/>
        </w:rPr>
        <w:t>n</w:t>
      </w:r>
      <w:r w:rsidRPr="00CE262E">
        <w:rPr>
          <w:sz w:val="20"/>
        </w:rPr>
        <w:t>ot more than 10 cfu/g</w:t>
      </w:r>
    </w:p>
    <w:p w14:paraId="7535BD88" w14:textId="77777777" w:rsidR="00BA1917" w:rsidRPr="00CE262E" w:rsidRDefault="00BA1917" w:rsidP="00BA1917">
      <w:pPr>
        <w:tabs>
          <w:tab w:val="left" w:pos="2268"/>
        </w:tabs>
        <w:ind w:left="2835" w:hanging="2835"/>
        <w:rPr>
          <w:sz w:val="20"/>
        </w:rPr>
      </w:pPr>
      <w:r w:rsidRPr="00CE262E">
        <w:rPr>
          <w:i/>
          <w:sz w:val="20"/>
        </w:rPr>
        <w:tab/>
      </w:r>
      <w:r w:rsidRPr="00CE262E">
        <w:rPr>
          <w:sz w:val="20"/>
        </w:rPr>
        <w:t>(ix)</w:t>
      </w:r>
      <w:r w:rsidRPr="00CE262E">
        <w:rPr>
          <w:sz w:val="20"/>
        </w:rPr>
        <w:tab/>
        <w:t>residual endotoxins—–</w:t>
      </w:r>
      <w:r>
        <w:rPr>
          <w:sz w:val="20"/>
        </w:rPr>
        <w:t>n</w:t>
      </w:r>
      <w:r w:rsidRPr="00CE262E">
        <w:rPr>
          <w:sz w:val="20"/>
        </w:rPr>
        <w:t xml:space="preserve">ot more than 10 EU/mg </w:t>
      </w:r>
    </w:p>
    <w:p w14:paraId="29B4F6D4" w14:textId="77777777" w:rsidR="00BA1917" w:rsidRDefault="00BA1917" w:rsidP="00BA1917"/>
    <w:p w14:paraId="1E6DF690" w14:textId="77777777" w:rsidR="00BA1917" w:rsidRDefault="00BA1917" w:rsidP="00BA1917">
      <w:pPr>
        <w:pStyle w:val="FSCDraftingitem"/>
        <w:rPr>
          <w:lang w:bidi="en-US"/>
        </w:rPr>
      </w:pPr>
      <w:r>
        <w:rPr>
          <w:b/>
          <w:lang w:bidi="en-US"/>
        </w:rPr>
        <w:t>[5]</w:t>
      </w:r>
      <w:r>
        <w:rPr>
          <w:b/>
          <w:lang w:bidi="en-US"/>
        </w:rPr>
        <w:tab/>
        <w:t>Schedule 26</w:t>
      </w:r>
      <w:r w:rsidRPr="00675956">
        <w:rPr>
          <w:lang w:bidi="en-US"/>
        </w:rPr>
        <w:t xml:space="preserve"> is varied by</w:t>
      </w:r>
    </w:p>
    <w:p w14:paraId="7B98BA17" w14:textId="77777777" w:rsidR="00BA1917" w:rsidRDefault="00BA1917" w:rsidP="00BA1917">
      <w:pPr>
        <w:pStyle w:val="FSCDraftingitem"/>
        <w:rPr>
          <w:lang w:bidi="en-US"/>
        </w:rPr>
      </w:pPr>
      <w:r>
        <w:rPr>
          <w:lang w:bidi="en-US"/>
        </w:rPr>
        <w:t>[5.1]</w:t>
      </w:r>
      <w:r>
        <w:rPr>
          <w:lang w:bidi="en-US"/>
        </w:rPr>
        <w:tab/>
        <w:t>omitting subsections S</w:t>
      </w:r>
      <w:r>
        <w:t>26—3(1), (2), (2A), and (3), substituting</w:t>
      </w:r>
    </w:p>
    <w:p w14:paraId="2D280502" w14:textId="77777777" w:rsidR="00BA1917" w:rsidRPr="001D1563" w:rsidRDefault="00BA1917" w:rsidP="00BA1917">
      <w:pPr>
        <w:pStyle w:val="FSCtMain"/>
      </w:pPr>
      <w:r w:rsidRPr="001D1563">
        <w:tab/>
        <w:t>(1)</w:t>
      </w:r>
      <w:r w:rsidRPr="001D1563">
        <w:tab/>
        <w:t xml:space="preserve">The table to subsection (4) </w:t>
      </w:r>
      <w:r>
        <w:t>and the table to subsection (7</w:t>
      </w:r>
      <w:r w:rsidRPr="001D1563">
        <w:t xml:space="preserve">) </w:t>
      </w:r>
      <w:r>
        <w:t>list</w:t>
      </w:r>
      <w:r w:rsidRPr="001D1563">
        <w:t xml:space="preserve"> permitted food produced using gene technology.</w:t>
      </w:r>
    </w:p>
    <w:p w14:paraId="7354F2EB" w14:textId="77777777" w:rsidR="00BA1917" w:rsidRPr="001D1563" w:rsidRDefault="00BA1917" w:rsidP="00BA1917">
      <w:pPr>
        <w:pStyle w:val="FSCtMain"/>
      </w:pPr>
      <w:r w:rsidRPr="001D1563">
        <w:tab/>
        <w:t>(2)</w:t>
      </w:r>
      <w:r w:rsidRPr="001D1563">
        <w:tab/>
        <w:t xml:space="preserve">Items </w:t>
      </w:r>
      <w:r>
        <w:t xml:space="preserve">1(g), </w:t>
      </w:r>
      <w:r w:rsidRPr="001D1563">
        <w:t>2(m), 7(e), (g) and (h)</w:t>
      </w:r>
      <w:r>
        <w:t>, and 9(a)</w:t>
      </w:r>
      <w:r w:rsidRPr="001D1563">
        <w:t xml:space="preserve"> </w:t>
      </w:r>
      <w:r>
        <w:t xml:space="preserve">of the </w:t>
      </w:r>
      <w:r w:rsidRPr="001D1563">
        <w:t>table to subsection (4)</w:t>
      </w:r>
      <w:r>
        <w:t xml:space="preserve"> </w:t>
      </w:r>
      <w:r w:rsidRPr="001D1563">
        <w:t>are subject to the condition that their labelling must comply with section 1.5.2—4.</w:t>
      </w:r>
    </w:p>
    <w:p w14:paraId="1CF80F5E" w14:textId="77777777" w:rsidR="00BA1917" w:rsidRDefault="00BA1917" w:rsidP="00BA1917">
      <w:pPr>
        <w:pStyle w:val="FSCnMain"/>
      </w:pPr>
      <w:r w:rsidRPr="001D1563">
        <w:tab/>
      </w:r>
      <w:r w:rsidRPr="001D1563">
        <w:rPr>
          <w:b/>
          <w:i/>
        </w:rPr>
        <w:t>Note</w:t>
      </w:r>
      <w:r w:rsidRPr="001D1563">
        <w:tab/>
        <w:t>That section requires the statement ‘genetically modified’.</w:t>
      </w:r>
    </w:p>
    <w:p w14:paraId="7372557F" w14:textId="77777777" w:rsidR="00BA1917" w:rsidRPr="008F467D" w:rsidRDefault="00BA1917" w:rsidP="00BA1917">
      <w:pPr>
        <w:pStyle w:val="FSCnMain"/>
        <w:ind w:left="1701" w:hanging="567"/>
        <w:rPr>
          <w:sz w:val="20"/>
          <w:szCs w:val="20"/>
        </w:rPr>
      </w:pPr>
      <w:r w:rsidRPr="008F467D">
        <w:rPr>
          <w:sz w:val="20"/>
          <w:szCs w:val="20"/>
        </w:rPr>
        <w:t>(2A)</w:t>
      </w:r>
      <w:r>
        <w:t xml:space="preserve"> </w:t>
      </w:r>
      <w:r>
        <w:tab/>
      </w:r>
      <w:r w:rsidRPr="008F467D">
        <w:rPr>
          <w:sz w:val="20"/>
          <w:szCs w:val="20"/>
        </w:rPr>
        <w:t xml:space="preserve">Products containing beta-carotene from </w:t>
      </w:r>
      <w:r w:rsidRPr="00536D94">
        <w:rPr>
          <w:sz w:val="20"/>
          <w:szCs w:val="20"/>
        </w:rPr>
        <w:t>item 6(b) of the table to subsection (4) are</w:t>
      </w:r>
      <w:r w:rsidRPr="008F467D">
        <w:rPr>
          <w:sz w:val="20"/>
          <w:szCs w:val="20"/>
        </w:rPr>
        <w:t xml:space="preserve"> subject to the condition that their labelling must comply with section 1.5.2—4</w:t>
      </w:r>
      <w:r>
        <w:rPr>
          <w:sz w:val="20"/>
          <w:szCs w:val="20"/>
        </w:rPr>
        <w:t>.</w:t>
      </w:r>
    </w:p>
    <w:p w14:paraId="0446ECDD" w14:textId="77777777" w:rsidR="00BA1917" w:rsidRPr="001D1563" w:rsidRDefault="00BA1917" w:rsidP="00BA1917">
      <w:pPr>
        <w:pStyle w:val="FSCtMain"/>
      </w:pPr>
      <w:r w:rsidRPr="001D1563">
        <w:tab/>
        <w:t>(3)</w:t>
      </w:r>
      <w:r w:rsidRPr="001D1563">
        <w:tab/>
        <w:t xml:space="preserve">Item 2(m) </w:t>
      </w:r>
      <w:r>
        <w:t xml:space="preserve">of the </w:t>
      </w:r>
      <w:r w:rsidRPr="001D1563">
        <w:t>table to subsection (4)</w:t>
      </w:r>
      <w:r>
        <w:t xml:space="preserve"> </w:t>
      </w:r>
      <w:r w:rsidRPr="001D1563">
        <w:t>is also subject to the condition that, for the labelling provisions, unless the protein content has been removed as part of a refining process, the information relating to *foods produced using gene technology includes a statement to the effect that the high lysine corn line LY038 has been genetically modified to contain increased levels of lysine.</w:t>
      </w:r>
    </w:p>
    <w:p w14:paraId="2FF99A5A" w14:textId="77777777" w:rsidR="00BA1917" w:rsidRDefault="00BA1917" w:rsidP="00BA1917">
      <w:pPr>
        <w:pStyle w:val="FSCDraftingitem"/>
        <w:rPr>
          <w:lang w:bidi="en-US"/>
        </w:rPr>
      </w:pPr>
      <w:r>
        <w:rPr>
          <w:lang w:bidi="en-US"/>
        </w:rPr>
        <w:t>[5.2]</w:t>
      </w:r>
      <w:r>
        <w:rPr>
          <w:lang w:bidi="en-US"/>
        </w:rPr>
        <w:tab/>
        <w:t>omitting the words ‘gene technology’ from the heading to the table to subsection (4), substituting the words’ ‘gene technology of plant origin’.</w:t>
      </w:r>
    </w:p>
    <w:p w14:paraId="15A32DCA" w14:textId="77777777" w:rsidR="00BA1917" w:rsidRDefault="00BA1917" w:rsidP="00BA1917">
      <w:pPr>
        <w:pStyle w:val="FSCDraftingitem"/>
        <w:rPr>
          <w:lang w:bidi="en-US"/>
        </w:rPr>
      </w:pPr>
      <w:r>
        <w:rPr>
          <w:lang w:bidi="en-US"/>
        </w:rPr>
        <w:t>[5.3]</w:t>
      </w:r>
      <w:r>
        <w:rPr>
          <w:lang w:bidi="en-US"/>
        </w:rPr>
        <w:tab/>
        <w:t xml:space="preserve">inserting after the </w:t>
      </w:r>
      <w:r w:rsidRPr="001D1563">
        <w:t>table to subsection (4)</w:t>
      </w:r>
    </w:p>
    <w:p w14:paraId="30204F9D" w14:textId="77777777" w:rsidR="00BA1917" w:rsidRDefault="00BA1917" w:rsidP="00BA1917">
      <w:pPr>
        <w:pStyle w:val="FSCtMain"/>
      </w:pPr>
      <w:r>
        <w:tab/>
        <w:t>(5</w:t>
      </w:r>
      <w:r w:rsidRPr="001D1563">
        <w:t>)</w:t>
      </w:r>
      <w:r w:rsidRPr="001D1563">
        <w:tab/>
      </w:r>
      <w:r>
        <w:t>A food listed in the table to subsection (7</w:t>
      </w:r>
      <w:r w:rsidRPr="001D1563">
        <w:t>)</w:t>
      </w:r>
      <w:r>
        <w:t xml:space="preserve"> must comply with any corresponding conditions listed in that table.</w:t>
      </w:r>
    </w:p>
    <w:p w14:paraId="629AFA79" w14:textId="32270E3B" w:rsidR="00BA1917" w:rsidRDefault="00BA1917" w:rsidP="00BA1917">
      <w:pPr>
        <w:pStyle w:val="FSCtMain"/>
      </w:pPr>
      <w:r>
        <w:tab/>
        <w:t>(6)</w:t>
      </w:r>
      <w:r>
        <w:tab/>
      </w:r>
      <w:r w:rsidRPr="00F84D82">
        <w:t xml:space="preserve">A source listed in the table to subsection (7) may contain additional copies of genes from the same </w:t>
      </w:r>
      <w:r w:rsidR="00145512" w:rsidRPr="00F84D82">
        <w:t>strain</w:t>
      </w:r>
      <w:r w:rsidRPr="00F84D82">
        <w:t>.</w:t>
      </w:r>
    </w:p>
    <w:p w14:paraId="6E87D5E3" w14:textId="77777777" w:rsidR="00BA1917" w:rsidRPr="003A7B66" w:rsidRDefault="00BA1917" w:rsidP="00BA1917">
      <w:pPr>
        <w:pStyle w:val="FSCtMain"/>
      </w:pPr>
      <w:r>
        <w:tab/>
        <w:t>(7)</w:t>
      </w:r>
      <w:r>
        <w:tab/>
      </w:r>
      <w:r w:rsidRPr="001D1563">
        <w:t>The table for this subsection is:</w:t>
      </w:r>
    </w:p>
    <w:p w14:paraId="6C254ED0" w14:textId="3B9C53B4" w:rsidR="00BA1917" w:rsidRPr="003A7B66" w:rsidRDefault="005C07FF" w:rsidP="00BA1917">
      <w:pPr>
        <w:shd w:val="clear" w:color="auto" w:fill="FFFFFF"/>
        <w:spacing w:after="120"/>
        <w:ind w:left="993"/>
        <w:jc w:val="center"/>
        <w:rPr>
          <w:rFonts w:cs="Arial"/>
          <w:b/>
          <w:sz w:val="19"/>
          <w:szCs w:val="19"/>
          <w:lang w:val="en-US" w:eastAsia="en-GB"/>
        </w:rPr>
      </w:pPr>
      <w:r>
        <w:rPr>
          <w:rFonts w:cs="Arial"/>
          <w:b/>
          <w:sz w:val="19"/>
          <w:szCs w:val="19"/>
          <w:lang w:eastAsia="en-GB"/>
        </w:rPr>
        <w:t>F</w:t>
      </w:r>
      <w:r w:rsidR="00BA1917">
        <w:rPr>
          <w:rFonts w:cs="Arial"/>
          <w:b/>
          <w:sz w:val="19"/>
          <w:szCs w:val="19"/>
          <w:lang w:eastAsia="en-GB"/>
        </w:rPr>
        <w:t>ood produced using gene technology of</w:t>
      </w:r>
      <w:r w:rsidR="00BA1917" w:rsidRPr="003A7B66">
        <w:rPr>
          <w:rFonts w:cs="Arial"/>
          <w:b/>
          <w:sz w:val="19"/>
          <w:szCs w:val="19"/>
          <w:lang w:eastAsia="en-GB"/>
        </w:rPr>
        <w:t xml:space="preserve"> microbial origin</w:t>
      </w:r>
      <w:r w:rsidR="00BA1917">
        <w:rPr>
          <w:rFonts w:cs="Arial"/>
          <w:b/>
          <w:sz w:val="19"/>
          <w:szCs w:val="19"/>
          <w:lang w:eastAsia="en-GB"/>
        </w:rPr>
        <w:t xml:space="preserve"> </w:t>
      </w:r>
    </w:p>
    <w:tbl>
      <w:tblPr>
        <w:tblW w:w="10149" w:type="dxa"/>
        <w:tblLayout w:type="fixed"/>
        <w:tblCellMar>
          <w:left w:w="0" w:type="dxa"/>
          <w:right w:w="0" w:type="dxa"/>
        </w:tblCellMar>
        <w:tblLook w:val="04A0" w:firstRow="1" w:lastRow="0" w:firstColumn="1" w:lastColumn="0" w:noHBand="0" w:noVBand="1"/>
      </w:tblPr>
      <w:tblGrid>
        <w:gridCol w:w="284"/>
        <w:gridCol w:w="2126"/>
        <w:gridCol w:w="279"/>
        <w:gridCol w:w="2414"/>
        <w:gridCol w:w="935"/>
        <w:gridCol w:w="39"/>
        <w:gridCol w:w="97"/>
        <w:gridCol w:w="3891"/>
        <w:gridCol w:w="84"/>
      </w:tblGrid>
      <w:tr w:rsidR="00BA1917" w:rsidRPr="003A7B66" w14:paraId="18E56EEE" w14:textId="77777777" w:rsidTr="00BA1917">
        <w:trPr>
          <w:gridAfter w:val="1"/>
          <w:wAfter w:w="84" w:type="dxa"/>
          <w:cantSplit/>
          <w:trHeight w:val="283"/>
          <w:tblHeader/>
        </w:trPr>
        <w:tc>
          <w:tcPr>
            <w:tcW w:w="2689" w:type="dxa"/>
            <w:gridSpan w:val="3"/>
            <w:tcBorders>
              <w:top w:val="single" w:sz="8" w:space="0" w:color="auto"/>
              <w:left w:val="nil"/>
              <w:bottom w:val="single" w:sz="8" w:space="0" w:color="auto"/>
              <w:right w:val="nil"/>
            </w:tcBorders>
            <w:tcMar>
              <w:top w:w="0" w:type="dxa"/>
              <w:left w:w="108" w:type="dxa"/>
              <w:bottom w:w="0" w:type="dxa"/>
              <w:right w:w="108" w:type="dxa"/>
            </w:tcMar>
            <w:vAlign w:val="center"/>
            <w:hideMark/>
          </w:tcPr>
          <w:p w14:paraId="6E4D6A62" w14:textId="77777777" w:rsidR="00BA1917" w:rsidRPr="003A7B66" w:rsidRDefault="00BA1917" w:rsidP="00BA1917">
            <w:pPr>
              <w:spacing w:before="100" w:beforeAutospacing="1" w:after="100" w:afterAutospacing="1"/>
              <w:rPr>
                <w:rFonts w:cs="Arial"/>
                <w:b/>
                <w:i/>
                <w:sz w:val="18"/>
                <w:szCs w:val="19"/>
                <w:lang w:eastAsia="en-GB"/>
              </w:rPr>
            </w:pPr>
            <w:r w:rsidRPr="003A7B66">
              <w:rPr>
                <w:rFonts w:cs="Arial"/>
                <w:b/>
                <w:i/>
                <w:sz w:val="18"/>
                <w:szCs w:val="19"/>
                <w:lang w:eastAsia="en-GB"/>
              </w:rPr>
              <w:t>Substance</w:t>
            </w:r>
          </w:p>
        </w:tc>
        <w:tc>
          <w:tcPr>
            <w:tcW w:w="3485" w:type="dxa"/>
            <w:gridSpan w:val="4"/>
            <w:tcBorders>
              <w:top w:val="single" w:sz="8" w:space="0" w:color="auto"/>
              <w:left w:val="nil"/>
              <w:bottom w:val="single" w:sz="8" w:space="0" w:color="auto"/>
              <w:right w:val="nil"/>
            </w:tcBorders>
            <w:vAlign w:val="center"/>
          </w:tcPr>
          <w:p w14:paraId="2AF7364D" w14:textId="5A3249E7" w:rsidR="00BA1917" w:rsidRPr="003A7B66" w:rsidRDefault="00BA1917" w:rsidP="00BA1917">
            <w:pPr>
              <w:spacing w:before="100" w:beforeAutospacing="1" w:after="100" w:afterAutospacing="1"/>
              <w:ind w:right="36"/>
              <w:rPr>
                <w:rFonts w:cs="Arial"/>
                <w:b/>
                <w:i/>
                <w:sz w:val="18"/>
                <w:szCs w:val="19"/>
                <w:lang w:eastAsia="en-GB"/>
              </w:rPr>
            </w:pPr>
            <w:r>
              <w:rPr>
                <w:rFonts w:cs="Arial"/>
                <w:b/>
                <w:i/>
                <w:sz w:val="18"/>
                <w:szCs w:val="19"/>
                <w:lang w:eastAsia="en-GB"/>
              </w:rPr>
              <w:t>Source</w:t>
            </w:r>
          </w:p>
        </w:tc>
        <w:tc>
          <w:tcPr>
            <w:tcW w:w="3891" w:type="dxa"/>
            <w:tcBorders>
              <w:top w:val="single" w:sz="8" w:space="0" w:color="auto"/>
              <w:left w:val="nil"/>
              <w:bottom w:val="single" w:sz="8" w:space="0" w:color="auto"/>
              <w:right w:val="nil"/>
            </w:tcBorders>
          </w:tcPr>
          <w:p w14:paraId="68EAF5D2" w14:textId="77777777" w:rsidR="00BA1917" w:rsidRDefault="00BA1917" w:rsidP="00BA1917">
            <w:pPr>
              <w:spacing w:before="100" w:beforeAutospacing="1" w:after="100" w:afterAutospacing="1"/>
              <w:ind w:right="284"/>
              <w:rPr>
                <w:rFonts w:cs="Arial"/>
                <w:b/>
                <w:i/>
                <w:sz w:val="18"/>
                <w:szCs w:val="19"/>
                <w:lang w:eastAsia="en-GB"/>
              </w:rPr>
            </w:pPr>
            <w:r>
              <w:rPr>
                <w:rFonts w:cs="Arial"/>
                <w:b/>
                <w:i/>
                <w:sz w:val="18"/>
                <w:szCs w:val="19"/>
                <w:lang w:eastAsia="en-GB"/>
              </w:rPr>
              <w:t>Conditions of use</w:t>
            </w:r>
          </w:p>
        </w:tc>
      </w:tr>
      <w:tr w:rsidR="00BA1917" w:rsidRPr="003A7B66" w14:paraId="4881EB2C" w14:textId="77777777" w:rsidTr="00BA1917">
        <w:trPr>
          <w:gridAfter w:val="1"/>
          <w:wAfter w:w="84" w:type="dxa"/>
          <w:cantSplit/>
          <w:trHeight w:val="329"/>
        </w:trPr>
        <w:tc>
          <w:tcPr>
            <w:tcW w:w="284" w:type="dxa"/>
            <w:tcBorders>
              <w:bottom w:val="single" w:sz="4" w:space="0" w:color="auto"/>
            </w:tcBorders>
            <w:tcMar>
              <w:top w:w="0" w:type="dxa"/>
              <w:left w:w="108" w:type="dxa"/>
              <w:bottom w:w="0" w:type="dxa"/>
              <w:right w:w="108" w:type="dxa"/>
            </w:tcMar>
            <w:hideMark/>
          </w:tcPr>
          <w:p w14:paraId="34DD5AAE" w14:textId="77777777" w:rsidR="00BA1917" w:rsidRPr="003A7B66" w:rsidRDefault="00BA1917" w:rsidP="00BA1917">
            <w:pPr>
              <w:spacing w:before="60" w:after="60"/>
              <w:rPr>
                <w:rFonts w:cs="Arial"/>
                <w:sz w:val="18"/>
                <w:szCs w:val="18"/>
                <w:lang w:eastAsia="en-GB"/>
              </w:rPr>
            </w:pPr>
            <w:r w:rsidRPr="003A7B66">
              <w:rPr>
                <w:rFonts w:cs="Arial"/>
                <w:b/>
                <w:bCs/>
                <w:sz w:val="18"/>
                <w:szCs w:val="18"/>
                <w:lang w:eastAsia="en-GB"/>
              </w:rPr>
              <w:t>1</w:t>
            </w:r>
          </w:p>
        </w:tc>
        <w:tc>
          <w:tcPr>
            <w:tcW w:w="2126" w:type="dxa"/>
            <w:tcBorders>
              <w:bottom w:val="single" w:sz="4" w:space="0" w:color="auto"/>
            </w:tcBorders>
            <w:tcMar>
              <w:top w:w="0" w:type="dxa"/>
              <w:left w:w="108" w:type="dxa"/>
              <w:bottom w:w="0" w:type="dxa"/>
              <w:right w:w="108" w:type="dxa"/>
            </w:tcMar>
            <w:hideMark/>
          </w:tcPr>
          <w:p w14:paraId="2AECA439" w14:textId="77777777" w:rsidR="00BA1917" w:rsidRPr="003A7B66" w:rsidRDefault="00BA1917" w:rsidP="00BA1917">
            <w:pPr>
              <w:spacing w:before="60" w:after="60"/>
              <w:rPr>
                <w:rFonts w:cs="Arial"/>
                <w:sz w:val="18"/>
                <w:szCs w:val="18"/>
                <w:lang w:eastAsia="en-GB"/>
              </w:rPr>
            </w:pPr>
            <w:r w:rsidRPr="003A7B66">
              <w:rPr>
                <w:rFonts w:cs="Arial"/>
                <w:b/>
                <w:bCs/>
                <w:sz w:val="18"/>
                <w:szCs w:val="18"/>
                <w:lang w:eastAsia="en-GB"/>
              </w:rPr>
              <w:t>2</w:t>
            </w:r>
            <w:r>
              <w:rPr>
                <w:rFonts w:cs="Arial"/>
                <w:b/>
                <w:bCs/>
                <w:sz w:val="18"/>
                <w:szCs w:val="18"/>
                <w:lang w:eastAsia="en-GB"/>
              </w:rPr>
              <w:t>′</w:t>
            </w:r>
            <w:r w:rsidRPr="003A7B66">
              <w:rPr>
                <w:rFonts w:cs="Arial"/>
                <w:b/>
                <w:bCs/>
                <w:sz w:val="18"/>
                <w:szCs w:val="18"/>
                <w:lang w:eastAsia="en-GB"/>
              </w:rPr>
              <w:t>-</w:t>
            </w:r>
            <w:r w:rsidRPr="00EC41A5">
              <w:rPr>
                <w:rFonts w:cs="Arial"/>
                <w:b/>
                <w:bCs/>
                <w:sz w:val="18"/>
                <w:szCs w:val="18"/>
                <w:lang w:eastAsia="en-GB"/>
              </w:rPr>
              <w:t>O</w:t>
            </w:r>
            <w:r>
              <w:rPr>
                <w:rFonts w:cs="Arial"/>
                <w:b/>
                <w:bCs/>
                <w:sz w:val="18"/>
                <w:szCs w:val="18"/>
                <w:lang w:eastAsia="en-GB"/>
              </w:rPr>
              <w:t>-f</w:t>
            </w:r>
            <w:r w:rsidRPr="003A7B66">
              <w:rPr>
                <w:rFonts w:cs="Arial"/>
                <w:b/>
                <w:bCs/>
                <w:sz w:val="18"/>
                <w:szCs w:val="18"/>
                <w:lang w:eastAsia="en-GB"/>
              </w:rPr>
              <w:t>ucosyllactose</w:t>
            </w:r>
          </w:p>
        </w:tc>
        <w:tc>
          <w:tcPr>
            <w:tcW w:w="2693" w:type="dxa"/>
            <w:gridSpan w:val="2"/>
            <w:tcBorders>
              <w:bottom w:val="single" w:sz="4" w:space="0" w:color="auto"/>
            </w:tcBorders>
          </w:tcPr>
          <w:p w14:paraId="5364DE78" w14:textId="603231F3" w:rsidR="00BA1917" w:rsidRPr="0045719F" w:rsidRDefault="00BA1917" w:rsidP="002B628B">
            <w:pPr>
              <w:pStyle w:val="ListParagraph"/>
              <w:widowControl/>
              <w:numPr>
                <w:ilvl w:val="0"/>
                <w:numId w:val="55"/>
              </w:numPr>
              <w:spacing w:before="60" w:after="60"/>
              <w:ind w:left="423" w:right="36" w:hanging="286"/>
              <w:rPr>
                <w:rFonts w:cs="Arial"/>
                <w:sz w:val="18"/>
                <w:szCs w:val="18"/>
                <w:lang w:eastAsia="en-GB"/>
              </w:rPr>
            </w:pPr>
            <w:r w:rsidRPr="00675CA6">
              <w:rPr>
                <w:rFonts w:cs="Arial"/>
                <w:i/>
                <w:sz w:val="18"/>
                <w:szCs w:val="18"/>
                <w:lang w:eastAsia="en-GB"/>
              </w:rPr>
              <w:t>Escherichia coli</w:t>
            </w:r>
            <w:r w:rsidRPr="00675CA6">
              <w:rPr>
                <w:rFonts w:cs="Arial"/>
                <w:sz w:val="18"/>
                <w:szCs w:val="18"/>
                <w:lang w:eastAsia="en-GB"/>
              </w:rPr>
              <w:t xml:space="preserve"> K-12 </w:t>
            </w:r>
            <w:r w:rsidRPr="003A7B66">
              <w:rPr>
                <w:rFonts w:cs="Arial"/>
                <w:sz w:val="18"/>
                <w:szCs w:val="18"/>
                <w:lang w:eastAsia="en-GB"/>
              </w:rPr>
              <w:t xml:space="preserve">containing the gene for alpha-1,2-fucosyltransferase from </w:t>
            </w:r>
            <w:r w:rsidRPr="003A7B66">
              <w:rPr>
                <w:rFonts w:cs="Arial"/>
                <w:i/>
                <w:sz w:val="18"/>
                <w:szCs w:val="18"/>
                <w:lang w:eastAsia="en-GB"/>
              </w:rPr>
              <w:t>Helicobacter pylori</w:t>
            </w:r>
          </w:p>
        </w:tc>
        <w:tc>
          <w:tcPr>
            <w:tcW w:w="974" w:type="dxa"/>
            <w:gridSpan w:val="2"/>
            <w:tcBorders>
              <w:bottom w:val="single" w:sz="4" w:space="0" w:color="auto"/>
            </w:tcBorders>
            <w:tcMar>
              <w:top w:w="0" w:type="dxa"/>
              <w:left w:w="108" w:type="dxa"/>
              <w:bottom w:w="0" w:type="dxa"/>
              <w:right w:w="108" w:type="dxa"/>
            </w:tcMar>
            <w:hideMark/>
          </w:tcPr>
          <w:p w14:paraId="5FB79189" w14:textId="77777777" w:rsidR="00BA1917" w:rsidRPr="003A7B66" w:rsidRDefault="00BA1917" w:rsidP="00BA1917">
            <w:pPr>
              <w:spacing w:before="60" w:after="60"/>
              <w:ind w:right="36"/>
              <w:rPr>
                <w:rFonts w:cs="Arial"/>
                <w:sz w:val="18"/>
                <w:szCs w:val="18"/>
                <w:lang w:eastAsia="en-GB"/>
              </w:rPr>
            </w:pPr>
          </w:p>
        </w:tc>
        <w:tc>
          <w:tcPr>
            <w:tcW w:w="3988" w:type="dxa"/>
            <w:gridSpan w:val="2"/>
            <w:tcBorders>
              <w:bottom w:val="single" w:sz="4" w:space="0" w:color="auto"/>
            </w:tcBorders>
          </w:tcPr>
          <w:p w14:paraId="20571CD9" w14:textId="77777777" w:rsidR="00BA1917" w:rsidRPr="00D02515" w:rsidRDefault="00BA1917" w:rsidP="00BA1917">
            <w:pPr>
              <w:pStyle w:val="ListParagraph"/>
              <w:widowControl/>
              <w:numPr>
                <w:ilvl w:val="0"/>
                <w:numId w:val="70"/>
              </w:numPr>
              <w:spacing w:before="60" w:after="60"/>
              <w:ind w:left="305" w:right="34" w:hanging="283"/>
              <w:rPr>
                <w:rFonts w:cs="Arial"/>
                <w:sz w:val="18"/>
                <w:szCs w:val="18"/>
                <w:lang w:eastAsia="en-GB"/>
              </w:rPr>
            </w:pPr>
            <w:r w:rsidRPr="00D02515">
              <w:rPr>
                <w:rFonts w:cs="Arial"/>
                <w:sz w:val="18"/>
                <w:szCs w:val="18"/>
                <w:lang w:eastAsia="en-AU"/>
              </w:rPr>
              <w:t xml:space="preserve">May only be added to infant formula products and to </w:t>
            </w:r>
            <w:r w:rsidRPr="00D02515">
              <w:rPr>
                <w:sz w:val="18"/>
                <w:szCs w:val="18"/>
              </w:rPr>
              <w:t>formulated supplementary food for young children.</w:t>
            </w:r>
          </w:p>
          <w:p w14:paraId="48FA6FC6" w14:textId="6A3A6841" w:rsidR="00BA1917" w:rsidRPr="002D5929" w:rsidRDefault="00BA1917" w:rsidP="00BA1917">
            <w:pPr>
              <w:pStyle w:val="ListParagraph"/>
              <w:widowControl/>
              <w:numPr>
                <w:ilvl w:val="0"/>
                <w:numId w:val="70"/>
              </w:numPr>
              <w:spacing w:before="60" w:after="60"/>
              <w:ind w:left="305" w:right="36" w:hanging="283"/>
              <w:rPr>
                <w:rFonts w:cs="Arial"/>
                <w:sz w:val="18"/>
                <w:szCs w:val="18"/>
                <w:lang w:eastAsia="en-GB"/>
              </w:rPr>
            </w:pPr>
            <w:r w:rsidRPr="001B47B9">
              <w:rPr>
                <w:rFonts w:cs="Arial"/>
                <w:sz w:val="18"/>
                <w:szCs w:val="18"/>
                <w:lang w:eastAsia="en-GB"/>
              </w:rPr>
              <w:t xml:space="preserve">During the </w:t>
            </w:r>
            <w:r w:rsidRPr="001B47B9">
              <w:rPr>
                <w:sz w:val="18"/>
                <w:szCs w:val="18"/>
              </w:rPr>
              <w:t xml:space="preserve">exclusive use period, may only be sold under </w:t>
            </w:r>
            <w:r w:rsidRPr="001B47B9">
              <w:rPr>
                <w:rFonts w:cs="Arial"/>
                <w:sz w:val="18"/>
                <w:szCs w:val="18"/>
                <w:lang w:eastAsia="en-AU"/>
              </w:rPr>
              <w:t xml:space="preserve">the brand </w:t>
            </w:r>
            <w:r w:rsidR="00611466">
              <w:rPr>
                <w:rFonts w:cs="Arial"/>
                <w:sz w:val="18"/>
                <w:szCs w:val="18"/>
                <w:lang w:eastAsia="en-AU"/>
              </w:rPr>
              <w:t>GlyCare</w:t>
            </w:r>
            <w:r>
              <w:rPr>
                <w:rFonts w:cs="Arial"/>
                <w:sz w:val="18"/>
                <w:szCs w:val="18"/>
                <w:lang w:eastAsia="en-AU"/>
              </w:rPr>
              <w:t>.</w:t>
            </w:r>
          </w:p>
          <w:p w14:paraId="4A9EC895" w14:textId="77777777" w:rsidR="00BA1917" w:rsidRPr="001B47B9" w:rsidRDefault="00BA1917" w:rsidP="00BA1917">
            <w:pPr>
              <w:pStyle w:val="ListParagraph"/>
              <w:widowControl/>
              <w:numPr>
                <w:ilvl w:val="0"/>
                <w:numId w:val="70"/>
              </w:numPr>
              <w:spacing w:before="60" w:after="60"/>
              <w:ind w:left="305" w:right="36" w:hanging="283"/>
              <w:rPr>
                <w:rFonts w:cs="Arial"/>
                <w:sz w:val="18"/>
                <w:szCs w:val="18"/>
                <w:lang w:eastAsia="en-GB"/>
              </w:rPr>
            </w:pPr>
            <w:r>
              <w:rPr>
                <w:sz w:val="18"/>
                <w:szCs w:val="18"/>
              </w:rPr>
              <w:t>For the purposes of condition 2</w:t>
            </w:r>
            <w:r w:rsidRPr="001B47B9">
              <w:rPr>
                <w:sz w:val="18"/>
                <w:szCs w:val="18"/>
              </w:rPr>
              <w:t xml:space="preserve"> above, </w:t>
            </w:r>
            <w:r w:rsidRPr="001B47B9">
              <w:rPr>
                <w:b/>
                <w:sz w:val="18"/>
                <w:szCs w:val="18"/>
              </w:rPr>
              <w:t>exclusive use period</w:t>
            </w:r>
            <w:r w:rsidRPr="001B47B9">
              <w:rPr>
                <w:sz w:val="18"/>
                <w:szCs w:val="18"/>
              </w:rPr>
              <w:t xml:space="preserve"> means the period commencing on the date of gazettal of the </w:t>
            </w:r>
            <w:r w:rsidRPr="001B47B9">
              <w:rPr>
                <w:i/>
                <w:sz w:val="18"/>
                <w:szCs w:val="18"/>
              </w:rPr>
              <w:t>Food Standards (Application A1155 – 2</w:t>
            </w:r>
            <w:r>
              <w:rPr>
                <w:rFonts w:cs="Arial"/>
                <w:i/>
                <w:sz w:val="18"/>
                <w:szCs w:val="18"/>
              </w:rPr>
              <w:t>′</w:t>
            </w:r>
            <w:r w:rsidRPr="001B47B9">
              <w:rPr>
                <w:i/>
                <w:sz w:val="18"/>
                <w:szCs w:val="18"/>
              </w:rPr>
              <w:t>-FL and LNnT in infant formula and other products) Variation</w:t>
            </w:r>
            <w:r w:rsidRPr="001B47B9">
              <w:rPr>
                <w:sz w:val="18"/>
                <w:szCs w:val="18"/>
              </w:rPr>
              <w:t xml:space="preserve"> and ending 15 months after that date</w:t>
            </w:r>
            <w:r>
              <w:rPr>
                <w:sz w:val="18"/>
                <w:szCs w:val="18"/>
              </w:rPr>
              <w:t>.</w:t>
            </w:r>
          </w:p>
        </w:tc>
      </w:tr>
      <w:tr w:rsidR="00BA1917" w:rsidRPr="003A7B66" w14:paraId="62A9CC6D" w14:textId="77777777" w:rsidTr="00BA1917">
        <w:trPr>
          <w:cantSplit/>
          <w:trHeight w:val="329"/>
        </w:trPr>
        <w:tc>
          <w:tcPr>
            <w:tcW w:w="284" w:type="dxa"/>
            <w:tcBorders>
              <w:bottom w:val="single" w:sz="4" w:space="0" w:color="auto"/>
            </w:tcBorders>
            <w:tcMar>
              <w:top w:w="0" w:type="dxa"/>
              <w:left w:w="108" w:type="dxa"/>
              <w:bottom w:w="0" w:type="dxa"/>
              <w:right w:w="108" w:type="dxa"/>
            </w:tcMar>
          </w:tcPr>
          <w:p w14:paraId="3B27D82B" w14:textId="77777777" w:rsidR="00BA1917" w:rsidRPr="00943699" w:rsidRDefault="00BA1917" w:rsidP="00BA1917">
            <w:pPr>
              <w:spacing w:before="60" w:after="60"/>
              <w:rPr>
                <w:rFonts w:cs="Arial"/>
                <w:b/>
                <w:bCs/>
                <w:sz w:val="18"/>
                <w:szCs w:val="18"/>
                <w:lang w:eastAsia="en-GB"/>
              </w:rPr>
            </w:pPr>
            <w:r w:rsidRPr="00943699">
              <w:rPr>
                <w:rFonts w:cs="Arial"/>
                <w:b/>
                <w:bCs/>
                <w:sz w:val="18"/>
                <w:szCs w:val="18"/>
                <w:lang w:eastAsia="en-GB"/>
              </w:rPr>
              <w:t>2</w:t>
            </w:r>
          </w:p>
        </w:tc>
        <w:tc>
          <w:tcPr>
            <w:tcW w:w="2126" w:type="dxa"/>
            <w:tcBorders>
              <w:bottom w:val="single" w:sz="4" w:space="0" w:color="auto"/>
            </w:tcBorders>
            <w:tcMar>
              <w:top w:w="0" w:type="dxa"/>
              <w:left w:w="108" w:type="dxa"/>
              <w:bottom w:w="0" w:type="dxa"/>
              <w:right w:w="108" w:type="dxa"/>
            </w:tcMar>
          </w:tcPr>
          <w:p w14:paraId="029CB3A8" w14:textId="77777777" w:rsidR="00BA1917" w:rsidRPr="00943699" w:rsidRDefault="00BA1917" w:rsidP="00BA1917">
            <w:pPr>
              <w:spacing w:before="60" w:after="60"/>
              <w:rPr>
                <w:rFonts w:cs="Arial"/>
                <w:b/>
                <w:bCs/>
                <w:sz w:val="18"/>
                <w:szCs w:val="18"/>
                <w:lang w:eastAsia="en-GB"/>
              </w:rPr>
            </w:pPr>
            <w:r w:rsidRPr="00D02515">
              <w:rPr>
                <w:rFonts w:cs="Arial"/>
                <w:b/>
                <w:bCs/>
                <w:sz w:val="18"/>
                <w:szCs w:val="18"/>
                <w:lang w:eastAsia="en-GB"/>
              </w:rPr>
              <w:t>L</w:t>
            </w:r>
            <w:r w:rsidRPr="00943699">
              <w:rPr>
                <w:rFonts w:cs="Arial"/>
                <w:b/>
                <w:bCs/>
                <w:sz w:val="18"/>
                <w:szCs w:val="18"/>
                <w:lang w:eastAsia="en-GB"/>
              </w:rPr>
              <w:t>acto-</w:t>
            </w:r>
            <w:r w:rsidRPr="00EC41A5">
              <w:rPr>
                <w:rFonts w:cs="Arial"/>
                <w:b/>
                <w:bCs/>
                <w:sz w:val="18"/>
                <w:szCs w:val="18"/>
                <w:lang w:eastAsia="en-GB"/>
              </w:rPr>
              <w:t>N</w:t>
            </w:r>
            <w:r w:rsidRPr="00943699">
              <w:rPr>
                <w:rFonts w:cs="Arial"/>
                <w:b/>
                <w:bCs/>
                <w:sz w:val="18"/>
                <w:szCs w:val="18"/>
                <w:lang w:eastAsia="en-GB"/>
              </w:rPr>
              <w:t>-neotetraose</w:t>
            </w:r>
          </w:p>
        </w:tc>
        <w:tc>
          <w:tcPr>
            <w:tcW w:w="2693" w:type="dxa"/>
            <w:gridSpan w:val="2"/>
            <w:tcBorders>
              <w:bottom w:val="single" w:sz="4" w:space="0" w:color="auto"/>
            </w:tcBorders>
          </w:tcPr>
          <w:p w14:paraId="50A4D2D3" w14:textId="2B61C91E" w:rsidR="00BA1917" w:rsidRPr="00997C33" w:rsidRDefault="00BA1917" w:rsidP="00BA1917">
            <w:pPr>
              <w:pStyle w:val="ListParagraph"/>
              <w:widowControl/>
              <w:numPr>
                <w:ilvl w:val="0"/>
                <w:numId w:val="56"/>
              </w:numPr>
              <w:spacing w:before="60" w:after="60"/>
              <w:ind w:left="423" w:right="36" w:hanging="286"/>
              <w:rPr>
                <w:rFonts w:cs="Arial"/>
                <w:sz w:val="18"/>
                <w:szCs w:val="18"/>
                <w:lang w:eastAsia="en-GB"/>
              </w:rPr>
            </w:pPr>
            <w:r w:rsidRPr="00997C33">
              <w:rPr>
                <w:rFonts w:cs="Arial"/>
                <w:i/>
                <w:sz w:val="18"/>
                <w:szCs w:val="18"/>
                <w:lang w:eastAsia="en-GB"/>
              </w:rPr>
              <w:t>Escherichia coli</w:t>
            </w:r>
            <w:r w:rsidRPr="00997C33">
              <w:rPr>
                <w:rFonts w:cs="Arial"/>
                <w:sz w:val="18"/>
                <w:szCs w:val="18"/>
                <w:lang w:eastAsia="en-GB"/>
              </w:rPr>
              <w:t xml:space="preserve"> K-12 containing the gene for beta-1,3-N-acetylgl</w:t>
            </w:r>
            <w:r w:rsidR="00611466">
              <w:rPr>
                <w:rFonts w:cs="Arial"/>
                <w:sz w:val="18"/>
                <w:szCs w:val="18"/>
                <w:lang w:eastAsia="en-GB"/>
              </w:rPr>
              <w:t>u</w:t>
            </w:r>
            <w:r w:rsidRPr="00997C33">
              <w:rPr>
                <w:rFonts w:cs="Arial"/>
                <w:sz w:val="18"/>
                <w:szCs w:val="18"/>
                <w:lang w:eastAsia="en-GB"/>
              </w:rPr>
              <w:t xml:space="preserve">cosaminyltransferase from </w:t>
            </w:r>
            <w:r w:rsidRPr="00997C33">
              <w:rPr>
                <w:rFonts w:cs="Arial"/>
                <w:i/>
                <w:sz w:val="18"/>
                <w:szCs w:val="18"/>
                <w:lang w:eastAsia="en-GB"/>
              </w:rPr>
              <w:t>Neisseria meningitides</w:t>
            </w:r>
            <w:r w:rsidRPr="00997C33">
              <w:rPr>
                <w:rFonts w:cs="Arial"/>
                <w:sz w:val="18"/>
                <w:szCs w:val="18"/>
                <w:lang w:eastAsia="en-GB"/>
              </w:rPr>
              <w:t xml:space="preserve"> and the gene for beta-1,4-galactosyltransferase from </w:t>
            </w:r>
            <w:r w:rsidRPr="00997C33">
              <w:rPr>
                <w:rFonts w:cs="Arial"/>
                <w:i/>
                <w:sz w:val="18"/>
                <w:szCs w:val="18"/>
                <w:lang w:eastAsia="en-GB"/>
              </w:rPr>
              <w:t>Helicobacter pylori</w:t>
            </w:r>
          </w:p>
        </w:tc>
        <w:tc>
          <w:tcPr>
            <w:tcW w:w="935" w:type="dxa"/>
            <w:tcBorders>
              <w:bottom w:val="single" w:sz="4" w:space="0" w:color="auto"/>
            </w:tcBorders>
            <w:tcMar>
              <w:top w:w="0" w:type="dxa"/>
              <w:left w:w="108" w:type="dxa"/>
              <w:bottom w:w="0" w:type="dxa"/>
              <w:right w:w="108" w:type="dxa"/>
            </w:tcMar>
          </w:tcPr>
          <w:p w14:paraId="5E38DB98" w14:textId="77777777" w:rsidR="00BA1917" w:rsidRPr="00997C33" w:rsidRDefault="00BA1917" w:rsidP="00BA1917">
            <w:pPr>
              <w:spacing w:before="60" w:after="60"/>
              <w:ind w:right="36"/>
              <w:rPr>
                <w:rFonts w:cs="Arial"/>
                <w:sz w:val="18"/>
                <w:szCs w:val="18"/>
                <w:lang w:eastAsia="en-GB"/>
              </w:rPr>
            </w:pPr>
          </w:p>
        </w:tc>
        <w:tc>
          <w:tcPr>
            <w:tcW w:w="4111" w:type="dxa"/>
            <w:gridSpan w:val="4"/>
            <w:tcBorders>
              <w:bottom w:val="single" w:sz="4" w:space="0" w:color="auto"/>
            </w:tcBorders>
          </w:tcPr>
          <w:p w14:paraId="464D3920" w14:textId="181C7D3E" w:rsidR="00BA1917" w:rsidRPr="00943699" w:rsidRDefault="00BA1917" w:rsidP="00BA1917">
            <w:pPr>
              <w:pStyle w:val="ListParagraph"/>
              <w:widowControl/>
              <w:numPr>
                <w:ilvl w:val="0"/>
                <w:numId w:val="71"/>
              </w:numPr>
              <w:spacing w:before="60" w:after="60"/>
              <w:ind w:left="342" w:right="36" w:hanging="283"/>
              <w:rPr>
                <w:rFonts w:cs="Arial"/>
                <w:sz w:val="18"/>
                <w:szCs w:val="18"/>
                <w:lang w:eastAsia="en-GB"/>
              </w:rPr>
            </w:pPr>
            <w:r w:rsidRPr="00943699">
              <w:rPr>
                <w:rFonts w:cs="Arial"/>
                <w:sz w:val="18"/>
                <w:szCs w:val="18"/>
                <w:lang w:eastAsia="en-AU"/>
              </w:rPr>
              <w:t xml:space="preserve">May only be added to the following foods in combination with </w:t>
            </w:r>
            <w:r w:rsidRPr="00943699">
              <w:rPr>
                <w:rFonts w:cs="Arial"/>
                <w:bCs/>
                <w:sz w:val="18"/>
                <w:szCs w:val="18"/>
                <w:lang w:eastAsia="en-GB"/>
              </w:rPr>
              <w:t>2</w:t>
            </w:r>
            <w:r>
              <w:rPr>
                <w:rFonts w:cs="Arial"/>
                <w:bCs/>
                <w:sz w:val="18"/>
                <w:szCs w:val="18"/>
                <w:lang w:eastAsia="en-GB"/>
              </w:rPr>
              <w:t>′</w:t>
            </w:r>
            <w:r w:rsidRPr="00943699">
              <w:rPr>
                <w:rFonts w:cs="Arial"/>
                <w:bCs/>
                <w:sz w:val="18"/>
                <w:szCs w:val="18"/>
                <w:lang w:eastAsia="en-GB"/>
              </w:rPr>
              <w:t>-</w:t>
            </w:r>
            <w:r w:rsidRPr="00EC41A5">
              <w:rPr>
                <w:rFonts w:cs="Arial"/>
                <w:bCs/>
                <w:sz w:val="18"/>
                <w:szCs w:val="18"/>
                <w:lang w:eastAsia="en-GB"/>
              </w:rPr>
              <w:t>O</w:t>
            </w:r>
            <w:r w:rsidRPr="00943699">
              <w:rPr>
                <w:rFonts w:cs="Arial"/>
                <w:bCs/>
                <w:sz w:val="18"/>
                <w:szCs w:val="18"/>
                <w:lang w:eastAsia="en-GB"/>
              </w:rPr>
              <w:t>-</w:t>
            </w:r>
            <w:r>
              <w:rPr>
                <w:rFonts w:cs="Arial"/>
                <w:bCs/>
                <w:sz w:val="18"/>
                <w:szCs w:val="18"/>
                <w:lang w:eastAsia="en-GB"/>
              </w:rPr>
              <w:t>f</w:t>
            </w:r>
            <w:r w:rsidRPr="00943699">
              <w:rPr>
                <w:rFonts w:cs="Arial"/>
                <w:bCs/>
                <w:sz w:val="18"/>
                <w:szCs w:val="18"/>
                <w:lang w:eastAsia="en-GB"/>
              </w:rPr>
              <w:t xml:space="preserve">ucosyllactose that is </w:t>
            </w:r>
            <w:r w:rsidRPr="00D02515">
              <w:rPr>
                <w:rFonts w:cs="Arial"/>
                <w:bCs/>
                <w:sz w:val="18"/>
                <w:szCs w:val="18"/>
                <w:lang w:eastAsia="en-GB"/>
              </w:rPr>
              <w:t xml:space="preserve">permitted for use </w:t>
            </w:r>
            <w:r w:rsidR="00824B51">
              <w:rPr>
                <w:rFonts w:cs="Arial"/>
                <w:bCs/>
                <w:sz w:val="18"/>
                <w:szCs w:val="18"/>
                <w:lang w:eastAsia="en-GB"/>
              </w:rPr>
              <w:t>in</w:t>
            </w:r>
            <w:r w:rsidRPr="00943699">
              <w:rPr>
                <w:rFonts w:cs="Arial"/>
                <w:sz w:val="18"/>
                <w:szCs w:val="18"/>
                <w:lang w:eastAsia="en-AU"/>
              </w:rPr>
              <w:t xml:space="preserve"> infant formula products; and </w:t>
            </w:r>
            <w:r w:rsidRPr="00943699">
              <w:rPr>
                <w:sz w:val="18"/>
                <w:szCs w:val="18"/>
              </w:rPr>
              <w:t>formulated supplementary food for young children.</w:t>
            </w:r>
          </w:p>
          <w:p w14:paraId="1B95517A" w14:textId="22A0E944" w:rsidR="00BA1917" w:rsidRPr="00997C33" w:rsidRDefault="00BA1917" w:rsidP="00BA1917">
            <w:pPr>
              <w:pStyle w:val="ListParagraph"/>
              <w:widowControl/>
              <w:numPr>
                <w:ilvl w:val="0"/>
                <w:numId w:val="71"/>
              </w:numPr>
              <w:spacing w:before="60" w:after="60"/>
              <w:ind w:left="342" w:right="36" w:hanging="283"/>
              <w:rPr>
                <w:rFonts w:cs="Arial"/>
                <w:sz w:val="18"/>
                <w:szCs w:val="18"/>
                <w:lang w:eastAsia="en-GB"/>
              </w:rPr>
            </w:pPr>
            <w:r w:rsidRPr="00943699">
              <w:rPr>
                <w:rFonts w:cs="Arial"/>
                <w:sz w:val="18"/>
                <w:szCs w:val="18"/>
                <w:lang w:eastAsia="en-GB"/>
              </w:rPr>
              <w:t xml:space="preserve">During the </w:t>
            </w:r>
            <w:r w:rsidRPr="00943699">
              <w:rPr>
                <w:sz w:val="18"/>
                <w:szCs w:val="18"/>
              </w:rPr>
              <w:t xml:space="preserve">exclusive use period, may only be sold under </w:t>
            </w:r>
            <w:r w:rsidRPr="00997C33">
              <w:rPr>
                <w:rFonts w:cs="Arial"/>
                <w:sz w:val="18"/>
                <w:szCs w:val="18"/>
                <w:lang w:eastAsia="en-AU"/>
              </w:rPr>
              <w:t xml:space="preserve">the brand </w:t>
            </w:r>
            <w:r w:rsidR="00611466">
              <w:rPr>
                <w:rFonts w:cs="Arial"/>
                <w:sz w:val="18"/>
                <w:szCs w:val="18"/>
                <w:lang w:eastAsia="en-AU"/>
              </w:rPr>
              <w:t>GlyCare</w:t>
            </w:r>
            <w:r w:rsidRPr="00997C33">
              <w:rPr>
                <w:rFonts w:cs="Arial"/>
                <w:sz w:val="18"/>
                <w:szCs w:val="18"/>
                <w:lang w:eastAsia="en-AU"/>
              </w:rPr>
              <w:t>.</w:t>
            </w:r>
          </w:p>
          <w:p w14:paraId="4A63686C" w14:textId="77777777" w:rsidR="00BA1917" w:rsidRPr="00997C33" w:rsidRDefault="00BA1917" w:rsidP="00BA1917">
            <w:pPr>
              <w:pStyle w:val="ListParagraph"/>
              <w:widowControl/>
              <w:numPr>
                <w:ilvl w:val="0"/>
                <w:numId w:val="71"/>
              </w:numPr>
              <w:spacing w:before="60" w:after="60"/>
              <w:ind w:left="342" w:right="36" w:hanging="283"/>
              <w:rPr>
                <w:rFonts w:cs="Arial"/>
                <w:sz w:val="18"/>
                <w:szCs w:val="18"/>
                <w:lang w:eastAsia="en-GB"/>
              </w:rPr>
            </w:pPr>
            <w:r w:rsidRPr="00997C33">
              <w:rPr>
                <w:sz w:val="18"/>
                <w:szCs w:val="18"/>
              </w:rPr>
              <w:t xml:space="preserve">For the purposes of condition 2 above, </w:t>
            </w:r>
            <w:r w:rsidRPr="00997C33">
              <w:rPr>
                <w:b/>
                <w:sz w:val="18"/>
                <w:szCs w:val="18"/>
              </w:rPr>
              <w:t>exclusive use period</w:t>
            </w:r>
            <w:r w:rsidRPr="00997C33">
              <w:rPr>
                <w:sz w:val="18"/>
                <w:szCs w:val="18"/>
              </w:rPr>
              <w:t xml:space="preserve"> means the period commencing on the date of gazettal of the </w:t>
            </w:r>
            <w:r w:rsidRPr="00997C33">
              <w:rPr>
                <w:i/>
                <w:sz w:val="18"/>
                <w:szCs w:val="18"/>
              </w:rPr>
              <w:t>Food Standards (Application A1155 – 2</w:t>
            </w:r>
            <w:r w:rsidRPr="00D02515">
              <w:rPr>
                <w:rFonts w:cs="Arial"/>
                <w:i/>
                <w:sz w:val="18"/>
                <w:szCs w:val="18"/>
              </w:rPr>
              <w:t>′</w:t>
            </w:r>
            <w:r w:rsidRPr="00997C33">
              <w:rPr>
                <w:i/>
                <w:sz w:val="18"/>
                <w:szCs w:val="18"/>
              </w:rPr>
              <w:t>-FL and LNnT in infant formula and other products) Variation</w:t>
            </w:r>
            <w:r w:rsidRPr="00997C33">
              <w:rPr>
                <w:sz w:val="18"/>
                <w:szCs w:val="18"/>
              </w:rPr>
              <w:t xml:space="preserve"> and ending 15 months after that date.</w:t>
            </w:r>
          </w:p>
        </w:tc>
      </w:tr>
    </w:tbl>
    <w:p w14:paraId="27145F98" w14:textId="77777777" w:rsidR="00BA1917" w:rsidRDefault="00BA1917" w:rsidP="00BA1917">
      <w:pPr>
        <w:pStyle w:val="FSCDraftingitem"/>
        <w:rPr>
          <w:szCs w:val="22"/>
        </w:rPr>
      </w:pPr>
    </w:p>
    <w:p w14:paraId="53A41692" w14:textId="77777777" w:rsidR="00BA1917" w:rsidRDefault="00BA1917" w:rsidP="00BA1917">
      <w:pPr>
        <w:pStyle w:val="FSCDraftingitem"/>
        <w:rPr>
          <w:lang w:bidi="en-US"/>
        </w:rPr>
      </w:pPr>
      <w:r>
        <w:rPr>
          <w:b/>
          <w:lang w:bidi="en-US"/>
        </w:rPr>
        <w:t>[6]</w:t>
      </w:r>
      <w:r>
        <w:rPr>
          <w:b/>
          <w:lang w:bidi="en-US"/>
        </w:rPr>
        <w:tab/>
        <w:t>Schedule 29</w:t>
      </w:r>
      <w:r w:rsidRPr="00675956">
        <w:rPr>
          <w:lang w:bidi="en-US"/>
        </w:rPr>
        <w:t xml:space="preserve"> is varied by</w:t>
      </w:r>
    </w:p>
    <w:p w14:paraId="5902BC66" w14:textId="77777777" w:rsidR="00BA1917" w:rsidRDefault="00BA1917" w:rsidP="00BA1917">
      <w:pPr>
        <w:pStyle w:val="FSCDraftingitem"/>
        <w:rPr>
          <w:lang w:bidi="en-US"/>
        </w:rPr>
      </w:pPr>
      <w:r>
        <w:rPr>
          <w:lang w:bidi="en-US"/>
        </w:rPr>
        <w:t>[6.1]</w:t>
      </w:r>
      <w:r>
        <w:rPr>
          <w:lang w:bidi="en-US"/>
        </w:rPr>
        <w:tab/>
        <w:t xml:space="preserve">omitting section </w:t>
      </w:r>
      <w:r w:rsidRPr="001D1563">
        <w:t>S29—5</w:t>
      </w:r>
      <w:r>
        <w:t>, substituting</w:t>
      </w:r>
    </w:p>
    <w:p w14:paraId="59027B55" w14:textId="77777777" w:rsidR="00BA1917" w:rsidRPr="001D1563" w:rsidRDefault="00BA1917" w:rsidP="00BA1917">
      <w:pPr>
        <w:pStyle w:val="FSCh5Section"/>
      </w:pPr>
      <w:bookmarkStart w:id="199" w:name="_Ref341885462"/>
      <w:bookmarkStart w:id="200" w:name="_Toc371505897"/>
      <w:bookmarkStart w:id="201" w:name="_Toc400032544"/>
      <w:r w:rsidRPr="001D1563">
        <w:t>S29—5</w:t>
      </w:r>
      <w:r w:rsidRPr="001D1563">
        <w:tab/>
        <w:t>Infant formula products—substances permitted as nutritive substances</w:t>
      </w:r>
      <w:bookmarkEnd w:id="199"/>
      <w:bookmarkEnd w:id="200"/>
      <w:bookmarkEnd w:id="201"/>
    </w:p>
    <w:p w14:paraId="4F424365" w14:textId="77777777" w:rsidR="00BA1917" w:rsidRDefault="00BA1917" w:rsidP="00BA1917">
      <w:pPr>
        <w:pStyle w:val="FSCtMain"/>
        <w:tabs>
          <w:tab w:val="clear" w:pos="1134"/>
        </w:tabs>
        <w:rPr>
          <w:szCs w:val="20"/>
        </w:rPr>
      </w:pPr>
      <w:r>
        <w:t xml:space="preserve"> </w:t>
      </w:r>
      <w:r>
        <w:tab/>
      </w:r>
      <w:r w:rsidRPr="00943699">
        <w:t>For section 2.9.1—5, the</w:t>
      </w:r>
      <w:r w:rsidRPr="00943699">
        <w:rPr>
          <w:szCs w:val="20"/>
        </w:rPr>
        <w:t xml:space="preserve"> table is set out below.</w:t>
      </w:r>
    </w:p>
    <w:p w14:paraId="3C205986" w14:textId="77777777" w:rsidR="00BA1917" w:rsidRPr="001D1563" w:rsidRDefault="00BA1917" w:rsidP="00BA1917">
      <w:pPr>
        <w:pStyle w:val="FSCtblh2"/>
      </w:pPr>
      <w:r w:rsidRPr="001D1563">
        <w:t>Infant formula products—substances permitted for use as nutritive substances</w:t>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fant formula products - substances permitted for use as nutritive substances"/>
        <w:tblDescription w:val="The table restates the substances currently permitted for use as nutritive substances in infant formula products in S29-5 of Schedule 29, and adds two new rows for 2′-FL permitted for use by Standard 1.5.2, and a combination of 2′-FL permitted for use by Standard 1.5.2 and LNnT permitted for use by Standard 1.5.2.  The maximum amount permitted per 100 kJ is listed in Column 4 of the table."/>
      </w:tblPr>
      <w:tblGrid>
        <w:gridCol w:w="2834"/>
        <w:gridCol w:w="3554"/>
        <w:gridCol w:w="1278"/>
        <w:gridCol w:w="1399"/>
        <w:gridCol w:w="291"/>
      </w:tblGrid>
      <w:tr w:rsidR="00BA1917" w:rsidRPr="00E2569B" w14:paraId="3306126D" w14:textId="77777777" w:rsidTr="00BA1917">
        <w:trPr>
          <w:gridAfter w:val="1"/>
          <w:wAfter w:w="291" w:type="dxa"/>
          <w:cantSplit/>
          <w:tblHeader/>
          <w:jc w:val="center"/>
        </w:trPr>
        <w:tc>
          <w:tcPr>
            <w:tcW w:w="2834" w:type="dxa"/>
            <w:tcBorders>
              <w:top w:val="single" w:sz="4" w:space="0" w:color="auto"/>
              <w:bottom w:val="single" w:sz="4" w:space="0" w:color="auto"/>
            </w:tcBorders>
          </w:tcPr>
          <w:p w14:paraId="40174FBB" w14:textId="77777777" w:rsidR="00BA1917" w:rsidRPr="00E2569B" w:rsidRDefault="00BA1917" w:rsidP="00BA1917">
            <w:pPr>
              <w:pStyle w:val="FSCtblh3"/>
            </w:pPr>
            <w:r w:rsidRPr="00E2569B">
              <w:t>Column 1</w:t>
            </w:r>
          </w:p>
        </w:tc>
        <w:tc>
          <w:tcPr>
            <w:tcW w:w="3554" w:type="dxa"/>
            <w:tcBorders>
              <w:top w:val="single" w:sz="4" w:space="0" w:color="auto"/>
              <w:bottom w:val="single" w:sz="4" w:space="0" w:color="auto"/>
            </w:tcBorders>
          </w:tcPr>
          <w:p w14:paraId="595AA1E8" w14:textId="77777777" w:rsidR="00BA1917" w:rsidRPr="00E2569B" w:rsidRDefault="00BA1917" w:rsidP="00BA1917">
            <w:pPr>
              <w:pStyle w:val="FSCtblh3"/>
            </w:pPr>
            <w:r w:rsidRPr="00E2569B">
              <w:t>Column 2</w:t>
            </w:r>
          </w:p>
        </w:tc>
        <w:tc>
          <w:tcPr>
            <w:tcW w:w="1278" w:type="dxa"/>
            <w:tcBorders>
              <w:top w:val="single" w:sz="4" w:space="0" w:color="auto"/>
              <w:bottom w:val="single" w:sz="4" w:space="0" w:color="auto"/>
            </w:tcBorders>
          </w:tcPr>
          <w:p w14:paraId="05022D7B" w14:textId="77777777" w:rsidR="00BA1917" w:rsidRPr="00E2569B" w:rsidRDefault="00BA1917" w:rsidP="00BA1917">
            <w:pPr>
              <w:pStyle w:val="FSCtblh3"/>
            </w:pPr>
            <w:r w:rsidRPr="00E2569B">
              <w:t>Column 3</w:t>
            </w:r>
          </w:p>
        </w:tc>
        <w:tc>
          <w:tcPr>
            <w:tcW w:w="1399" w:type="dxa"/>
            <w:tcBorders>
              <w:top w:val="single" w:sz="4" w:space="0" w:color="auto"/>
              <w:bottom w:val="single" w:sz="4" w:space="0" w:color="auto"/>
            </w:tcBorders>
          </w:tcPr>
          <w:p w14:paraId="3F978640" w14:textId="77777777" w:rsidR="00BA1917" w:rsidRPr="00E2569B" w:rsidRDefault="00BA1917" w:rsidP="00BA1917">
            <w:pPr>
              <w:pStyle w:val="FSCtblh3"/>
            </w:pPr>
            <w:r w:rsidRPr="00E2569B">
              <w:t>Column 4</w:t>
            </w:r>
          </w:p>
        </w:tc>
      </w:tr>
      <w:tr w:rsidR="00BA1917" w:rsidRPr="00E2569B" w14:paraId="45FB761C" w14:textId="77777777" w:rsidTr="00BA1917">
        <w:trPr>
          <w:gridAfter w:val="1"/>
          <w:wAfter w:w="284" w:type="dxa"/>
          <w:cantSplit/>
          <w:tblHeader/>
          <w:jc w:val="center"/>
        </w:trPr>
        <w:tc>
          <w:tcPr>
            <w:tcW w:w="2836" w:type="dxa"/>
            <w:tcBorders>
              <w:top w:val="single" w:sz="4" w:space="0" w:color="auto"/>
              <w:bottom w:val="single" w:sz="4" w:space="0" w:color="auto"/>
            </w:tcBorders>
          </w:tcPr>
          <w:p w14:paraId="0AFDBCE3" w14:textId="77777777" w:rsidR="00BA1917" w:rsidRPr="00E2569B" w:rsidRDefault="00BA1917" w:rsidP="00BA1917">
            <w:pPr>
              <w:pStyle w:val="FSCtblh4"/>
            </w:pPr>
            <w:r w:rsidRPr="00E2569B">
              <w:t>Substance</w:t>
            </w:r>
          </w:p>
        </w:tc>
        <w:tc>
          <w:tcPr>
            <w:tcW w:w="3558" w:type="dxa"/>
            <w:tcBorders>
              <w:top w:val="single" w:sz="4" w:space="0" w:color="auto"/>
              <w:bottom w:val="single" w:sz="4" w:space="0" w:color="auto"/>
            </w:tcBorders>
          </w:tcPr>
          <w:p w14:paraId="43440969" w14:textId="77777777" w:rsidR="00BA1917" w:rsidRPr="00E2569B" w:rsidRDefault="00BA1917" w:rsidP="00BA1917">
            <w:pPr>
              <w:pStyle w:val="FSCtblh4"/>
            </w:pPr>
            <w:r w:rsidRPr="00E2569B">
              <w:t>Permitted forms</w:t>
            </w:r>
          </w:p>
        </w:tc>
        <w:tc>
          <w:tcPr>
            <w:tcW w:w="1279" w:type="dxa"/>
            <w:tcBorders>
              <w:top w:val="single" w:sz="4" w:space="0" w:color="auto"/>
              <w:bottom w:val="single" w:sz="4" w:space="0" w:color="auto"/>
            </w:tcBorders>
          </w:tcPr>
          <w:p w14:paraId="2429DCC9" w14:textId="77777777" w:rsidR="00BA1917" w:rsidRPr="00E2569B" w:rsidRDefault="00BA1917" w:rsidP="00BA1917">
            <w:pPr>
              <w:pStyle w:val="FSCtblh4"/>
            </w:pPr>
            <w:r w:rsidRPr="00E2569B">
              <w:t>Minimum amount per 100 kJ</w:t>
            </w:r>
          </w:p>
        </w:tc>
        <w:tc>
          <w:tcPr>
            <w:tcW w:w="1399" w:type="dxa"/>
            <w:tcBorders>
              <w:top w:val="single" w:sz="4" w:space="0" w:color="auto"/>
              <w:bottom w:val="single" w:sz="4" w:space="0" w:color="auto"/>
            </w:tcBorders>
          </w:tcPr>
          <w:p w14:paraId="7507C41D" w14:textId="77777777" w:rsidR="00BA1917" w:rsidRPr="00E2569B" w:rsidRDefault="00BA1917" w:rsidP="00BA1917">
            <w:pPr>
              <w:pStyle w:val="FSCtblh4"/>
            </w:pPr>
            <w:r w:rsidRPr="00E2569B">
              <w:t>Maximum amount per 100 kJ</w:t>
            </w:r>
          </w:p>
        </w:tc>
      </w:tr>
      <w:tr w:rsidR="00BA1917" w:rsidRPr="00997C33" w14:paraId="260BF59A" w14:textId="77777777" w:rsidTr="00BA1917">
        <w:trPr>
          <w:cantSplit/>
          <w:jc w:val="center"/>
        </w:trPr>
        <w:tc>
          <w:tcPr>
            <w:tcW w:w="2834" w:type="dxa"/>
          </w:tcPr>
          <w:p w14:paraId="5AEEE776" w14:textId="77777777" w:rsidR="00BA1917" w:rsidRPr="00943699" w:rsidRDefault="00BA1917" w:rsidP="00BA1917">
            <w:pPr>
              <w:pStyle w:val="FSCtblMain"/>
            </w:pPr>
            <w:r w:rsidRPr="00943699">
              <w:t>2′-</w:t>
            </w:r>
            <w:r w:rsidRPr="00EC41A5">
              <w:t>O</w:t>
            </w:r>
            <w:r w:rsidRPr="00943699">
              <w:t>-</w:t>
            </w:r>
            <w:r>
              <w:t>f</w:t>
            </w:r>
            <w:r w:rsidRPr="00943699">
              <w:t>ucosyllactose permitted for use by Standard 1.5.2</w:t>
            </w:r>
          </w:p>
        </w:tc>
        <w:tc>
          <w:tcPr>
            <w:tcW w:w="3554" w:type="dxa"/>
          </w:tcPr>
          <w:p w14:paraId="1A328B29" w14:textId="77777777" w:rsidR="00BA1917" w:rsidRPr="00997C33" w:rsidRDefault="00BA1917" w:rsidP="00BA1917">
            <w:pPr>
              <w:pStyle w:val="FSCtblMain"/>
            </w:pPr>
            <w:r w:rsidRPr="00997C33">
              <w:t>2′-</w:t>
            </w:r>
            <w:r w:rsidRPr="00EC41A5">
              <w:t>O</w:t>
            </w:r>
            <w:r w:rsidRPr="00997C33">
              <w:t>-</w:t>
            </w:r>
            <w:r>
              <w:t>f</w:t>
            </w:r>
            <w:r w:rsidRPr="00997C33">
              <w:t>ucosyllactose</w:t>
            </w:r>
          </w:p>
        </w:tc>
        <w:tc>
          <w:tcPr>
            <w:tcW w:w="1277" w:type="dxa"/>
          </w:tcPr>
          <w:p w14:paraId="20116FF3" w14:textId="77777777" w:rsidR="00BA1917" w:rsidRPr="00997C33" w:rsidRDefault="00BA1917" w:rsidP="00BA1917">
            <w:pPr>
              <w:pStyle w:val="FSCtblMain"/>
            </w:pPr>
          </w:p>
        </w:tc>
        <w:tc>
          <w:tcPr>
            <w:tcW w:w="1691" w:type="dxa"/>
            <w:gridSpan w:val="2"/>
          </w:tcPr>
          <w:p w14:paraId="58007EC3" w14:textId="77777777" w:rsidR="00BA1917" w:rsidRPr="00997C33" w:rsidRDefault="00BA1917" w:rsidP="00BA1917">
            <w:pPr>
              <w:pStyle w:val="FSCtblMain"/>
            </w:pPr>
            <w:r w:rsidRPr="00997C33">
              <w:t>96 mg</w:t>
            </w:r>
          </w:p>
        </w:tc>
      </w:tr>
      <w:tr w:rsidR="00BA1917" w:rsidRPr="00E2569B" w14:paraId="67E837F9" w14:textId="77777777" w:rsidTr="00BA1917">
        <w:trPr>
          <w:cantSplit/>
          <w:jc w:val="center"/>
        </w:trPr>
        <w:tc>
          <w:tcPr>
            <w:tcW w:w="2834" w:type="dxa"/>
          </w:tcPr>
          <w:p w14:paraId="33D9EAF7" w14:textId="77777777" w:rsidR="00BA1917" w:rsidRPr="00943699" w:rsidRDefault="00BA1917" w:rsidP="00BA1917">
            <w:pPr>
              <w:pStyle w:val="FSCtblMain"/>
            </w:pPr>
            <w:r w:rsidRPr="00943699">
              <w:t>A combination of: 2′-</w:t>
            </w:r>
            <w:r w:rsidRPr="00EC41A5">
              <w:t>O</w:t>
            </w:r>
            <w:r w:rsidRPr="00943699">
              <w:t>-</w:t>
            </w:r>
            <w:r>
              <w:t>f</w:t>
            </w:r>
            <w:r w:rsidRPr="00943699">
              <w:t>ucosyllactose permitted for use by Standard 1.5.2; and</w:t>
            </w:r>
            <w:r>
              <w:t xml:space="preserve"> l</w:t>
            </w:r>
            <w:r w:rsidRPr="00943699">
              <w:t>acto-</w:t>
            </w:r>
            <w:r w:rsidRPr="00EC41A5">
              <w:t>N</w:t>
            </w:r>
            <w:r w:rsidRPr="00943699">
              <w:t xml:space="preserve">-neotetraose permitted for use by Standard 1.5.2 </w:t>
            </w:r>
          </w:p>
        </w:tc>
        <w:tc>
          <w:tcPr>
            <w:tcW w:w="3554" w:type="dxa"/>
          </w:tcPr>
          <w:p w14:paraId="4A17CD49" w14:textId="77777777" w:rsidR="00BA1917" w:rsidRPr="00997C33" w:rsidRDefault="00BA1917" w:rsidP="00BA1917">
            <w:pPr>
              <w:pStyle w:val="FSCtblMain"/>
            </w:pPr>
            <w:r w:rsidRPr="00997C33">
              <w:t>2′-</w:t>
            </w:r>
            <w:r w:rsidRPr="00EC41A5">
              <w:t>O</w:t>
            </w:r>
            <w:r w:rsidRPr="00997C33">
              <w:t>-</w:t>
            </w:r>
            <w:r>
              <w:t>f</w:t>
            </w:r>
            <w:r w:rsidRPr="00997C33">
              <w:t xml:space="preserve">ucosyllactose and </w:t>
            </w:r>
            <w:r w:rsidRPr="00EC41A5">
              <w:t>la</w:t>
            </w:r>
            <w:r w:rsidRPr="00997C33">
              <w:t>cto-</w:t>
            </w:r>
            <w:r w:rsidRPr="00EC41A5">
              <w:t>N</w:t>
            </w:r>
            <w:r w:rsidRPr="00997C33">
              <w:t>-neotetraose</w:t>
            </w:r>
          </w:p>
        </w:tc>
        <w:tc>
          <w:tcPr>
            <w:tcW w:w="1277" w:type="dxa"/>
          </w:tcPr>
          <w:p w14:paraId="0E2B5545" w14:textId="77777777" w:rsidR="00BA1917" w:rsidRPr="00997C33" w:rsidRDefault="00BA1917" w:rsidP="00BA1917">
            <w:pPr>
              <w:pStyle w:val="FSCtblMain"/>
            </w:pPr>
          </w:p>
        </w:tc>
        <w:tc>
          <w:tcPr>
            <w:tcW w:w="1691" w:type="dxa"/>
            <w:gridSpan w:val="2"/>
          </w:tcPr>
          <w:p w14:paraId="2F72F330" w14:textId="77777777" w:rsidR="00BA1917" w:rsidRPr="00EC41A5" w:rsidRDefault="00BA1917" w:rsidP="00BA1917">
            <w:pPr>
              <w:pStyle w:val="FSCtblMain"/>
            </w:pPr>
            <w:r w:rsidRPr="00EC41A5">
              <w:t>96 mg which contains not more than 24 mg of lacto-N-neotetraose</w:t>
            </w:r>
          </w:p>
        </w:tc>
      </w:tr>
      <w:tr w:rsidR="00BA1917" w:rsidRPr="00E2569B" w14:paraId="5AE88893" w14:textId="77777777" w:rsidTr="00BA1917">
        <w:trPr>
          <w:gridAfter w:val="1"/>
          <w:wAfter w:w="286" w:type="dxa"/>
          <w:cantSplit/>
          <w:jc w:val="center"/>
        </w:trPr>
        <w:tc>
          <w:tcPr>
            <w:tcW w:w="2834" w:type="dxa"/>
          </w:tcPr>
          <w:p w14:paraId="52B84CDB" w14:textId="77777777" w:rsidR="00BA1917" w:rsidRPr="00E2569B" w:rsidRDefault="00BA1917" w:rsidP="00BA1917">
            <w:pPr>
              <w:pStyle w:val="FSCtblMain"/>
            </w:pPr>
            <w:r w:rsidRPr="00E2569B">
              <w:t>Adenosine-5</w:t>
            </w:r>
            <w:r>
              <w:t>′</w:t>
            </w:r>
            <w:r w:rsidRPr="00E2569B">
              <w:t>-monophosphate</w:t>
            </w:r>
          </w:p>
        </w:tc>
        <w:tc>
          <w:tcPr>
            <w:tcW w:w="3558" w:type="dxa"/>
          </w:tcPr>
          <w:p w14:paraId="03696200" w14:textId="77777777" w:rsidR="00BA1917" w:rsidRPr="00E2569B" w:rsidRDefault="00BA1917" w:rsidP="00BA1917">
            <w:pPr>
              <w:pStyle w:val="FSCtblMain"/>
            </w:pPr>
            <w:r w:rsidRPr="00E2569B">
              <w:t>Adenosine-5</w:t>
            </w:r>
            <w:r>
              <w:t>′</w:t>
            </w:r>
            <w:r w:rsidRPr="00E2569B">
              <w:t>- monophosphate</w:t>
            </w:r>
          </w:p>
        </w:tc>
        <w:tc>
          <w:tcPr>
            <w:tcW w:w="1279" w:type="dxa"/>
          </w:tcPr>
          <w:p w14:paraId="7CE157D0" w14:textId="77777777" w:rsidR="00BA1917" w:rsidRPr="00E2569B" w:rsidRDefault="00BA1917" w:rsidP="00BA1917">
            <w:pPr>
              <w:pStyle w:val="FSCtblMain"/>
            </w:pPr>
            <w:r w:rsidRPr="00E2569B">
              <w:t>0.14 mg</w:t>
            </w:r>
          </w:p>
        </w:tc>
        <w:tc>
          <w:tcPr>
            <w:tcW w:w="1399" w:type="dxa"/>
          </w:tcPr>
          <w:p w14:paraId="6BF2C125" w14:textId="77777777" w:rsidR="00BA1917" w:rsidRPr="00E2569B" w:rsidRDefault="00BA1917" w:rsidP="00BA1917">
            <w:pPr>
              <w:pStyle w:val="FSCtblMain"/>
            </w:pPr>
            <w:r w:rsidRPr="00E2569B">
              <w:t>0.38 mg</w:t>
            </w:r>
          </w:p>
        </w:tc>
      </w:tr>
      <w:tr w:rsidR="00BA1917" w:rsidRPr="00E2569B" w14:paraId="63683D2B" w14:textId="77777777" w:rsidTr="00BA1917">
        <w:trPr>
          <w:gridAfter w:val="1"/>
          <w:wAfter w:w="291" w:type="dxa"/>
          <w:cantSplit/>
          <w:jc w:val="center"/>
        </w:trPr>
        <w:tc>
          <w:tcPr>
            <w:tcW w:w="2834" w:type="dxa"/>
          </w:tcPr>
          <w:p w14:paraId="25CC4B0B" w14:textId="77777777" w:rsidR="00BA1917" w:rsidRPr="00E2569B" w:rsidRDefault="00BA1917" w:rsidP="00BA1917">
            <w:pPr>
              <w:pStyle w:val="FSCtblMain"/>
            </w:pPr>
            <w:r w:rsidRPr="00E2569B">
              <w:t>L-carnitine</w:t>
            </w:r>
          </w:p>
        </w:tc>
        <w:tc>
          <w:tcPr>
            <w:tcW w:w="3554" w:type="dxa"/>
          </w:tcPr>
          <w:p w14:paraId="29679E18" w14:textId="77777777" w:rsidR="00BA1917" w:rsidRPr="00E2569B" w:rsidRDefault="00BA1917" w:rsidP="00BA1917">
            <w:pPr>
              <w:pStyle w:val="FSCtblMain"/>
            </w:pPr>
            <w:r w:rsidRPr="00E2569B">
              <w:t>L-carnitine</w:t>
            </w:r>
          </w:p>
        </w:tc>
        <w:tc>
          <w:tcPr>
            <w:tcW w:w="1278" w:type="dxa"/>
          </w:tcPr>
          <w:p w14:paraId="0728C1EF" w14:textId="77777777" w:rsidR="00BA1917" w:rsidRPr="00E2569B" w:rsidRDefault="00BA1917" w:rsidP="00BA1917">
            <w:pPr>
              <w:pStyle w:val="FSCtblMain"/>
            </w:pPr>
            <w:r w:rsidRPr="00E2569B">
              <w:t xml:space="preserve">0.21 mg </w:t>
            </w:r>
          </w:p>
        </w:tc>
        <w:tc>
          <w:tcPr>
            <w:tcW w:w="1399" w:type="dxa"/>
          </w:tcPr>
          <w:p w14:paraId="41A49EAD" w14:textId="77777777" w:rsidR="00BA1917" w:rsidRPr="00E2569B" w:rsidRDefault="00BA1917" w:rsidP="00BA1917">
            <w:pPr>
              <w:pStyle w:val="FSCtblMain"/>
            </w:pPr>
            <w:r w:rsidRPr="00E2569B">
              <w:t>0.8 mg</w:t>
            </w:r>
          </w:p>
        </w:tc>
      </w:tr>
      <w:tr w:rsidR="00BA1917" w:rsidRPr="00E2569B" w14:paraId="2D20135C" w14:textId="77777777" w:rsidTr="00BA1917">
        <w:trPr>
          <w:gridAfter w:val="1"/>
          <w:wAfter w:w="291" w:type="dxa"/>
          <w:cantSplit/>
          <w:jc w:val="center"/>
        </w:trPr>
        <w:tc>
          <w:tcPr>
            <w:tcW w:w="2834" w:type="dxa"/>
          </w:tcPr>
          <w:p w14:paraId="30FF9129" w14:textId="77777777" w:rsidR="00BA1917" w:rsidRPr="00E2569B" w:rsidRDefault="00BA1917" w:rsidP="00BA1917">
            <w:pPr>
              <w:pStyle w:val="FSCtblMain"/>
            </w:pPr>
            <w:r w:rsidRPr="00E2569B">
              <w:t>Choline</w:t>
            </w:r>
          </w:p>
        </w:tc>
        <w:tc>
          <w:tcPr>
            <w:tcW w:w="3554" w:type="dxa"/>
          </w:tcPr>
          <w:p w14:paraId="57709302" w14:textId="77777777" w:rsidR="00BA1917" w:rsidRPr="00E2569B" w:rsidRDefault="00BA1917" w:rsidP="00BA1917">
            <w:pPr>
              <w:pStyle w:val="FSCtblMain"/>
            </w:pPr>
            <w:r w:rsidRPr="00E2569B">
              <w:t>Choline chloride</w:t>
            </w:r>
          </w:p>
        </w:tc>
        <w:tc>
          <w:tcPr>
            <w:tcW w:w="1278" w:type="dxa"/>
          </w:tcPr>
          <w:p w14:paraId="14C487A6" w14:textId="77777777" w:rsidR="00BA1917" w:rsidRPr="00E2569B" w:rsidRDefault="00BA1917" w:rsidP="00BA1917">
            <w:pPr>
              <w:pStyle w:val="FSCtblMain"/>
            </w:pPr>
            <w:r w:rsidRPr="00E2569B">
              <w:t xml:space="preserve">1.7 mg </w:t>
            </w:r>
          </w:p>
        </w:tc>
        <w:tc>
          <w:tcPr>
            <w:tcW w:w="1399" w:type="dxa"/>
          </w:tcPr>
          <w:p w14:paraId="5294AF90" w14:textId="77777777" w:rsidR="00BA1917" w:rsidRPr="00E2569B" w:rsidRDefault="00BA1917" w:rsidP="00BA1917">
            <w:pPr>
              <w:pStyle w:val="FSCtblMain"/>
            </w:pPr>
            <w:r w:rsidRPr="00E2569B">
              <w:t>7.1 mg</w:t>
            </w:r>
          </w:p>
        </w:tc>
      </w:tr>
      <w:tr w:rsidR="00BA1917" w:rsidRPr="00E2569B" w14:paraId="0D692C61" w14:textId="77777777" w:rsidTr="00BA1917">
        <w:trPr>
          <w:gridAfter w:val="1"/>
          <w:wAfter w:w="291" w:type="dxa"/>
          <w:cantSplit/>
          <w:jc w:val="center"/>
        </w:trPr>
        <w:tc>
          <w:tcPr>
            <w:tcW w:w="2834" w:type="dxa"/>
          </w:tcPr>
          <w:p w14:paraId="4293876A" w14:textId="77777777" w:rsidR="00BA1917" w:rsidRPr="00E2569B" w:rsidRDefault="00BA1917" w:rsidP="00BA1917">
            <w:pPr>
              <w:pStyle w:val="FSCbasetbl"/>
            </w:pPr>
          </w:p>
        </w:tc>
        <w:tc>
          <w:tcPr>
            <w:tcW w:w="3554" w:type="dxa"/>
          </w:tcPr>
          <w:p w14:paraId="30BEC2ED" w14:textId="77777777" w:rsidR="00BA1917" w:rsidRPr="00E2569B" w:rsidRDefault="00BA1917" w:rsidP="00BA1917">
            <w:pPr>
              <w:pStyle w:val="FSCtblMain"/>
            </w:pPr>
            <w:r w:rsidRPr="00E2569B">
              <w:t>Choline bitartrate</w:t>
            </w:r>
          </w:p>
        </w:tc>
        <w:tc>
          <w:tcPr>
            <w:tcW w:w="1278" w:type="dxa"/>
          </w:tcPr>
          <w:p w14:paraId="2148DAA3" w14:textId="77777777" w:rsidR="00BA1917" w:rsidRPr="00E2569B" w:rsidRDefault="00BA1917" w:rsidP="00BA1917">
            <w:pPr>
              <w:pStyle w:val="FSCbasetbl"/>
            </w:pPr>
          </w:p>
        </w:tc>
        <w:tc>
          <w:tcPr>
            <w:tcW w:w="1399" w:type="dxa"/>
          </w:tcPr>
          <w:p w14:paraId="02F85F35" w14:textId="77777777" w:rsidR="00BA1917" w:rsidRPr="00E2569B" w:rsidRDefault="00BA1917" w:rsidP="00BA1917">
            <w:pPr>
              <w:pStyle w:val="FSCtblMain"/>
            </w:pPr>
          </w:p>
        </w:tc>
      </w:tr>
      <w:tr w:rsidR="00BA1917" w:rsidRPr="00E2569B" w14:paraId="7A4581F0" w14:textId="77777777" w:rsidTr="00BA1917">
        <w:trPr>
          <w:gridAfter w:val="1"/>
          <w:wAfter w:w="291" w:type="dxa"/>
          <w:cantSplit/>
          <w:jc w:val="center"/>
        </w:trPr>
        <w:tc>
          <w:tcPr>
            <w:tcW w:w="2834" w:type="dxa"/>
          </w:tcPr>
          <w:p w14:paraId="16D83A98" w14:textId="77777777" w:rsidR="00BA1917" w:rsidRPr="00E2569B" w:rsidRDefault="00BA1917" w:rsidP="00BA1917">
            <w:pPr>
              <w:pStyle w:val="FSCtblMain"/>
            </w:pPr>
            <w:r w:rsidRPr="00E2569B">
              <w:t>Cytidine-5</w:t>
            </w:r>
            <w:r>
              <w:t>′</w:t>
            </w:r>
            <w:r w:rsidRPr="00E2569B">
              <w:t>-monophosphate</w:t>
            </w:r>
          </w:p>
        </w:tc>
        <w:tc>
          <w:tcPr>
            <w:tcW w:w="3554" w:type="dxa"/>
          </w:tcPr>
          <w:p w14:paraId="004C89ED" w14:textId="77777777" w:rsidR="00BA1917" w:rsidRPr="00E2569B" w:rsidRDefault="00BA1917" w:rsidP="00BA1917">
            <w:pPr>
              <w:pStyle w:val="FSCtblMain"/>
            </w:pPr>
            <w:r w:rsidRPr="00E2569B">
              <w:t>Cytidine-5</w:t>
            </w:r>
            <w:r>
              <w:t>′</w:t>
            </w:r>
            <w:r w:rsidRPr="00E2569B">
              <w:t>-monophosphate</w:t>
            </w:r>
          </w:p>
        </w:tc>
        <w:tc>
          <w:tcPr>
            <w:tcW w:w="1278" w:type="dxa"/>
          </w:tcPr>
          <w:p w14:paraId="1353FF20" w14:textId="77777777" w:rsidR="00BA1917" w:rsidRPr="00E2569B" w:rsidRDefault="00BA1917" w:rsidP="00BA1917">
            <w:pPr>
              <w:pStyle w:val="FSCtblMain"/>
            </w:pPr>
            <w:r w:rsidRPr="00E2569B">
              <w:t xml:space="preserve">0.22 mg </w:t>
            </w:r>
          </w:p>
        </w:tc>
        <w:tc>
          <w:tcPr>
            <w:tcW w:w="1399" w:type="dxa"/>
          </w:tcPr>
          <w:p w14:paraId="186F20AE" w14:textId="77777777" w:rsidR="00BA1917" w:rsidRPr="00E2569B" w:rsidRDefault="00BA1917" w:rsidP="00BA1917">
            <w:pPr>
              <w:pStyle w:val="FSCtblMain"/>
            </w:pPr>
            <w:r w:rsidRPr="00E2569B">
              <w:t>0.6 mg</w:t>
            </w:r>
          </w:p>
        </w:tc>
      </w:tr>
      <w:tr w:rsidR="00BA1917" w:rsidRPr="00E2569B" w14:paraId="42C5EB36" w14:textId="77777777" w:rsidTr="00BA1917">
        <w:trPr>
          <w:gridAfter w:val="1"/>
          <w:wAfter w:w="291" w:type="dxa"/>
          <w:cantSplit/>
          <w:jc w:val="center"/>
        </w:trPr>
        <w:tc>
          <w:tcPr>
            <w:tcW w:w="2834" w:type="dxa"/>
          </w:tcPr>
          <w:p w14:paraId="5796D891" w14:textId="77777777" w:rsidR="00BA1917" w:rsidRPr="00E2569B" w:rsidRDefault="00BA1917" w:rsidP="00BA1917">
            <w:pPr>
              <w:pStyle w:val="FSCtblMain"/>
            </w:pPr>
            <w:r w:rsidRPr="00E2569B">
              <w:t>Guanosine-5</w:t>
            </w:r>
            <w:r>
              <w:t>′</w:t>
            </w:r>
            <w:r w:rsidRPr="00E2569B">
              <w:t>-monophosphate</w:t>
            </w:r>
          </w:p>
        </w:tc>
        <w:tc>
          <w:tcPr>
            <w:tcW w:w="3554" w:type="dxa"/>
          </w:tcPr>
          <w:p w14:paraId="50FF12CF" w14:textId="77777777" w:rsidR="00BA1917" w:rsidRPr="00E2569B" w:rsidRDefault="00BA1917" w:rsidP="00BA1917">
            <w:pPr>
              <w:pStyle w:val="FSCtblMain"/>
            </w:pPr>
            <w:r w:rsidRPr="00E2569B">
              <w:t>Guanosine-5</w:t>
            </w:r>
            <w:r>
              <w:t>′</w:t>
            </w:r>
            <w:r w:rsidRPr="00E2569B">
              <w:t>-monophosphate</w:t>
            </w:r>
          </w:p>
        </w:tc>
        <w:tc>
          <w:tcPr>
            <w:tcW w:w="1278" w:type="dxa"/>
          </w:tcPr>
          <w:p w14:paraId="64816AC2" w14:textId="77777777" w:rsidR="00BA1917" w:rsidRPr="00E2569B" w:rsidRDefault="00BA1917" w:rsidP="00BA1917">
            <w:pPr>
              <w:pStyle w:val="FSCtblMain"/>
            </w:pPr>
            <w:r w:rsidRPr="00E2569B">
              <w:t xml:space="preserve">0.04 mg </w:t>
            </w:r>
          </w:p>
        </w:tc>
        <w:tc>
          <w:tcPr>
            <w:tcW w:w="1399" w:type="dxa"/>
          </w:tcPr>
          <w:p w14:paraId="53E99354" w14:textId="77777777" w:rsidR="00BA1917" w:rsidRPr="00E2569B" w:rsidRDefault="00BA1917" w:rsidP="00BA1917">
            <w:pPr>
              <w:pStyle w:val="FSCtblMain"/>
            </w:pPr>
            <w:r w:rsidRPr="00E2569B">
              <w:t>0.12 mg</w:t>
            </w:r>
          </w:p>
        </w:tc>
      </w:tr>
      <w:tr w:rsidR="00BA1917" w:rsidRPr="00E2569B" w14:paraId="65634A54" w14:textId="77777777" w:rsidTr="00BA1917">
        <w:trPr>
          <w:gridAfter w:val="1"/>
          <w:wAfter w:w="291" w:type="dxa"/>
          <w:cantSplit/>
          <w:jc w:val="center"/>
        </w:trPr>
        <w:tc>
          <w:tcPr>
            <w:tcW w:w="2834" w:type="dxa"/>
          </w:tcPr>
          <w:p w14:paraId="3DDD4D76" w14:textId="77777777" w:rsidR="00BA1917" w:rsidRPr="00E2569B" w:rsidRDefault="00BA1917" w:rsidP="00BA1917">
            <w:pPr>
              <w:pStyle w:val="FSCtblMain"/>
            </w:pPr>
            <w:r w:rsidRPr="00E2569B">
              <w:t xml:space="preserve"> </w:t>
            </w:r>
          </w:p>
        </w:tc>
        <w:tc>
          <w:tcPr>
            <w:tcW w:w="3554" w:type="dxa"/>
          </w:tcPr>
          <w:p w14:paraId="6DF16F59" w14:textId="77777777" w:rsidR="00BA1917" w:rsidRPr="00E2569B" w:rsidRDefault="00BA1917" w:rsidP="00BA1917">
            <w:pPr>
              <w:pStyle w:val="FSCtblMain"/>
            </w:pPr>
            <w:r w:rsidRPr="00E2569B">
              <w:t>Guanosine-5</w:t>
            </w:r>
            <w:r>
              <w:t>′</w:t>
            </w:r>
            <w:r w:rsidRPr="00E2569B">
              <w:t>-monophosphate sodium salt</w:t>
            </w:r>
          </w:p>
        </w:tc>
        <w:tc>
          <w:tcPr>
            <w:tcW w:w="1278" w:type="dxa"/>
          </w:tcPr>
          <w:p w14:paraId="62498E1C" w14:textId="77777777" w:rsidR="00BA1917" w:rsidRPr="00E2569B" w:rsidRDefault="00BA1917" w:rsidP="00BA1917">
            <w:pPr>
              <w:pStyle w:val="FSCbasetbl"/>
            </w:pPr>
          </w:p>
        </w:tc>
        <w:tc>
          <w:tcPr>
            <w:tcW w:w="1399" w:type="dxa"/>
          </w:tcPr>
          <w:p w14:paraId="3ADDADDA" w14:textId="77777777" w:rsidR="00BA1917" w:rsidRPr="00E2569B" w:rsidRDefault="00BA1917" w:rsidP="00BA1917">
            <w:pPr>
              <w:pStyle w:val="FSCtblMain"/>
            </w:pPr>
          </w:p>
        </w:tc>
      </w:tr>
      <w:tr w:rsidR="00BA1917" w:rsidRPr="00E2569B" w14:paraId="0577E2F2" w14:textId="77777777" w:rsidTr="00BA1917">
        <w:trPr>
          <w:gridAfter w:val="1"/>
          <w:wAfter w:w="291" w:type="dxa"/>
          <w:cantSplit/>
          <w:jc w:val="center"/>
        </w:trPr>
        <w:tc>
          <w:tcPr>
            <w:tcW w:w="2834" w:type="dxa"/>
          </w:tcPr>
          <w:p w14:paraId="2D2752F5" w14:textId="77777777" w:rsidR="00BA1917" w:rsidRPr="00E2569B" w:rsidRDefault="00BA1917" w:rsidP="00BA1917">
            <w:pPr>
              <w:pStyle w:val="FSCtblMain"/>
            </w:pPr>
            <w:r w:rsidRPr="00E2569B">
              <w:t>Inosine-5</w:t>
            </w:r>
            <w:r>
              <w:t>′</w:t>
            </w:r>
            <w:r w:rsidRPr="00E2569B">
              <w:t>-monophosphate</w:t>
            </w:r>
          </w:p>
        </w:tc>
        <w:tc>
          <w:tcPr>
            <w:tcW w:w="3554" w:type="dxa"/>
          </w:tcPr>
          <w:p w14:paraId="58A63DB2" w14:textId="77777777" w:rsidR="00BA1917" w:rsidRPr="00E2569B" w:rsidRDefault="00BA1917" w:rsidP="00BA1917">
            <w:pPr>
              <w:pStyle w:val="FSCtblMain"/>
            </w:pPr>
            <w:r w:rsidRPr="00E2569B">
              <w:t>Inosine-5</w:t>
            </w:r>
            <w:r>
              <w:t>′</w:t>
            </w:r>
            <w:r w:rsidRPr="00E2569B">
              <w:t>-monophosphate</w:t>
            </w:r>
          </w:p>
        </w:tc>
        <w:tc>
          <w:tcPr>
            <w:tcW w:w="1278" w:type="dxa"/>
          </w:tcPr>
          <w:p w14:paraId="7C99B472" w14:textId="77777777" w:rsidR="00BA1917" w:rsidRPr="00E2569B" w:rsidRDefault="00BA1917" w:rsidP="00BA1917">
            <w:pPr>
              <w:pStyle w:val="FSCtblMain"/>
            </w:pPr>
            <w:r w:rsidRPr="00E2569B">
              <w:t xml:space="preserve">0.08 mg </w:t>
            </w:r>
          </w:p>
        </w:tc>
        <w:tc>
          <w:tcPr>
            <w:tcW w:w="1399" w:type="dxa"/>
          </w:tcPr>
          <w:p w14:paraId="2FAC7100" w14:textId="77777777" w:rsidR="00BA1917" w:rsidRPr="00E2569B" w:rsidRDefault="00BA1917" w:rsidP="00BA1917">
            <w:pPr>
              <w:pStyle w:val="FSCtblMain"/>
            </w:pPr>
            <w:r w:rsidRPr="00E2569B">
              <w:t>0.24 mg</w:t>
            </w:r>
          </w:p>
        </w:tc>
      </w:tr>
      <w:tr w:rsidR="00BA1917" w:rsidRPr="00E2569B" w14:paraId="433EF6EA" w14:textId="77777777" w:rsidTr="00BA1917">
        <w:trPr>
          <w:gridAfter w:val="1"/>
          <w:wAfter w:w="291" w:type="dxa"/>
          <w:cantSplit/>
          <w:jc w:val="center"/>
        </w:trPr>
        <w:tc>
          <w:tcPr>
            <w:tcW w:w="2834" w:type="dxa"/>
          </w:tcPr>
          <w:p w14:paraId="634A1E80" w14:textId="77777777" w:rsidR="00BA1917" w:rsidRPr="00E2569B" w:rsidRDefault="00BA1917" w:rsidP="00BA1917">
            <w:pPr>
              <w:pStyle w:val="FSCbasetbl"/>
            </w:pPr>
          </w:p>
        </w:tc>
        <w:tc>
          <w:tcPr>
            <w:tcW w:w="3554" w:type="dxa"/>
          </w:tcPr>
          <w:p w14:paraId="2D81045F" w14:textId="77777777" w:rsidR="00BA1917" w:rsidRPr="00E2569B" w:rsidRDefault="00BA1917" w:rsidP="00BA1917">
            <w:pPr>
              <w:pStyle w:val="FSCtblMain"/>
            </w:pPr>
            <w:r w:rsidRPr="00E2569B">
              <w:t>Inosine-5</w:t>
            </w:r>
            <w:r>
              <w:t>′</w:t>
            </w:r>
            <w:r w:rsidRPr="00E2569B">
              <w:t>-monophosphate sodium salt</w:t>
            </w:r>
          </w:p>
        </w:tc>
        <w:tc>
          <w:tcPr>
            <w:tcW w:w="1278" w:type="dxa"/>
          </w:tcPr>
          <w:p w14:paraId="49916B41" w14:textId="77777777" w:rsidR="00BA1917" w:rsidRPr="00E2569B" w:rsidRDefault="00BA1917" w:rsidP="00BA1917">
            <w:pPr>
              <w:pStyle w:val="FSCbasetbl"/>
            </w:pPr>
          </w:p>
        </w:tc>
        <w:tc>
          <w:tcPr>
            <w:tcW w:w="1399" w:type="dxa"/>
          </w:tcPr>
          <w:p w14:paraId="6ACC8609" w14:textId="77777777" w:rsidR="00BA1917" w:rsidRPr="00E2569B" w:rsidRDefault="00BA1917" w:rsidP="00BA1917">
            <w:pPr>
              <w:pStyle w:val="FSCtblMain"/>
            </w:pPr>
            <w:r w:rsidRPr="00E2569B">
              <w:t xml:space="preserve"> </w:t>
            </w:r>
          </w:p>
        </w:tc>
      </w:tr>
      <w:tr w:rsidR="00BA1917" w:rsidRPr="00E2569B" w14:paraId="426AA870" w14:textId="77777777" w:rsidTr="00BA1917">
        <w:trPr>
          <w:gridAfter w:val="1"/>
          <w:wAfter w:w="291" w:type="dxa"/>
          <w:cantSplit/>
          <w:jc w:val="center"/>
        </w:trPr>
        <w:tc>
          <w:tcPr>
            <w:tcW w:w="2834" w:type="dxa"/>
          </w:tcPr>
          <w:p w14:paraId="61933B5C" w14:textId="77777777" w:rsidR="00BA1917" w:rsidRPr="00A32A9E" w:rsidRDefault="00BA1917" w:rsidP="00BA1917">
            <w:pPr>
              <w:pStyle w:val="FSCtblMain"/>
            </w:pPr>
            <w:r w:rsidRPr="00A32A9E">
              <w:t>Lutein</w:t>
            </w:r>
          </w:p>
        </w:tc>
        <w:tc>
          <w:tcPr>
            <w:tcW w:w="3554" w:type="dxa"/>
          </w:tcPr>
          <w:p w14:paraId="685915C8" w14:textId="77777777" w:rsidR="00BA1917" w:rsidRPr="00A32A9E" w:rsidRDefault="00BA1917" w:rsidP="00BA1917">
            <w:pPr>
              <w:pStyle w:val="FSCtblMain"/>
            </w:pPr>
            <w:r w:rsidRPr="00A32A9E">
              <w:t xml:space="preserve">Lutein from </w:t>
            </w:r>
            <w:r w:rsidRPr="00A32A9E">
              <w:rPr>
                <w:i/>
              </w:rPr>
              <w:t>Tagetes erecta L.</w:t>
            </w:r>
          </w:p>
        </w:tc>
        <w:tc>
          <w:tcPr>
            <w:tcW w:w="1278" w:type="dxa"/>
          </w:tcPr>
          <w:p w14:paraId="3CA57FEF" w14:textId="77777777" w:rsidR="00BA1917" w:rsidRPr="00E2569B" w:rsidRDefault="00BA1917" w:rsidP="00BA1917">
            <w:pPr>
              <w:pStyle w:val="FSCtblMain"/>
            </w:pPr>
            <w:r w:rsidRPr="00E2569B">
              <w:t>1.5 µg</w:t>
            </w:r>
          </w:p>
        </w:tc>
        <w:tc>
          <w:tcPr>
            <w:tcW w:w="1399" w:type="dxa"/>
          </w:tcPr>
          <w:p w14:paraId="3429CB57" w14:textId="77777777" w:rsidR="00BA1917" w:rsidRPr="00E2569B" w:rsidRDefault="00BA1917" w:rsidP="00BA1917">
            <w:pPr>
              <w:pStyle w:val="FSCtblMain"/>
            </w:pPr>
            <w:r w:rsidRPr="00E2569B">
              <w:t>5 µg</w:t>
            </w:r>
          </w:p>
        </w:tc>
      </w:tr>
      <w:tr w:rsidR="00BA1917" w:rsidRPr="00E2569B" w14:paraId="24D0F910" w14:textId="77777777" w:rsidTr="00BA1917">
        <w:trPr>
          <w:gridAfter w:val="1"/>
          <w:wAfter w:w="291" w:type="dxa"/>
          <w:cantSplit/>
          <w:jc w:val="center"/>
        </w:trPr>
        <w:tc>
          <w:tcPr>
            <w:tcW w:w="2834" w:type="dxa"/>
          </w:tcPr>
          <w:p w14:paraId="10CCB6BE" w14:textId="77777777" w:rsidR="00BA1917" w:rsidRPr="00E2569B" w:rsidRDefault="00BA1917" w:rsidP="00BA1917">
            <w:pPr>
              <w:pStyle w:val="FSCtblMain"/>
            </w:pPr>
            <w:r w:rsidRPr="00E2569B">
              <w:t>Inositol</w:t>
            </w:r>
          </w:p>
        </w:tc>
        <w:tc>
          <w:tcPr>
            <w:tcW w:w="3554" w:type="dxa"/>
          </w:tcPr>
          <w:p w14:paraId="188B59A3" w14:textId="77777777" w:rsidR="00BA1917" w:rsidRPr="00E2569B" w:rsidRDefault="00BA1917" w:rsidP="00BA1917">
            <w:pPr>
              <w:pStyle w:val="FSCtblMain"/>
            </w:pPr>
            <w:r w:rsidRPr="00E2569B">
              <w:t>Inositol</w:t>
            </w:r>
          </w:p>
        </w:tc>
        <w:tc>
          <w:tcPr>
            <w:tcW w:w="1278" w:type="dxa"/>
          </w:tcPr>
          <w:p w14:paraId="34FA880D" w14:textId="77777777" w:rsidR="00BA1917" w:rsidRPr="00E2569B" w:rsidRDefault="00BA1917" w:rsidP="00BA1917">
            <w:pPr>
              <w:pStyle w:val="FSCtblMain"/>
            </w:pPr>
            <w:r w:rsidRPr="00E2569B">
              <w:t>1.0 mg</w:t>
            </w:r>
          </w:p>
        </w:tc>
        <w:tc>
          <w:tcPr>
            <w:tcW w:w="1399" w:type="dxa"/>
          </w:tcPr>
          <w:p w14:paraId="0A42194B" w14:textId="77777777" w:rsidR="00BA1917" w:rsidRPr="00E2569B" w:rsidRDefault="00BA1917" w:rsidP="00BA1917">
            <w:pPr>
              <w:pStyle w:val="FSCtblMain"/>
            </w:pPr>
            <w:r w:rsidRPr="00E2569B">
              <w:t>9.5 mg</w:t>
            </w:r>
          </w:p>
        </w:tc>
      </w:tr>
      <w:tr w:rsidR="00BA1917" w:rsidRPr="00E2569B" w14:paraId="044DF217" w14:textId="77777777" w:rsidTr="00BA1917">
        <w:trPr>
          <w:gridAfter w:val="1"/>
          <w:wAfter w:w="291" w:type="dxa"/>
          <w:cantSplit/>
          <w:jc w:val="center"/>
        </w:trPr>
        <w:tc>
          <w:tcPr>
            <w:tcW w:w="2834" w:type="dxa"/>
          </w:tcPr>
          <w:p w14:paraId="7FEF91BB" w14:textId="77777777" w:rsidR="00BA1917" w:rsidRPr="00E2569B" w:rsidRDefault="00BA1917" w:rsidP="00BA1917">
            <w:pPr>
              <w:pStyle w:val="FSCtblMain"/>
            </w:pPr>
            <w:r w:rsidRPr="00E2569B">
              <w:t>Taurine</w:t>
            </w:r>
          </w:p>
        </w:tc>
        <w:tc>
          <w:tcPr>
            <w:tcW w:w="3554" w:type="dxa"/>
          </w:tcPr>
          <w:p w14:paraId="24B6B89C" w14:textId="77777777" w:rsidR="00BA1917" w:rsidRPr="00E2569B" w:rsidRDefault="00BA1917" w:rsidP="00BA1917">
            <w:pPr>
              <w:pStyle w:val="FSCtblMain"/>
            </w:pPr>
            <w:r w:rsidRPr="00E2569B">
              <w:t>Taurine</w:t>
            </w:r>
          </w:p>
        </w:tc>
        <w:tc>
          <w:tcPr>
            <w:tcW w:w="1278" w:type="dxa"/>
          </w:tcPr>
          <w:p w14:paraId="10D4EDF3" w14:textId="77777777" w:rsidR="00BA1917" w:rsidRPr="00E2569B" w:rsidRDefault="00BA1917" w:rsidP="00BA1917">
            <w:pPr>
              <w:pStyle w:val="FSCtblMain"/>
            </w:pPr>
            <w:r w:rsidRPr="00E2569B">
              <w:t xml:space="preserve">0.8 mg </w:t>
            </w:r>
          </w:p>
        </w:tc>
        <w:tc>
          <w:tcPr>
            <w:tcW w:w="1399" w:type="dxa"/>
          </w:tcPr>
          <w:p w14:paraId="53B93C5F" w14:textId="77777777" w:rsidR="00BA1917" w:rsidRPr="00E2569B" w:rsidRDefault="00BA1917" w:rsidP="00BA1917">
            <w:pPr>
              <w:pStyle w:val="FSCtblMain"/>
            </w:pPr>
            <w:r w:rsidRPr="00E2569B">
              <w:t>3 mg</w:t>
            </w:r>
          </w:p>
        </w:tc>
      </w:tr>
      <w:tr w:rsidR="00BA1917" w:rsidRPr="00E2569B" w14:paraId="22BF7CAE" w14:textId="77777777" w:rsidTr="00BA1917">
        <w:trPr>
          <w:gridAfter w:val="1"/>
          <w:wAfter w:w="291" w:type="dxa"/>
          <w:cantSplit/>
          <w:jc w:val="center"/>
        </w:trPr>
        <w:tc>
          <w:tcPr>
            <w:tcW w:w="2834" w:type="dxa"/>
            <w:tcBorders>
              <w:bottom w:val="single" w:sz="4" w:space="0" w:color="auto"/>
            </w:tcBorders>
          </w:tcPr>
          <w:p w14:paraId="3D4D0D36" w14:textId="77777777" w:rsidR="00BA1917" w:rsidRPr="00E2569B" w:rsidRDefault="00BA1917" w:rsidP="00BA1917">
            <w:pPr>
              <w:pStyle w:val="FSCtblMain"/>
            </w:pPr>
            <w:r w:rsidRPr="00E2569B">
              <w:t>Uridine-5</w:t>
            </w:r>
            <w:r>
              <w:t>′</w:t>
            </w:r>
            <w:r w:rsidRPr="00E2569B">
              <w:t>-monophosphate</w:t>
            </w:r>
          </w:p>
        </w:tc>
        <w:tc>
          <w:tcPr>
            <w:tcW w:w="3554" w:type="dxa"/>
            <w:tcBorders>
              <w:bottom w:val="single" w:sz="4" w:space="0" w:color="auto"/>
            </w:tcBorders>
          </w:tcPr>
          <w:p w14:paraId="50009494" w14:textId="77777777" w:rsidR="00BA1917" w:rsidRPr="00E2569B" w:rsidRDefault="00BA1917" w:rsidP="00BA1917">
            <w:pPr>
              <w:pStyle w:val="FSCtblMain"/>
            </w:pPr>
            <w:r w:rsidRPr="00E2569B">
              <w:t>Uridine-5</w:t>
            </w:r>
            <w:r>
              <w:t>′</w:t>
            </w:r>
            <w:r w:rsidRPr="00E2569B">
              <w:t>-monophosphate sodium salt</w:t>
            </w:r>
          </w:p>
        </w:tc>
        <w:tc>
          <w:tcPr>
            <w:tcW w:w="1278" w:type="dxa"/>
            <w:tcBorders>
              <w:bottom w:val="single" w:sz="4" w:space="0" w:color="auto"/>
            </w:tcBorders>
          </w:tcPr>
          <w:p w14:paraId="4150C1F0" w14:textId="77777777" w:rsidR="00BA1917" w:rsidRPr="00E2569B" w:rsidRDefault="00BA1917" w:rsidP="00BA1917">
            <w:pPr>
              <w:pStyle w:val="FSCtblMain"/>
            </w:pPr>
            <w:r w:rsidRPr="00E2569B">
              <w:t>0.13 mg</w:t>
            </w:r>
          </w:p>
        </w:tc>
        <w:tc>
          <w:tcPr>
            <w:tcW w:w="1399" w:type="dxa"/>
            <w:tcBorders>
              <w:bottom w:val="single" w:sz="4" w:space="0" w:color="auto"/>
            </w:tcBorders>
          </w:tcPr>
          <w:p w14:paraId="522CFBAA" w14:textId="77777777" w:rsidR="00BA1917" w:rsidRPr="00E2569B" w:rsidRDefault="00BA1917" w:rsidP="00BA1917">
            <w:pPr>
              <w:pStyle w:val="FSCtblMain"/>
            </w:pPr>
            <w:r w:rsidRPr="00E2569B">
              <w:t>0.42 mg</w:t>
            </w:r>
          </w:p>
        </w:tc>
      </w:tr>
    </w:tbl>
    <w:p w14:paraId="271EE379" w14:textId="77777777" w:rsidR="00BA1917" w:rsidRDefault="00BA1917" w:rsidP="00BA1917">
      <w:pPr>
        <w:pStyle w:val="FSCDraftingitem"/>
        <w:rPr>
          <w:lang w:bidi="en-US"/>
        </w:rPr>
      </w:pPr>
    </w:p>
    <w:p w14:paraId="67095EA3" w14:textId="77777777" w:rsidR="00BA1917" w:rsidRDefault="00BA1917" w:rsidP="00BA1917">
      <w:pPr>
        <w:pStyle w:val="FSCDraftingitem"/>
      </w:pPr>
      <w:r>
        <w:rPr>
          <w:lang w:bidi="en-US"/>
        </w:rPr>
        <w:t xml:space="preserve"> [6.2]</w:t>
      </w:r>
      <w:r>
        <w:rPr>
          <w:lang w:bidi="en-US"/>
        </w:rPr>
        <w:tab/>
        <w:t xml:space="preserve">inserting after section </w:t>
      </w:r>
      <w:r w:rsidRPr="001D1563">
        <w:t>S29—</w:t>
      </w:r>
      <w:r>
        <w:t>1</w:t>
      </w:r>
      <w:r w:rsidRPr="001D1563">
        <w:t>5</w:t>
      </w:r>
    </w:p>
    <w:p w14:paraId="6D809091" w14:textId="77777777" w:rsidR="00BA1917" w:rsidRPr="001D1563" w:rsidRDefault="00BA1917" w:rsidP="00BA1917">
      <w:pPr>
        <w:pStyle w:val="FSCh5Section"/>
      </w:pPr>
      <w:r>
        <w:t>S29—15A</w:t>
      </w:r>
      <w:r w:rsidRPr="001D1563">
        <w:tab/>
      </w:r>
      <w:r>
        <w:t>F</w:t>
      </w:r>
      <w:r w:rsidRPr="005A76AE">
        <w:rPr>
          <w:bCs w:val="0"/>
          <w:szCs w:val="22"/>
        </w:rPr>
        <w:t>ormulated supplementary food for young children</w:t>
      </w:r>
      <w:r w:rsidRPr="001D1563">
        <w:t>—</w:t>
      </w:r>
      <w:r>
        <w:t xml:space="preserve">other </w:t>
      </w:r>
      <w:r w:rsidRPr="001D1563">
        <w:t>substances permitted as nutritive substances</w:t>
      </w:r>
    </w:p>
    <w:p w14:paraId="78370674" w14:textId="77777777" w:rsidR="00BA1917" w:rsidRPr="00C515EB" w:rsidRDefault="00BA1917" w:rsidP="00BA1917">
      <w:pPr>
        <w:pStyle w:val="Default"/>
        <w:tabs>
          <w:tab w:val="left" w:pos="1134"/>
        </w:tabs>
        <w:ind w:left="1701" w:hanging="1701"/>
        <w:rPr>
          <w:sz w:val="20"/>
          <w:szCs w:val="20"/>
        </w:rPr>
      </w:pPr>
      <w:r>
        <w:rPr>
          <w:sz w:val="20"/>
          <w:szCs w:val="20"/>
        </w:rPr>
        <w:tab/>
      </w:r>
      <w:r>
        <w:rPr>
          <w:sz w:val="20"/>
          <w:szCs w:val="20"/>
        </w:rPr>
        <w:tab/>
      </w:r>
      <w:r w:rsidRPr="00F84D82">
        <w:rPr>
          <w:rFonts w:ascii="Arial" w:hAnsi="Arial" w:cs="Arial"/>
          <w:iCs/>
          <w:color w:val="auto"/>
          <w:sz w:val="20"/>
          <w:szCs w:val="20"/>
          <w:lang w:val="en-GB" w:eastAsia="en-AU"/>
        </w:rPr>
        <w:t>For subsection 2.9.3—7(2A), the table is set out below.</w:t>
      </w:r>
      <w:r w:rsidRPr="00C515EB">
        <w:rPr>
          <w:sz w:val="20"/>
          <w:szCs w:val="20"/>
        </w:rPr>
        <w:t xml:space="preserve"> </w:t>
      </w:r>
    </w:p>
    <w:p w14:paraId="71FF930A" w14:textId="77777777" w:rsidR="00BA1917" w:rsidRDefault="00BA1917" w:rsidP="00BA1917">
      <w:pPr>
        <w:pStyle w:val="FSCtblh2"/>
        <w:ind w:left="142"/>
        <w:jc w:val="left"/>
      </w:pPr>
      <w:r>
        <w:t>Formulated supplementary food for young children</w:t>
      </w:r>
      <w:r w:rsidRPr="001D1563">
        <w:t>—</w:t>
      </w:r>
      <w:r>
        <w:t xml:space="preserve">other </w:t>
      </w:r>
      <w:r w:rsidRPr="001D1563">
        <w:t>substances permitted for use as nutritive substances</w:t>
      </w:r>
    </w:p>
    <w:tbl>
      <w:tblPr>
        <w:tblStyle w:val="TableGrid"/>
        <w:tblW w:w="90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rmulated supplementary food for young children - other substances permitted for use as nutritive substances"/>
        <w:tblDescription w:val="The table lists substances permitted for use as nutritive substances in FSFYC in S29-15(A) of Schedule 29. The table lists 2′-FL permitted for use by Standard 1.5.2, and a combination of 2′-FL permitted for use by Standard 1.5.2 and LNnT permitted for use by Standard 1.5.2. The table also lists Lutein. The maximum amount permitted per serving for each of the substances is listed in Column 3."/>
      </w:tblPr>
      <w:tblGrid>
        <w:gridCol w:w="2661"/>
        <w:gridCol w:w="3135"/>
        <w:gridCol w:w="3254"/>
      </w:tblGrid>
      <w:tr w:rsidR="00BA1917" w:rsidRPr="00E2569B" w14:paraId="5C4071DD" w14:textId="77777777" w:rsidTr="00BA1917">
        <w:trPr>
          <w:cantSplit/>
          <w:tblHeader/>
          <w:jc w:val="center"/>
        </w:trPr>
        <w:tc>
          <w:tcPr>
            <w:tcW w:w="2661" w:type="dxa"/>
            <w:tcBorders>
              <w:top w:val="single" w:sz="4" w:space="0" w:color="auto"/>
              <w:bottom w:val="single" w:sz="4" w:space="0" w:color="auto"/>
            </w:tcBorders>
          </w:tcPr>
          <w:p w14:paraId="74B8CD0F" w14:textId="77777777" w:rsidR="00BA1917" w:rsidRPr="00E2569B" w:rsidRDefault="00BA1917" w:rsidP="00BA1917">
            <w:pPr>
              <w:pStyle w:val="FSCtblh3"/>
            </w:pPr>
            <w:r w:rsidRPr="00E2569B">
              <w:t>Column 1</w:t>
            </w:r>
          </w:p>
        </w:tc>
        <w:tc>
          <w:tcPr>
            <w:tcW w:w="3135" w:type="dxa"/>
            <w:tcBorders>
              <w:top w:val="single" w:sz="4" w:space="0" w:color="auto"/>
              <w:bottom w:val="single" w:sz="4" w:space="0" w:color="auto"/>
            </w:tcBorders>
          </w:tcPr>
          <w:p w14:paraId="709F9DF9" w14:textId="77777777" w:rsidR="00BA1917" w:rsidRDefault="00BA1917" w:rsidP="00BA1917">
            <w:pPr>
              <w:pStyle w:val="FSCtblh3"/>
            </w:pPr>
            <w:r>
              <w:t>Column 2</w:t>
            </w:r>
          </w:p>
        </w:tc>
        <w:tc>
          <w:tcPr>
            <w:tcW w:w="3254" w:type="dxa"/>
            <w:tcBorders>
              <w:top w:val="single" w:sz="4" w:space="0" w:color="auto"/>
              <w:bottom w:val="single" w:sz="4" w:space="0" w:color="auto"/>
            </w:tcBorders>
          </w:tcPr>
          <w:p w14:paraId="367C5E75" w14:textId="77777777" w:rsidR="00BA1917" w:rsidRPr="00E2569B" w:rsidRDefault="00BA1917" w:rsidP="00BA1917">
            <w:pPr>
              <w:pStyle w:val="FSCtblh3"/>
            </w:pPr>
            <w:r>
              <w:t>Column 3</w:t>
            </w:r>
          </w:p>
        </w:tc>
      </w:tr>
      <w:tr w:rsidR="00BA1917" w:rsidRPr="00E2569B" w14:paraId="1A62A3D8" w14:textId="77777777" w:rsidTr="00BA1917">
        <w:trPr>
          <w:cantSplit/>
          <w:tblHeader/>
          <w:jc w:val="center"/>
        </w:trPr>
        <w:tc>
          <w:tcPr>
            <w:tcW w:w="2661" w:type="dxa"/>
            <w:tcBorders>
              <w:top w:val="single" w:sz="4" w:space="0" w:color="auto"/>
              <w:bottom w:val="single" w:sz="4" w:space="0" w:color="auto"/>
            </w:tcBorders>
          </w:tcPr>
          <w:p w14:paraId="2F5D1071" w14:textId="77777777" w:rsidR="00BA1917" w:rsidRPr="00E2569B" w:rsidRDefault="00BA1917" w:rsidP="00BA1917">
            <w:pPr>
              <w:pStyle w:val="FSCtblh4"/>
            </w:pPr>
            <w:r w:rsidRPr="00E2569B">
              <w:t>Substance</w:t>
            </w:r>
          </w:p>
        </w:tc>
        <w:tc>
          <w:tcPr>
            <w:tcW w:w="3135" w:type="dxa"/>
            <w:tcBorders>
              <w:top w:val="single" w:sz="4" w:space="0" w:color="auto"/>
              <w:bottom w:val="single" w:sz="4" w:space="0" w:color="auto"/>
            </w:tcBorders>
          </w:tcPr>
          <w:p w14:paraId="204C7AC5" w14:textId="77777777" w:rsidR="00BA1917" w:rsidRPr="00E2569B" w:rsidRDefault="00BA1917" w:rsidP="00BA1917">
            <w:pPr>
              <w:pStyle w:val="FSCtblh4"/>
            </w:pPr>
            <w:r>
              <w:t>Permitted form</w:t>
            </w:r>
          </w:p>
        </w:tc>
        <w:tc>
          <w:tcPr>
            <w:tcW w:w="3254" w:type="dxa"/>
            <w:tcBorders>
              <w:top w:val="single" w:sz="4" w:space="0" w:color="auto"/>
              <w:bottom w:val="single" w:sz="4" w:space="0" w:color="auto"/>
            </w:tcBorders>
          </w:tcPr>
          <w:p w14:paraId="310EA87D" w14:textId="77777777" w:rsidR="00BA1917" w:rsidRPr="00E2569B" w:rsidRDefault="00BA1917" w:rsidP="00BA1917">
            <w:pPr>
              <w:pStyle w:val="FSCtblh4"/>
            </w:pPr>
            <w:r w:rsidRPr="00E2569B">
              <w:t xml:space="preserve">Maximum amount per </w:t>
            </w:r>
            <w:r>
              <w:t>serving</w:t>
            </w:r>
          </w:p>
        </w:tc>
      </w:tr>
      <w:tr w:rsidR="00BA1917" w:rsidRPr="00997C33" w14:paraId="6765786B" w14:textId="77777777" w:rsidTr="00BA1917">
        <w:trPr>
          <w:cantSplit/>
          <w:jc w:val="center"/>
        </w:trPr>
        <w:tc>
          <w:tcPr>
            <w:tcW w:w="2661" w:type="dxa"/>
            <w:tcBorders>
              <w:top w:val="single" w:sz="4" w:space="0" w:color="auto"/>
            </w:tcBorders>
          </w:tcPr>
          <w:p w14:paraId="5534668A" w14:textId="77777777" w:rsidR="00BA1917" w:rsidRPr="00943699" w:rsidRDefault="00BA1917" w:rsidP="00BA1917">
            <w:pPr>
              <w:pStyle w:val="FSCtblMain"/>
            </w:pPr>
            <w:r w:rsidRPr="00943699">
              <w:t>2′-</w:t>
            </w:r>
            <w:r w:rsidRPr="00EC41A5">
              <w:t>O</w:t>
            </w:r>
            <w:r w:rsidRPr="00943699">
              <w:t>-</w:t>
            </w:r>
            <w:r>
              <w:t>f</w:t>
            </w:r>
            <w:r w:rsidRPr="00943699">
              <w:t>ucosyllactose permitted for use by Standard 1.5.2</w:t>
            </w:r>
          </w:p>
        </w:tc>
        <w:tc>
          <w:tcPr>
            <w:tcW w:w="3135" w:type="dxa"/>
            <w:tcBorders>
              <w:top w:val="single" w:sz="4" w:space="0" w:color="auto"/>
            </w:tcBorders>
          </w:tcPr>
          <w:p w14:paraId="564EAA80" w14:textId="77777777" w:rsidR="00BA1917" w:rsidRPr="00997C33" w:rsidRDefault="00BA1917" w:rsidP="00BA1917">
            <w:pPr>
              <w:pStyle w:val="FSCtblMain"/>
            </w:pPr>
            <w:r w:rsidRPr="00997C33">
              <w:t>2′-</w:t>
            </w:r>
            <w:r w:rsidRPr="00EC41A5">
              <w:t>O</w:t>
            </w:r>
            <w:r w:rsidRPr="00997C33">
              <w:t>-</w:t>
            </w:r>
            <w:r>
              <w:t>f</w:t>
            </w:r>
            <w:r w:rsidRPr="00997C33">
              <w:t>ucosyllactose</w:t>
            </w:r>
          </w:p>
        </w:tc>
        <w:tc>
          <w:tcPr>
            <w:tcW w:w="3254" w:type="dxa"/>
            <w:tcBorders>
              <w:top w:val="single" w:sz="4" w:space="0" w:color="auto"/>
            </w:tcBorders>
          </w:tcPr>
          <w:p w14:paraId="22EFDFB2" w14:textId="77777777" w:rsidR="00BA1917" w:rsidRPr="00997C33" w:rsidRDefault="00BA1917" w:rsidP="00BA1917">
            <w:pPr>
              <w:pStyle w:val="FSCtblMain"/>
            </w:pPr>
            <w:r w:rsidRPr="00997C33">
              <w:t>0.5</w:t>
            </w:r>
            <w:r>
              <w:t>5</w:t>
            </w:r>
            <w:r w:rsidRPr="00997C33">
              <w:t xml:space="preserve"> g</w:t>
            </w:r>
          </w:p>
        </w:tc>
      </w:tr>
      <w:tr w:rsidR="00BA1917" w:rsidRPr="00997C33" w14:paraId="05ECA7E3" w14:textId="77777777" w:rsidTr="00BA1917">
        <w:trPr>
          <w:cantSplit/>
          <w:jc w:val="center"/>
        </w:trPr>
        <w:tc>
          <w:tcPr>
            <w:tcW w:w="2661" w:type="dxa"/>
            <w:shd w:val="clear" w:color="auto" w:fill="auto"/>
          </w:tcPr>
          <w:p w14:paraId="3AC98906" w14:textId="77777777" w:rsidR="00BA1917" w:rsidRPr="00EC41A5" w:rsidRDefault="00BA1917" w:rsidP="00BA1917">
            <w:pPr>
              <w:pStyle w:val="FSCtblMain"/>
            </w:pPr>
            <w:r w:rsidRPr="00EC41A5">
              <w:t>A combination of: 2′-O-fucosyllactose permitted for use by Standard 1.5.2; and lacto-N-neotetraose permitted for use by Standard 1.5.2</w:t>
            </w:r>
          </w:p>
        </w:tc>
        <w:tc>
          <w:tcPr>
            <w:tcW w:w="3135" w:type="dxa"/>
            <w:shd w:val="clear" w:color="auto" w:fill="auto"/>
          </w:tcPr>
          <w:p w14:paraId="609A7116" w14:textId="77777777" w:rsidR="00BA1917" w:rsidRPr="00EC41A5" w:rsidRDefault="00BA1917" w:rsidP="00BA1917">
            <w:pPr>
              <w:pStyle w:val="FSCtblMain"/>
            </w:pPr>
            <w:r w:rsidRPr="00EC41A5">
              <w:t>2′-O-</w:t>
            </w:r>
            <w:r>
              <w:t>fu</w:t>
            </w:r>
            <w:r w:rsidRPr="00EC41A5">
              <w:t>cosyllactose and lacto-</w:t>
            </w:r>
            <w:r w:rsidRPr="008E5B22">
              <w:t>N</w:t>
            </w:r>
            <w:r w:rsidRPr="00EC41A5">
              <w:t>-neotetraose</w:t>
            </w:r>
          </w:p>
        </w:tc>
        <w:tc>
          <w:tcPr>
            <w:tcW w:w="3254" w:type="dxa"/>
            <w:shd w:val="clear" w:color="auto" w:fill="auto"/>
          </w:tcPr>
          <w:p w14:paraId="1FF144E4" w14:textId="77777777" w:rsidR="00BA1917" w:rsidRPr="00997C33" w:rsidRDefault="00BA1917" w:rsidP="00BA1917">
            <w:pPr>
              <w:pStyle w:val="FSCtblMain"/>
            </w:pPr>
            <w:r w:rsidRPr="00EC41A5">
              <w:t xml:space="preserve">0.55 g which contains not more than 0.14 g of lacto-N-neotetraose </w:t>
            </w:r>
          </w:p>
        </w:tc>
      </w:tr>
      <w:tr w:rsidR="00BA1917" w:rsidRPr="00E2569B" w14:paraId="5B076CA6" w14:textId="77777777" w:rsidTr="00BA1917">
        <w:trPr>
          <w:cantSplit/>
          <w:jc w:val="center"/>
        </w:trPr>
        <w:tc>
          <w:tcPr>
            <w:tcW w:w="2661" w:type="dxa"/>
          </w:tcPr>
          <w:p w14:paraId="62F166C3" w14:textId="77777777" w:rsidR="00BA1917" w:rsidRPr="00943699" w:rsidRDefault="00BA1917" w:rsidP="00BA1917">
            <w:pPr>
              <w:pStyle w:val="FSCtblMain"/>
            </w:pPr>
            <w:r w:rsidRPr="00943699">
              <w:t>Lutein</w:t>
            </w:r>
          </w:p>
        </w:tc>
        <w:tc>
          <w:tcPr>
            <w:tcW w:w="3135" w:type="dxa"/>
          </w:tcPr>
          <w:p w14:paraId="620022A0" w14:textId="77777777" w:rsidR="00BA1917" w:rsidRPr="00943699" w:rsidRDefault="00BA1917" w:rsidP="00BA1917">
            <w:pPr>
              <w:pStyle w:val="FSCtblMain"/>
            </w:pPr>
            <w:r w:rsidRPr="00943699">
              <w:t xml:space="preserve">Lutein from </w:t>
            </w:r>
            <w:r w:rsidRPr="00943699">
              <w:rPr>
                <w:i/>
              </w:rPr>
              <w:t>Tagetes erecta L.</w:t>
            </w:r>
          </w:p>
        </w:tc>
        <w:tc>
          <w:tcPr>
            <w:tcW w:w="3254" w:type="dxa"/>
          </w:tcPr>
          <w:p w14:paraId="3A3D4185" w14:textId="77777777" w:rsidR="00BA1917" w:rsidRDefault="00BA1917" w:rsidP="00BA1917">
            <w:pPr>
              <w:pStyle w:val="FSCtblMain"/>
            </w:pPr>
            <w:r w:rsidRPr="00943699">
              <w:t>100 µg</w:t>
            </w:r>
          </w:p>
        </w:tc>
      </w:tr>
    </w:tbl>
    <w:p w14:paraId="46DFF445" w14:textId="77777777" w:rsidR="00BA1917" w:rsidRPr="001D1563" w:rsidRDefault="00BA1917" w:rsidP="00BA1917">
      <w:pPr>
        <w:pStyle w:val="FSCtMain"/>
      </w:pPr>
    </w:p>
    <w:p w14:paraId="18AADE59" w14:textId="77777777" w:rsidR="00BA1917" w:rsidRPr="00923B36" w:rsidRDefault="00BA1917" w:rsidP="00BA1917">
      <w:pPr>
        <w:pStyle w:val="FSCDraftingitem"/>
        <w:rPr>
          <w:lang w:bidi="en-US"/>
        </w:rPr>
      </w:pPr>
    </w:p>
    <w:p w14:paraId="71B37968" w14:textId="77777777" w:rsidR="00D75348" w:rsidRDefault="00D75348">
      <w:pPr>
        <w:widowControl/>
        <w:rPr>
          <w:rFonts w:cs="Arial"/>
          <w:b/>
          <w:bCs/>
          <w:sz w:val="28"/>
          <w:szCs w:val="22"/>
          <w:lang w:bidi="ar-SA"/>
        </w:rPr>
      </w:pPr>
      <w:r>
        <w:br w:type="page"/>
      </w:r>
    </w:p>
    <w:p w14:paraId="19057CC0" w14:textId="77777777" w:rsidR="00D75348" w:rsidRDefault="00D75348" w:rsidP="00D75348">
      <w:pPr>
        <w:pStyle w:val="Heading2"/>
        <w:ind w:left="0" w:firstLine="0"/>
      </w:pPr>
      <w:bookmarkStart w:id="202" w:name="_Toc425174951"/>
      <w:bookmarkStart w:id="203" w:name="_Toc11247924"/>
      <w:bookmarkStart w:id="204" w:name="_Toc14427216"/>
      <w:r w:rsidRPr="00932F14">
        <w:t xml:space="preserve">Attachment </w:t>
      </w:r>
      <w:r>
        <w:t>B – Draft Explanatory Statement</w:t>
      </w:r>
      <w:bookmarkEnd w:id="202"/>
      <w:bookmarkEnd w:id="203"/>
      <w:bookmarkEnd w:id="204"/>
    </w:p>
    <w:p w14:paraId="028F9BDC" w14:textId="77777777" w:rsidR="00D75348" w:rsidRPr="000576EB" w:rsidRDefault="00D75348" w:rsidP="00D75348">
      <w:pPr>
        <w:rPr>
          <w:b/>
          <w:lang w:val="en-AU" w:eastAsia="en-GB" w:bidi="ar-SA"/>
        </w:rPr>
      </w:pPr>
      <w:r w:rsidRPr="000576EB">
        <w:rPr>
          <w:b/>
          <w:lang w:val="en-AU" w:eastAsia="en-GB" w:bidi="ar-SA"/>
        </w:rPr>
        <w:t>1.</w:t>
      </w:r>
      <w:r w:rsidRPr="000576EB">
        <w:rPr>
          <w:b/>
          <w:lang w:val="en-AU" w:eastAsia="en-GB" w:bidi="ar-SA"/>
        </w:rPr>
        <w:tab/>
        <w:t>Authority</w:t>
      </w:r>
    </w:p>
    <w:p w14:paraId="5A5AECAF" w14:textId="77777777" w:rsidR="00D75348" w:rsidRDefault="00D75348" w:rsidP="00D75348">
      <w:pPr>
        <w:rPr>
          <w:lang w:val="en-AU" w:eastAsia="en-GB" w:bidi="ar-SA"/>
        </w:rPr>
      </w:pPr>
    </w:p>
    <w:p w14:paraId="6D36E465" w14:textId="77777777" w:rsidR="00D75348" w:rsidRPr="00D13E34" w:rsidRDefault="00D75348" w:rsidP="00D7534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6DE4D9F8" w14:textId="77777777" w:rsidR="00D75348" w:rsidRPr="00D13E34" w:rsidRDefault="00D75348" w:rsidP="00D75348">
      <w:pPr>
        <w:widowControl/>
        <w:autoSpaceDE w:val="0"/>
        <w:autoSpaceDN w:val="0"/>
        <w:adjustRightInd w:val="0"/>
        <w:rPr>
          <w:rFonts w:eastAsia="Calibri" w:cs="Arial"/>
          <w:bCs/>
          <w:szCs w:val="22"/>
          <w:lang w:val="en-AU" w:bidi="ar-SA"/>
        </w:rPr>
      </w:pPr>
    </w:p>
    <w:p w14:paraId="7F8AF2DB" w14:textId="77777777" w:rsidR="00D75348" w:rsidRPr="00831AA1" w:rsidRDefault="00D75348" w:rsidP="00D75348">
      <w:pPr>
        <w:widowControl/>
        <w:autoSpaceDE w:val="0"/>
        <w:autoSpaceDN w:val="0"/>
        <w:adjustRightInd w:val="0"/>
        <w:rPr>
          <w:rFonts w:eastAsia="Calibri" w:cs="Arial"/>
          <w:bCs/>
          <w:szCs w:val="22"/>
          <w:lang w:val="en-AU" w:bidi="ar-SA"/>
        </w:rPr>
      </w:pPr>
      <w:r w:rsidRPr="00831AA1">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093ADD4" w14:textId="77777777" w:rsidR="00D75348" w:rsidRPr="00831AA1" w:rsidRDefault="00D75348" w:rsidP="00D75348">
      <w:pPr>
        <w:widowControl/>
        <w:autoSpaceDE w:val="0"/>
        <w:autoSpaceDN w:val="0"/>
        <w:adjustRightInd w:val="0"/>
        <w:rPr>
          <w:rFonts w:eastAsia="Calibri" w:cs="Arial"/>
          <w:bCs/>
          <w:szCs w:val="22"/>
          <w:lang w:val="en-AU" w:bidi="ar-SA"/>
        </w:rPr>
      </w:pPr>
    </w:p>
    <w:p w14:paraId="45CA14B8" w14:textId="06ED463E" w:rsidR="00831AA1" w:rsidRDefault="00D75348" w:rsidP="00831AA1">
      <w:pPr>
        <w:rPr>
          <w:rFonts w:eastAsia="Calibri" w:cs="Arial"/>
          <w:bCs/>
          <w:szCs w:val="22"/>
          <w:lang w:val="en-AU" w:bidi="ar-SA"/>
        </w:rPr>
      </w:pPr>
      <w:r w:rsidRPr="00831AA1">
        <w:rPr>
          <w:rFonts w:eastAsia="Calibri" w:cs="Arial"/>
          <w:bCs/>
          <w:szCs w:val="22"/>
          <w:lang w:val="en-AU" w:bidi="ar-SA"/>
        </w:rPr>
        <w:t xml:space="preserve">FSANZ accepted </w:t>
      </w:r>
      <w:r w:rsidR="00831AA1">
        <w:rPr>
          <w:rFonts w:eastAsia="Calibri" w:cs="Arial"/>
          <w:bCs/>
          <w:szCs w:val="22"/>
          <w:lang w:val="en-AU" w:bidi="ar-SA"/>
        </w:rPr>
        <w:t>a</w:t>
      </w:r>
      <w:r w:rsidRPr="00831AA1">
        <w:rPr>
          <w:rFonts w:eastAsia="Calibri" w:cs="Arial"/>
          <w:bCs/>
          <w:szCs w:val="22"/>
          <w:lang w:val="en-AU" w:bidi="ar-SA"/>
        </w:rPr>
        <w:t>pplication A</w:t>
      </w:r>
      <w:r w:rsidR="00831AA1">
        <w:rPr>
          <w:rFonts w:eastAsia="Calibri" w:cs="Arial"/>
          <w:bCs/>
          <w:szCs w:val="22"/>
          <w:lang w:val="en-AU" w:bidi="ar-SA"/>
        </w:rPr>
        <w:t>1155</w:t>
      </w:r>
      <w:r w:rsidRPr="00831AA1">
        <w:rPr>
          <w:rFonts w:eastAsia="Calibri" w:cs="Arial"/>
          <w:bCs/>
          <w:szCs w:val="22"/>
          <w:lang w:val="en-AU" w:bidi="ar-SA"/>
        </w:rPr>
        <w:t xml:space="preserve"> which seeks to </w:t>
      </w:r>
      <w:r w:rsidR="00831AA1" w:rsidRPr="00831AA1">
        <w:rPr>
          <w:szCs w:val="22"/>
        </w:rPr>
        <w:t>permit the voluntary addition of 2′-O-</w:t>
      </w:r>
      <w:r w:rsidR="00831AA1">
        <w:rPr>
          <w:szCs w:val="22"/>
        </w:rPr>
        <w:t>f</w:t>
      </w:r>
      <w:r w:rsidR="00831AA1" w:rsidRPr="00831AA1">
        <w:rPr>
          <w:szCs w:val="22"/>
        </w:rPr>
        <w:t xml:space="preserve">ucosyllactose (2′-FL) alone or in combination with Lacto-N-neotetraose (LNnT), produced by microbial fermentation, </w:t>
      </w:r>
      <w:r w:rsidR="00A8368E">
        <w:rPr>
          <w:szCs w:val="22"/>
        </w:rPr>
        <w:t>to</w:t>
      </w:r>
      <w:r w:rsidR="00A8368E" w:rsidRPr="00831AA1">
        <w:rPr>
          <w:szCs w:val="22"/>
        </w:rPr>
        <w:t xml:space="preserve"> </w:t>
      </w:r>
      <w:r w:rsidR="00831AA1" w:rsidRPr="00831AA1">
        <w:rPr>
          <w:szCs w:val="22"/>
        </w:rPr>
        <w:t>infant formula products and formulated supplementary foods for young children</w:t>
      </w:r>
      <w:r w:rsidR="008823CB">
        <w:rPr>
          <w:szCs w:val="22"/>
        </w:rPr>
        <w:t xml:space="preserve"> (FSFYC)</w:t>
      </w:r>
      <w:r w:rsidR="00831AA1" w:rsidRPr="00831AA1">
        <w:rPr>
          <w:szCs w:val="22"/>
        </w:rPr>
        <w:t>.</w:t>
      </w:r>
      <w:r w:rsidRPr="00831AA1">
        <w:rPr>
          <w:rFonts w:eastAsia="Calibri" w:cs="Arial"/>
          <w:bCs/>
          <w:szCs w:val="22"/>
          <w:lang w:val="en-AU" w:bidi="ar-SA"/>
        </w:rPr>
        <w:t xml:space="preserve"> </w:t>
      </w:r>
    </w:p>
    <w:p w14:paraId="0700CC65" w14:textId="77777777" w:rsidR="00831AA1" w:rsidRDefault="00831AA1" w:rsidP="00831AA1">
      <w:pPr>
        <w:rPr>
          <w:rFonts w:eastAsia="Calibri" w:cs="Arial"/>
          <w:bCs/>
          <w:szCs w:val="22"/>
          <w:lang w:val="en-AU" w:bidi="ar-SA"/>
        </w:rPr>
      </w:pPr>
    </w:p>
    <w:p w14:paraId="0C8051A5" w14:textId="2F651F65" w:rsidR="00D75348" w:rsidRPr="00831AA1" w:rsidRDefault="00D75348" w:rsidP="00831AA1">
      <w:pPr>
        <w:rPr>
          <w:rFonts w:eastAsia="Calibri" w:cs="Arial"/>
          <w:bCs/>
          <w:szCs w:val="22"/>
          <w:lang w:val="en-AU" w:bidi="ar-SA"/>
        </w:rPr>
      </w:pPr>
      <w:r w:rsidRPr="00831AA1">
        <w:rPr>
          <w:rFonts w:eastAsia="Calibri" w:cs="Arial"/>
          <w:bCs/>
          <w:szCs w:val="22"/>
          <w:lang w:val="en-AU" w:bidi="ar-SA"/>
        </w:rPr>
        <w:t xml:space="preserve">The Authority considered the </w:t>
      </w:r>
      <w:r w:rsidR="00831AA1">
        <w:rPr>
          <w:rFonts w:eastAsia="Calibri" w:cs="Arial"/>
          <w:bCs/>
          <w:szCs w:val="22"/>
          <w:lang w:val="en-AU" w:bidi="ar-SA"/>
        </w:rPr>
        <w:t>a</w:t>
      </w:r>
      <w:r w:rsidRPr="00831AA1">
        <w:rPr>
          <w:rFonts w:eastAsia="Calibri" w:cs="Arial"/>
          <w:bCs/>
          <w:szCs w:val="22"/>
          <w:lang w:val="en-AU" w:bidi="ar-SA"/>
        </w:rPr>
        <w:t xml:space="preserve">pplication in accordance with Division 1 of Part 3 and has prepared a draft </w:t>
      </w:r>
      <w:r w:rsidR="00831AA1">
        <w:rPr>
          <w:rFonts w:eastAsia="Calibri" w:cs="Arial"/>
          <w:bCs/>
          <w:szCs w:val="22"/>
          <w:lang w:val="en-AU" w:bidi="ar-SA"/>
        </w:rPr>
        <w:t>variation to the Code</w:t>
      </w:r>
      <w:r w:rsidRPr="00831AA1">
        <w:rPr>
          <w:rFonts w:eastAsia="Calibri" w:cs="Arial"/>
          <w:bCs/>
          <w:szCs w:val="22"/>
          <w:lang w:val="en-AU" w:bidi="ar-SA"/>
        </w:rPr>
        <w:t xml:space="preserve">. </w:t>
      </w:r>
    </w:p>
    <w:p w14:paraId="5EA35628" w14:textId="77777777" w:rsidR="00D75348" w:rsidRPr="00D13E34" w:rsidRDefault="00D75348" w:rsidP="00D75348">
      <w:pPr>
        <w:widowControl/>
        <w:autoSpaceDE w:val="0"/>
        <w:autoSpaceDN w:val="0"/>
        <w:adjustRightInd w:val="0"/>
        <w:rPr>
          <w:rFonts w:eastAsia="Calibri" w:cs="Arial"/>
          <w:bCs/>
          <w:szCs w:val="22"/>
          <w:lang w:val="en-AU" w:bidi="ar-SA"/>
        </w:rPr>
      </w:pPr>
    </w:p>
    <w:p w14:paraId="3B2D1506" w14:textId="77777777" w:rsidR="00D75348" w:rsidRDefault="00D75348" w:rsidP="00D75348">
      <w:pPr>
        <w:rPr>
          <w:b/>
          <w:lang w:val="en-AU" w:eastAsia="en-GB" w:bidi="ar-SA"/>
        </w:rPr>
      </w:pPr>
      <w:r>
        <w:rPr>
          <w:b/>
          <w:lang w:val="en-AU" w:eastAsia="en-GB" w:bidi="ar-SA"/>
        </w:rPr>
        <w:t>2.</w:t>
      </w:r>
      <w:r>
        <w:rPr>
          <w:b/>
          <w:lang w:val="en-AU" w:eastAsia="en-GB" w:bidi="ar-SA"/>
        </w:rPr>
        <w:tab/>
        <w:t xml:space="preserve">Purpose </w:t>
      </w:r>
    </w:p>
    <w:p w14:paraId="4B8C4E83" w14:textId="77777777" w:rsidR="00D75348" w:rsidRDefault="00D75348" w:rsidP="00D75348">
      <w:pPr>
        <w:rPr>
          <w:lang w:val="en-AU" w:eastAsia="en-GB" w:bidi="ar-SA"/>
        </w:rPr>
      </w:pPr>
    </w:p>
    <w:p w14:paraId="0202E2BD" w14:textId="77777777" w:rsidR="00DF3BEB" w:rsidRDefault="00D75348" w:rsidP="00D75348">
      <w:pPr>
        <w:rPr>
          <w:lang w:val="en-AU" w:eastAsia="en-GB" w:bidi="ar-SA"/>
        </w:rPr>
      </w:pPr>
      <w:r>
        <w:rPr>
          <w:lang w:val="en-AU" w:eastAsia="en-GB" w:bidi="ar-SA"/>
        </w:rPr>
        <w:t xml:space="preserve">The Authority has </w:t>
      </w:r>
      <w:r w:rsidRPr="00145105">
        <w:rPr>
          <w:lang w:val="en-AU" w:eastAsia="en-GB" w:bidi="ar-SA"/>
        </w:rPr>
        <w:t>prepared</w:t>
      </w:r>
      <w:r w:rsidR="00831AA1" w:rsidRPr="00145105">
        <w:rPr>
          <w:lang w:val="en-AU" w:eastAsia="en-GB" w:bidi="ar-SA"/>
        </w:rPr>
        <w:t xml:space="preserve"> a </w:t>
      </w:r>
      <w:r w:rsidR="00CA1FDA" w:rsidRPr="00145105">
        <w:rPr>
          <w:lang w:val="en-AU" w:eastAsia="en-GB" w:bidi="ar-SA"/>
        </w:rPr>
        <w:t xml:space="preserve">draft </w:t>
      </w:r>
      <w:r w:rsidR="00831AA1" w:rsidRPr="00145105">
        <w:rPr>
          <w:lang w:val="en-AU" w:eastAsia="en-GB" w:bidi="ar-SA"/>
        </w:rPr>
        <w:t>v</w:t>
      </w:r>
      <w:r w:rsidR="002D245F" w:rsidRPr="00145105">
        <w:rPr>
          <w:lang w:val="en-AU" w:eastAsia="en-GB" w:bidi="ar-SA"/>
        </w:rPr>
        <w:t>ariation to</w:t>
      </w:r>
      <w:r w:rsidR="00DF3BEB">
        <w:rPr>
          <w:lang w:val="en-AU" w:eastAsia="en-GB" w:bidi="ar-SA"/>
        </w:rPr>
        <w:t>:</w:t>
      </w:r>
    </w:p>
    <w:p w14:paraId="60EB00E9" w14:textId="2499F6AB" w:rsidR="00342E10" w:rsidRDefault="00342E10" w:rsidP="00342E10">
      <w:pPr>
        <w:pStyle w:val="FSBullet1"/>
      </w:pPr>
      <w:r>
        <w:t xml:space="preserve">Amend Schedule 26 to permit </w:t>
      </w:r>
      <w:r w:rsidR="00B51870">
        <w:t>2′</w:t>
      </w:r>
      <w:r>
        <w:t xml:space="preserve">-FL and LNnT derived from specific microbial sources for use in infant formula products and FSFYC; and to provide an exclusive use period of 15 months for the applicant’s brand of </w:t>
      </w:r>
      <w:r w:rsidR="00B51870">
        <w:t>2′</w:t>
      </w:r>
      <w:r>
        <w:t xml:space="preserve">-FL and LNnT.  </w:t>
      </w:r>
    </w:p>
    <w:p w14:paraId="36915A0E" w14:textId="43480E20" w:rsidR="00DF3BEB" w:rsidRDefault="00DF3BEB" w:rsidP="00DF3BEB">
      <w:pPr>
        <w:pStyle w:val="FSBullet1"/>
      </w:pPr>
      <w:r>
        <w:rPr>
          <w:lang w:val="en-AU" w:eastAsia="en-GB"/>
        </w:rPr>
        <w:t>A</w:t>
      </w:r>
      <w:r w:rsidR="00CA1FDA" w:rsidRPr="00145105">
        <w:rPr>
          <w:lang w:val="en-AU" w:eastAsia="en-GB"/>
        </w:rPr>
        <w:t>mend Schedule 29</w:t>
      </w:r>
      <w:r w:rsidR="002D245F" w:rsidRPr="00145105">
        <w:rPr>
          <w:lang w:val="en-AU" w:eastAsia="en-GB"/>
        </w:rPr>
        <w:t xml:space="preserve"> to</w:t>
      </w:r>
      <w:r w:rsidR="002D245F" w:rsidRPr="00145105">
        <w:t xml:space="preserve"> permit </w:t>
      </w:r>
      <w:r w:rsidR="00A8368E">
        <w:t xml:space="preserve">the same </w:t>
      </w:r>
      <w:r w:rsidR="00B51870">
        <w:t>2′</w:t>
      </w:r>
      <w:r w:rsidR="00176B60">
        <w:t xml:space="preserve">-FL alone </w:t>
      </w:r>
      <w:r>
        <w:t>or combined with LNnT</w:t>
      </w:r>
      <w:r w:rsidR="00176B60">
        <w:t xml:space="preserve"> for use as </w:t>
      </w:r>
      <w:r w:rsidR="009F1533">
        <w:t>nutritive substances</w:t>
      </w:r>
      <w:r w:rsidR="002D245F">
        <w:t xml:space="preserve"> in inf</w:t>
      </w:r>
      <w:r w:rsidR="00176B60">
        <w:t xml:space="preserve">ant formula products and FSFYC, </w:t>
      </w:r>
      <w:r w:rsidR="002D245F">
        <w:t>within specified maximum levels.</w:t>
      </w:r>
      <w:r w:rsidR="00CA1FDA">
        <w:t xml:space="preserve"> </w:t>
      </w:r>
    </w:p>
    <w:p w14:paraId="695060FB" w14:textId="6071D421" w:rsidR="00DF3BEB" w:rsidRPr="00DF3BEB" w:rsidRDefault="00DF3BEB" w:rsidP="00D75348">
      <w:pPr>
        <w:pStyle w:val="FSBullet1"/>
      </w:pPr>
      <w:r>
        <w:rPr>
          <w:szCs w:val="22"/>
        </w:rPr>
        <w:t>Amend</w:t>
      </w:r>
      <w:r w:rsidR="00145105" w:rsidRPr="00DF3BEB">
        <w:rPr>
          <w:szCs w:val="22"/>
        </w:rPr>
        <w:t xml:space="preserve"> Standard</w:t>
      </w:r>
      <w:r w:rsidR="00A8368E">
        <w:rPr>
          <w:szCs w:val="22"/>
        </w:rPr>
        <w:t>s</w:t>
      </w:r>
      <w:r w:rsidR="00145105" w:rsidRPr="00DF3BEB">
        <w:rPr>
          <w:szCs w:val="22"/>
        </w:rPr>
        <w:t xml:space="preserve"> 2.9.1 and 2.9.3 to prohibit certain representations (e.g. ‘human milk identical oligosaccharide’) on </w:t>
      </w:r>
      <w:r w:rsidR="00705C29" w:rsidRPr="00DF3BEB">
        <w:rPr>
          <w:szCs w:val="22"/>
        </w:rPr>
        <w:t xml:space="preserve">labels of </w:t>
      </w:r>
      <w:r w:rsidR="00145105" w:rsidRPr="00DF3BEB">
        <w:rPr>
          <w:szCs w:val="22"/>
        </w:rPr>
        <w:t xml:space="preserve">infant formula products and FSFYC; and to prohibit the use of </w:t>
      </w:r>
      <w:r w:rsidR="00B51870">
        <w:rPr>
          <w:szCs w:val="22"/>
        </w:rPr>
        <w:t>2′</w:t>
      </w:r>
      <w:r w:rsidR="00145105" w:rsidRPr="00DF3BEB">
        <w:rPr>
          <w:szCs w:val="22"/>
        </w:rPr>
        <w:t>-FL alone or with LNnT</w:t>
      </w:r>
      <w:r w:rsidR="009F1533" w:rsidRPr="00DF3BEB">
        <w:rPr>
          <w:szCs w:val="22"/>
        </w:rPr>
        <w:t>,</w:t>
      </w:r>
      <w:r w:rsidR="00145105" w:rsidRPr="00DF3BEB">
        <w:rPr>
          <w:szCs w:val="22"/>
        </w:rPr>
        <w:t xml:space="preserve"> in combination with existing </w:t>
      </w:r>
      <w:r w:rsidR="009F1533" w:rsidRPr="00DF3BEB">
        <w:rPr>
          <w:szCs w:val="22"/>
        </w:rPr>
        <w:t>permissions for ITF and GOS</w:t>
      </w:r>
      <w:r>
        <w:rPr>
          <w:szCs w:val="22"/>
        </w:rPr>
        <w:t>.</w:t>
      </w:r>
    </w:p>
    <w:p w14:paraId="6536B203" w14:textId="2A108B63" w:rsidR="00DF3BEB" w:rsidRPr="00DF3BEB" w:rsidRDefault="00DF3BEB" w:rsidP="00D75348">
      <w:pPr>
        <w:pStyle w:val="FSBullet1"/>
      </w:pPr>
      <w:r>
        <w:rPr>
          <w:szCs w:val="22"/>
        </w:rPr>
        <w:t xml:space="preserve">Insert prescribed specifications for </w:t>
      </w:r>
      <w:r w:rsidR="00B51870">
        <w:rPr>
          <w:szCs w:val="22"/>
        </w:rPr>
        <w:t>2′</w:t>
      </w:r>
      <w:r>
        <w:rPr>
          <w:szCs w:val="22"/>
        </w:rPr>
        <w:t>-FL and LNnT</w:t>
      </w:r>
      <w:r w:rsidR="001D6A44">
        <w:rPr>
          <w:szCs w:val="22"/>
        </w:rPr>
        <w:t xml:space="preserve"> into Schedule</w:t>
      </w:r>
      <w:r>
        <w:rPr>
          <w:szCs w:val="22"/>
        </w:rPr>
        <w:t xml:space="preserve"> 3.</w:t>
      </w:r>
    </w:p>
    <w:p w14:paraId="60ACCE6E" w14:textId="0710C864" w:rsidR="00D75348" w:rsidRPr="00DF3BEB" w:rsidRDefault="00DF3BEB" w:rsidP="00D75348">
      <w:pPr>
        <w:pStyle w:val="FSBullet1"/>
      </w:pPr>
      <w:r>
        <w:rPr>
          <w:szCs w:val="22"/>
        </w:rPr>
        <w:t>Insert a</w:t>
      </w:r>
      <w:r w:rsidR="00BD2004" w:rsidRPr="00DF3BEB">
        <w:rPr>
          <w:szCs w:val="22"/>
        </w:rPr>
        <w:t xml:space="preserve"> new unit of measure</w:t>
      </w:r>
      <w:r w:rsidR="008D4848" w:rsidRPr="00DF3BEB">
        <w:rPr>
          <w:szCs w:val="22"/>
        </w:rPr>
        <w:t>,</w:t>
      </w:r>
      <w:r>
        <w:rPr>
          <w:szCs w:val="22"/>
        </w:rPr>
        <w:t xml:space="preserve"> as used in the </w:t>
      </w:r>
      <w:r w:rsidR="00342E10">
        <w:rPr>
          <w:szCs w:val="22"/>
        </w:rPr>
        <w:t>prescribed</w:t>
      </w:r>
      <w:r w:rsidR="00342E10" w:rsidRPr="00DF3BEB">
        <w:rPr>
          <w:szCs w:val="22"/>
        </w:rPr>
        <w:t xml:space="preserve"> </w:t>
      </w:r>
      <w:r w:rsidR="00705C29" w:rsidRPr="00DF3BEB">
        <w:rPr>
          <w:szCs w:val="22"/>
        </w:rPr>
        <w:t>specifications</w:t>
      </w:r>
      <w:r w:rsidR="008D4848" w:rsidRPr="00DF3BEB">
        <w:rPr>
          <w:szCs w:val="22"/>
        </w:rPr>
        <w:t>,</w:t>
      </w:r>
      <w:r w:rsidR="00BD2004" w:rsidRPr="00DF3BEB">
        <w:rPr>
          <w:szCs w:val="22"/>
        </w:rPr>
        <w:t xml:space="preserve"> in </w:t>
      </w:r>
      <w:r w:rsidRPr="00DF3BEB">
        <w:rPr>
          <w:szCs w:val="22"/>
        </w:rPr>
        <w:t>Schedule 2</w:t>
      </w:r>
      <w:r w:rsidR="00BD2004" w:rsidRPr="00DF3BEB">
        <w:rPr>
          <w:szCs w:val="22"/>
        </w:rPr>
        <w:t xml:space="preserve">. </w:t>
      </w:r>
    </w:p>
    <w:p w14:paraId="60783FCE" w14:textId="77777777" w:rsidR="00D75348" w:rsidRDefault="00D75348" w:rsidP="00D75348">
      <w:pPr>
        <w:rPr>
          <w:lang w:val="en-AU" w:eastAsia="en-GB" w:bidi="ar-SA"/>
        </w:rPr>
      </w:pPr>
    </w:p>
    <w:p w14:paraId="0034A69E" w14:textId="77777777" w:rsidR="00D75348" w:rsidRPr="000576EB" w:rsidRDefault="00D75348" w:rsidP="00D75348">
      <w:pPr>
        <w:rPr>
          <w:b/>
          <w:lang w:val="en-AU" w:eastAsia="en-GB" w:bidi="ar-SA"/>
        </w:rPr>
      </w:pPr>
      <w:r w:rsidRPr="000576EB">
        <w:rPr>
          <w:b/>
          <w:lang w:val="en-AU" w:eastAsia="en-GB" w:bidi="ar-SA"/>
        </w:rPr>
        <w:t>3.</w:t>
      </w:r>
      <w:r w:rsidRPr="000576EB">
        <w:rPr>
          <w:b/>
          <w:lang w:val="en-AU" w:eastAsia="en-GB" w:bidi="ar-SA"/>
        </w:rPr>
        <w:tab/>
        <w:t>Documents incorporated by reference</w:t>
      </w:r>
    </w:p>
    <w:p w14:paraId="7EE8BAA2" w14:textId="77777777" w:rsidR="00D75348" w:rsidRDefault="00D75348" w:rsidP="00D75348">
      <w:pPr>
        <w:rPr>
          <w:lang w:val="en-AU" w:eastAsia="en-GB" w:bidi="ar-SA"/>
        </w:rPr>
      </w:pPr>
    </w:p>
    <w:p w14:paraId="414CE4BF" w14:textId="77777777" w:rsidR="00D75348" w:rsidRPr="00D13E34" w:rsidRDefault="00D75348" w:rsidP="00D7534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3DF03A0B" w14:textId="77777777" w:rsidR="00D75348" w:rsidRDefault="00D75348" w:rsidP="00D75348">
      <w:pPr>
        <w:rPr>
          <w:lang w:val="en-AU" w:eastAsia="en-GB" w:bidi="ar-SA"/>
        </w:rPr>
      </w:pPr>
    </w:p>
    <w:p w14:paraId="43EF9CDA" w14:textId="77777777" w:rsidR="00D75348" w:rsidRPr="000576EB" w:rsidRDefault="00D75348" w:rsidP="00D75348">
      <w:pPr>
        <w:rPr>
          <w:b/>
          <w:lang w:val="en-AU" w:eastAsia="en-GB" w:bidi="ar-SA"/>
        </w:rPr>
      </w:pPr>
      <w:r w:rsidRPr="000576EB">
        <w:rPr>
          <w:b/>
          <w:lang w:val="en-AU" w:eastAsia="en-GB" w:bidi="ar-SA"/>
        </w:rPr>
        <w:t>4.</w:t>
      </w:r>
      <w:r w:rsidRPr="000576EB">
        <w:rPr>
          <w:b/>
          <w:lang w:val="en-AU" w:eastAsia="en-GB" w:bidi="ar-SA"/>
        </w:rPr>
        <w:tab/>
        <w:t>Consultation</w:t>
      </w:r>
    </w:p>
    <w:p w14:paraId="5A611D67" w14:textId="77777777" w:rsidR="00D75348" w:rsidRDefault="00D75348" w:rsidP="00D75348">
      <w:pPr>
        <w:rPr>
          <w:lang w:val="en-AU" w:eastAsia="en-GB" w:bidi="ar-SA"/>
        </w:rPr>
      </w:pPr>
    </w:p>
    <w:p w14:paraId="396B8B85" w14:textId="0A71097A" w:rsidR="00D75348" w:rsidRDefault="00D75348" w:rsidP="00D75348">
      <w:pPr>
        <w:rPr>
          <w:rFonts w:eastAsia="Calibri"/>
          <w:szCs w:val="22"/>
        </w:rPr>
      </w:pPr>
      <w:r w:rsidRPr="00F634A1">
        <w:rPr>
          <w:szCs w:val="22"/>
        </w:rPr>
        <w:t xml:space="preserve">In accordance with the procedure in </w:t>
      </w:r>
      <w:r w:rsidRPr="0061247B">
        <w:rPr>
          <w:szCs w:val="22"/>
        </w:rPr>
        <w:t xml:space="preserve">Division </w:t>
      </w:r>
      <w:r w:rsidR="0061247B" w:rsidRPr="0061247B">
        <w:rPr>
          <w:szCs w:val="22"/>
        </w:rPr>
        <w:t>1</w:t>
      </w:r>
      <w:r w:rsidRPr="0061247B">
        <w:rPr>
          <w:szCs w:val="22"/>
        </w:rPr>
        <w:t xml:space="preserve"> of Part </w:t>
      </w:r>
      <w:r w:rsidR="0061247B" w:rsidRPr="0061247B">
        <w:rPr>
          <w:szCs w:val="22"/>
        </w:rPr>
        <w:t>3</w:t>
      </w:r>
      <w:r w:rsidRPr="0061247B">
        <w:rPr>
          <w:szCs w:val="22"/>
        </w:rPr>
        <w:t xml:space="preserve"> </w:t>
      </w:r>
      <w:r w:rsidRPr="00F634A1">
        <w:rPr>
          <w:szCs w:val="22"/>
        </w:rPr>
        <w:t xml:space="preserve">of the FSANZ Act, </w:t>
      </w:r>
      <w:r w:rsidRPr="00F634A1">
        <w:rPr>
          <w:rFonts w:eastAsia="Calibri" w:cs="Arial"/>
          <w:bCs/>
          <w:szCs w:val="22"/>
          <w:lang w:val="en-AU" w:bidi="ar-SA"/>
        </w:rPr>
        <w:t>the Authority</w:t>
      </w:r>
      <w:r w:rsidRPr="00F634A1">
        <w:rPr>
          <w:szCs w:val="22"/>
        </w:rPr>
        <w:t xml:space="preserve">’s consideration of </w:t>
      </w:r>
      <w:r w:rsidR="00145105" w:rsidRPr="00BD2004">
        <w:rPr>
          <w:szCs w:val="22"/>
        </w:rPr>
        <w:t>a</w:t>
      </w:r>
      <w:r w:rsidRPr="00BD2004">
        <w:rPr>
          <w:szCs w:val="22"/>
        </w:rPr>
        <w:t>pplication A</w:t>
      </w:r>
      <w:r w:rsidR="00145105" w:rsidRPr="00BD2004">
        <w:rPr>
          <w:szCs w:val="22"/>
        </w:rPr>
        <w:t>1155</w:t>
      </w:r>
      <w:r w:rsidRPr="00BD2004">
        <w:rPr>
          <w:szCs w:val="22"/>
        </w:rPr>
        <w:t xml:space="preserve"> will include two rounds of public comment following an assessment and the preparation of a draft Standard and associated assessment summaries</w:t>
      </w:r>
      <w:r w:rsidR="00BD2004" w:rsidRPr="00BD2004">
        <w:rPr>
          <w:szCs w:val="22"/>
        </w:rPr>
        <w:t xml:space="preserve"> (this being the second consultation round)</w:t>
      </w:r>
      <w:r w:rsidRPr="00BD2004">
        <w:rPr>
          <w:szCs w:val="22"/>
        </w:rPr>
        <w:t xml:space="preserve">. </w:t>
      </w:r>
    </w:p>
    <w:p w14:paraId="00F5E7BB" w14:textId="77777777" w:rsidR="009D2EDC" w:rsidRPr="00072A22" w:rsidRDefault="009D2EDC" w:rsidP="00D75348">
      <w:pPr>
        <w:rPr>
          <w:rFonts w:eastAsia="Calibri"/>
          <w:lang w:val="en-AU" w:bidi="ar-SA"/>
        </w:rPr>
      </w:pPr>
    </w:p>
    <w:p w14:paraId="6DD43CAA" w14:textId="31A2B839" w:rsidR="00D75348" w:rsidRPr="00BD2004" w:rsidRDefault="00D75348" w:rsidP="00D75348">
      <w:pPr>
        <w:widowControl/>
        <w:autoSpaceDE w:val="0"/>
        <w:autoSpaceDN w:val="0"/>
        <w:adjustRightInd w:val="0"/>
        <w:rPr>
          <w:rFonts w:cs="Arial"/>
          <w:szCs w:val="22"/>
        </w:rPr>
      </w:pPr>
      <w:r w:rsidRPr="00BD2004">
        <w:rPr>
          <w:rFonts w:eastAsia="Calibri" w:cs="Arial"/>
          <w:bCs/>
          <w:szCs w:val="22"/>
          <w:lang w:val="en-AU" w:bidi="ar-SA"/>
        </w:rPr>
        <w:t>A Regulation Impact Statement was not required because the proposed variations to Standard</w:t>
      </w:r>
      <w:r w:rsidR="00BD2004" w:rsidRPr="00BD2004">
        <w:rPr>
          <w:rFonts w:eastAsia="Calibri" w:cs="Arial"/>
          <w:bCs/>
          <w:szCs w:val="22"/>
          <w:lang w:val="en-AU" w:bidi="ar-SA"/>
        </w:rPr>
        <w:t>s</w:t>
      </w:r>
      <w:r w:rsidRPr="00BD2004">
        <w:rPr>
          <w:rFonts w:eastAsia="Calibri" w:cs="Arial"/>
          <w:bCs/>
          <w:szCs w:val="22"/>
          <w:lang w:val="en-AU" w:bidi="ar-SA"/>
        </w:rPr>
        <w:t xml:space="preserve"> </w:t>
      </w:r>
      <w:r w:rsidR="00BD2004" w:rsidRPr="00BD2004">
        <w:rPr>
          <w:rFonts w:eastAsia="Calibri" w:cs="Arial"/>
          <w:bCs/>
          <w:szCs w:val="22"/>
          <w:lang w:val="en-AU" w:bidi="ar-SA"/>
        </w:rPr>
        <w:t>2.9.1 and 2.9.3 and Schedules 2, 3, 26 and 29</w:t>
      </w:r>
      <w:r w:rsidRPr="00BD2004">
        <w:rPr>
          <w:rFonts w:eastAsia="Calibri" w:cs="Arial"/>
          <w:bCs/>
          <w:szCs w:val="22"/>
          <w:lang w:val="en-AU" w:bidi="ar-SA"/>
        </w:rPr>
        <w:t xml:space="preserve"> </w:t>
      </w:r>
      <w:r w:rsidRPr="00BD2004">
        <w:t xml:space="preserve">are likely to have a minor impact on business and individuals. </w:t>
      </w:r>
    </w:p>
    <w:p w14:paraId="02282D50" w14:textId="77777777" w:rsidR="00D75348" w:rsidRDefault="00D75348" w:rsidP="00D75348">
      <w:pPr>
        <w:widowControl/>
        <w:rPr>
          <w:rFonts w:eastAsiaTheme="minorHAnsi" w:cs="Arial"/>
          <w:b/>
          <w:bCs/>
          <w:szCs w:val="22"/>
          <w:lang w:val="en-AU" w:bidi="ar-SA"/>
        </w:rPr>
      </w:pPr>
    </w:p>
    <w:p w14:paraId="216D4B72" w14:textId="77777777" w:rsidR="00072A22" w:rsidRDefault="00072A22">
      <w:pPr>
        <w:widowControl/>
        <w:rPr>
          <w:rFonts w:eastAsiaTheme="minorHAnsi" w:cs="Arial"/>
          <w:b/>
          <w:bCs/>
          <w:szCs w:val="22"/>
          <w:lang w:val="en-AU" w:bidi="ar-SA"/>
        </w:rPr>
      </w:pPr>
      <w:r>
        <w:rPr>
          <w:rFonts w:eastAsiaTheme="minorHAnsi" w:cs="Arial"/>
          <w:b/>
          <w:bCs/>
          <w:szCs w:val="22"/>
          <w:lang w:val="en-AU" w:bidi="ar-SA"/>
        </w:rPr>
        <w:br w:type="page"/>
      </w:r>
    </w:p>
    <w:p w14:paraId="5A5F0ABC" w14:textId="4E0498F8" w:rsidR="00D75348" w:rsidRDefault="00D75348" w:rsidP="00D75348">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0B2BC2BE" w14:textId="77777777" w:rsidR="00D75348" w:rsidRDefault="00D75348" w:rsidP="00D75348">
      <w:pPr>
        <w:rPr>
          <w:rFonts w:eastAsiaTheme="minorHAnsi"/>
          <w:lang w:val="en-AU" w:bidi="ar-SA"/>
        </w:rPr>
      </w:pPr>
    </w:p>
    <w:p w14:paraId="28DAA17B" w14:textId="77777777" w:rsidR="00D75348" w:rsidRDefault="00D75348" w:rsidP="00D75348">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6671B6D6" w14:textId="77777777" w:rsidR="00D75348" w:rsidRDefault="00D75348" w:rsidP="00D75348">
      <w:pPr>
        <w:rPr>
          <w:rFonts w:eastAsiaTheme="minorHAnsi"/>
          <w:lang w:val="en-AU" w:bidi="ar-SA"/>
        </w:rPr>
      </w:pPr>
    </w:p>
    <w:p w14:paraId="338010B3" w14:textId="77777777" w:rsidR="00D75348" w:rsidRPr="00700239" w:rsidRDefault="00D75348" w:rsidP="00D75348">
      <w:pPr>
        <w:rPr>
          <w:b/>
          <w:lang w:val="en-AU" w:eastAsia="en-GB" w:bidi="ar-SA"/>
        </w:rPr>
      </w:pPr>
      <w:r w:rsidRPr="00700239">
        <w:rPr>
          <w:b/>
        </w:rPr>
        <w:t>6.</w:t>
      </w:r>
      <w:r w:rsidRPr="00700239">
        <w:rPr>
          <w:b/>
        </w:rPr>
        <w:tab/>
      </w:r>
      <w:r w:rsidRPr="00700239">
        <w:rPr>
          <w:b/>
          <w:lang w:val="en-AU" w:eastAsia="en-GB" w:bidi="ar-SA"/>
        </w:rPr>
        <w:t>Variation</w:t>
      </w:r>
    </w:p>
    <w:p w14:paraId="530D7E84" w14:textId="77777777" w:rsidR="00D75348" w:rsidRPr="00AD344F" w:rsidRDefault="00D75348" w:rsidP="00D75348">
      <w:pPr>
        <w:rPr>
          <w:b/>
        </w:rPr>
      </w:pPr>
    </w:p>
    <w:p w14:paraId="307772C5" w14:textId="2D5E11BD" w:rsidR="00E223CA" w:rsidRDefault="00D75348" w:rsidP="00D75348">
      <w:pPr>
        <w:rPr>
          <w:i/>
        </w:rPr>
      </w:pPr>
      <w:r w:rsidRPr="00C909F3">
        <w:rPr>
          <w:i/>
        </w:rPr>
        <w:t xml:space="preserve">Item [1] </w:t>
      </w:r>
    </w:p>
    <w:p w14:paraId="0F5891D6" w14:textId="77777777" w:rsidR="00E223CA" w:rsidRDefault="00E223CA" w:rsidP="00D75348">
      <w:pPr>
        <w:rPr>
          <w:i/>
        </w:rPr>
      </w:pPr>
    </w:p>
    <w:p w14:paraId="47BB5F7A" w14:textId="6FBB8A45" w:rsidR="00D75348" w:rsidRPr="00C909F3" w:rsidRDefault="00E223CA" w:rsidP="00D75348">
      <w:r w:rsidRPr="00E223CA">
        <w:t xml:space="preserve">Item </w:t>
      </w:r>
      <w:r w:rsidR="00C909F3" w:rsidRPr="00E223CA">
        <w:t>[1.1]</w:t>
      </w:r>
      <w:r w:rsidR="00C909F3" w:rsidRPr="00C909F3">
        <w:rPr>
          <w:i/>
        </w:rPr>
        <w:t xml:space="preserve"> </w:t>
      </w:r>
      <w:r w:rsidR="00C909F3" w:rsidRPr="00C909F3">
        <w:t>varies Standard 2.9.1 by o</w:t>
      </w:r>
      <w:r w:rsidR="00AA0E3E">
        <w:t xml:space="preserve">mitting the existing </w:t>
      </w:r>
      <w:r w:rsidR="00E75093">
        <w:t>section</w:t>
      </w:r>
      <w:r w:rsidR="00E75093" w:rsidRPr="00C909F3">
        <w:t xml:space="preserve"> 2.9.1</w:t>
      </w:r>
      <w:r w:rsidR="00E75093" w:rsidRPr="00C909F3">
        <w:rPr>
          <w:rFonts w:ascii="Helvetica Neue" w:hAnsi="Helvetica Neue"/>
          <w:sz w:val="19"/>
          <w:szCs w:val="19"/>
        </w:rPr>
        <w:t>—</w:t>
      </w:r>
      <w:r w:rsidR="00E75093" w:rsidRPr="00C909F3">
        <w:t xml:space="preserve">7 </w:t>
      </w:r>
      <w:r w:rsidR="00C909F3" w:rsidRPr="00C909F3">
        <w:t xml:space="preserve">and substituting a new </w:t>
      </w:r>
      <w:r w:rsidR="00F12C07">
        <w:t>subsection. The new subsection</w:t>
      </w:r>
      <w:r w:rsidR="00C909F3" w:rsidRPr="00C909F3">
        <w:t xml:space="preserve"> </w:t>
      </w:r>
      <w:r w:rsidR="00003AB9">
        <w:t xml:space="preserve">restates the permitted quantities of ITF and GOS in the current subsection, and </w:t>
      </w:r>
      <w:r w:rsidR="00E75093">
        <w:t>includes</w:t>
      </w:r>
      <w:r w:rsidR="00C909F3" w:rsidRPr="00C909F3">
        <w:t xml:space="preserve"> a new requirement which </w:t>
      </w:r>
      <w:r w:rsidR="00003AB9">
        <w:t xml:space="preserve">will </w:t>
      </w:r>
      <w:r w:rsidR="00F12C07">
        <w:t>prohibit</w:t>
      </w:r>
      <w:r w:rsidR="00C909F3" w:rsidRPr="00C909F3">
        <w:t xml:space="preserve"> an infant formula product to which ITF or GOS are added</w:t>
      </w:r>
      <w:r w:rsidR="00E75093">
        <w:t>,</w:t>
      </w:r>
      <w:r w:rsidR="00003AB9">
        <w:t xml:space="preserve"> from containing </w:t>
      </w:r>
      <w:r w:rsidR="00B51870">
        <w:t>2′</w:t>
      </w:r>
      <w:r w:rsidR="00003AB9">
        <w:t>-FL</w:t>
      </w:r>
      <w:r w:rsidR="00C909F3" w:rsidRPr="00C909F3">
        <w:t xml:space="preserve"> </w:t>
      </w:r>
      <w:r w:rsidR="00E478AA">
        <w:t>alone</w:t>
      </w:r>
      <w:r w:rsidR="00B02D73">
        <w:t>,</w:t>
      </w:r>
      <w:r w:rsidR="00E478AA">
        <w:t xml:space="preserve"> </w:t>
      </w:r>
      <w:r w:rsidR="00C909F3" w:rsidRPr="00C909F3">
        <w:t xml:space="preserve">or a combination of </w:t>
      </w:r>
      <w:r w:rsidR="00B51870">
        <w:t>2′</w:t>
      </w:r>
      <w:r w:rsidR="00C909F3" w:rsidRPr="00C909F3">
        <w:t>-FL and LNnT.</w:t>
      </w:r>
    </w:p>
    <w:p w14:paraId="71FDCD9E" w14:textId="589EF4C9" w:rsidR="00C909F3" w:rsidRPr="00C909F3" w:rsidRDefault="00C909F3" w:rsidP="00D75348"/>
    <w:p w14:paraId="65219E5B" w14:textId="4D53C426" w:rsidR="00C909F3" w:rsidRDefault="00C909F3" w:rsidP="00D75348">
      <w:r w:rsidRPr="00E223CA">
        <w:t>Item [1.2]</w:t>
      </w:r>
      <w:r w:rsidR="00E75093">
        <w:t xml:space="preserve"> varies Standard 2.9.1 by</w:t>
      </w:r>
      <w:r w:rsidRPr="00E223CA">
        <w:t xml:space="preserve"> i</w:t>
      </w:r>
      <w:r w:rsidR="00E75093">
        <w:t>nserting</w:t>
      </w:r>
      <w:r w:rsidRPr="00C909F3">
        <w:t xml:space="preserve"> new subparagraphs 2.9.1</w:t>
      </w:r>
      <w:r w:rsidRPr="00C909F3">
        <w:rPr>
          <w:rFonts w:ascii="Helvetica Neue" w:hAnsi="Helvetica Neue"/>
          <w:sz w:val="19"/>
          <w:szCs w:val="19"/>
        </w:rPr>
        <w:t>—</w:t>
      </w:r>
      <w:r w:rsidRPr="00C909F3">
        <w:t xml:space="preserve">24(1)(ca) and (cb). These new subparagraphs </w:t>
      </w:r>
      <w:r w:rsidR="00F12C07">
        <w:t xml:space="preserve">will </w:t>
      </w:r>
      <w:r w:rsidRPr="00C909F3">
        <w:t xml:space="preserve">prohibit the use of the words </w:t>
      </w:r>
      <w:r>
        <w:t>‘human milk oligosaccharide’, ‘human milk identical oligosaccharide (or any word or words of similar effect), and the use of abbreviati</w:t>
      </w:r>
      <w:r w:rsidR="00E75093">
        <w:t>ons</w:t>
      </w:r>
      <w:r>
        <w:t xml:space="preserve"> ‘HMO’ or ‘HiMO’ (or any abbreviation having the same or similar effect</w:t>
      </w:r>
      <w:r w:rsidR="00F12C07">
        <w:t xml:space="preserve">), on the label on a package of infant formula product. </w:t>
      </w:r>
    </w:p>
    <w:p w14:paraId="10F66765" w14:textId="5D836753" w:rsidR="00C909F3" w:rsidRDefault="00C909F3" w:rsidP="00D75348"/>
    <w:p w14:paraId="151FB6B8" w14:textId="7E1B8F1B" w:rsidR="00C909F3" w:rsidRPr="009956A1" w:rsidRDefault="00E223CA" w:rsidP="00D75348">
      <w:r w:rsidRPr="009956A1">
        <w:rPr>
          <w:i/>
        </w:rPr>
        <w:t>Item [2</w:t>
      </w:r>
      <w:r w:rsidR="00C909F3" w:rsidRPr="009956A1">
        <w:rPr>
          <w:i/>
        </w:rPr>
        <w:t xml:space="preserve">] </w:t>
      </w:r>
    </w:p>
    <w:p w14:paraId="7A4A96C5" w14:textId="77777777" w:rsidR="00D75348" w:rsidRPr="009956A1" w:rsidRDefault="00D75348" w:rsidP="00D75348"/>
    <w:p w14:paraId="1A870066" w14:textId="73C4EFBF" w:rsidR="00D75348" w:rsidRPr="00F00678" w:rsidRDefault="00CD639E" w:rsidP="00D75348">
      <w:pPr>
        <w:rPr>
          <w:color w:val="00B050"/>
        </w:rPr>
      </w:pPr>
      <w:r w:rsidRPr="009956A1">
        <w:t>Item [2.1]</w:t>
      </w:r>
      <w:r w:rsidRPr="009956A1">
        <w:rPr>
          <w:i/>
        </w:rPr>
        <w:t xml:space="preserve"> </w:t>
      </w:r>
      <w:r w:rsidRPr="009956A1">
        <w:t>varies Standard 2.9.3 by inserting a new subsection 2.9.3</w:t>
      </w:r>
      <w:r w:rsidRPr="009956A1">
        <w:rPr>
          <w:rFonts w:ascii="Helvetica Neue" w:hAnsi="Helvetica Neue"/>
          <w:sz w:val="19"/>
          <w:szCs w:val="19"/>
        </w:rPr>
        <w:t>—</w:t>
      </w:r>
      <w:r w:rsidRPr="009956A1">
        <w:t>7(2A)</w:t>
      </w:r>
      <w:r w:rsidR="00F00678" w:rsidRPr="009956A1">
        <w:t>. The</w:t>
      </w:r>
      <w:r w:rsidR="003B51E4" w:rsidRPr="009956A1">
        <w:t xml:space="preserve"> </w:t>
      </w:r>
      <w:r w:rsidR="009956A1" w:rsidRPr="009956A1">
        <w:t>effect of this new subsection</w:t>
      </w:r>
      <w:r w:rsidR="003B51E4" w:rsidRPr="009956A1">
        <w:t xml:space="preserve"> is to permit</w:t>
      </w:r>
      <w:r w:rsidR="00F00678" w:rsidRPr="009956A1">
        <w:t xml:space="preserve"> </w:t>
      </w:r>
      <w:r w:rsidR="009956A1" w:rsidRPr="009956A1">
        <w:t>substances listed in a new table in section S29</w:t>
      </w:r>
      <w:r w:rsidR="009956A1" w:rsidRPr="009956A1">
        <w:rPr>
          <w:rFonts w:ascii="Helvetica Neue" w:hAnsi="Helvetica Neue"/>
          <w:sz w:val="19"/>
          <w:szCs w:val="19"/>
        </w:rPr>
        <w:t>—</w:t>
      </w:r>
      <w:r w:rsidR="009956A1" w:rsidRPr="009956A1">
        <w:t xml:space="preserve">15A in Schedule 29 </w:t>
      </w:r>
      <w:r w:rsidR="00F00678" w:rsidRPr="009956A1">
        <w:t xml:space="preserve">to be </w:t>
      </w:r>
      <w:r w:rsidR="00F00678" w:rsidRPr="009956A1">
        <w:rPr>
          <w:i/>
        </w:rPr>
        <w:t>used as a nutritive substance</w:t>
      </w:r>
      <w:r w:rsidR="00F00678" w:rsidRPr="009956A1">
        <w:t xml:space="preserve"> </w:t>
      </w:r>
      <w:r w:rsidR="009956A1" w:rsidRPr="009956A1">
        <w:t>in FSFYC</w:t>
      </w:r>
      <w:r w:rsidR="00FD4ADB">
        <w:t xml:space="preserve"> </w:t>
      </w:r>
      <w:r w:rsidR="00FD4ADB" w:rsidRPr="009956A1">
        <w:t>(</w:t>
      </w:r>
      <w:r w:rsidR="00FD4ADB" w:rsidRPr="00955DE7">
        <w:t>see Item 6</w:t>
      </w:r>
      <w:r w:rsidR="00FD4ADB">
        <w:t>.2</w:t>
      </w:r>
      <w:r w:rsidR="00FD4ADB" w:rsidRPr="00955DE7">
        <w:t xml:space="preserve"> below</w:t>
      </w:r>
      <w:r w:rsidR="00FD4ADB" w:rsidRPr="009956A1">
        <w:t>)</w:t>
      </w:r>
      <w:r w:rsidR="009956A1" w:rsidRPr="009956A1">
        <w:t xml:space="preserve">, providing the substance meets the permitted form and </w:t>
      </w:r>
      <w:r w:rsidR="009956A1">
        <w:t>maximum lev</w:t>
      </w:r>
      <w:r w:rsidR="007071B5">
        <w:t xml:space="preserve">els set in this </w:t>
      </w:r>
      <w:r w:rsidR="009956A1">
        <w:t>table.</w:t>
      </w:r>
      <w:r w:rsidR="00177E4E">
        <w:t xml:space="preserve"> </w:t>
      </w:r>
      <w:r w:rsidR="00B51870">
        <w:t>2′</w:t>
      </w:r>
      <w:r w:rsidR="00177E4E">
        <w:t>-FL alone</w:t>
      </w:r>
      <w:r w:rsidR="0083407F">
        <w:t>,</w:t>
      </w:r>
      <w:r w:rsidR="00177E4E">
        <w:t xml:space="preserve"> and </w:t>
      </w:r>
      <w:r w:rsidR="00B51870">
        <w:t>2′</w:t>
      </w:r>
      <w:r w:rsidR="00177E4E">
        <w:t>-FL and LNnT combin</w:t>
      </w:r>
      <w:r w:rsidR="00E26BDD">
        <w:t>ed</w:t>
      </w:r>
      <w:r w:rsidR="0083407F">
        <w:t>,</w:t>
      </w:r>
      <w:r w:rsidR="00E26BDD">
        <w:t xml:space="preserve"> </w:t>
      </w:r>
      <w:r w:rsidR="0083407F">
        <w:t xml:space="preserve">are </w:t>
      </w:r>
      <w:r w:rsidR="00003AB9">
        <w:t xml:space="preserve">listed </w:t>
      </w:r>
      <w:r w:rsidR="0083407F">
        <w:t>in the</w:t>
      </w:r>
      <w:r w:rsidR="00E26BDD">
        <w:t xml:space="preserve"> new table.</w:t>
      </w:r>
    </w:p>
    <w:p w14:paraId="48271435" w14:textId="77777777" w:rsidR="00D75348" w:rsidRDefault="00D75348" w:rsidP="00D75348"/>
    <w:p w14:paraId="1E3F1637" w14:textId="3F2469DC" w:rsidR="00D75348" w:rsidRDefault="009956A1" w:rsidP="00D75348">
      <w:r>
        <w:t xml:space="preserve">Item </w:t>
      </w:r>
      <w:r w:rsidRPr="009956A1">
        <w:t>[2</w:t>
      </w:r>
      <w:r>
        <w:t>.2</w:t>
      </w:r>
      <w:r w:rsidRPr="009956A1">
        <w:t xml:space="preserve">] varies Standard 2.9.3 </w:t>
      </w:r>
      <w:r w:rsidRPr="00C909F3">
        <w:t>by o</w:t>
      </w:r>
      <w:r>
        <w:t>mitting the existing subsection</w:t>
      </w:r>
      <w:r w:rsidR="002A00AA">
        <w:t xml:space="preserve"> 2.9.3</w:t>
      </w:r>
      <w:r w:rsidRPr="00C909F3">
        <w:rPr>
          <w:rFonts w:ascii="Helvetica Neue" w:hAnsi="Helvetica Neue"/>
          <w:sz w:val="19"/>
          <w:szCs w:val="19"/>
        </w:rPr>
        <w:t>—</w:t>
      </w:r>
      <w:r w:rsidRPr="00C909F3">
        <w:t>7</w:t>
      </w:r>
      <w:r w:rsidR="002A00AA">
        <w:t>(3)</w:t>
      </w:r>
      <w:r w:rsidRPr="00C909F3">
        <w:t xml:space="preserve"> and substituting a new </w:t>
      </w:r>
      <w:r>
        <w:t>subsection. The new subsection</w:t>
      </w:r>
      <w:r w:rsidRPr="00C909F3">
        <w:t xml:space="preserve"> </w:t>
      </w:r>
      <w:r w:rsidR="00003AB9">
        <w:t xml:space="preserve">restates the permitted quantity of ITF and GOS in the current subsection, and </w:t>
      </w:r>
      <w:r>
        <w:t>includes</w:t>
      </w:r>
      <w:r w:rsidRPr="00C909F3">
        <w:t xml:space="preserve"> a new requirement which </w:t>
      </w:r>
      <w:r w:rsidR="007071B5">
        <w:t xml:space="preserve">will </w:t>
      </w:r>
      <w:r>
        <w:t>prohibit</w:t>
      </w:r>
      <w:r w:rsidRPr="00C909F3">
        <w:t xml:space="preserve"> </w:t>
      </w:r>
      <w:r w:rsidR="002A00AA">
        <w:t>FSFYC</w:t>
      </w:r>
      <w:r w:rsidRPr="00C909F3">
        <w:t xml:space="preserve"> to which ITF or GOS are added</w:t>
      </w:r>
      <w:r>
        <w:t>,</w:t>
      </w:r>
      <w:r w:rsidRPr="00C909F3">
        <w:t xml:space="preserve"> from containing </w:t>
      </w:r>
      <w:r w:rsidR="00B51870">
        <w:t>2′</w:t>
      </w:r>
      <w:r w:rsidRPr="00C909F3">
        <w:t>-FL</w:t>
      </w:r>
      <w:r w:rsidR="00B02D73">
        <w:t xml:space="preserve"> alone</w:t>
      </w:r>
      <w:r w:rsidR="00FD4ADB">
        <w:t>,</w:t>
      </w:r>
      <w:r w:rsidRPr="00C909F3">
        <w:t xml:space="preserve"> or a combination of </w:t>
      </w:r>
      <w:r w:rsidR="00B51870">
        <w:t>2′</w:t>
      </w:r>
      <w:r w:rsidRPr="00C909F3">
        <w:t>-FL and LNnT.</w:t>
      </w:r>
    </w:p>
    <w:p w14:paraId="7543F11A" w14:textId="46FB4D8F" w:rsidR="00D75348" w:rsidRDefault="00D75348" w:rsidP="00D75348"/>
    <w:p w14:paraId="31DB479C" w14:textId="662A74C2" w:rsidR="00177E4E" w:rsidRDefault="00177E4E" w:rsidP="00D75348">
      <w:r>
        <w:t xml:space="preserve">Item </w:t>
      </w:r>
      <w:r w:rsidRPr="009956A1">
        <w:t>[2</w:t>
      </w:r>
      <w:r>
        <w:t>.3</w:t>
      </w:r>
      <w:r w:rsidRPr="009956A1">
        <w:t>] varies Standard 2.9.3</w:t>
      </w:r>
      <w:r>
        <w:t xml:space="preserve"> by omitting subsection 2.9.3</w:t>
      </w:r>
      <w:r w:rsidRPr="00C909F3">
        <w:rPr>
          <w:rFonts w:ascii="Helvetica Neue" w:hAnsi="Helvetica Neue"/>
          <w:sz w:val="19"/>
          <w:szCs w:val="19"/>
        </w:rPr>
        <w:t>—</w:t>
      </w:r>
      <w:r w:rsidRPr="00C909F3">
        <w:t>7</w:t>
      </w:r>
      <w:r>
        <w:t xml:space="preserve">(4) </w:t>
      </w:r>
      <w:r w:rsidR="00A42AC6">
        <w:t xml:space="preserve">relating to the permission for </w:t>
      </w:r>
      <w:r w:rsidR="00096181">
        <w:t>lutein</w:t>
      </w:r>
      <w:r>
        <w:t xml:space="preserve"> to be </w:t>
      </w:r>
      <w:r>
        <w:rPr>
          <w:i/>
        </w:rPr>
        <w:t xml:space="preserve">used as a nutritive substance. </w:t>
      </w:r>
      <w:r>
        <w:t xml:space="preserve">This permission </w:t>
      </w:r>
      <w:r w:rsidR="00A42AC6">
        <w:t>is relocated</w:t>
      </w:r>
      <w:r w:rsidR="00FD4ADB">
        <w:t xml:space="preserve"> to the new table in </w:t>
      </w:r>
      <w:r>
        <w:t xml:space="preserve">section </w:t>
      </w:r>
      <w:r w:rsidRPr="009956A1">
        <w:t>S29</w:t>
      </w:r>
      <w:r w:rsidRPr="009956A1">
        <w:rPr>
          <w:rFonts w:ascii="Helvetica Neue" w:hAnsi="Helvetica Neue"/>
          <w:sz w:val="19"/>
          <w:szCs w:val="19"/>
        </w:rPr>
        <w:t>—</w:t>
      </w:r>
      <w:r w:rsidRPr="009956A1">
        <w:t>15A</w:t>
      </w:r>
      <w:r>
        <w:t xml:space="preserve"> in Schedule 29</w:t>
      </w:r>
      <w:r w:rsidR="00FD4ADB">
        <w:t xml:space="preserve"> </w:t>
      </w:r>
      <w:r>
        <w:t xml:space="preserve">(see Item </w:t>
      </w:r>
      <w:r w:rsidRPr="009956A1">
        <w:t>[2.1]</w:t>
      </w:r>
      <w:r w:rsidR="00FD4ADB">
        <w:t xml:space="preserve"> above </w:t>
      </w:r>
      <w:r>
        <w:t xml:space="preserve">and </w:t>
      </w:r>
      <w:r w:rsidR="00955DE7" w:rsidRPr="00955DE7">
        <w:t>Item 6</w:t>
      </w:r>
      <w:r w:rsidR="00143216">
        <w:t>.2</w:t>
      </w:r>
      <w:r w:rsidRPr="00955DE7">
        <w:t xml:space="preserve"> below</w:t>
      </w:r>
      <w:r>
        <w:t>).</w:t>
      </w:r>
      <w:r w:rsidR="00E16A55">
        <w:t xml:space="preserve"> This amendment does not change the existing permission and associated conditions for the use of lutein</w:t>
      </w:r>
      <w:r w:rsidR="00061A90">
        <w:t xml:space="preserve"> in FSFYC</w:t>
      </w:r>
      <w:r w:rsidR="00E16A55">
        <w:t>, it only relocates the permission.</w:t>
      </w:r>
    </w:p>
    <w:p w14:paraId="3BED6150" w14:textId="07445E39" w:rsidR="0083407F" w:rsidRDefault="0083407F" w:rsidP="00D75348"/>
    <w:p w14:paraId="64DF5B0A" w14:textId="35A5A9EF" w:rsidR="0083407F" w:rsidRDefault="0083407F" w:rsidP="00D75348">
      <w:r>
        <w:t xml:space="preserve">Item </w:t>
      </w:r>
      <w:r w:rsidRPr="009956A1">
        <w:t>[2</w:t>
      </w:r>
      <w:r>
        <w:t>.4</w:t>
      </w:r>
      <w:r w:rsidRPr="009956A1">
        <w:t>] varies Standard 2.9.3</w:t>
      </w:r>
      <w:r>
        <w:t xml:space="preserve"> by omitting subsection 2.9.3</w:t>
      </w:r>
      <w:r w:rsidRPr="00C909F3">
        <w:rPr>
          <w:rFonts w:ascii="Helvetica Neue" w:hAnsi="Helvetica Neue"/>
          <w:sz w:val="19"/>
          <w:szCs w:val="19"/>
        </w:rPr>
        <w:t>—</w:t>
      </w:r>
      <w:r>
        <w:t>8(6) and substituting a new subsection. The new subsection</w:t>
      </w:r>
      <w:r w:rsidR="007071B5">
        <w:t xml:space="preserve"> </w:t>
      </w:r>
      <w:r w:rsidR="00A42AC6">
        <w:t xml:space="preserve">restates the labelling restriction relating to lutein, and </w:t>
      </w:r>
      <w:r w:rsidR="007071B5">
        <w:t xml:space="preserve">includes a new requirement which will </w:t>
      </w:r>
      <w:r w:rsidR="007071B5" w:rsidRPr="00C909F3">
        <w:t>prohib</w:t>
      </w:r>
      <w:r w:rsidR="0042050B">
        <w:t xml:space="preserve">it </w:t>
      </w:r>
      <w:r w:rsidR="007071B5" w:rsidRPr="00C909F3">
        <w:t xml:space="preserve">use of the words </w:t>
      </w:r>
      <w:r w:rsidR="007071B5">
        <w:t xml:space="preserve">‘human milk oligosaccharide’, ‘human milk identical oligosaccharide (or any word or words of similar effect), and the use of abbreviations ‘HMO’ or ‘HiMO’ (or any abbreviation having the same or similar effect), on the label on a package of FSFYC. This amendment is not intended to prohibit the use of the term ‘oligosaccharide’ </w:t>
      </w:r>
      <w:r w:rsidR="00A42AC6">
        <w:t xml:space="preserve">on its own (i.e. </w:t>
      </w:r>
      <w:r w:rsidR="00FA2B52">
        <w:t>not used in associated</w:t>
      </w:r>
      <w:r w:rsidR="00A42AC6">
        <w:t xml:space="preserve"> with ‘human milk’ or ‘human milk identical’) </w:t>
      </w:r>
      <w:r w:rsidR="007071B5">
        <w:t xml:space="preserve">on the label on a package of FSFYC. </w:t>
      </w:r>
    </w:p>
    <w:p w14:paraId="6FAB19B6" w14:textId="666E87A1" w:rsidR="00560A07" w:rsidRDefault="00560A07" w:rsidP="00D75348"/>
    <w:p w14:paraId="25C9230F" w14:textId="17A2622E" w:rsidR="00560A07" w:rsidRPr="009956A1" w:rsidRDefault="00560A07" w:rsidP="00560A07">
      <w:r w:rsidRPr="009956A1">
        <w:rPr>
          <w:i/>
        </w:rPr>
        <w:t>Item [</w:t>
      </w:r>
      <w:r>
        <w:rPr>
          <w:i/>
        </w:rPr>
        <w:t>3</w:t>
      </w:r>
      <w:r w:rsidRPr="009956A1">
        <w:rPr>
          <w:i/>
        </w:rPr>
        <w:t xml:space="preserve">] </w:t>
      </w:r>
    </w:p>
    <w:p w14:paraId="39562865" w14:textId="65F6E974" w:rsidR="00560A07" w:rsidRDefault="00560A07" w:rsidP="00D75348"/>
    <w:p w14:paraId="4C66EFE4" w14:textId="4BC5B718" w:rsidR="00560A07" w:rsidRDefault="00560A07" w:rsidP="00D75348">
      <w:r>
        <w:t xml:space="preserve">Item </w:t>
      </w:r>
      <w:r w:rsidRPr="009956A1">
        <w:t>[</w:t>
      </w:r>
      <w:r>
        <w:t>3</w:t>
      </w:r>
      <w:r w:rsidRPr="009956A1">
        <w:t>]</w:t>
      </w:r>
      <w:r>
        <w:t xml:space="preserve"> varies Schedule 2 </w:t>
      </w:r>
      <w:r w:rsidR="00F105D8">
        <w:t>to insert</w:t>
      </w:r>
      <w:r>
        <w:t xml:space="preserve"> a new unit of measurement EU/mg (endotoxin</w:t>
      </w:r>
      <w:r w:rsidR="00FD0300">
        <w:t xml:space="preserve"> unit per milligram), as</w:t>
      </w:r>
      <w:r>
        <w:t xml:space="preserve"> used in the new specifications in Schedule</w:t>
      </w:r>
      <w:r w:rsidR="00F105D8">
        <w:t xml:space="preserve"> 3</w:t>
      </w:r>
      <w:r>
        <w:t xml:space="preserve"> (see </w:t>
      </w:r>
      <w:r w:rsidRPr="00560A07">
        <w:t>Item [4] below)</w:t>
      </w:r>
      <w:r>
        <w:t>.</w:t>
      </w:r>
    </w:p>
    <w:p w14:paraId="1D1E13AD" w14:textId="0E315C4E" w:rsidR="00560A07" w:rsidRDefault="00560A07" w:rsidP="00D75348"/>
    <w:p w14:paraId="27873499" w14:textId="77777777" w:rsidR="00072A22" w:rsidRDefault="00072A22">
      <w:pPr>
        <w:widowControl/>
        <w:rPr>
          <w:i/>
        </w:rPr>
      </w:pPr>
      <w:r>
        <w:rPr>
          <w:i/>
        </w:rPr>
        <w:br w:type="page"/>
      </w:r>
    </w:p>
    <w:p w14:paraId="633B368A" w14:textId="79F783C6" w:rsidR="00560A07" w:rsidRPr="009956A1" w:rsidRDefault="00560A07" w:rsidP="00560A07">
      <w:r w:rsidRPr="009956A1">
        <w:rPr>
          <w:i/>
        </w:rPr>
        <w:t>Item [</w:t>
      </w:r>
      <w:r>
        <w:rPr>
          <w:i/>
        </w:rPr>
        <w:t>4</w:t>
      </w:r>
      <w:r w:rsidRPr="009956A1">
        <w:rPr>
          <w:i/>
        </w:rPr>
        <w:t xml:space="preserve">] </w:t>
      </w:r>
    </w:p>
    <w:p w14:paraId="16AEDA01" w14:textId="4A6E4A9F" w:rsidR="00560A07" w:rsidRDefault="00560A07" w:rsidP="00D75348"/>
    <w:p w14:paraId="0431935A" w14:textId="00F06010" w:rsidR="00560A07" w:rsidRDefault="00560A07" w:rsidP="00D75348">
      <w:r>
        <w:t xml:space="preserve">Item </w:t>
      </w:r>
      <w:r w:rsidRPr="009956A1">
        <w:t>[</w:t>
      </w:r>
      <w:r>
        <w:t>4</w:t>
      </w:r>
      <w:r w:rsidRPr="009956A1">
        <w:t>]</w:t>
      </w:r>
      <w:r>
        <w:t xml:space="preserve"> varies Schedule 3 </w:t>
      </w:r>
      <w:r w:rsidR="00F105D8">
        <w:t>to insert new</w:t>
      </w:r>
      <w:r>
        <w:t xml:space="preserve"> specifications for </w:t>
      </w:r>
      <w:r w:rsidR="00B51870">
        <w:t>2′</w:t>
      </w:r>
      <w:r>
        <w:t xml:space="preserve">-FL </w:t>
      </w:r>
      <w:r w:rsidR="00351AAC">
        <w:t>(new section S3</w:t>
      </w:r>
      <w:r w:rsidR="00351AAC" w:rsidRPr="00C909F3">
        <w:rPr>
          <w:rFonts w:ascii="Helvetica Neue" w:hAnsi="Helvetica Neue"/>
          <w:sz w:val="19"/>
          <w:szCs w:val="19"/>
        </w:rPr>
        <w:t>—</w:t>
      </w:r>
      <w:r w:rsidR="00351AAC">
        <w:t xml:space="preserve">40) </w:t>
      </w:r>
      <w:r>
        <w:t>and LNnT</w:t>
      </w:r>
      <w:r w:rsidR="00351AAC">
        <w:t xml:space="preserve"> (new section S3</w:t>
      </w:r>
      <w:r w:rsidR="00351AAC" w:rsidRPr="00C909F3">
        <w:rPr>
          <w:rFonts w:ascii="Helvetica Neue" w:hAnsi="Helvetica Neue"/>
          <w:sz w:val="19"/>
          <w:szCs w:val="19"/>
        </w:rPr>
        <w:t>—</w:t>
      </w:r>
      <w:r w:rsidR="00351AAC">
        <w:t>41).</w:t>
      </w:r>
    </w:p>
    <w:p w14:paraId="5F5BC867" w14:textId="77777777" w:rsidR="00FA09EC" w:rsidRDefault="00FA09EC" w:rsidP="00351AAC">
      <w:pPr>
        <w:rPr>
          <w:i/>
        </w:rPr>
      </w:pPr>
    </w:p>
    <w:p w14:paraId="7D9DA021" w14:textId="0A2C44E5" w:rsidR="00351AAC" w:rsidRPr="009956A1" w:rsidRDefault="00351AAC" w:rsidP="00351AAC">
      <w:r w:rsidRPr="009956A1">
        <w:rPr>
          <w:i/>
        </w:rPr>
        <w:t>Item [</w:t>
      </w:r>
      <w:r>
        <w:rPr>
          <w:i/>
        </w:rPr>
        <w:t>5</w:t>
      </w:r>
      <w:r w:rsidRPr="009956A1">
        <w:rPr>
          <w:i/>
        </w:rPr>
        <w:t xml:space="preserve">] </w:t>
      </w:r>
    </w:p>
    <w:p w14:paraId="5978A82A" w14:textId="77777777" w:rsidR="00FD0300" w:rsidRDefault="00FD0300" w:rsidP="00FD0300"/>
    <w:p w14:paraId="76B356E2" w14:textId="465C7EEF" w:rsidR="00FD0300" w:rsidRPr="00B57262" w:rsidRDefault="00FD0300" w:rsidP="00B57262">
      <w:r>
        <w:t xml:space="preserve">Item </w:t>
      </w:r>
      <w:r w:rsidRPr="009956A1">
        <w:t>[</w:t>
      </w:r>
      <w:r>
        <w:t>5</w:t>
      </w:r>
      <w:r w:rsidRPr="009956A1">
        <w:t>]</w:t>
      </w:r>
      <w:r>
        <w:t xml:space="preserve"> </w:t>
      </w:r>
      <w:r w:rsidR="003521D2">
        <w:t>varies</w:t>
      </w:r>
      <w:r>
        <w:t xml:space="preserve"> Schedule 26 to </w:t>
      </w:r>
      <w:r w:rsidR="00492378">
        <w:t xml:space="preserve">insert a new table under </w:t>
      </w:r>
      <w:r w:rsidR="009F0A6C">
        <w:t xml:space="preserve">a </w:t>
      </w:r>
      <w:r w:rsidR="00492378">
        <w:t xml:space="preserve">new subsection (7) </w:t>
      </w:r>
      <w:r w:rsidR="009153D1">
        <w:t>with the heading</w:t>
      </w:r>
      <w:r w:rsidR="00492378">
        <w:t xml:space="preserve"> </w:t>
      </w:r>
      <w:r w:rsidR="004D019E">
        <w:rPr>
          <w:i/>
        </w:rPr>
        <w:t>F</w:t>
      </w:r>
      <w:r w:rsidR="00492378" w:rsidRPr="00FD0300">
        <w:rPr>
          <w:i/>
        </w:rPr>
        <w:t xml:space="preserve">ood produced using gene technology </w:t>
      </w:r>
      <w:r w:rsidR="00492378" w:rsidRPr="00003AB9">
        <w:rPr>
          <w:i/>
        </w:rPr>
        <w:t>of microbial origin</w:t>
      </w:r>
      <w:r w:rsidR="00492378">
        <w:t xml:space="preserve">. This new table lists </w:t>
      </w:r>
      <w:r w:rsidR="00B51870">
        <w:t>2′</w:t>
      </w:r>
      <w:r w:rsidR="00492378">
        <w:t xml:space="preserve">-FL and LNnT from </w:t>
      </w:r>
      <w:r w:rsidR="009153D1">
        <w:t xml:space="preserve">permitted </w:t>
      </w:r>
      <w:r w:rsidR="00492378">
        <w:t xml:space="preserve">microbial sources. </w:t>
      </w:r>
      <w:r w:rsidR="00B57262">
        <w:t>This amendment will not amend the existing approvals currently listed in the table to subsection (4), or change the requirements for pre-market assessment and approval of GM foods. T</w:t>
      </w:r>
      <w:r w:rsidR="009153D1">
        <w:t>he detailed</w:t>
      </w:r>
      <w:r w:rsidR="003521D2">
        <w:t xml:space="preserve"> amendments made to this Schedule are discussed below.</w:t>
      </w:r>
    </w:p>
    <w:p w14:paraId="5D6E77E5" w14:textId="77777777" w:rsidR="00FD0300" w:rsidRDefault="00FD0300" w:rsidP="00FD0300"/>
    <w:p w14:paraId="0993A7FE" w14:textId="02FC8784" w:rsidR="00351AAC" w:rsidRDefault="00FD0300" w:rsidP="00FD0300">
      <w:r>
        <w:t xml:space="preserve">Item </w:t>
      </w:r>
      <w:r w:rsidRPr="009956A1">
        <w:t>[</w:t>
      </w:r>
      <w:r>
        <w:t>5.1</w:t>
      </w:r>
      <w:r w:rsidRPr="009956A1">
        <w:t>]</w:t>
      </w:r>
      <w:r>
        <w:t xml:space="preserve"> omits subsections 26</w:t>
      </w:r>
      <w:r w:rsidRPr="00C909F3">
        <w:rPr>
          <w:rFonts w:ascii="Helvetica Neue" w:hAnsi="Helvetica Neue"/>
          <w:sz w:val="19"/>
          <w:szCs w:val="19"/>
        </w:rPr>
        <w:t>—</w:t>
      </w:r>
      <w:r>
        <w:t>3(1), (2), (2A) and (3) and substitutes a new subsection</w:t>
      </w:r>
      <w:r w:rsidR="003521D2">
        <w:t>. New</w:t>
      </w:r>
      <w:r w:rsidR="00003AB9">
        <w:t xml:space="preserve"> subsection (1) specif</w:t>
      </w:r>
      <w:r w:rsidR="006A402D">
        <w:t>i</w:t>
      </w:r>
      <w:r w:rsidR="00003AB9">
        <w:t>es</w:t>
      </w:r>
      <w:r>
        <w:t xml:space="preserve"> that </w:t>
      </w:r>
      <w:r w:rsidR="003521D2">
        <w:t xml:space="preserve">the existing table to </w:t>
      </w:r>
      <w:r>
        <w:t xml:space="preserve">subsection </w:t>
      </w:r>
      <w:r w:rsidR="003521D2">
        <w:t xml:space="preserve">(4) and the new table to subsection (7) lists </w:t>
      </w:r>
      <w:r>
        <w:t>permitted food produ</w:t>
      </w:r>
      <w:r w:rsidR="003521D2">
        <w:t>ced using gene technology. N</w:t>
      </w:r>
      <w:r>
        <w:t>ew subsections (2), (2A) and (3)</w:t>
      </w:r>
      <w:r w:rsidR="003521D2">
        <w:t xml:space="preserve"> restate the existing labelling requireme</w:t>
      </w:r>
      <w:r w:rsidR="006A402D">
        <w:t>n</w:t>
      </w:r>
      <w:r w:rsidR="003521D2">
        <w:t>ts</w:t>
      </w:r>
      <w:r w:rsidR="002517B1">
        <w:t>, but now</w:t>
      </w:r>
      <w:r w:rsidR="009153D1">
        <w:t xml:space="preserve"> </w:t>
      </w:r>
      <w:r w:rsidR="003521D2">
        <w:t xml:space="preserve">specify that these </w:t>
      </w:r>
      <w:r>
        <w:t xml:space="preserve">apply to </w:t>
      </w:r>
      <w:r w:rsidR="00003AB9">
        <w:t xml:space="preserve">the </w:t>
      </w:r>
      <w:r w:rsidR="003521D2">
        <w:t xml:space="preserve">existing </w:t>
      </w:r>
      <w:r>
        <w:t xml:space="preserve">table to subsection (4). </w:t>
      </w:r>
    </w:p>
    <w:p w14:paraId="0DDA6F9F" w14:textId="79BD83EE" w:rsidR="003521D2" w:rsidRDefault="003521D2" w:rsidP="00FD0300"/>
    <w:p w14:paraId="767B3C91" w14:textId="7468CC8B" w:rsidR="003521D2" w:rsidRPr="009153D1" w:rsidRDefault="003521D2" w:rsidP="00FD0300">
      <w:r>
        <w:t xml:space="preserve">Item </w:t>
      </w:r>
      <w:r w:rsidRPr="009956A1">
        <w:t>[</w:t>
      </w:r>
      <w:r>
        <w:t>5.2</w:t>
      </w:r>
      <w:r w:rsidRPr="009956A1">
        <w:t>]</w:t>
      </w:r>
      <w:r>
        <w:t xml:space="preserve"> omits the words ‘gene technology’ from the heading of the existing table to subsection (4) and replaces this with the words ‘gene technology of plant origin’ </w:t>
      </w:r>
      <w:r w:rsidR="009153D1">
        <w:t>(</w:t>
      </w:r>
      <w:r>
        <w:t xml:space="preserve">i.e. the </w:t>
      </w:r>
      <w:r w:rsidR="009153D1">
        <w:t xml:space="preserve">full </w:t>
      </w:r>
      <w:r>
        <w:t xml:space="preserve">table heading will now be </w:t>
      </w:r>
      <w:r w:rsidR="001D2D8E">
        <w:rPr>
          <w:i/>
        </w:rPr>
        <w:t>F</w:t>
      </w:r>
      <w:r>
        <w:rPr>
          <w:i/>
        </w:rPr>
        <w:t>ood produced using gene technology of plan</w:t>
      </w:r>
      <w:r w:rsidR="00F31B0A">
        <w:rPr>
          <w:i/>
        </w:rPr>
        <w:t>t</w:t>
      </w:r>
      <w:r>
        <w:rPr>
          <w:i/>
        </w:rPr>
        <w:t xml:space="preserve"> origin</w:t>
      </w:r>
      <w:r w:rsidR="009153D1">
        <w:t>)</w:t>
      </w:r>
      <w:r>
        <w:rPr>
          <w:i/>
        </w:rPr>
        <w:t xml:space="preserve">. </w:t>
      </w:r>
      <w:r w:rsidR="009153D1">
        <w:t>This amendment clarifies that</w:t>
      </w:r>
      <w:r w:rsidR="00B57262">
        <w:t xml:space="preserve"> </w:t>
      </w:r>
      <w:r w:rsidR="009153D1">
        <w:t xml:space="preserve">permissions in the existing table to subsection (4) </w:t>
      </w:r>
      <w:r w:rsidR="00BE1037">
        <w:t xml:space="preserve">relate to </w:t>
      </w:r>
      <w:r w:rsidR="00E9393E">
        <w:t xml:space="preserve">food </w:t>
      </w:r>
      <w:r w:rsidR="009153D1">
        <w:t xml:space="preserve">of plant </w:t>
      </w:r>
      <w:r w:rsidR="00B57262">
        <w:t>origin, to</w:t>
      </w:r>
      <w:r w:rsidR="009153D1">
        <w:t xml:space="preserve"> distinguish</w:t>
      </w:r>
      <w:r w:rsidR="00B57262">
        <w:t xml:space="preserve"> these</w:t>
      </w:r>
      <w:r w:rsidR="009153D1">
        <w:t xml:space="preserve"> from the new permissions for </w:t>
      </w:r>
      <w:r w:rsidR="00B51870">
        <w:t>2′</w:t>
      </w:r>
      <w:r w:rsidR="009153D1">
        <w:t xml:space="preserve">-FL and LNnT which are </w:t>
      </w:r>
      <w:r w:rsidR="00E9393E">
        <w:t>food</w:t>
      </w:r>
      <w:r w:rsidR="00F64A65">
        <w:t xml:space="preserve"> </w:t>
      </w:r>
      <w:r w:rsidR="009153D1">
        <w:t>of microbial origin</w:t>
      </w:r>
      <w:r w:rsidR="00B57262">
        <w:t xml:space="preserve"> (</w:t>
      </w:r>
      <w:r w:rsidR="0042050B">
        <w:t>new table to subsection (7))</w:t>
      </w:r>
      <w:r w:rsidR="009153D1">
        <w:t xml:space="preserve">. </w:t>
      </w:r>
    </w:p>
    <w:p w14:paraId="4A0C06CD" w14:textId="62B8015F" w:rsidR="003521D2" w:rsidRDefault="003521D2" w:rsidP="00FD0300"/>
    <w:p w14:paraId="4819797F" w14:textId="7D83E89F" w:rsidR="009153D1" w:rsidRDefault="009153D1" w:rsidP="00FD0300">
      <w:r>
        <w:t xml:space="preserve">Item </w:t>
      </w:r>
      <w:r w:rsidRPr="009956A1">
        <w:t>[</w:t>
      </w:r>
      <w:r>
        <w:t>5.3</w:t>
      </w:r>
      <w:r w:rsidRPr="009956A1">
        <w:t>]</w:t>
      </w:r>
      <w:r>
        <w:t xml:space="preserve"> inserts new subsections 26</w:t>
      </w:r>
      <w:r w:rsidRPr="00C909F3">
        <w:rPr>
          <w:rFonts w:ascii="Helvetica Neue" w:hAnsi="Helvetica Neue"/>
          <w:sz w:val="19"/>
          <w:szCs w:val="19"/>
        </w:rPr>
        <w:t>—</w:t>
      </w:r>
      <w:r w:rsidR="00CF7E38">
        <w:t>3(5), (6) and (7). S</w:t>
      </w:r>
      <w:r>
        <w:t xml:space="preserve">ubsection (7) inserts a new table </w:t>
      </w:r>
      <w:r w:rsidR="0027511B">
        <w:t>(</w:t>
      </w:r>
      <w:r w:rsidR="00091493">
        <w:rPr>
          <w:i/>
        </w:rPr>
        <w:t>F</w:t>
      </w:r>
      <w:r w:rsidR="0027511B" w:rsidRPr="0027511B">
        <w:rPr>
          <w:i/>
        </w:rPr>
        <w:t>ood produced using gene technology of microbial origin</w:t>
      </w:r>
      <w:r w:rsidR="0027511B">
        <w:t xml:space="preserve">) </w:t>
      </w:r>
      <w:r>
        <w:t xml:space="preserve">which lists </w:t>
      </w:r>
      <w:r w:rsidR="00B51870">
        <w:t>2′</w:t>
      </w:r>
      <w:r w:rsidR="00654FE7">
        <w:t xml:space="preserve">-FL and LNnT </w:t>
      </w:r>
      <w:r w:rsidR="0027511B">
        <w:t>sourced</w:t>
      </w:r>
      <w:r w:rsidR="00654FE7">
        <w:t xml:space="preserve"> from specific gene-gene donor information</w:t>
      </w:r>
      <w:r w:rsidR="00CF7E38">
        <w:t>. S</w:t>
      </w:r>
      <w:r>
        <w:t xml:space="preserve">ubsections (5) and (6) </w:t>
      </w:r>
      <w:r w:rsidR="0027511B">
        <w:t xml:space="preserve">require </w:t>
      </w:r>
      <w:r w:rsidR="00654FE7">
        <w:t>that a food listed in this</w:t>
      </w:r>
      <w:r>
        <w:t xml:space="preserve"> new table must comply with any corresponding conditions</w:t>
      </w:r>
      <w:r w:rsidR="0027511B">
        <w:t xml:space="preserve"> listed in the table</w:t>
      </w:r>
      <w:r>
        <w:t xml:space="preserve">, </w:t>
      </w:r>
      <w:r w:rsidRPr="008A6993">
        <w:t xml:space="preserve">and that the source listed in the table may contain additional copies of genes from the same </w:t>
      </w:r>
      <w:r w:rsidR="00427F2B" w:rsidRPr="008A6993">
        <w:t>strain</w:t>
      </w:r>
      <w:r>
        <w:t>.</w:t>
      </w:r>
      <w:r w:rsidR="00CF7E38">
        <w:t xml:space="preserve"> </w:t>
      </w:r>
      <w:r w:rsidR="00654FE7">
        <w:t xml:space="preserve">The new table includes the condition that </w:t>
      </w:r>
      <w:r w:rsidR="00B51870">
        <w:t>2′</w:t>
      </w:r>
      <w:r w:rsidR="00654FE7">
        <w:t xml:space="preserve">-FL and LNnT </w:t>
      </w:r>
      <w:r w:rsidR="009B64DD">
        <w:t>will</w:t>
      </w:r>
      <w:r w:rsidR="00654FE7">
        <w:t xml:space="preserve"> only be </w:t>
      </w:r>
      <w:r w:rsidR="009B64DD">
        <w:t xml:space="preserve">permitted to be </w:t>
      </w:r>
      <w:r w:rsidR="00654FE7">
        <w:t>added to inf</w:t>
      </w:r>
      <w:r w:rsidR="0027511B">
        <w:t xml:space="preserve">ant formula products and FSFYC. </w:t>
      </w:r>
      <w:r w:rsidR="009F0A6C">
        <w:t xml:space="preserve">It </w:t>
      </w:r>
      <w:r w:rsidR="009B64DD">
        <w:t xml:space="preserve">also includes the condition that, </w:t>
      </w:r>
      <w:r w:rsidR="0027511B">
        <w:t xml:space="preserve">during the </w:t>
      </w:r>
      <w:r w:rsidR="009B64DD">
        <w:t>‘</w:t>
      </w:r>
      <w:r w:rsidR="006A402D">
        <w:t>exclusive</w:t>
      </w:r>
      <w:r w:rsidR="0027511B">
        <w:t xml:space="preserve"> use period</w:t>
      </w:r>
      <w:r w:rsidR="009B64DD">
        <w:t>’</w:t>
      </w:r>
      <w:r w:rsidR="0027511B">
        <w:t xml:space="preserve">, </w:t>
      </w:r>
      <w:r w:rsidR="00B51870">
        <w:t>2′</w:t>
      </w:r>
      <w:r w:rsidR="0027511B">
        <w:t xml:space="preserve">-FL and LNnT </w:t>
      </w:r>
      <w:r w:rsidR="009B64DD">
        <w:t xml:space="preserve">from the permitted source listed </w:t>
      </w:r>
      <w:r w:rsidR="0027511B">
        <w:t>may only be sold under the brand name ‘</w:t>
      </w:r>
      <w:r w:rsidR="007C1F62">
        <w:t>GlyCare</w:t>
      </w:r>
      <w:r w:rsidR="0027511B">
        <w:t xml:space="preserve">’. </w:t>
      </w:r>
      <w:r w:rsidR="009B64DD">
        <w:t>‘Exclusive use period’ is defined to be the period commencing on the date of gazettal of the variation</w:t>
      </w:r>
      <w:r w:rsidR="00F105D8">
        <w:t>,</w:t>
      </w:r>
      <w:r w:rsidR="009B64DD">
        <w:t xml:space="preserve"> and ending 15 months after that date. This means that the new permission will apply exclusively to </w:t>
      </w:r>
      <w:r w:rsidR="00B51870">
        <w:t>2′</w:t>
      </w:r>
      <w:r w:rsidR="009B64DD">
        <w:t>-FL and LNnT as listed in Sched</w:t>
      </w:r>
      <w:r w:rsidR="007C1F62">
        <w:t>ule 26, under the brand ‘GlyCare</w:t>
      </w:r>
      <w:r w:rsidR="009B64DD">
        <w:t>’. Once this period ends, th</w:t>
      </w:r>
      <w:r w:rsidR="00CF7E38">
        <w:t>e exclusive use permission will</w:t>
      </w:r>
      <w:r w:rsidR="009B64DD">
        <w:t xml:space="preserve"> revert to a general permission, meaning that the permission will apply to all brands of </w:t>
      </w:r>
      <w:r w:rsidR="00B51870">
        <w:t>2′</w:t>
      </w:r>
      <w:r w:rsidR="009B64DD">
        <w:t xml:space="preserve">-FL and LNnT that meet the specific source and associated specifications in Schedule 3. </w:t>
      </w:r>
    </w:p>
    <w:p w14:paraId="4E9C4B59" w14:textId="1F80A30A" w:rsidR="001B1F57" w:rsidRDefault="001B1F57" w:rsidP="00FD0300"/>
    <w:p w14:paraId="751AA225" w14:textId="10B3D96E" w:rsidR="00F105D8" w:rsidRPr="009956A1" w:rsidRDefault="00F105D8" w:rsidP="00F105D8">
      <w:r w:rsidRPr="009956A1">
        <w:rPr>
          <w:i/>
        </w:rPr>
        <w:t>Item [</w:t>
      </w:r>
      <w:r>
        <w:rPr>
          <w:i/>
        </w:rPr>
        <w:t>6</w:t>
      </w:r>
      <w:r w:rsidRPr="009956A1">
        <w:rPr>
          <w:i/>
        </w:rPr>
        <w:t xml:space="preserve">] </w:t>
      </w:r>
    </w:p>
    <w:p w14:paraId="19CB49D9" w14:textId="77777777" w:rsidR="00F105D8" w:rsidRDefault="00F105D8" w:rsidP="00F105D8"/>
    <w:p w14:paraId="5708A712" w14:textId="33D31855" w:rsidR="001E59C6" w:rsidRDefault="00F105D8" w:rsidP="00F105D8">
      <w:r>
        <w:t xml:space="preserve">Item </w:t>
      </w:r>
      <w:r w:rsidRPr="009956A1">
        <w:t>[</w:t>
      </w:r>
      <w:r w:rsidR="00143216">
        <w:t>6</w:t>
      </w:r>
      <w:r>
        <w:t>.1</w:t>
      </w:r>
      <w:r w:rsidRPr="009956A1">
        <w:t>]</w:t>
      </w:r>
      <w:r>
        <w:t xml:space="preserve"> varies Schedule 29 by omitting section 29</w:t>
      </w:r>
      <w:r w:rsidRPr="00C909F3">
        <w:rPr>
          <w:rFonts w:ascii="Helvetica Neue" w:hAnsi="Helvetica Neue"/>
          <w:sz w:val="19"/>
          <w:szCs w:val="19"/>
        </w:rPr>
        <w:t>—</w:t>
      </w:r>
      <w:r>
        <w:t>5 and substituting a new section</w:t>
      </w:r>
      <w:r w:rsidR="007F6E5C">
        <w:t xml:space="preserve"> to add</w:t>
      </w:r>
      <w:r>
        <w:t xml:space="preserve"> </w:t>
      </w:r>
      <w:r w:rsidR="00B51870">
        <w:t>2′</w:t>
      </w:r>
      <w:r>
        <w:t>-FL</w:t>
      </w:r>
      <w:r w:rsidR="0042050B">
        <w:t>,</w:t>
      </w:r>
      <w:r>
        <w:t xml:space="preserve"> and </w:t>
      </w:r>
      <w:r w:rsidR="00B51870">
        <w:t>2′</w:t>
      </w:r>
      <w:r>
        <w:t>-FL combined with LNnT</w:t>
      </w:r>
      <w:r w:rsidR="0042050B">
        <w:t>,</w:t>
      </w:r>
      <w:r>
        <w:t xml:space="preserve"> in the table to this section as new substances permitted for use as nutritive substances in infant formula products. </w:t>
      </w:r>
      <w:r w:rsidR="00B51870">
        <w:t>2′</w:t>
      </w:r>
      <w:r w:rsidR="0042050B">
        <w:t>-FL and LNnT listed in this tab</w:t>
      </w:r>
      <w:r w:rsidR="001E59C6">
        <w:t>le are linked to th</w:t>
      </w:r>
      <w:r w:rsidR="007F6E5C">
        <w:t>ese substances</w:t>
      </w:r>
      <w:r w:rsidR="001E59C6">
        <w:t xml:space="preserve"> permitted for use by Standard 1.5.2 (</w:t>
      </w:r>
      <w:r w:rsidR="001E59C6" w:rsidRPr="00F84D82">
        <w:rPr>
          <w:i/>
        </w:rPr>
        <w:t>F</w:t>
      </w:r>
      <w:r w:rsidR="0042050B">
        <w:rPr>
          <w:i/>
        </w:rPr>
        <w:t>ood produced using gene technology</w:t>
      </w:r>
      <w:r w:rsidR="001E59C6">
        <w:t>)</w:t>
      </w:r>
      <w:r w:rsidR="0042050B">
        <w:rPr>
          <w:i/>
        </w:rPr>
        <w:t xml:space="preserve">. </w:t>
      </w:r>
      <w:r w:rsidR="0042050B">
        <w:t xml:space="preserve">This means that only </w:t>
      </w:r>
      <w:r w:rsidR="00B51870">
        <w:t>2′</w:t>
      </w:r>
      <w:r w:rsidR="0042050B">
        <w:t xml:space="preserve">-FL and LNnT derived from the microbial sources listed in Schedule </w:t>
      </w:r>
      <w:r w:rsidR="007F6E5C">
        <w:t xml:space="preserve">26 (table to subsection </w:t>
      </w:r>
      <w:r w:rsidR="005B4E81">
        <w:t>26</w:t>
      </w:r>
      <w:r w:rsidR="005B4E81" w:rsidRPr="00C909F3">
        <w:rPr>
          <w:rFonts w:ascii="Helvetica Neue" w:hAnsi="Helvetica Neue"/>
          <w:sz w:val="19"/>
          <w:szCs w:val="19"/>
        </w:rPr>
        <w:t>—</w:t>
      </w:r>
      <w:r w:rsidR="005B4E81">
        <w:t>3</w:t>
      </w:r>
      <w:r w:rsidR="007F6E5C">
        <w:t>(7)) will be</w:t>
      </w:r>
      <w:r w:rsidR="0042050B">
        <w:t xml:space="preserve"> permitted for use in infant formula products. </w:t>
      </w:r>
      <w:r w:rsidR="001E59C6">
        <w:t>The permission in section 29</w:t>
      </w:r>
      <w:r w:rsidR="001E59C6" w:rsidRPr="00C909F3">
        <w:rPr>
          <w:rFonts w:ascii="Helvetica Neue" w:hAnsi="Helvetica Neue"/>
          <w:sz w:val="19"/>
          <w:szCs w:val="19"/>
        </w:rPr>
        <w:t>—</w:t>
      </w:r>
      <w:r w:rsidR="001E59C6">
        <w:t xml:space="preserve">5 </w:t>
      </w:r>
      <w:r w:rsidR="00CF7E38">
        <w:t>also lists permitted forms, and will</w:t>
      </w:r>
      <w:r w:rsidR="007F6E5C">
        <w:t xml:space="preserve"> </w:t>
      </w:r>
      <w:r w:rsidR="00143216">
        <w:t>require infant formu</w:t>
      </w:r>
      <w:r w:rsidR="001E59C6">
        <w:t>l</w:t>
      </w:r>
      <w:r w:rsidR="00143216">
        <w:t>a</w:t>
      </w:r>
      <w:r w:rsidR="001E59C6">
        <w:t xml:space="preserve"> products to contain not more than 96 mg/100 kJ of </w:t>
      </w:r>
      <w:r w:rsidR="00B51870">
        <w:t>2′</w:t>
      </w:r>
      <w:r w:rsidR="001E59C6">
        <w:t xml:space="preserve">-FL; and not more than 96 mg/100 kJ of </w:t>
      </w:r>
      <w:r w:rsidR="00B51870">
        <w:t>2′</w:t>
      </w:r>
      <w:r w:rsidR="007F6E5C">
        <w:t>-FL and LNnT combined (</w:t>
      </w:r>
      <w:r w:rsidR="001E59C6">
        <w:t>of which contains not more than 24 mg/100 kJ of LNnT</w:t>
      </w:r>
      <w:r w:rsidR="007F6E5C">
        <w:t>)</w:t>
      </w:r>
      <w:r w:rsidR="001E59C6">
        <w:t xml:space="preserve">. </w:t>
      </w:r>
      <w:r w:rsidR="00143216">
        <w:t xml:space="preserve">A minimum amount is not set, as this was not requested in the application and has not been determined by FSANZ. </w:t>
      </w:r>
    </w:p>
    <w:p w14:paraId="445949C6" w14:textId="77777777" w:rsidR="007E757E" w:rsidRDefault="007E757E" w:rsidP="00F105D8"/>
    <w:p w14:paraId="46A2E488" w14:textId="259D662E" w:rsidR="001E59C6" w:rsidRPr="00560A07" w:rsidRDefault="00143216" w:rsidP="00143216">
      <w:r>
        <w:t xml:space="preserve">Item </w:t>
      </w:r>
      <w:r w:rsidRPr="009956A1">
        <w:t>[</w:t>
      </w:r>
      <w:r>
        <w:t>6.2</w:t>
      </w:r>
      <w:r w:rsidRPr="009956A1">
        <w:t>]</w:t>
      </w:r>
      <w:r>
        <w:t xml:space="preserve"> varies Schedule 29 by inserting a new </w:t>
      </w:r>
      <w:r w:rsidR="000D3BF4">
        <w:t xml:space="preserve">section </w:t>
      </w:r>
      <w:r w:rsidRPr="009956A1">
        <w:t>S29</w:t>
      </w:r>
      <w:r w:rsidRPr="009956A1">
        <w:rPr>
          <w:rFonts w:ascii="Helvetica Neue" w:hAnsi="Helvetica Neue"/>
          <w:sz w:val="19"/>
          <w:szCs w:val="19"/>
        </w:rPr>
        <w:t>—</w:t>
      </w:r>
      <w:r w:rsidRPr="009956A1">
        <w:t>15A</w:t>
      </w:r>
      <w:r w:rsidR="000D3BF4">
        <w:t xml:space="preserve"> containing a table</w:t>
      </w:r>
      <w:r w:rsidR="007F6E5C">
        <w:t xml:space="preserve"> (as referred to in subsection </w:t>
      </w:r>
      <w:r w:rsidR="007F6E5C" w:rsidRPr="009956A1">
        <w:t>2.9.3</w:t>
      </w:r>
      <w:r w:rsidR="007F6E5C" w:rsidRPr="009956A1">
        <w:rPr>
          <w:rFonts w:ascii="Helvetica Neue" w:hAnsi="Helvetica Neue"/>
          <w:sz w:val="19"/>
          <w:szCs w:val="19"/>
        </w:rPr>
        <w:t>—</w:t>
      </w:r>
      <w:r w:rsidR="007F6E5C" w:rsidRPr="009956A1">
        <w:t>7(2A)</w:t>
      </w:r>
      <w:r w:rsidR="007F6E5C">
        <w:t xml:space="preserve"> under Item 2.1 above)</w:t>
      </w:r>
      <w:r>
        <w:t xml:space="preserve">. This new </w:t>
      </w:r>
      <w:r w:rsidR="007F6E5C">
        <w:t xml:space="preserve">table lists other </w:t>
      </w:r>
      <w:r>
        <w:t>sub</w:t>
      </w:r>
      <w:r w:rsidR="006A402D">
        <w:t>stances permitted for use as nutri</w:t>
      </w:r>
      <w:r>
        <w:t>tive substances</w:t>
      </w:r>
      <w:r w:rsidR="007F6E5C">
        <w:t xml:space="preserve"> in FSFYC</w:t>
      </w:r>
      <w:r>
        <w:t xml:space="preserve"> (i.e. </w:t>
      </w:r>
      <w:r w:rsidR="007F6E5C">
        <w:t xml:space="preserve">substances </w:t>
      </w:r>
      <w:r w:rsidR="00BB5F3A">
        <w:t xml:space="preserve">which are </w:t>
      </w:r>
      <w:r w:rsidR="00E16A55">
        <w:t>additional</w:t>
      </w:r>
      <w:r w:rsidR="007F6E5C">
        <w:t xml:space="preserve"> to </w:t>
      </w:r>
      <w:r w:rsidR="00BB5F3A">
        <w:t xml:space="preserve">the </w:t>
      </w:r>
      <w:r w:rsidR="007F6E5C">
        <w:t>vitamins and minerals currently permitted to be used as nutritive substances in FSFYC in S29</w:t>
      </w:r>
      <w:r w:rsidR="007F6E5C" w:rsidRPr="009956A1">
        <w:rPr>
          <w:rFonts w:ascii="Helvetica Neue" w:hAnsi="Helvetica Neue"/>
          <w:sz w:val="19"/>
          <w:szCs w:val="19"/>
        </w:rPr>
        <w:t>—</w:t>
      </w:r>
      <w:r w:rsidR="007F6E5C" w:rsidRPr="009956A1">
        <w:t>15</w:t>
      </w:r>
      <w:r w:rsidR="007F6E5C">
        <w:t>)</w:t>
      </w:r>
      <w:r w:rsidRPr="009956A1">
        <w:t>.</w:t>
      </w:r>
      <w:r w:rsidR="007F6E5C">
        <w:t xml:space="preserve"> </w:t>
      </w:r>
      <w:r w:rsidR="00B51870">
        <w:t>2′</w:t>
      </w:r>
      <w:r w:rsidR="007F6E5C">
        <w:t>-FL</w:t>
      </w:r>
      <w:r w:rsidR="005B4E81">
        <w:t xml:space="preserve"> alone,</w:t>
      </w:r>
      <w:r w:rsidR="007F6E5C">
        <w:t xml:space="preserve"> and </w:t>
      </w:r>
      <w:r w:rsidR="00B51870">
        <w:t>2′</w:t>
      </w:r>
      <w:r w:rsidR="007F6E5C">
        <w:t xml:space="preserve">-FL and LNnT combined are listed in this table, </w:t>
      </w:r>
      <w:r w:rsidR="00E16A55">
        <w:t>along with</w:t>
      </w:r>
      <w:r w:rsidR="007F6E5C">
        <w:t xml:space="preserve"> the existing permission for lutein (relocated from existing section 2.9.3</w:t>
      </w:r>
      <w:r w:rsidR="007F6E5C" w:rsidRPr="00C909F3">
        <w:rPr>
          <w:rFonts w:ascii="Helvetica Neue" w:hAnsi="Helvetica Neue"/>
          <w:sz w:val="19"/>
          <w:szCs w:val="19"/>
        </w:rPr>
        <w:t>—</w:t>
      </w:r>
      <w:r w:rsidR="007F6E5C" w:rsidRPr="00C909F3">
        <w:t>7</w:t>
      </w:r>
      <w:r w:rsidR="007F6E5C">
        <w:t>(4)</w:t>
      </w:r>
      <w:r w:rsidR="00981614">
        <w:t xml:space="preserve">, </w:t>
      </w:r>
      <w:r w:rsidR="007F6E5C">
        <w:t>see Item 2.3 above).</w:t>
      </w:r>
      <w:r w:rsidR="00E16A55">
        <w:t xml:space="preserve"> </w:t>
      </w:r>
      <w:r w:rsidR="00B51870">
        <w:t>2′</w:t>
      </w:r>
      <w:r w:rsidR="00E16A55">
        <w:t>-FL and LNnT listed in this table are linked to these substances permitted for use by Standard 1.5.2</w:t>
      </w:r>
      <w:r w:rsidR="00E16A55">
        <w:rPr>
          <w:i/>
        </w:rPr>
        <w:t xml:space="preserve">. </w:t>
      </w:r>
      <w:r w:rsidR="00E16A55">
        <w:t xml:space="preserve">This means that only </w:t>
      </w:r>
      <w:r w:rsidR="00B51870">
        <w:t>2′</w:t>
      </w:r>
      <w:r w:rsidR="00E16A55">
        <w:t xml:space="preserve">-FL and LNnT derived from the microbial sources listed in Schedule 26 (table to subsection </w:t>
      </w:r>
      <w:r w:rsidR="005B4E81">
        <w:t>26</w:t>
      </w:r>
      <w:r w:rsidR="005B4E81" w:rsidRPr="00C909F3">
        <w:rPr>
          <w:rFonts w:ascii="Helvetica Neue" w:hAnsi="Helvetica Neue"/>
          <w:sz w:val="19"/>
          <w:szCs w:val="19"/>
        </w:rPr>
        <w:t>—</w:t>
      </w:r>
      <w:r w:rsidR="005B4E81">
        <w:t>3</w:t>
      </w:r>
      <w:r w:rsidR="00E16A55">
        <w:t>(7)) will be permitted for use in FSFYC.</w:t>
      </w:r>
      <w:r w:rsidR="00981614">
        <w:t xml:space="preserve"> </w:t>
      </w:r>
      <w:r w:rsidR="00E16A55">
        <w:t xml:space="preserve">The permission in the table in subsection </w:t>
      </w:r>
      <w:r w:rsidR="00E16A55" w:rsidRPr="009956A1">
        <w:t>S29</w:t>
      </w:r>
      <w:r w:rsidR="00E16A55" w:rsidRPr="009956A1">
        <w:rPr>
          <w:rFonts w:ascii="Helvetica Neue" w:hAnsi="Helvetica Neue"/>
          <w:sz w:val="19"/>
          <w:szCs w:val="19"/>
        </w:rPr>
        <w:t>—</w:t>
      </w:r>
      <w:r w:rsidR="00E16A55" w:rsidRPr="009956A1">
        <w:t>15A</w:t>
      </w:r>
      <w:r w:rsidR="00981614">
        <w:t xml:space="preserve"> also lists permitted forms, and</w:t>
      </w:r>
      <w:r w:rsidR="00F261F6">
        <w:t xml:space="preserve"> (in relation to 2′-FL and LNnT) </w:t>
      </w:r>
      <w:r w:rsidR="00E16A55">
        <w:t xml:space="preserve">will require FSFYC to contain not more than 0.55 g/serving of </w:t>
      </w:r>
      <w:r w:rsidR="00B51870">
        <w:t>2′</w:t>
      </w:r>
      <w:r w:rsidR="00E16A55">
        <w:t xml:space="preserve">-FL; and not more than 0.55 g/serving of </w:t>
      </w:r>
      <w:r w:rsidR="00B51870">
        <w:t>2′</w:t>
      </w:r>
      <w:r w:rsidR="00E16A55">
        <w:t xml:space="preserve">-FL and LNnT combined (of which contains not more than 0.14 g/serving of LNnT). A minimum amount is not set, as this was not requested in the application and has not been determined by FSANZ. </w:t>
      </w:r>
    </w:p>
    <w:p w14:paraId="700BB956" w14:textId="77777777" w:rsidR="00D75348" w:rsidRDefault="00D75348">
      <w:pPr>
        <w:widowControl/>
        <w:rPr>
          <w:rFonts w:cs="Arial"/>
          <w:b/>
          <w:bCs/>
          <w:sz w:val="28"/>
          <w:szCs w:val="22"/>
          <w:lang w:bidi="ar-SA"/>
        </w:rPr>
      </w:pPr>
      <w:r>
        <w:br w:type="page"/>
      </w:r>
    </w:p>
    <w:p w14:paraId="480A98C1" w14:textId="226C1908" w:rsidR="0003203F" w:rsidRDefault="00AB0275" w:rsidP="00856CBA">
      <w:pPr>
        <w:pStyle w:val="Heading2"/>
        <w:spacing w:before="0"/>
        <w:ind w:left="0" w:firstLine="0"/>
      </w:pPr>
      <w:bookmarkStart w:id="205" w:name="_Toc11247925"/>
      <w:bookmarkStart w:id="206" w:name="_Toc14427217"/>
      <w:r w:rsidRPr="00932F14">
        <w:t xml:space="preserve">Attachment </w:t>
      </w:r>
      <w:bookmarkEnd w:id="188"/>
      <w:bookmarkEnd w:id="189"/>
      <w:bookmarkEnd w:id="190"/>
      <w:bookmarkEnd w:id="191"/>
      <w:bookmarkEnd w:id="192"/>
      <w:r w:rsidR="00D75348">
        <w:t>C</w:t>
      </w:r>
      <w:bookmarkStart w:id="207" w:name="_Toc120358597"/>
      <w:bookmarkStart w:id="208" w:name="_Toc175381459"/>
      <w:bookmarkEnd w:id="193"/>
      <w:r>
        <w:t xml:space="preserve"> –</w:t>
      </w:r>
      <w:r w:rsidR="00CA3C65">
        <w:t xml:space="preserve"> </w:t>
      </w:r>
      <w:bookmarkEnd w:id="184"/>
      <w:bookmarkEnd w:id="194"/>
      <w:bookmarkEnd w:id="207"/>
      <w:bookmarkEnd w:id="208"/>
      <w:r w:rsidR="0003203F">
        <w:t>Units basis for expressing maximum permitted amounts</w:t>
      </w:r>
      <w:bookmarkEnd w:id="195"/>
      <w:bookmarkEnd w:id="196"/>
      <w:bookmarkEnd w:id="205"/>
      <w:bookmarkEnd w:id="206"/>
    </w:p>
    <w:p w14:paraId="271C8740" w14:textId="142AFF09" w:rsidR="0003203F" w:rsidRPr="007F4EA0" w:rsidRDefault="007F4EA0" w:rsidP="007F4EA0">
      <w:pPr>
        <w:rPr>
          <w:b/>
        </w:rPr>
      </w:pPr>
      <w:bookmarkStart w:id="209" w:name="_Toc525730005"/>
      <w:bookmarkStart w:id="210" w:name="_Toc527018252"/>
      <w:r w:rsidRPr="007F4EA0">
        <w:rPr>
          <w:b/>
        </w:rPr>
        <w:t>1</w:t>
      </w:r>
      <w:r w:rsidRPr="007F4EA0">
        <w:rPr>
          <w:b/>
        </w:rPr>
        <w:tab/>
      </w:r>
      <w:r w:rsidR="0003203F" w:rsidRPr="007F4EA0">
        <w:rPr>
          <w:b/>
        </w:rPr>
        <w:t>Infant formula products</w:t>
      </w:r>
      <w:bookmarkEnd w:id="209"/>
      <w:bookmarkEnd w:id="210"/>
    </w:p>
    <w:p w14:paraId="5086B13E" w14:textId="77777777" w:rsidR="007F4EA0" w:rsidRPr="007F4EA0" w:rsidRDefault="007F4EA0" w:rsidP="007F4EA0">
      <w:pPr>
        <w:rPr>
          <w:b/>
        </w:rPr>
      </w:pPr>
    </w:p>
    <w:p w14:paraId="0C7D6F34" w14:textId="70E154B2" w:rsidR="0003203F" w:rsidRDefault="0003203F" w:rsidP="0003203F">
      <w:pPr>
        <w:rPr>
          <w:rFonts w:cs="Arial"/>
          <w:szCs w:val="22"/>
          <w:lang w:eastAsia="en-GB" w:bidi="ar-SA"/>
        </w:rPr>
      </w:pPr>
      <w:r>
        <w:rPr>
          <w:rFonts w:cs="Arial"/>
          <w:szCs w:val="22"/>
          <w:lang w:eastAsia="en-GB" w:bidi="ar-SA"/>
        </w:rPr>
        <w:t>Existing compositional requirements for infant formula products regulated in Standard 2.9.1 and Schedule 29 of the Code are primarily based on mg/100 kJ units. For consistency with existing provisions, FSANZ proposes to base the maximum amounts of 2</w:t>
      </w:r>
      <w:r w:rsidR="00567609">
        <w:rPr>
          <w:rFonts w:cs="Arial"/>
          <w:szCs w:val="22"/>
          <w:lang w:eastAsia="en-GB" w:bidi="ar-SA"/>
        </w:rPr>
        <w:t>′</w:t>
      </w:r>
      <w:r>
        <w:rPr>
          <w:rFonts w:cs="Arial"/>
          <w:szCs w:val="22"/>
          <w:lang w:eastAsia="en-GB" w:bidi="ar-SA"/>
        </w:rPr>
        <w:t>-FL and LNnT permitted for use in infant formula products on mg/100 kJ units as follows:</w:t>
      </w:r>
    </w:p>
    <w:p w14:paraId="431FE646" w14:textId="00DEFCA3" w:rsidR="0003203F" w:rsidRDefault="0003203F" w:rsidP="0003203F">
      <w:pPr>
        <w:rPr>
          <w:rFonts w:cs="Arial"/>
          <w:szCs w:val="22"/>
          <w:lang w:eastAsia="en-GB" w:bidi="ar-SA"/>
        </w:rPr>
      </w:pPr>
    </w:p>
    <w:p w14:paraId="1A6C6E6C" w14:textId="5E779E58" w:rsidR="007E2E8A" w:rsidRPr="008E4634" w:rsidRDefault="007E2E8A" w:rsidP="00B57142">
      <w:pPr>
        <w:pStyle w:val="FSBullet1"/>
      </w:pPr>
      <w:r w:rsidRPr="008E4634">
        <w:t>If only 2</w:t>
      </w:r>
      <w:r w:rsidR="00567609">
        <w:t>′</w:t>
      </w:r>
      <w:r w:rsidRPr="008E4634">
        <w:t>-FL added – no</w:t>
      </w:r>
      <w:r w:rsidR="001E59C6">
        <w:t>t</w:t>
      </w:r>
      <w:r w:rsidRPr="008E4634">
        <w:t xml:space="preserve"> more than 96 mg/100 kJ of 2</w:t>
      </w:r>
      <w:r w:rsidR="00567609">
        <w:t>′</w:t>
      </w:r>
      <w:r w:rsidRPr="008E4634">
        <w:t>-FL</w:t>
      </w:r>
    </w:p>
    <w:p w14:paraId="4CD4D81C" w14:textId="71C216D1" w:rsidR="007E2E8A" w:rsidRDefault="007E2E8A" w:rsidP="00B87FD6">
      <w:pPr>
        <w:pStyle w:val="FSBullet1"/>
      </w:pPr>
      <w:r w:rsidRPr="008E4634">
        <w:t xml:space="preserve">If </w:t>
      </w:r>
      <w:r w:rsidR="00512D0B">
        <w:t xml:space="preserve">both </w:t>
      </w:r>
      <w:r w:rsidRPr="008E4634">
        <w:t>2</w:t>
      </w:r>
      <w:r w:rsidR="00567609">
        <w:t>′</w:t>
      </w:r>
      <w:r w:rsidRPr="008E4634">
        <w:t>-FL and LNnT added – no</w:t>
      </w:r>
      <w:r w:rsidR="001E59C6">
        <w:t>t</w:t>
      </w:r>
      <w:r w:rsidRPr="008E4634">
        <w:t xml:space="preserve"> more than </w:t>
      </w:r>
      <w:r w:rsidR="00C645ED" w:rsidRPr="008E4634">
        <w:t>96 mg/100 kJ of 2</w:t>
      </w:r>
      <w:r w:rsidR="00C645ED">
        <w:t>′</w:t>
      </w:r>
      <w:r w:rsidR="00C645ED" w:rsidRPr="008E4634">
        <w:t xml:space="preserve">-FL </w:t>
      </w:r>
      <w:r w:rsidR="00C645ED">
        <w:t>and LNnT combined</w:t>
      </w:r>
      <w:r w:rsidR="00FA6D48">
        <w:t>,</w:t>
      </w:r>
      <w:r w:rsidR="00C645ED">
        <w:t xml:space="preserve"> of which contains no more than </w:t>
      </w:r>
      <w:r w:rsidRPr="008E4634">
        <w:t>24 mg/100 kJ of LNnT.</w:t>
      </w:r>
    </w:p>
    <w:p w14:paraId="058EAF9E" w14:textId="77777777" w:rsidR="007E2E8A" w:rsidRDefault="007E2E8A" w:rsidP="0003203F">
      <w:pPr>
        <w:rPr>
          <w:rFonts w:cs="Arial"/>
          <w:szCs w:val="22"/>
          <w:lang w:eastAsia="en-GB" w:bidi="ar-SA"/>
        </w:rPr>
      </w:pPr>
    </w:p>
    <w:p w14:paraId="47E884B1" w14:textId="538B6420" w:rsidR="006B1554" w:rsidRDefault="0003203F" w:rsidP="006B1554">
      <w:pPr>
        <w:rPr>
          <w:rFonts w:cs="Arial"/>
          <w:szCs w:val="22"/>
          <w:lang w:eastAsia="en-GB" w:bidi="ar-SA"/>
        </w:rPr>
      </w:pPr>
      <w:r>
        <w:rPr>
          <w:rFonts w:cs="Arial"/>
          <w:szCs w:val="22"/>
          <w:lang w:eastAsia="en-GB" w:bidi="ar-SA"/>
        </w:rPr>
        <w:t xml:space="preserve">The minimum energy content of </w:t>
      </w:r>
      <w:r w:rsidRPr="00227192">
        <w:rPr>
          <w:rFonts w:cs="Arial"/>
          <w:szCs w:val="22"/>
          <w:lang w:eastAsia="en-GB" w:bidi="ar-SA"/>
        </w:rPr>
        <w:t>2500 kJ/L</w:t>
      </w:r>
      <w:r>
        <w:rPr>
          <w:rFonts w:cs="Arial"/>
          <w:szCs w:val="22"/>
          <w:lang w:eastAsia="en-GB" w:bidi="ar-SA"/>
        </w:rPr>
        <w:t xml:space="preserve"> currently permitted for infant formula and follow-on formula in the Code </w:t>
      </w:r>
      <w:r w:rsidRPr="0078473E">
        <w:rPr>
          <w:rFonts w:cs="Arial"/>
          <w:szCs w:val="22"/>
          <w:lang w:eastAsia="en-GB" w:bidi="ar-SA"/>
        </w:rPr>
        <w:t>(section 2.</w:t>
      </w:r>
      <w:r>
        <w:rPr>
          <w:rFonts w:cs="Arial"/>
          <w:szCs w:val="22"/>
          <w:lang w:eastAsia="en-GB" w:bidi="ar-SA"/>
        </w:rPr>
        <w:t>9.1</w:t>
      </w:r>
      <w:r w:rsidRPr="00844935">
        <w:rPr>
          <w:szCs w:val="22"/>
        </w:rPr>
        <w:t>—</w:t>
      </w:r>
      <w:r>
        <w:rPr>
          <w:szCs w:val="22"/>
        </w:rPr>
        <w:t>9</w:t>
      </w:r>
      <w:r>
        <w:rPr>
          <w:rFonts w:cs="Arial"/>
          <w:szCs w:val="22"/>
          <w:lang w:eastAsia="en-GB" w:bidi="ar-SA"/>
        </w:rPr>
        <w:t xml:space="preserve">) was used to convert the </w:t>
      </w:r>
      <w:r w:rsidR="0087615C">
        <w:rPr>
          <w:rFonts w:cs="Arial"/>
          <w:szCs w:val="22"/>
          <w:lang w:eastAsia="en-GB" w:bidi="ar-SA"/>
        </w:rPr>
        <w:t xml:space="preserve">proposed </w:t>
      </w:r>
      <w:r>
        <w:rPr>
          <w:rFonts w:cs="Arial"/>
          <w:szCs w:val="22"/>
          <w:lang w:eastAsia="en-GB" w:bidi="ar-SA"/>
        </w:rPr>
        <w:t>g/L amounts</w:t>
      </w:r>
      <w:r w:rsidR="0087615C">
        <w:rPr>
          <w:rFonts w:cs="Arial"/>
          <w:szCs w:val="22"/>
          <w:lang w:eastAsia="en-GB" w:bidi="ar-SA"/>
        </w:rPr>
        <w:t xml:space="preserve"> (i.e. 2.4 g/L of 2</w:t>
      </w:r>
      <w:r w:rsidR="00567609">
        <w:rPr>
          <w:rFonts w:cs="Arial"/>
          <w:szCs w:val="22"/>
          <w:lang w:eastAsia="en-GB" w:bidi="ar-SA"/>
        </w:rPr>
        <w:t>′</w:t>
      </w:r>
      <w:r w:rsidR="0087615C">
        <w:rPr>
          <w:rFonts w:cs="Arial"/>
          <w:szCs w:val="22"/>
          <w:lang w:eastAsia="en-GB" w:bidi="ar-SA"/>
        </w:rPr>
        <w:t>-FL alone; and 2.4 g/L of 2</w:t>
      </w:r>
      <w:r w:rsidR="00567609">
        <w:rPr>
          <w:rFonts w:cs="Arial"/>
          <w:szCs w:val="22"/>
          <w:lang w:eastAsia="en-GB" w:bidi="ar-SA"/>
        </w:rPr>
        <w:t>′</w:t>
      </w:r>
      <w:r w:rsidR="0087615C">
        <w:rPr>
          <w:rFonts w:cs="Arial"/>
          <w:szCs w:val="22"/>
          <w:lang w:eastAsia="en-GB" w:bidi="ar-SA"/>
        </w:rPr>
        <w:t>-FL and LNnT combined</w:t>
      </w:r>
      <w:r w:rsidR="00D427FA">
        <w:rPr>
          <w:rFonts w:cs="Arial"/>
          <w:szCs w:val="22"/>
          <w:lang w:eastAsia="en-GB" w:bidi="ar-SA"/>
        </w:rPr>
        <w:t>,</w:t>
      </w:r>
      <w:r w:rsidR="0087615C">
        <w:rPr>
          <w:rFonts w:cs="Arial"/>
          <w:szCs w:val="22"/>
          <w:lang w:eastAsia="en-GB" w:bidi="ar-SA"/>
        </w:rPr>
        <w:t xml:space="preserve"> with no more than 0.6 g/L LNnT)</w:t>
      </w:r>
      <w:r>
        <w:rPr>
          <w:rFonts w:cs="Arial"/>
          <w:szCs w:val="22"/>
          <w:lang w:eastAsia="en-GB" w:bidi="ar-SA"/>
        </w:rPr>
        <w:t xml:space="preserve"> to mg/100 kJ. </w:t>
      </w:r>
    </w:p>
    <w:p w14:paraId="4901634F" w14:textId="77777777" w:rsidR="006B1554" w:rsidRDefault="006B1554" w:rsidP="006B1554">
      <w:pPr>
        <w:rPr>
          <w:rFonts w:cs="Arial"/>
          <w:szCs w:val="22"/>
          <w:lang w:eastAsia="en-GB" w:bidi="ar-SA"/>
        </w:rPr>
      </w:pPr>
    </w:p>
    <w:p w14:paraId="7B5C4FC5" w14:textId="19047A5C" w:rsidR="006B1554" w:rsidRDefault="006B1554" w:rsidP="006B1554">
      <w:pPr>
        <w:rPr>
          <w:rFonts w:cs="Arial"/>
          <w:szCs w:val="22"/>
          <w:lang w:eastAsia="en-GB" w:bidi="ar-SA"/>
        </w:rPr>
      </w:pPr>
      <w:r w:rsidRPr="00AB0D39">
        <w:rPr>
          <w:rFonts w:cs="Arial"/>
          <w:szCs w:val="22"/>
          <w:lang w:eastAsia="en-GB" w:bidi="ar-SA"/>
        </w:rPr>
        <w:t xml:space="preserve">This approach </w:t>
      </w:r>
      <w:r>
        <w:rPr>
          <w:rFonts w:cs="Arial"/>
          <w:szCs w:val="22"/>
          <w:lang w:eastAsia="en-GB" w:bidi="ar-SA"/>
        </w:rPr>
        <w:t>based on mg/100 kJ would mean that the actual amount of 2</w:t>
      </w:r>
      <w:r w:rsidR="00567609">
        <w:rPr>
          <w:rFonts w:cs="Arial"/>
          <w:szCs w:val="22"/>
          <w:lang w:eastAsia="en-GB" w:bidi="ar-SA"/>
        </w:rPr>
        <w:t>′</w:t>
      </w:r>
      <w:r>
        <w:rPr>
          <w:rFonts w:cs="Arial"/>
          <w:szCs w:val="22"/>
          <w:lang w:eastAsia="en-GB" w:bidi="ar-SA"/>
        </w:rPr>
        <w:t>-FL and LNnT in infant formula products could vary depending on the energy content of the formula. In particular, a</w:t>
      </w:r>
      <w:r w:rsidRPr="00AB0D39">
        <w:rPr>
          <w:rFonts w:cs="Arial"/>
          <w:szCs w:val="22"/>
          <w:lang w:eastAsia="en-GB" w:bidi="ar-SA"/>
        </w:rPr>
        <w:t xml:space="preserve"> formula with</w:t>
      </w:r>
      <w:r>
        <w:rPr>
          <w:rFonts w:cs="Arial"/>
          <w:szCs w:val="22"/>
          <w:lang w:eastAsia="en-GB" w:bidi="ar-SA"/>
        </w:rPr>
        <w:t xml:space="preserve"> a</w:t>
      </w:r>
      <w:r w:rsidRPr="00AB0D39">
        <w:rPr>
          <w:rFonts w:cs="Arial"/>
          <w:szCs w:val="22"/>
          <w:lang w:eastAsia="en-GB" w:bidi="ar-SA"/>
        </w:rPr>
        <w:t xml:space="preserve"> higher energy </w:t>
      </w:r>
      <w:r>
        <w:rPr>
          <w:rFonts w:cs="Arial"/>
          <w:szCs w:val="22"/>
          <w:lang w:eastAsia="en-GB" w:bidi="ar-SA"/>
        </w:rPr>
        <w:t>content per 100 m</w:t>
      </w:r>
      <w:r w:rsidR="006D7863">
        <w:rPr>
          <w:rFonts w:cs="Arial"/>
          <w:szCs w:val="22"/>
          <w:lang w:eastAsia="en-GB" w:bidi="ar-SA"/>
        </w:rPr>
        <w:t>L</w:t>
      </w:r>
      <w:r>
        <w:rPr>
          <w:rFonts w:cs="Arial"/>
          <w:szCs w:val="22"/>
          <w:lang w:eastAsia="en-GB" w:bidi="ar-SA"/>
        </w:rPr>
        <w:t xml:space="preserve"> </w:t>
      </w:r>
      <w:r w:rsidRPr="00AB0D39">
        <w:rPr>
          <w:rFonts w:cs="Arial"/>
          <w:szCs w:val="22"/>
          <w:lang w:eastAsia="en-GB" w:bidi="ar-SA"/>
        </w:rPr>
        <w:t xml:space="preserve">may </w:t>
      </w:r>
      <w:r>
        <w:rPr>
          <w:rFonts w:cs="Arial"/>
          <w:szCs w:val="22"/>
          <w:lang w:eastAsia="en-GB" w:bidi="ar-SA"/>
        </w:rPr>
        <w:t>contain more 2</w:t>
      </w:r>
      <w:r w:rsidR="00567609">
        <w:rPr>
          <w:rFonts w:cs="Arial"/>
          <w:szCs w:val="22"/>
          <w:lang w:eastAsia="en-GB" w:bidi="ar-SA"/>
        </w:rPr>
        <w:t>′</w:t>
      </w:r>
      <w:r>
        <w:rPr>
          <w:rFonts w:cs="Arial"/>
          <w:szCs w:val="22"/>
          <w:lang w:eastAsia="en-GB" w:bidi="ar-SA"/>
        </w:rPr>
        <w:t>-FL, or more 2</w:t>
      </w:r>
      <w:r w:rsidR="00567609">
        <w:rPr>
          <w:rFonts w:cs="Arial"/>
          <w:szCs w:val="22"/>
          <w:lang w:eastAsia="en-GB" w:bidi="ar-SA"/>
        </w:rPr>
        <w:t>′</w:t>
      </w:r>
      <w:r>
        <w:rPr>
          <w:rFonts w:cs="Arial"/>
          <w:szCs w:val="22"/>
          <w:lang w:eastAsia="en-GB" w:bidi="ar-SA"/>
        </w:rPr>
        <w:t xml:space="preserve">-FL and LNnT, than a formula with a lower energy content. </w:t>
      </w:r>
      <w:r w:rsidR="00346D2B">
        <w:rPr>
          <w:rFonts w:cs="Arial"/>
          <w:szCs w:val="22"/>
          <w:lang w:eastAsia="en-GB" w:bidi="ar-SA"/>
        </w:rPr>
        <w:t>However</w:t>
      </w:r>
      <w:r w:rsidRPr="006D02B0">
        <w:rPr>
          <w:rFonts w:cs="Arial"/>
          <w:szCs w:val="22"/>
          <w:lang w:eastAsia="en-GB" w:bidi="ar-SA"/>
        </w:rPr>
        <w:t xml:space="preserve">, </w:t>
      </w:r>
      <w:r>
        <w:rPr>
          <w:rFonts w:cs="Arial"/>
          <w:szCs w:val="22"/>
          <w:lang w:eastAsia="en-GB" w:bidi="ar-SA"/>
        </w:rPr>
        <w:t>where</w:t>
      </w:r>
      <w:r w:rsidRPr="006D02B0">
        <w:rPr>
          <w:rFonts w:cs="Arial"/>
          <w:szCs w:val="22"/>
          <w:lang w:eastAsia="en-GB" w:bidi="ar-SA"/>
        </w:rPr>
        <w:t xml:space="preserve"> a formula </w:t>
      </w:r>
      <w:r>
        <w:rPr>
          <w:rFonts w:cs="Arial"/>
          <w:szCs w:val="22"/>
          <w:lang w:eastAsia="en-GB" w:bidi="ar-SA"/>
        </w:rPr>
        <w:t>has</w:t>
      </w:r>
      <w:r w:rsidRPr="006D02B0">
        <w:rPr>
          <w:rFonts w:cs="Arial"/>
          <w:szCs w:val="22"/>
          <w:lang w:eastAsia="en-GB" w:bidi="ar-SA"/>
        </w:rPr>
        <w:t xml:space="preserve"> a higher energy content, less formula would need to be consumed to meet infant energy requirements</w:t>
      </w:r>
      <w:r w:rsidR="00D427FA">
        <w:rPr>
          <w:rFonts w:cs="Arial"/>
          <w:szCs w:val="22"/>
          <w:lang w:eastAsia="en-GB" w:bidi="ar-SA"/>
        </w:rPr>
        <w:t>. C</w:t>
      </w:r>
      <w:r w:rsidRPr="006D02B0">
        <w:rPr>
          <w:rFonts w:cs="Arial"/>
          <w:szCs w:val="22"/>
          <w:lang w:eastAsia="en-GB" w:bidi="ar-SA"/>
        </w:rPr>
        <w:t xml:space="preserve">onversely, more would need to be consumed to meet infant energy requirements for a formula with a lower energy content. As such, the </w:t>
      </w:r>
      <w:r>
        <w:rPr>
          <w:rFonts w:cs="Arial"/>
          <w:szCs w:val="22"/>
          <w:lang w:eastAsia="en-GB" w:bidi="ar-SA"/>
        </w:rPr>
        <w:t xml:space="preserve">respective </w:t>
      </w:r>
      <w:r w:rsidR="00B02112">
        <w:rPr>
          <w:rFonts w:cs="Arial"/>
          <w:szCs w:val="22"/>
          <w:lang w:eastAsia="en-GB" w:bidi="ar-SA"/>
        </w:rPr>
        <w:t>dietary intakes for</w:t>
      </w:r>
      <w:r w:rsidRPr="006D02B0">
        <w:rPr>
          <w:rFonts w:cs="Arial"/>
          <w:szCs w:val="22"/>
          <w:lang w:eastAsia="en-GB" w:bidi="ar-SA"/>
        </w:rPr>
        <w:t xml:space="preserve"> 2</w:t>
      </w:r>
      <w:r w:rsidR="00567609">
        <w:rPr>
          <w:rFonts w:cs="Arial"/>
          <w:szCs w:val="22"/>
          <w:lang w:eastAsia="en-GB" w:bidi="ar-SA"/>
        </w:rPr>
        <w:t>′</w:t>
      </w:r>
      <w:r w:rsidRPr="006D02B0">
        <w:rPr>
          <w:rFonts w:cs="Arial"/>
          <w:szCs w:val="22"/>
          <w:lang w:eastAsia="en-GB" w:bidi="ar-SA"/>
        </w:rPr>
        <w:t xml:space="preserve">-FL and LNnT would be similar for formulas with varying energy contents as the amount of formula consumed is regulated by infant energy needs. </w:t>
      </w:r>
    </w:p>
    <w:p w14:paraId="47629B34" w14:textId="6FAE8201" w:rsidR="006B1554" w:rsidRPr="007F28E9" w:rsidRDefault="006B1554" w:rsidP="006B1554">
      <w:pPr>
        <w:rPr>
          <w:rFonts w:cs="Arial"/>
          <w:szCs w:val="22"/>
          <w:lang w:eastAsia="en-GB" w:bidi="ar-SA"/>
        </w:rPr>
      </w:pPr>
    </w:p>
    <w:p w14:paraId="383DD1AA" w14:textId="596D458C" w:rsidR="0003203F" w:rsidRDefault="0003203F" w:rsidP="0003203F">
      <w:pPr>
        <w:rPr>
          <w:rFonts w:cs="Arial"/>
          <w:szCs w:val="22"/>
          <w:lang w:eastAsia="en-GB" w:bidi="ar-SA"/>
        </w:rPr>
      </w:pPr>
      <w:r w:rsidRPr="006D02B0">
        <w:rPr>
          <w:rFonts w:cs="Arial"/>
          <w:szCs w:val="22"/>
          <w:lang w:eastAsia="en-GB" w:bidi="ar-SA"/>
        </w:rPr>
        <w:t xml:space="preserve">FSANZ’s dietary </w:t>
      </w:r>
      <w:r w:rsidR="00D427FA">
        <w:rPr>
          <w:rFonts w:cs="Arial"/>
          <w:szCs w:val="22"/>
          <w:lang w:eastAsia="en-GB" w:bidi="ar-SA"/>
        </w:rPr>
        <w:t xml:space="preserve">intake assessment </w:t>
      </w:r>
      <w:r w:rsidR="004F6F0B">
        <w:rPr>
          <w:rFonts w:cs="Arial"/>
          <w:szCs w:val="22"/>
          <w:lang w:eastAsia="en-GB" w:bidi="ar-SA"/>
        </w:rPr>
        <w:t xml:space="preserve">(SD1) </w:t>
      </w:r>
      <w:r w:rsidRPr="006D02B0">
        <w:rPr>
          <w:rFonts w:cs="Arial"/>
          <w:szCs w:val="22"/>
          <w:lang w:eastAsia="en-GB" w:bidi="ar-SA"/>
        </w:rPr>
        <w:t xml:space="preserve">estimated the </w:t>
      </w:r>
      <w:r w:rsidR="00B02112">
        <w:rPr>
          <w:rFonts w:cs="Arial"/>
          <w:szCs w:val="22"/>
          <w:lang w:eastAsia="en-GB" w:bidi="ar-SA"/>
        </w:rPr>
        <w:t>respective</w:t>
      </w:r>
      <w:r w:rsidR="00C9316F">
        <w:rPr>
          <w:rFonts w:cs="Arial"/>
          <w:szCs w:val="22"/>
          <w:lang w:eastAsia="en-GB" w:bidi="ar-SA"/>
        </w:rPr>
        <w:t xml:space="preserve"> dietary</w:t>
      </w:r>
      <w:r w:rsidR="00B02112">
        <w:rPr>
          <w:rFonts w:cs="Arial"/>
          <w:szCs w:val="22"/>
          <w:lang w:eastAsia="en-GB" w:bidi="ar-SA"/>
        </w:rPr>
        <w:t xml:space="preserve"> </w:t>
      </w:r>
      <w:r w:rsidRPr="006D02B0">
        <w:rPr>
          <w:rFonts w:cs="Arial"/>
          <w:szCs w:val="22"/>
          <w:lang w:eastAsia="en-GB" w:bidi="ar-SA"/>
        </w:rPr>
        <w:t>intake</w:t>
      </w:r>
      <w:r>
        <w:rPr>
          <w:rFonts w:cs="Arial"/>
          <w:szCs w:val="22"/>
          <w:lang w:eastAsia="en-GB" w:bidi="ar-SA"/>
        </w:rPr>
        <w:t>s of 2</w:t>
      </w:r>
      <w:r w:rsidR="00567609">
        <w:rPr>
          <w:rFonts w:cs="Arial"/>
          <w:szCs w:val="22"/>
          <w:lang w:eastAsia="en-GB" w:bidi="ar-SA"/>
        </w:rPr>
        <w:t>′</w:t>
      </w:r>
      <w:r>
        <w:rPr>
          <w:rFonts w:cs="Arial"/>
          <w:szCs w:val="22"/>
          <w:lang w:eastAsia="en-GB" w:bidi="ar-SA"/>
        </w:rPr>
        <w:t xml:space="preserve">-FL and LNnT from infant formula and follow-on formula </w:t>
      </w:r>
      <w:r w:rsidRPr="006D02B0">
        <w:rPr>
          <w:rFonts w:cs="Arial"/>
          <w:szCs w:val="22"/>
          <w:lang w:eastAsia="en-GB" w:bidi="ar-SA"/>
        </w:rPr>
        <w:t>(</w:t>
      </w:r>
      <w:r>
        <w:rPr>
          <w:rFonts w:cs="Arial"/>
          <w:szCs w:val="22"/>
          <w:lang w:eastAsia="en-GB" w:bidi="ar-SA"/>
        </w:rPr>
        <w:t xml:space="preserve">for infants </w:t>
      </w:r>
      <w:r w:rsidRPr="006D02B0">
        <w:rPr>
          <w:rFonts w:cs="Arial"/>
          <w:szCs w:val="22"/>
          <w:lang w:eastAsia="en-GB" w:bidi="ar-SA"/>
        </w:rPr>
        <w:t>aged 3 and 9 months</w:t>
      </w:r>
      <w:r w:rsidR="00612597">
        <w:rPr>
          <w:rFonts w:cs="Arial"/>
          <w:szCs w:val="22"/>
          <w:lang w:eastAsia="en-GB" w:bidi="ar-SA"/>
        </w:rPr>
        <w:t xml:space="preserve"> respectively</w:t>
      </w:r>
      <w:r w:rsidRPr="00690C43">
        <w:rPr>
          <w:rFonts w:cs="Arial"/>
          <w:szCs w:val="22"/>
          <w:lang w:eastAsia="en-GB" w:bidi="ar-SA"/>
        </w:rPr>
        <w:t>)</w:t>
      </w:r>
      <w:r>
        <w:rPr>
          <w:rFonts w:cs="Arial"/>
          <w:szCs w:val="22"/>
          <w:lang w:eastAsia="en-GB" w:bidi="ar-SA"/>
        </w:rPr>
        <w:t xml:space="preserve">, using </w:t>
      </w:r>
      <w:r w:rsidR="00845FBA">
        <w:rPr>
          <w:rFonts w:cs="Arial"/>
          <w:szCs w:val="22"/>
          <w:lang w:eastAsia="en-GB" w:bidi="ar-SA"/>
        </w:rPr>
        <w:t xml:space="preserve">the </w:t>
      </w:r>
      <w:r w:rsidR="00B02112">
        <w:rPr>
          <w:rFonts w:cs="Arial"/>
          <w:szCs w:val="22"/>
          <w:lang w:eastAsia="en-GB" w:bidi="ar-SA"/>
        </w:rPr>
        <w:t xml:space="preserve">proposed amounts in </w:t>
      </w:r>
      <w:r>
        <w:rPr>
          <w:rFonts w:cs="Arial"/>
          <w:szCs w:val="22"/>
          <w:lang w:eastAsia="en-GB" w:bidi="ar-SA"/>
        </w:rPr>
        <w:t xml:space="preserve">mg/100 kJ </w:t>
      </w:r>
      <w:r w:rsidR="00B02112">
        <w:rPr>
          <w:rFonts w:cs="Arial"/>
          <w:szCs w:val="22"/>
          <w:lang w:eastAsia="en-GB" w:bidi="ar-SA"/>
        </w:rPr>
        <w:t>units</w:t>
      </w:r>
      <w:r w:rsidR="00845FBA">
        <w:rPr>
          <w:rFonts w:cs="Arial"/>
          <w:szCs w:val="22"/>
          <w:lang w:eastAsia="en-GB" w:bidi="ar-SA"/>
        </w:rPr>
        <w:t xml:space="preserve"> </w:t>
      </w:r>
      <w:r w:rsidR="00B02112">
        <w:rPr>
          <w:rFonts w:cs="Arial"/>
          <w:szCs w:val="22"/>
          <w:lang w:eastAsia="en-GB" w:bidi="ar-SA"/>
        </w:rPr>
        <w:t>listed above</w:t>
      </w:r>
      <w:r>
        <w:rPr>
          <w:rFonts w:cs="Arial"/>
          <w:szCs w:val="22"/>
          <w:lang w:eastAsia="en-GB" w:bidi="ar-SA"/>
        </w:rPr>
        <w:t xml:space="preserve">. </w:t>
      </w:r>
      <w:r w:rsidR="003D7F34">
        <w:rPr>
          <w:rFonts w:cs="Arial"/>
          <w:szCs w:val="22"/>
          <w:lang w:eastAsia="en-GB" w:bidi="ar-SA"/>
        </w:rPr>
        <w:t>As discussed in section 2.</w:t>
      </w:r>
      <w:r w:rsidR="00C645ED">
        <w:rPr>
          <w:rFonts w:cs="Arial"/>
          <w:szCs w:val="22"/>
          <w:lang w:eastAsia="en-GB" w:bidi="ar-SA"/>
        </w:rPr>
        <w:t>2</w:t>
      </w:r>
      <w:r w:rsidR="003D7F34">
        <w:rPr>
          <w:rFonts w:cs="Arial"/>
          <w:szCs w:val="22"/>
          <w:lang w:eastAsia="en-GB" w:bidi="ar-SA"/>
        </w:rPr>
        <w:t>.1, t</w:t>
      </w:r>
      <w:r>
        <w:rPr>
          <w:rFonts w:cs="Arial"/>
          <w:szCs w:val="22"/>
          <w:lang w:eastAsia="en-GB" w:bidi="ar-SA"/>
        </w:rPr>
        <w:t xml:space="preserve">he estimated </w:t>
      </w:r>
      <w:r w:rsidR="003D7F34">
        <w:rPr>
          <w:rFonts w:cs="Arial"/>
          <w:szCs w:val="22"/>
          <w:lang w:eastAsia="en-GB" w:bidi="ar-SA"/>
        </w:rPr>
        <w:t>intake</w:t>
      </w:r>
      <w:r w:rsidR="00B02112">
        <w:rPr>
          <w:rFonts w:cs="Arial"/>
          <w:szCs w:val="22"/>
          <w:lang w:eastAsia="en-GB" w:bidi="ar-SA"/>
        </w:rPr>
        <w:t xml:space="preserve"> of 2</w:t>
      </w:r>
      <w:r w:rsidR="00567609">
        <w:rPr>
          <w:rFonts w:cs="Arial"/>
          <w:szCs w:val="22"/>
          <w:lang w:eastAsia="en-GB" w:bidi="ar-SA"/>
        </w:rPr>
        <w:t>′</w:t>
      </w:r>
      <w:r w:rsidR="00B02112">
        <w:rPr>
          <w:rFonts w:cs="Arial"/>
          <w:szCs w:val="22"/>
          <w:lang w:eastAsia="en-GB" w:bidi="ar-SA"/>
        </w:rPr>
        <w:t xml:space="preserve">-FL </w:t>
      </w:r>
      <w:r w:rsidR="003D7F34">
        <w:rPr>
          <w:rFonts w:cs="Arial"/>
          <w:szCs w:val="22"/>
          <w:lang w:eastAsia="en-GB" w:bidi="ar-SA"/>
        </w:rPr>
        <w:t xml:space="preserve">was similar to the intakes from 3 and 9 month old breastfed infants. </w:t>
      </w:r>
      <w:r w:rsidR="00341C77">
        <w:rPr>
          <w:rFonts w:cs="Arial"/>
          <w:szCs w:val="22"/>
          <w:lang w:eastAsia="en-GB" w:bidi="ar-SA"/>
        </w:rPr>
        <w:t>A</w:t>
      </w:r>
      <w:r w:rsidR="00346D2B">
        <w:rPr>
          <w:rFonts w:cs="Arial"/>
          <w:szCs w:val="22"/>
          <w:lang w:eastAsia="en-GB" w:bidi="ar-SA"/>
        </w:rPr>
        <w:t xml:space="preserve">lthough </w:t>
      </w:r>
      <w:r w:rsidR="00341C77">
        <w:rPr>
          <w:rFonts w:cs="Arial"/>
          <w:szCs w:val="22"/>
          <w:lang w:eastAsia="en-GB" w:bidi="ar-SA"/>
        </w:rPr>
        <w:t>t</w:t>
      </w:r>
      <w:r w:rsidR="00565697">
        <w:rPr>
          <w:rFonts w:cs="Arial"/>
          <w:szCs w:val="22"/>
          <w:lang w:eastAsia="en-GB" w:bidi="ar-SA"/>
        </w:rPr>
        <w:t>he</w:t>
      </w:r>
      <w:r w:rsidR="003D7F34">
        <w:rPr>
          <w:rFonts w:cs="Arial"/>
          <w:szCs w:val="22"/>
          <w:lang w:eastAsia="en-GB" w:bidi="ar-SA"/>
        </w:rPr>
        <w:t xml:space="preserve"> estimated intake of LNnT was higher than those for 3 and 9 month </w:t>
      </w:r>
      <w:r w:rsidR="0087615C">
        <w:rPr>
          <w:rFonts w:cs="Arial"/>
          <w:szCs w:val="22"/>
          <w:lang w:eastAsia="en-GB" w:bidi="ar-SA"/>
        </w:rPr>
        <w:t xml:space="preserve">old breastfed </w:t>
      </w:r>
      <w:r w:rsidR="003D7F34">
        <w:rPr>
          <w:rFonts w:cs="Arial"/>
          <w:szCs w:val="22"/>
          <w:lang w:eastAsia="en-GB" w:bidi="ar-SA"/>
        </w:rPr>
        <w:t>infants (</w:t>
      </w:r>
      <w:r>
        <w:rPr>
          <w:rFonts w:cs="Arial"/>
          <w:szCs w:val="22"/>
          <w:lang w:eastAsia="en-GB" w:bidi="ar-SA"/>
        </w:rPr>
        <w:t xml:space="preserve">based on the mean </w:t>
      </w:r>
      <w:r w:rsidR="003D7F34">
        <w:rPr>
          <w:rFonts w:cs="Arial"/>
          <w:szCs w:val="22"/>
          <w:lang w:eastAsia="en-GB" w:bidi="ar-SA"/>
        </w:rPr>
        <w:t>concentration</w:t>
      </w:r>
      <w:r>
        <w:rPr>
          <w:rFonts w:cs="Arial"/>
          <w:szCs w:val="22"/>
          <w:lang w:eastAsia="en-GB" w:bidi="ar-SA"/>
        </w:rPr>
        <w:t xml:space="preserve"> present in </w:t>
      </w:r>
      <w:r w:rsidR="003D7F34">
        <w:rPr>
          <w:rFonts w:cs="Arial"/>
          <w:szCs w:val="22"/>
          <w:lang w:eastAsia="en-GB" w:bidi="ar-SA"/>
        </w:rPr>
        <w:t>human milk</w:t>
      </w:r>
      <w:r w:rsidR="00565697">
        <w:rPr>
          <w:rFonts w:cs="Arial"/>
          <w:szCs w:val="22"/>
          <w:lang w:eastAsia="en-GB" w:bidi="ar-SA"/>
        </w:rPr>
        <w:t>)</w:t>
      </w:r>
      <w:r w:rsidR="00341C77">
        <w:rPr>
          <w:rFonts w:cs="Arial"/>
          <w:szCs w:val="22"/>
          <w:lang w:eastAsia="en-GB" w:bidi="ar-SA"/>
        </w:rPr>
        <w:t>,</w:t>
      </w:r>
      <w:r>
        <w:rPr>
          <w:rFonts w:cs="Arial"/>
          <w:szCs w:val="22"/>
          <w:lang w:eastAsia="en-GB" w:bidi="ar-SA"/>
        </w:rPr>
        <w:t xml:space="preserve"> the proposed maximum use </w:t>
      </w:r>
      <w:r w:rsidR="0087615C">
        <w:rPr>
          <w:rFonts w:cs="Arial"/>
          <w:szCs w:val="22"/>
          <w:lang w:eastAsia="en-GB" w:bidi="ar-SA"/>
        </w:rPr>
        <w:t>level is</w:t>
      </w:r>
      <w:r>
        <w:rPr>
          <w:rFonts w:cs="Arial"/>
          <w:szCs w:val="22"/>
          <w:lang w:eastAsia="en-GB" w:bidi="ar-SA"/>
        </w:rPr>
        <w:t xml:space="preserve"> within the range of concentrations naturally present in </w:t>
      </w:r>
      <w:r w:rsidR="0087615C">
        <w:rPr>
          <w:rFonts w:cs="Arial"/>
          <w:szCs w:val="22"/>
          <w:lang w:eastAsia="en-GB" w:bidi="ar-SA"/>
        </w:rPr>
        <w:t>human</w:t>
      </w:r>
      <w:r>
        <w:rPr>
          <w:rFonts w:cs="Arial"/>
          <w:szCs w:val="22"/>
          <w:lang w:eastAsia="en-GB" w:bidi="ar-SA"/>
        </w:rPr>
        <w:t xml:space="preserve"> milk</w:t>
      </w:r>
      <w:r w:rsidR="0087615C">
        <w:rPr>
          <w:rFonts w:cs="Arial"/>
          <w:szCs w:val="22"/>
          <w:lang w:eastAsia="en-GB" w:bidi="ar-SA"/>
        </w:rPr>
        <w:t xml:space="preserve"> (i.e. 0.09 – 1.08 g/L)</w:t>
      </w:r>
      <w:r w:rsidRPr="006D02B0">
        <w:rPr>
          <w:rFonts w:cs="Arial"/>
          <w:szCs w:val="22"/>
          <w:lang w:eastAsia="en-GB" w:bidi="ar-SA"/>
        </w:rPr>
        <w:t>.</w:t>
      </w:r>
      <w:r>
        <w:rPr>
          <w:rFonts w:cs="Arial"/>
          <w:szCs w:val="22"/>
          <w:lang w:eastAsia="en-GB" w:bidi="ar-SA"/>
        </w:rPr>
        <w:t xml:space="preserve"> Additionally, the highest P90 intakes estimated for 2</w:t>
      </w:r>
      <w:r w:rsidR="00567609">
        <w:rPr>
          <w:rFonts w:cs="Arial"/>
          <w:szCs w:val="22"/>
          <w:lang w:eastAsia="en-GB" w:bidi="ar-SA"/>
        </w:rPr>
        <w:t>′</w:t>
      </w:r>
      <w:r>
        <w:rPr>
          <w:rFonts w:cs="Arial"/>
          <w:szCs w:val="22"/>
          <w:lang w:eastAsia="en-GB" w:bidi="ar-SA"/>
        </w:rPr>
        <w:t xml:space="preserve">-FL and LNnT </w:t>
      </w:r>
      <w:r w:rsidR="004F6F0B">
        <w:rPr>
          <w:rFonts w:cs="Arial"/>
          <w:szCs w:val="22"/>
          <w:lang w:eastAsia="en-GB" w:bidi="ar-SA"/>
        </w:rPr>
        <w:t>respectively</w:t>
      </w:r>
      <w:r w:rsidR="00857C9B">
        <w:rPr>
          <w:rFonts w:cs="Arial"/>
          <w:szCs w:val="22"/>
          <w:lang w:eastAsia="en-GB" w:bidi="ar-SA"/>
        </w:rPr>
        <w:t>,</w:t>
      </w:r>
      <w:r w:rsidR="004F6F0B">
        <w:rPr>
          <w:rFonts w:cs="Arial"/>
          <w:szCs w:val="22"/>
          <w:lang w:eastAsia="en-GB" w:bidi="ar-SA"/>
        </w:rPr>
        <w:t xml:space="preserve"> </w:t>
      </w:r>
      <w:r>
        <w:rPr>
          <w:rFonts w:cs="Arial"/>
          <w:szCs w:val="22"/>
          <w:lang w:eastAsia="en-GB" w:bidi="ar-SA"/>
        </w:rPr>
        <w:t xml:space="preserve">were well below the no observable adverse effect </w:t>
      </w:r>
      <w:r w:rsidR="00696B16">
        <w:rPr>
          <w:rFonts w:cs="Arial"/>
          <w:szCs w:val="22"/>
          <w:lang w:eastAsia="en-GB" w:bidi="ar-SA"/>
        </w:rPr>
        <w:t xml:space="preserve">level </w:t>
      </w:r>
      <w:r>
        <w:rPr>
          <w:rFonts w:cs="Arial"/>
          <w:szCs w:val="22"/>
          <w:lang w:eastAsia="en-GB" w:bidi="ar-SA"/>
        </w:rPr>
        <w:t>(</w:t>
      </w:r>
      <w:r w:rsidR="00D427FA">
        <w:rPr>
          <w:rFonts w:cs="Arial"/>
          <w:szCs w:val="22"/>
          <w:lang w:eastAsia="en-GB" w:bidi="ar-SA"/>
        </w:rPr>
        <w:t>NOAEL) identified by FSANZ</w:t>
      </w:r>
      <w:r w:rsidR="001D329E">
        <w:rPr>
          <w:rFonts w:cs="Arial"/>
          <w:szCs w:val="22"/>
          <w:lang w:eastAsia="en-GB" w:bidi="ar-SA"/>
        </w:rPr>
        <w:t xml:space="preserve"> in SD1</w:t>
      </w:r>
      <w:r w:rsidR="00D427FA">
        <w:rPr>
          <w:rFonts w:cs="Arial"/>
          <w:szCs w:val="22"/>
          <w:lang w:eastAsia="en-GB" w:bidi="ar-SA"/>
        </w:rPr>
        <w:t xml:space="preserve"> (</w:t>
      </w:r>
      <w:r w:rsidR="001D329E">
        <w:rPr>
          <w:rFonts w:cs="Arial"/>
          <w:szCs w:val="22"/>
          <w:lang w:eastAsia="en-GB" w:bidi="ar-SA"/>
        </w:rPr>
        <w:t>i.e.</w:t>
      </w:r>
      <w:r w:rsidR="004F6F0B">
        <w:rPr>
          <w:rFonts w:cs="Arial"/>
          <w:szCs w:val="22"/>
          <w:lang w:eastAsia="en-GB" w:bidi="ar-SA"/>
        </w:rPr>
        <w:t xml:space="preserve"> </w:t>
      </w:r>
      <w:r w:rsidR="00346D2B" w:rsidRPr="00540C56">
        <w:rPr>
          <w:rFonts w:cs="Arial"/>
          <w:szCs w:val="22"/>
          <w:lang w:eastAsia="en-GB" w:bidi="ar-SA"/>
        </w:rPr>
        <w:t>7</w:t>
      </w:r>
      <w:r>
        <w:rPr>
          <w:rFonts w:cs="Arial"/>
          <w:szCs w:val="22"/>
          <w:lang w:eastAsia="en-GB" w:bidi="ar-SA"/>
        </w:rPr>
        <w:t>-fold lower for 2</w:t>
      </w:r>
      <w:r w:rsidR="00567609">
        <w:rPr>
          <w:rFonts w:cs="Arial"/>
          <w:szCs w:val="22"/>
          <w:lang w:eastAsia="en-GB" w:bidi="ar-SA"/>
        </w:rPr>
        <w:t>′</w:t>
      </w:r>
      <w:r>
        <w:rPr>
          <w:rFonts w:cs="Arial"/>
          <w:szCs w:val="22"/>
          <w:lang w:eastAsia="en-GB" w:bidi="ar-SA"/>
        </w:rPr>
        <w:t>-FL, and 30-fold lower for LNnT, for 3 month old infants</w:t>
      </w:r>
      <w:r w:rsidRPr="00540C56">
        <w:rPr>
          <w:rFonts w:cs="Arial"/>
          <w:szCs w:val="22"/>
          <w:lang w:eastAsia="en-GB" w:bidi="ar-SA"/>
        </w:rPr>
        <w:t xml:space="preserve">). </w:t>
      </w:r>
    </w:p>
    <w:p w14:paraId="36A13223" w14:textId="0E93D148" w:rsidR="0003203F" w:rsidRDefault="0003203F" w:rsidP="0003203F">
      <w:pPr>
        <w:rPr>
          <w:rFonts w:cs="Arial"/>
          <w:szCs w:val="22"/>
          <w:lang w:eastAsia="en-GB" w:bidi="ar-SA"/>
        </w:rPr>
      </w:pPr>
    </w:p>
    <w:p w14:paraId="6ED081BF" w14:textId="5DC54A09" w:rsidR="006D7863" w:rsidRDefault="0003203F" w:rsidP="00061229">
      <w:r>
        <w:rPr>
          <w:rFonts w:cs="Arial"/>
          <w:szCs w:val="22"/>
          <w:lang w:eastAsia="en-GB" w:bidi="ar-SA"/>
        </w:rPr>
        <w:t>Based on the conclusions of FSANZ’s safety</w:t>
      </w:r>
      <w:r w:rsidR="00EA617B">
        <w:rPr>
          <w:rFonts w:cs="Arial"/>
          <w:szCs w:val="22"/>
          <w:lang w:eastAsia="en-GB" w:bidi="ar-SA"/>
        </w:rPr>
        <w:t>, technical and health</w:t>
      </w:r>
      <w:r>
        <w:rPr>
          <w:rFonts w:cs="Arial"/>
          <w:szCs w:val="22"/>
          <w:lang w:eastAsia="en-GB" w:bidi="ar-SA"/>
        </w:rPr>
        <w:t xml:space="preserve"> assessment</w:t>
      </w:r>
      <w:r w:rsidR="00540C56">
        <w:rPr>
          <w:rFonts w:cs="Arial"/>
          <w:szCs w:val="22"/>
          <w:lang w:eastAsia="en-GB" w:bidi="ar-SA"/>
        </w:rPr>
        <w:t>, and noting</w:t>
      </w:r>
      <w:r>
        <w:rPr>
          <w:rFonts w:cs="Arial"/>
          <w:szCs w:val="22"/>
          <w:lang w:eastAsia="en-GB" w:bidi="ar-SA"/>
        </w:rPr>
        <w:t xml:space="preserve"> the range of 2</w:t>
      </w:r>
      <w:r w:rsidR="00567609">
        <w:rPr>
          <w:rFonts w:cs="Arial"/>
          <w:szCs w:val="22"/>
          <w:lang w:eastAsia="en-GB" w:bidi="ar-SA"/>
        </w:rPr>
        <w:t>′</w:t>
      </w:r>
      <w:r>
        <w:rPr>
          <w:rFonts w:cs="Arial"/>
          <w:szCs w:val="22"/>
          <w:lang w:eastAsia="en-GB" w:bidi="ar-SA"/>
        </w:rPr>
        <w:t xml:space="preserve">-FL and LNnT concentrations naturally present in </w:t>
      </w:r>
      <w:r w:rsidR="00540C56">
        <w:rPr>
          <w:rFonts w:cs="Arial"/>
          <w:szCs w:val="22"/>
          <w:lang w:eastAsia="en-GB" w:bidi="ar-SA"/>
        </w:rPr>
        <w:t>human</w:t>
      </w:r>
      <w:r>
        <w:rPr>
          <w:rFonts w:cs="Arial"/>
          <w:szCs w:val="22"/>
          <w:lang w:eastAsia="en-GB" w:bidi="ar-SA"/>
        </w:rPr>
        <w:t xml:space="preserve"> milk</w:t>
      </w:r>
      <w:r w:rsidR="00540C56">
        <w:rPr>
          <w:rFonts w:cs="Arial"/>
          <w:szCs w:val="22"/>
          <w:lang w:eastAsia="en-GB" w:bidi="ar-SA"/>
        </w:rPr>
        <w:t>,</w:t>
      </w:r>
      <w:r>
        <w:rPr>
          <w:rFonts w:cs="Arial"/>
          <w:szCs w:val="22"/>
          <w:lang w:eastAsia="en-GB" w:bidi="ar-SA"/>
        </w:rPr>
        <w:t xml:space="preserve"> FSANZ considers that the proposed maximum permitted amounts </w:t>
      </w:r>
      <w:r w:rsidR="0087615C">
        <w:rPr>
          <w:rFonts w:cs="Arial"/>
          <w:szCs w:val="22"/>
          <w:lang w:eastAsia="en-GB" w:bidi="ar-SA"/>
        </w:rPr>
        <w:t>based on</w:t>
      </w:r>
      <w:r>
        <w:rPr>
          <w:rFonts w:cs="Arial"/>
          <w:szCs w:val="22"/>
          <w:lang w:eastAsia="en-GB" w:bidi="ar-SA"/>
        </w:rPr>
        <w:t xml:space="preserve"> mg/100 kJ are unlikely to pose a risk to infant health.</w:t>
      </w:r>
      <w:bookmarkStart w:id="211" w:name="_Toc525730006"/>
      <w:bookmarkStart w:id="212" w:name="_Toc527018253"/>
    </w:p>
    <w:p w14:paraId="68F62CC0" w14:textId="77777777" w:rsidR="00196616" w:rsidRDefault="00196616">
      <w:pPr>
        <w:widowControl/>
        <w:rPr>
          <w:b/>
        </w:rPr>
      </w:pPr>
      <w:r>
        <w:rPr>
          <w:b/>
        </w:rPr>
        <w:br w:type="page"/>
      </w:r>
    </w:p>
    <w:p w14:paraId="5332651B" w14:textId="1EB38B5D" w:rsidR="0003203F" w:rsidRPr="006D7863" w:rsidRDefault="006D7863" w:rsidP="006D7863">
      <w:pPr>
        <w:widowControl/>
        <w:rPr>
          <w:b/>
        </w:rPr>
      </w:pPr>
      <w:r>
        <w:rPr>
          <w:b/>
        </w:rPr>
        <w:t>2.</w:t>
      </w:r>
      <w:r>
        <w:rPr>
          <w:b/>
        </w:rPr>
        <w:tab/>
      </w:r>
      <w:r w:rsidR="0003203F" w:rsidRPr="006D7863">
        <w:rPr>
          <w:b/>
        </w:rPr>
        <w:t>Formulated supplementary foods for young children</w:t>
      </w:r>
      <w:bookmarkEnd w:id="211"/>
      <w:bookmarkEnd w:id="212"/>
    </w:p>
    <w:p w14:paraId="4A231C5C" w14:textId="77777777" w:rsidR="006D7863" w:rsidRDefault="006D7863" w:rsidP="00C645ED">
      <w:pPr>
        <w:rPr>
          <w:lang w:eastAsia="en-GB"/>
        </w:rPr>
      </w:pPr>
    </w:p>
    <w:p w14:paraId="53553C64" w14:textId="79015C71" w:rsidR="0003203F" w:rsidRDefault="0003203F" w:rsidP="00C645ED">
      <w:pPr>
        <w:rPr>
          <w:lang w:eastAsia="en-GB"/>
        </w:rPr>
      </w:pPr>
      <w:r>
        <w:rPr>
          <w:lang w:eastAsia="en-GB"/>
        </w:rPr>
        <w:t>Existing permissions in Division 4 of Standard 2.9.3 and Schedule 29 for the addition of substances to FSFYC are on a per serving basis. For consistency with existing permissions, FSANZ proposes to base the maximum amounts of 2</w:t>
      </w:r>
      <w:r w:rsidR="00567609">
        <w:rPr>
          <w:lang w:eastAsia="en-GB"/>
        </w:rPr>
        <w:t>′</w:t>
      </w:r>
      <w:r>
        <w:rPr>
          <w:lang w:eastAsia="en-GB"/>
        </w:rPr>
        <w:t xml:space="preserve">-FL and LNnT permitted for use in FSFYC on g/serving units as follows: </w:t>
      </w:r>
    </w:p>
    <w:p w14:paraId="1638C662" w14:textId="77777777" w:rsidR="008A052C" w:rsidRPr="008A052C" w:rsidRDefault="008A052C" w:rsidP="008A052C">
      <w:pPr>
        <w:rPr>
          <w:lang w:eastAsia="en-GB" w:bidi="ar-SA"/>
        </w:rPr>
      </w:pPr>
    </w:p>
    <w:p w14:paraId="3DAC0A5A" w14:textId="660E038E" w:rsidR="008A052C" w:rsidRPr="008E4634" w:rsidRDefault="008A052C" w:rsidP="00B57142">
      <w:pPr>
        <w:pStyle w:val="FSBullet1"/>
      </w:pPr>
      <w:r w:rsidRPr="008E4634">
        <w:t>If only 2</w:t>
      </w:r>
      <w:r w:rsidR="00567609">
        <w:t>′</w:t>
      </w:r>
      <w:r w:rsidRPr="008E4634">
        <w:t>-FL added – no</w:t>
      </w:r>
      <w:r w:rsidR="006B0B68">
        <w:t>t</w:t>
      </w:r>
      <w:r w:rsidRPr="008E4634">
        <w:t xml:space="preserve"> more than 0.5</w:t>
      </w:r>
      <w:r w:rsidR="00C645ED">
        <w:t>5</w:t>
      </w:r>
      <w:r w:rsidRPr="008E4634">
        <w:t xml:space="preserve"> g/serving</w:t>
      </w:r>
    </w:p>
    <w:p w14:paraId="0C15E8CE" w14:textId="53F1D787" w:rsidR="008A052C" w:rsidRDefault="008A052C" w:rsidP="00B87FD6">
      <w:pPr>
        <w:pStyle w:val="FSBullet1"/>
      </w:pPr>
      <w:r w:rsidRPr="008E4634">
        <w:t xml:space="preserve">If </w:t>
      </w:r>
      <w:r w:rsidR="00512D0B">
        <w:t xml:space="preserve">both </w:t>
      </w:r>
      <w:r w:rsidRPr="008E4634">
        <w:t>2</w:t>
      </w:r>
      <w:r w:rsidR="00567609">
        <w:t>′</w:t>
      </w:r>
      <w:r w:rsidRPr="008E4634">
        <w:t>-FL and LNnT added – no</w:t>
      </w:r>
      <w:r w:rsidR="006B0B68">
        <w:t>t</w:t>
      </w:r>
      <w:r w:rsidRPr="008E4634">
        <w:t xml:space="preserve"> more than </w:t>
      </w:r>
      <w:r w:rsidR="00C645ED">
        <w:t>0.55</w:t>
      </w:r>
      <w:r w:rsidR="00C645ED" w:rsidRPr="008E4634">
        <w:t xml:space="preserve"> g/serving </w:t>
      </w:r>
      <w:r w:rsidR="00C645ED">
        <w:t xml:space="preserve">of </w:t>
      </w:r>
      <w:r w:rsidR="00B51870">
        <w:t>2′</w:t>
      </w:r>
      <w:r w:rsidR="00C645ED">
        <w:t>-FL and LNnT combined</w:t>
      </w:r>
      <w:r w:rsidR="00FA6D48">
        <w:t>,</w:t>
      </w:r>
      <w:r w:rsidR="00C645ED">
        <w:t xml:space="preserve"> of which contains no</w:t>
      </w:r>
      <w:r w:rsidR="006B0B68">
        <w:t>t</w:t>
      </w:r>
      <w:r w:rsidR="00C645ED">
        <w:t xml:space="preserve"> more than </w:t>
      </w:r>
      <w:r w:rsidRPr="008E4634">
        <w:t>0.14 g/serving of LNnT.</w:t>
      </w:r>
    </w:p>
    <w:p w14:paraId="36E6C961" w14:textId="77777777" w:rsidR="0003203F" w:rsidRPr="0006194C" w:rsidRDefault="0003203F" w:rsidP="0003203F">
      <w:pPr>
        <w:rPr>
          <w:rFonts w:cs="Arial"/>
          <w:szCs w:val="22"/>
          <w:lang w:eastAsia="en-GB" w:bidi="ar-SA"/>
        </w:rPr>
      </w:pPr>
    </w:p>
    <w:p w14:paraId="4EC852CC" w14:textId="17473C40" w:rsidR="0003203F" w:rsidRPr="008058BB" w:rsidRDefault="0003203F" w:rsidP="00C645ED">
      <w:pPr>
        <w:rPr>
          <w:lang w:eastAsia="en-GB"/>
        </w:rPr>
      </w:pPr>
      <w:r>
        <w:rPr>
          <w:lang w:eastAsia="en-GB"/>
        </w:rPr>
        <w:t>A 230 m</w:t>
      </w:r>
      <w:r w:rsidR="006D7863">
        <w:rPr>
          <w:lang w:eastAsia="en-GB"/>
        </w:rPr>
        <w:t>L</w:t>
      </w:r>
      <w:r>
        <w:rPr>
          <w:lang w:eastAsia="en-GB"/>
        </w:rPr>
        <w:t xml:space="preserve"> serve size was used for the conversion from the </w:t>
      </w:r>
      <w:r w:rsidR="008A052C">
        <w:rPr>
          <w:lang w:eastAsia="en-GB"/>
        </w:rPr>
        <w:t xml:space="preserve">proposed maximum </w:t>
      </w:r>
      <w:r>
        <w:rPr>
          <w:lang w:eastAsia="en-GB"/>
        </w:rPr>
        <w:t xml:space="preserve">g/L amounts to g/serving. According to the </w:t>
      </w:r>
      <w:r w:rsidR="00517F64">
        <w:rPr>
          <w:lang w:eastAsia="en-GB"/>
        </w:rPr>
        <w:t>a</w:t>
      </w:r>
      <w:r>
        <w:rPr>
          <w:lang w:eastAsia="en-GB"/>
        </w:rPr>
        <w:t>pplicant, and an online search of FSFYC products by FSANZ, this is the largest serve size currently used in the Australi</w:t>
      </w:r>
      <w:r w:rsidR="00934A4B">
        <w:rPr>
          <w:lang w:eastAsia="en-GB"/>
        </w:rPr>
        <w:t>a and New Zealand FSFYC market.</w:t>
      </w:r>
      <w:r w:rsidR="00C645ED">
        <w:rPr>
          <w:lang w:eastAsia="en-GB"/>
        </w:rPr>
        <w:t xml:space="preserve"> FSANZ has corrected the converted amount for </w:t>
      </w:r>
      <w:r w:rsidR="00B51870">
        <w:rPr>
          <w:lang w:eastAsia="en-GB"/>
        </w:rPr>
        <w:t>2′</w:t>
      </w:r>
      <w:r w:rsidR="00C645ED">
        <w:rPr>
          <w:lang w:eastAsia="en-GB"/>
        </w:rPr>
        <w:t xml:space="preserve">-FL alone and </w:t>
      </w:r>
      <w:r w:rsidR="00B51870">
        <w:rPr>
          <w:lang w:eastAsia="en-GB"/>
        </w:rPr>
        <w:t>2′</w:t>
      </w:r>
      <w:r w:rsidR="00C645ED">
        <w:rPr>
          <w:lang w:eastAsia="en-GB"/>
        </w:rPr>
        <w:t>-FL and LNnT combined since the 1</w:t>
      </w:r>
      <w:r w:rsidR="00C645ED" w:rsidRPr="00C645ED">
        <w:rPr>
          <w:vertAlign w:val="superscript"/>
          <w:lang w:eastAsia="en-GB"/>
        </w:rPr>
        <w:t>st</w:t>
      </w:r>
      <w:r w:rsidR="00C645ED">
        <w:rPr>
          <w:lang w:eastAsia="en-GB"/>
        </w:rPr>
        <w:t xml:space="preserve"> CFS (i.e. corrected from 0.56 to 0.55 g/serving as listed above).</w:t>
      </w:r>
    </w:p>
    <w:p w14:paraId="761D3DAA" w14:textId="298E1EB5" w:rsidR="0003203F" w:rsidRDefault="0003203F" w:rsidP="00C645ED"/>
    <w:p w14:paraId="5AD38FA1" w14:textId="3F13B98A" w:rsidR="0003203F" w:rsidRDefault="0003203F" w:rsidP="00C645ED">
      <w:r>
        <w:t>‘Serving’ is defined in Standard 1.1.2 – Definitions used throughout the Code</w:t>
      </w:r>
      <w:r>
        <w:rPr>
          <w:rStyle w:val="FootnoteReference"/>
        </w:rPr>
        <w:footnoteReference w:id="17"/>
      </w:r>
      <w:r>
        <w:t>. The serving size is determined by the food manufacturer and must be declared in the nutrition information panel (Standard 1.2.8). The proposed permission in the Code would therefore specify the permitted amounts per serve (as listed above), but would not specify the serving size. This means that the permitted amounts per serving would be the same irrespective of the serving size (e.g. maximum of 0.</w:t>
      </w:r>
      <w:r w:rsidR="00FA6D48">
        <w:t>55</w:t>
      </w:r>
      <w:r>
        <w:t xml:space="preserve"> g of 2</w:t>
      </w:r>
      <w:r w:rsidR="00567609">
        <w:t>′</w:t>
      </w:r>
      <w:r>
        <w:t>-</w:t>
      </w:r>
      <w:r w:rsidR="00C9316F">
        <w:t>FL</w:t>
      </w:r>
      <w:r w:rsidR="00517F64">
        <w:t xml:space="preserve"> </w:t>
      </w:r>
      <w:r>
        <w:t xml:space="preserve">per 115 </w:t>
      </w:r>
      <w:r w:rsidRPr="00433672">
        <w:t>m</w:t>
      </w:r>
      <w:r w:rsidR="006D7863">
        <w:t>L</w:t>
      </w:r>
      <w:r>
        <w:t xml:space="preserve"> serving and per 230 </w:t>
      </w:r>
      <w:r w:rsidR="00433672" w:rsidRPr="00433672">
        <w:t>m</w:t>
      </w:r>
      <w:r w:rsidR="006D7863">
        <w:t>L</w:t>
      </w:r>
      <w:r>
        <w:t xml:space="preserve"> serving). </w:t>
      </w:r>
    </w:p>
    <w:p w14:paraId="0139EA7C" w14:textId="77777777" w:rsidR="0003203F" w:rsidRDefault="0003203F" w:rsidP="0003203F">
      <w:pPr>
        <w:rPr>
          <w:lang w:bidi="ar-SA"/>
        </w:rPr>
      </w:pPr>
    </w:p>
    <w:p w14:paraId="25E5461B" w14:textId="310E2149" w:rsidR="0003203F" w:rsidRDefault="0003203F" w:rsidP="0003203F">
      <w:pPr>
        <w:rPr>
          <w:lang w:bidi="ar-SA"/>
        </w:rPr>
      </w:pPr>
      <w:r>
        <w:rPr>
          <w:lang w:bidi="ar-SA"/>
        </w:rPr>
        <w:t xml:space="preserve">FSANZ’s dietary intake assessment (SD1), estimated the </w:t>
      </w:r>
      <w:r w:rsidR="00433672">
        <w:rPr>
          <w:lang w:bidi="ar-SA"/>
        </w:rPr>
        <w:t xml:space="preserve">respective dietary </w:t>
      </w:r>
      <w:r>
        <w:rPr>
          <w:lang w:bidi="ar-SA"/>
        </w:rPr>
        <w:t>intakes of 2</w:t>
      </w:r>
      <w:r w:rsidR="00567609">
        <w:rPr>
          <w:lang w:bidi="ar-SA"/>
        </w:rPr>
        <w:t>′</w:t>
      </w:r>
      <w:r>
        <w:rPr>
          <w:lang w:bidi="ar-SA"/>
        </w:rPr>
        <w:t xml:space="preserve">-FL and LNnT from FSFYC (for </w:t>
      </w:r>
      <w:r w:rsidR="00433672">
        <w:rPr>
          <w:lang w:bidi="ar-SA"/>
        </w:rPr>
        <w:t xml:space="preserve">12 month old </w:t>
      </w:r>
      <w:r>
        <w:rPr>
          <w:lang w:bidi="ar-SA"/>
        </w:rPr>
        <w:t xml:space="preserve">infants and </w:t>
      </w:r>
      <w:r w:rsidR="00433672">
        <w:rPr>
          <w:lang w:bidi="ar-SA"/>
        </w:rPr>
        <w:t>2</w:t>
      </w:r>
      <w:r w:rsidR="006D7863">
        <w:rPr>
          <w:lang w:bidi="ar-SA"/>
        </w:rPr>
        <w:t>–</w:t>
      </w:r>
      <w:r w:rsidR="00433672">
        <w:rPr>
          <w:lang w:bidi="ar-SA"/>
        </w:rPr>
        <w:t xml:space="preserve">3 year old </w:t>
      </w:r>
      <w:r>
        <w:rPr>
          <w:lang w:bidi="ar-SA"/>
        </w:rPr>
        <w:t xml:space="preserve">children) using </w:t>
      </w:r>
      <w:r w:rsidR="00913F2F">
        <w:rPr>
          <w:lang w:bidi="ar-SA"/>
        </w:rPr>
        <w:t xml:space="preserve">the </w:t>
      </w:r>
      <w:r>
        <w:rPr>
          <w:lang w:bidi="ar-SA"/>
        </w:rPr>
        <w:t xml:space="preserve">proposed amounts based on g/serving listed above. </w:t>
      </w:r>
      <w:r w:rsidR="00913F2F">
        <w:rPr>
          <w:lang w:bidi="ar-SA"/>
        </w:rPr>
        <w:t>In the modelling,</w:t>
      </w:r>
      <w:r>
        <w:rPr>
          <w:lang w:bidi="ar-SA"/>
        </w:rPr>
        <w:t xml:space="preserve"> two FSFYC serving sizes were used to provide a range of estimated intakes (i.e. smallest serve of 115 m</w:t>
      </w:r>
      <w:r w:rsidR="006D7863">
        <w:rPr>
          <w:lang w:bidi="ar-SA"/>
        </w:rPr>
        <w:t>L</w:t>
      </w:r>
      <w:r>
        <w:rPr>
          <w:lang w:bidi="ar-SA"/>
        </w:rPr>
        <w:t xml:space="preserve"> and largest serve of 230 m</w:t>
      </w:r>
      <w:r w:rsidR="006D7863">
        <w:rPr>
          <w:lang w:bidi="ar-SA"/>
        </w:rPr>
        <w:t>L</w:t>
      </w:r>
      <w:r>
        <w:rPr>
          <w:lang w:bidi="ar-SA"/>
        </w:rPr>
        <w:t xml:space="preserve"> as currently available in the Australia and New Zealand market). The </w:t>
      </w:r>
      <w:r w:rsidR="00433672">
        <w:rPr>
          <w:lang w:bidi="ar-SA"/>
        </w:rPr>
        <w:t>smaller</w:t>
      </w:r>
      <w:r>
        <w:rPr>
          <w:lang w:bidi="ar-SA"/>
        </w:rPr>
        <w:t xml:space="preserve"> FSFYC serving size resulted in higher intakes of 2</w:t>
      </w:r>
      <w:r w:rsidR="00567609">
        <w:rPr>
          <w:lang w:bidi="ar-SA"/>
        </w:rPr>
        <w:t>′</w:t>
      </w:r>
      <w:r>
        <w:rPr>
          <w:lang w:bidi="ar-SA"/>
        </w:rPr>
        <w:t>-FL and LNnT</w:t>
      </w:r>
      <w:r w:rsidR="00C9316F">
        <w:rPr>
          <w:lang w:bidi="ar-SA"/>
        </w:rPr>
        <w:t xml:space="preserve"> respectively,</w:t>
      </w:r>
      <w:r>
        <w:rPr>
          <w:lang w:bidi="ar-SA"/>
        </w:rPr>
        <w:t xml:space="preserve"> as more servings would need to be consumed to meet the energy needs of an older infant and young child. </w:t>
      </w:r>
    </w:p>
    <w:p w14:paraId="67BF2FFB" w14:textId="77777777" w:rsidR="0003203F" w:rsidRDefault="0003203F" w:rsidP="0003203F">
      <w:pPr>
        <w:rPr>
          <w:lang w:bidi="ar-SA"/>
        </w:rPr>
      </w:pPr>
    </w:p>
    <w:p w14:paraId="23FABBD5" w14:textId="046A9DBE" w:rsidR="00C9316F" w:rsidRDefault="003F5564" w:rsidP="0003203F">
      <w:pPr>
        <w:rPr>
          <w:lang w:bidi="ar-SA"/>
        </w:rPr>
      </w:pPr>
      <w:r>
        <w:rPr>
          <w:lang w:bidi="ar-SA"/>
        </w:rPr>
        <w:t>As discussed in section 2.</w:t>
      </w:r>
      <w:r w:rsidR="00A01664">
        <w:rPr>
          <w:lang w:bidi="ar-SA"/>
        </w:rPr>
        <w:t>3</w:t>
      </w:r>
      <w:r>
        <w:rPr>
          <w:lang w:bidi="ar-SA"/>
        </w:rPr>
        <w:t>.3.2 of this report,</w:t>
      </w:r>
      <w:r w:rsidR="0003203F">
        <w:rPr>
          <w:lang w:bidi="ar-SA"/>
        </w:rPr>
        <w:t xml:space="preserve"> the estimated </w:t>
      </w:r>
      <w:r w:rsidR="00357136">
        <w:rPr>
          <w:lang w:bidi="ar-SA"/>
        </w:rPr>
        <w:t>intakes from</w:t>
      </w:r>
      <w:r w:rsidR="0003203F">
        <w:rPr>
          <w:lang w:bidi="ar-SA"/>
        </w:rPr>
        <w:t xml:space="preserve"> FSFYC are similar </w:t>
      </w:r>
      <w:r w:rsidR="00357136">
        <w:rPr>
          <w:lang w:bidi="ar-SA"/>
        </w:rPr>
        <w:t xml:space="preserve">to </w:t>
      </w:r>
      <w:r w:rsidR="0003203F">
        <w:rPr>
          <w:lang w:bidi="ar-SA"/>
        </w:rPr>
        <w:t xml:space="preserve">or </w:t>
      </w:r>
      <w:r w:rsidR="00357136">
        <w:rPr>
          <w:lang w:bidi="ar-SA"/>
        </w:rPr>
        <w:t>less than</w:t>
      </w:r>
      <w:r w:rsidR="0003203F">
        <w:rPr>
          <w:lang w:bidi="ar-SA"/>
        </w:rPr>
        <w:t xml:space="preserve"> the </w:t>
      </w:r>
      <w:r>
        <w:rPr>
          <w:lang w:bidi="ar-SA"/>
        </w:rPr>
        <w:t xml:space="preserve">respective </w:t>
      </w:r>
      <w:r w:rsidR="0003203F">
        <w:rPr>
          <w:lang w:bidi="ar-SA"/>
        </w:rPr>
        <w:t>intakes of 2</w:t>
      </w:r>
      <w:r w:rsidR="00567609">
        <w:rPr>
          <w:lang w:bidi="ar-SA"/>
        </w:rPr>
        <w:t>′</w:t>
      </w:r>
      <w:r w:rsidR="0003203F">
        <w:rPr>
          <w:lang w:bidi="ar-SA"/>
        </w:rPr>
        <w:t xml:space="preserve">-FL and LNnT for </w:t>
      </w:r>
      <w:r w:rsidR="00357136">
        <w:rPr>
          <w:lang w:bidi="ar-SA"/>
        </w:rPr>
        <w:t xml:space="preserve">3 month old </w:t>
      </w:r>
      <w:r w:rsidR="0003203F">
        <w:rPr>
          <w:lang w:bidi="ar-SA"/>
        </w:rPr>
        <w:t>infants who are exclusively formula-fed</w:t>
      </w:r>
      <w:r w:rsidR="001D329E">
        <w:rPr>
          <w:lang w:bidi="ar-SA"/>
        </w:rPr>
        <w:t xml:space="preserve"> and are a more vulnerable population group</w:t>
      </w:r>
      <w:r w:rsidR="0003203F">
        <w:rPr>
          <w:lang w:bidi="ar-SA"/>
        </w:rPr>
        <w:t xml:space="preserve">. The highest </w:t>
      </w:r>
      <w:r>
        <w:rPr>
          <w:lang w:bidi="ar-SA"/>
        </w:rPr>
        <w:t xml:space="preserve">P90 </w:t>
      </w:r>
      <w:r w:rsidR="0003203F">
        <w:rPr>
          <w:lang w:bidi="ar-SA"/>
        </w:rPr>
        <w:t xml:space="preserve">intakes </w:t>
      </w:r>
      <w:r>
        <w:rPr>
          <w:lang w:bidi="ar-SA"/>
        </w:rPr>
        <w:t>of 2</w:t>
      </w:r>
      <w:r w:rsidR="00567609">
        <w:rPr>
          <w:lang w:bidi="ar-SA"/>
        </w:rPr>
        <w:t>′</w:t>
      </w:r>
      <w:r>
        <w:rPr>
          <w:lang w:bidi="ar-SA"/>
        </w:rPr>
        <w:t xml:space="preserve">-FL and LNnT </w:t>
      </w:r>
      <w:r w:rsidR="001D329E">
        <w:rPr>
          <w:lang w:bidi="ar-SA"/>
        </w:rPr>
        <w:t xml:space="preserve">from FSFYC </w:t>
      </w:r>
      <w:r w:rsidR="0003203F">
        <w:rPr>
          <w:lang w:bidi="ar-SA"/>
        </w:rPr>
        <w:t xml:space="preserve">are also </w:t>
      </w:r>
      <w:r>
        <w:rPr>
          <w:lang w:bidi="ar-SA"/>
        </w:rPr>
        <w:t>well</w:t>
      </w:r>
      <w:r w:rsidR="0003203F">
        <w:rPr>
          <w:lang w:bidi="ar-SA"/>
        </w:rPr>
        <w:t xml:space="preserve"> below the NOAEL</w:t>
      </w:r>
      <w:r>
        <w:rPr>
          <w:lang w:bidi="ar-SA"/>
        </w:rPr>
        <w:t>’s</w:t>
      </w:r>
      <w:r w:rsidR="0003203F">
        <w:rPr>
          <w:lang w:bidi="ar-SA"/>
        </w:rPr>
        <w:t xml:space="preserve"> identified by FSANZ</w:t>
      </w:r>
      <w:r w:rsidR="001D329E">
        <w:rPr>
          <w:lang w:bidi="ar-SA"/>
        </w:rPr>
        <w:t xml:space="preserve"> in SD1 (i.e. 12</w:t>
      </w:r>
      <w:r w:rsidR="00010489">
        <w:rPr>
          <w:lang w:bidi="ar-SA"/>
        </w:rPr>
        <w:t>-fold lower for 2</w:t>
      </w:r>
      <w:r w:rsidR="00567609">
        <w:rPr>
          <w:lang w:bidi="ar-SA"/>
        </w:rPr>
        <w:t>′</w:t>
      </w:r>
      <w:r w:rsidR="00010489">
        <w:rPr>
          <w:lang w:bidi="ar-SA"/>
        </w:rPr>
        <w:t>-FL, and 50-fold lower for LNnT, for 12 month old infants).</w:t>
      </w:r>
      <w:r w:rsidR="0003203F">
        <w:rPr>
          <w:lang w:bidi="ar-SA"/>
        </w:rPr>
        <w:t xml:space="preserve"> </w:t>
      </w:r>
    </w:p>
    <w:p w14:paraId="0F92FCAD" w14:textId="77777777" w:rsidR="00C9316F" w:rsidRDefault="00C9316F" w:rsidP="0003203F">
      <w:pPr>
        <w:rPr>
          <w:lang w:bidi="ar-SA"/>
        </w:rPr>
      </w:pPr>
    </w:p>
    <w:p w14:paraId="2CA0A20A" w14:textId="775C73BF" w:rsidR="0003203F" w:rsidRDefault="0003203F" w:rsidP="0003203F">
      <w:r>
        <w:rPr>
          <w:lang w:bidi="ar-SA"/>
        </w:rPr>
        <w:t>As there are no safety concerns identified</w:t>
      </w:r>
      <w:r w:rsidR="003F5564">
        <w:rPr>
          <w:lang w:bidi="ar-SA"/>
        </w:rPr>
        <w:t xml:space="preserve"> with the proposed addition of 2</w:t>
      </w:r>
      <w:r w:rsidR="00567609">
        <w:rPr>
          <w:lang w:bidi="ar-SA"/>
        </w:rPr>
        <w:t>′</w:t>
      </w:r>
      <w:r w:rsidR="003F5564">
        <w:rPr>
          <w:lang w:bidi="ar-SA"/>
        </w:rPr>
        <w:t>-FL and LNnT to FSFYC</w:t>
      </w:r>
      <w:r>
        <w:rPr>
          <w:lang w:bidi="ar-SA"/>
        </w:rPr>
        <w:t xml:space="preserve">, FSANZ </w:t>
      </w:r>
      <w:r>
        <w:t xml:space="preserve">considers that </w:t>
      </w:r>
      <w:r w:rsidR="00010489">
        <w:t>the maximum levels based on g/serving are</w:t>
      </w:r>
      <w:r>
        <w:t xml:space="preserve"> unlikely to pose a risk to the health of young children.</w:t>
      </w:r>
    </w:p>
    <w:p w14:paraId="30BAF7FB" w14:textId="77777777" w:rsidR="007C174F" w:rsidRDefault="007C174F" w:rsidP="007C174F"/>
    <w:sectPr w:rsidR="007C174F" w:rsidSect="00020C54">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16F63" w14:textId="77777777" w:rsidR="0025476F" w:rsidRDefault="0025476F">
      <w:r>
        <w:separator/>
      </w:r>
    </w:p>
  </w:endnote>
  <w:endnote w:type="continuationSeparator" w:id="0">
    <w:p w14:paraId="0BD10D49" w14:textId="77777777" w:rsidR="0025476F" w:rsidRDefault="0025476F">
      <w:r>
        <w:continuationSeparator/>
      </w:r>
    </w:p>
  </w:endnote>
  <w:endnote w:type="continuationNotice" w:id="1">
    <w:p w14:paraId="440E0773" w14:textId="77777777" w:rsidR="0025476F" w:rsidRDefault="00254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2764" w14:textId="54F586C1" w:rsidR="0025476F" w:rsidRDefault="0025476F" w:rsidP="0071173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102CFC4D" w14:textId="77777777" w:rsidR="0025476F" w:rsidRDefault="0025476F" w:rsidP="00711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B53BD" w14:textId="432B5222" w:rsidR="0025476F" w:rsidRDefault="0025476F"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7B64">
      <w:rPr>
        <w:rStyle w:val="PageNumber"/>
        <w:noProof/>
      </w:rPr>
      <w:t>i</w:t>
    </w:r>
    <w:r>
      <w:rPr>
        <w:rStyle w:val="PageNumber"/>
      </w:rPr>
      <w:fldChar w:fldCharType="end"/>
    </w:r>
  </w:p>
  <w:p w14:paraId="74087C42" w14:textId="77777777" w:rsidR="0025476F" w:rsidRDefault="0025476F" w:rsidP="00206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E976" w14:textId="77777777" w:rsidR="00987B64" w:rsidRDefault="00987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B093D" w14:textId="77777777" w:rsidR="0025476F" w:rsidRDefault="0025476F">
      <w:r>
        <w:separator/>
      </w:r>
    </w:p>
  </w:footnote>
  <w:footnote w:type="continuationSeparator" w:id="0">
    <w:p w14:paraId="33DB1B5D" w14:textId="77777777" w:rsidR="0025476F" w:rsidRDefault="0025476F">
      <w:r>
        <w:continuationSeparator/>
      </w:r>
    </w:p>
  </w:footnote>
  <w:footnote w:type="continuationNotice" w:id="1">
    <w:p w14:paraId="0A7F5CE4" w14:textId="77777777" w:rsidR="0025476F" w:rsidRDefault="0025476F"/>
  </w:footnote>
  <w:footnote w:id="2">
    <w:p w14:paraId="4DCBCEFD" w14:textId="30CB71DA" w:rsidR="0025476F" w:rsidRPr="00C11D92" w:rsidRDefault="0025476F">
      <w:pPr>
        <w:pStyle w:val="FootnoteText"/>
        <w:rPr>
          <w:lang w:val="en-AU"/>
        </w:rPr>
      </w:pPr>
      <w:r>
        <w:rPr>
          <w:rStyle w:val="FootnoteReference"/>
        </w:rPr>
        <w:footnoteRef/>
      </w:r>
      <w:r>
        <w:t xml:space="preserve"> </w:t>
      </w:r>
      <w:r w:rsidRPr="002F2717">
        <w:rPr>
          <w:szCs w:val="22"/>
        </w:rPr>
        <w:t>http://www.foodstandards.gov.au/code/applications/Pages/A1155–2’-FL-and-LNnT-in-infant-formula-and-other-products-.aspx</w:t>
      </w:r>
    </w:p>
  </w:footnote>
  <w:footnote w:id="3">
    <w:p w14:paraId="59920B78" w14:textId="157FA800" w:rsidR="0025476F" w:rsidRPr="00C41BD6" w:rsidRDefault="0025476F">
      <w:pPr>
        <w:pStyle w:val="FootnoteText"/>
        <w:rPr>
          <w:lang w:val="en-AU"/>
        </w:rPr>
      </w:pPr>
      <w:r>
        <w:rPr>
          <w:rStyle w:val="FootnoteReference"/>
        </w:rPr>
        <w:footnoteRef/>
      </w:r>
      <w:r>
        <w:t xml:space="preserve"> </w:t>
      </w:r>
      <w:r>
        <w:rPr>
          <w:lang w:val="en-AU"/>
        </w:rPr>
        <w:t>‘Infant formula products’ used throughout this report captures infant formula, follow-on formula and infant formula products for special dietary use.</w:t>
      </w:r>
    </w:p>
  </w:footnote>
  <w:footnote w:id="4">
    <w:p w14:paraId="3CDCC74F" w14:textId="305DF179" w:rsidR="0025476F" w:rsidRPr="006432DD" w:rsidRDefault="0025476F">
      <w:pPr>
        <w:pStyle w:val="FootnoteText"/>
        <w:rPr>
          <w:lang w:val="en-AU"/>
        </w:rPr>
      </w:pPr>
      <w:r>
        <w:rPr>
          <w:rStyle w:val="FootnoteReference"/>
        </w:rPr>
        <w:footnoteRef/>
      </w:r>
      <w:r>
        <w:t xml:space="preserve"> T</w:t>
      </w:r>
      <w:r>
        <w:rPr>
          <w:szCs w:val="22"/>
        </w:rPr>
        <w:t>oddler milk is the main type of FSFYC currently available.</w:t>
      </w:r>
    </w:p>
  </w:footnote>
  <w:footnote w:id="5">
    <w:p w14:paraId="5B6FC99A" w14:textId="1A51229C" w:rsidR="0025476F" w:rsidRPr="00AC5C47" w:rsidRDefault="0025476F" w:rsidP="007C5797">
      <w:pPr>
        <w:pStyle w:val="FootnoteText"/>
        <w:rPr>
          <w:lang w:val="en-AU"/>
        </w:rPr>
      </w:pPr>
      <w:r>
        <w:rPr>
          <w:rStyle w:val="FootnoteReference"/>
        </w:rPr>
        <w:footnoteRef/>
      </w:r>
      <w:r>
        <w:t xml:space="preserve"> </w:t>
      </w:r>
      <w:r>
        <w:rPr>
          <w:lang w:val="en-AU"/>
        </w:rPr>
        <w:t xml:space="preserve">Specified in Table D.1-1 of the application dossier. </w:t>
      </w:r>
    </w:p>
  </w:footnote>
  <w:footnote w:id="6">
    <w:p w14:paraId="23CAA876" w14:textId="237A539E" w:rsidR="0025476F" w:rsidRPr="00CC514F" w:rsidRDefault="0025476F" w:rsidP="005B7EDF">
      <w:pPr>
        <w:pStyle w:val="FootnoteText"/>
        <w:rPr>
          <w:szCs w:val="18"/>
          <w:lang w:val="en-AU"/>
        </w:rPr>
      </w:pPr>
      <w:r>
        <w:rPr>
          <w:rStyle w:val="FootnoteReference"/>
        </w:rPr>
        <w:footnoteRef/>
      </w:r>
      <w:r>
        <w:t xml:space="preserve"> </w:t>
      </w:r>
      <w:r w:rsidRPr="00CC514F">
        <w:rPr>
          <w:szCs w:val="18"/>
        </w:rPr>
        <w:t>‘</w:t>
      </w:r>
      <w:r w:rsidRPr="00CC514F">
        <w:rPr>
          <w:szCs w:val="18"/>
          <w:lang w:val="en-AU"/>
        </w:rPr>
        <w:t xml:space="preserve">Follow-up Formula’ is currently defined by Codex as </w:t>
      </w:r>
      <w:r w:rsidRPr="00CC514F">
        <w:rPr>
          <w:i/>
          <w:szCs w:val="18"/>
          <w:lang w:val="en-AU"/>
        </w:rPr>
        <w:t>a food intended for use as a liquid part of the weaning diet for the infant from the 6</w:t>
      </w:r>
      <w:r w:rsidRPr="00CC514F">
        <w:rPr>
          <w:i/>
          <w:szCs w:val="18"/>
          <w:vertAlign w:val="superscript"/>
          <w:lang w:val="en-AU"/>
        </w:rPr>
        <w:t>th</w:t>
      </w:r>
      <w:r w:rsidRPr="00CC514F">
        <w:rPr>
          <w:i/>
          <w:szCs w:val="18"/>
          <w:lang w:val="en-AU"/>
        </w:rPr>
        <w:t xml:space="preserve"> month on and for young children </w:t>
      </w:r>
      <w:r w:rsidRPr="00CC514F">
        <w:rPr>
          <w:szCs w:val="18"/>
          <w:lang w:val="en-AU"/>
        </w:rPr>
        <w:t xml:space="preserve">(12-36 months). </w:t>
      </w:r>
    </w:p>
  </w:footnote>
  <w:footnote w:id="7">
    <w:p w14:paraId="000A1843" w14:textId="05ED2BB7" w:rsidR="0025476F" w:rsidRPr="00CC514F" w:rsidRDefault="0025476F" w:rsidP="000E25F5">
      <w:pPr>
        <w:pStyle w:val="FootnoteText"/>
        <w:rPr>
          <w:szCs w:val="18"/>
          <w:lang w:val="en-AU"/>
        </w:rPr>
      </w:pPr>
      <w:r w:rsidRPr="00CC514F">
        <w:rPr>
          <w:rStyle w:val="FootnoteReference"/>
          <w:szCs w:val="18"/>
        </w:rPr>
        <w:footnoteRef/>
      </w:r>
      <w:r w:rsidRPr="00CC514F">
        <w:rPr>
          <w:szCs w:val="18"/>
        </w:rPr>
        <w:t xml:space="preserve"> For further information, search on the </w:t>
      </w:r>
      <w:hyperlink r:id="rId1" w:history="1">
        <w:r w:rsidRPr="00CC514F">
          <w:rPr>
            <w:rStyle w:val="Hyperlink"/>
            <w:szCs w:val="18"/>
          </w:rPr>
          <w:t>Codex Alimentarius website</w:t>
        </w:r>
      </w:hyperlink>
      <w:r w:rsidRPr="00CC514F">
        <w:rPr>
          <w:szCs w:val="18"/>
        </w:rPr>
        <w:t xml:space="preserve"> (accessed 25 October 2018). </w:t>
      </w:r>
    </w:p>
  </w:footnote>
  <w:footnote w:id="8">
    <w:p w14:paraId="741B5907" w14:textId="4B0BBBB8" w:rsidR="0025476F" w:rsidRPr="00CA7FDA" w:rsidRDefault="0025476F" w:rsidP="003A772B">
      <w:pPr>
        <w:pStyle w:val="FootnoteText"/>
        <w:rPr>
          <w:lang w:val="en-AU"/>
        </w:rPr>
      </w:pPr>
      <w:r w:rsidRPr="00F20A0C">
        <w:rPr>
          <w:rStyle w:val="FootnoteReference"/>
          <w:sz w:val="18"/>
          <w:szCs w:val="18"/>
        </w:rPr>
        <w:footnoteRef/>
      </w:r>
      <w:r w:rsidRPr="00F20A0C">
        <w:rPr>
          <w:sz w:val="18"/>
          <w:szCs w:val="18"/>
        </w:rPr>
        <w:t xml:space="preserve"> </w:t>
      </w:r>
      <w:r w:rsidRPr="00CA7FDA">
        <w:t>‘</w:t>
      </w:r>
      <w:r w:rsidRPr="00CA7FDA">
        <w:rPr>
          <w:lang w:val="en-AU"/>
        </w:rPr>
        <w:t xml:space="preserve">Infant formula’, ‘follow-on formula’, ‘foods for special medical purposes’ and ‘young children’ are defined in </w:t>
      </w:r>
      <w:hyperlink r:id="rId2" w:history="1">
        <w:r w:rsidRPr="00CA7FDA">
          <w:rPr>
            <w:rStyle w:val="Hyperlink"/>
            <w:lang w:val="en-AU"/>
          </w:rPr>
          <w:t>Regulation (EU) No 609/2013</w:t>
        </w:r>
      </w:hyperlink>
      <w:r w:rsidRPr="00CA7FDA">
        <w:rPr>
          <w:rStyle w:val="Hyperlink"/>
          <w:lang w:val="en-AU"/>
        </w:rPr>
        <w:t xml:space="preserve"> </w:t>
      </w:r>
      <w:r w:rsidRPr="00CA7FDA">
        <w:rPr>
          <w:lang w:val="en-AU"/>
        </w:rPr>
        <w:t>(accessed 17 September 2018).</w:t>
      </w:r>
    </w:p>
  </w:footnote>
  <w:footnote w:id="9">
    <w:p w14:paraId="357253C8" w14:textId="1BC22526" w:rsidR="0025476F" w:rsidRPr="00CA7FDA" w:rsidRDefault="0025476F" w:rsidP="00783F07">
      <w:pPr>
        <w:pStyle w:val="FootnoteText"/>
        <w:rPr>
          <w:lang w:val="en-AU"/>
        </w:rPr>
      </w:pPr>
      <w:r w:rsidRPr="000E3827">
        <w:rPr>
          <w:rStyle w:val="FootnoteReference"/>
        </w:rPr>
        <w:footnoteRef/>
      </w:r>
      <w:r w:rsidRPr="000E3827">
        <w:t xml:space="preserve"> </w:t>
      </w:r>
      <w:r w:rsidRPr="00CA7FDA">
        <w:rPr>
          <w:lang w:val="en-AU"/>
        </w:rPr>
        <w:t>FrieslandCampina Nederland BV</w:t>
      </w:r>
      <w:r w:rsidRPr="00CA7FDA">
        <w:t xml:space="preserve"> (FrieslandCampina) and </w:t>
      </w:r>
      <w:r w:rsidRPr="00CA7FDA">
        <w:rPr>
          <w:lang w:val="en-AU"/>
        </w:rPr>
        <w:t xml:space="preserve">DuPont Nutrition &amp; Biosciences ApS (Dupont) </w:t>
      </w:r>
    </w:p>
  </w:footnote>
  <w:footnote w:id="10">
    <w:p w14:paraId="2AA4522B" w14:textId="7C233E97" w:rsidR="0025476F" w:rsidRPr="00EC23EA" w:rsidRDefault="0025476F">
      <w:pPr>
        <w:pStyle w:val="FootnoteText"/>
        <w:rPr>
          <w:lang w:val="en-AU"/>
        </w:rPr>
      </w:pPr>
      <w:r>
        <w:rPr>
          <w:rStyle w:val="FootnoteReference"/>
        </w:rPr>
        <w:footnoteRef/>
      </w:r>
      <w:r>
        <w:t xml:space="preserve"> </w:t>
      </w:r>
      <w:r>
        <w:rPr>
          <w:lang w:val="en-AU"/>
        </w:rPr>
        <w:t>‘No questions’ response means the USFDA does not question the basis for the notifier’s GRAS conclusion (USFDA 2016b).</w:t>
      </w:r>
    </w:p>
  </w:footnote>
  <w:footnote w:id="11">
    <w:p w14:paraId="064EAA83" w14:textId="77777777" w:rsidR="0025476F" w:rsidRPr="00833EA9" w:rsidRDefault="0025476F" w:rsidP="00F74DEF">
      <w:pPr>
        <w:pStyle w:val="FootnoteText"/>
        <w:rPr>
          <w:sz w:val="18"/>
          <w:szCs w:val="18"/>
          <w:lang w:val="en-AU"/>
        </w:rPr>
      </w:pPr>
      <w:r w:rsidRPr="00833EA9">
        <w:rPr>
          <w:rStyle w:val="FootnoteReference"/>
          <w:sz w:val="18"/>
          <w:szCs w:val="18"/>
        </w:rPr>
        <w:footnoteRef/>
      </w:r>
      <w:r w:rsidRPr="00833EA9">
        <w:rPr>
          <w:sz w:val="18"/>
          <w:szCs w:val="18"/>
        </w:rPr>
        <w:t xml:space="preserve"> </w:t>
      </w:r>
      <w:r w:rsidRPr="00C4150F">
        <w:rPr>
          <w:szCs w:val="18"/>
        </w:rPr>
        <w:t xml:space="preserve">The Major procedure </w:t>
      </w:r>
      <w:r w:rsidRPr="00C4150F">
        <w:rPr>
          <w:szCs w:val="18"/>
          <w:lang w:val="en-AU"/>
        </w:rPr>
        <w:t xml:space="preserve">is used when the variation of the food regulatory measure being considered involves a significant change to the scope of the measure and is of significant technical and scientific complexity.  </w:t>
      </w:r>
    </w:p>
  </w:footnote>
  <w:footnote w:id="12">
    <w:p w14:paraId="5AF23E8A" w14:textId="71C3A68D" w:rsidR="0025476F" w:rsidRPr="004879F7" w:rsidRDefault="0025476F">
      <w:pPr>
        <w:pStyle w:val="FootnoteText"/>
        <w:rPr>
          <w:lang w:val="en-AU"/>
        </w:rPr>
      </w:pPr>
      <w:r>
        <w:rPr>
          <w:rStyle w:val="FootnoteReference"/>
        </w:rPr>
        <w:footnoteRef/>
      </w:r>
      <w:r>
        <w:t xml:space="preserve"> </w:t>
      </w:r>
      <w:hyperlink r:id="rId3" w:history="1">
        <w:r w:rsidRPr="00D72462">
          <w:rPr>
            <w:rStyle w:val="Hyperlink"/>
          </w:rPr>
          <w:t>Policy guideline on infant formula products</w:t>
        </w:r>
      </w:hyperlink>
      <w:r>
        <w:t xml:space="preserve"> (accessed 25 September 2018)  </w:t>
      </w:r>
    </w:p>
  </w:footnote>
  <w:footnote w:id="13">
    <w:p w14:paraId="289885A4" w14:textId="5FD237C8" w:rsidR="0025476F" w:rsidRPr="004879F7" w:rsidRDefault="0025476F">
      <w:pPr>
        <w:pStyle w:val="FootnoteText"/>
        <w:rPr>
          <w:lang w:val="en-AU"/>
        </w:rPr>
      </w:pPr>
      <w:r>
        <w:rPr>
          <w:rStyle w:val="FootnoteReference"/>
        </w:rPr>
        <w:footnoteRef/>
      </w:r>
      <w:r>
        <w:t xml:space="preserve"> </w:t>
      </w:r>
      <w:hyperlink r:id="rId4" w:history="1">
        <w:r w:rsidRPr="00934A4B">
          <w:rPr>
            <w:rStyle w:val="Hyperlink"/>
          </w:rPr>
          <w:t>Policy guideline on intent of Part 2.9</w:t>
        </w:r>
      </w:hyperlink>
      <w:r>
        <w:t xml:space="preserve"> (accessed 25 September 2018).  </w:t>
      </w:r>
    </w:p>
  </w:footnote>
  <w:footnote w:id="14">
    <w:p w14:paraId="7C328877" w14:textId="6875F795" w:rsidR="0025476F" w:rsidRPr="00783BDA" w:rsidRDefault="0025476F">
      <w:pPr>
        <w:pStyle w:val="FootnoteText"/>
        <w:rPr>
          <w:lang w:val="en-AU"/>
        </w:rPr>
      </w:pPr>
      <w:r>
        <w:rPr>
          <w:rStyle w:val="FootnoteReference"/>
        </w:rPr>
        <w:footnoteRef/>
      </w:r>
      <w:r>
        <w:t xml:space="preserve"> </w:t>
      </w:r>
      <w:r>
        <w:rPr>
          <w:lang w:val="en-AU"/>
        </w:rPr>
        <w:t xml:space="preserve">Seven claims included: is like breast milk, is convenient, makes babies healthy/happy, improves brain development/contains nutrients such as Omega 3, iron or probiotics, ensures proper growth and development. </w:t>
      </w:r>
    </w:p>
  </w:footnote>
  <w:footnote w:id="15">
    <w:p w14:paraId="3EC16663" w14:textId="18194F34" w:rsidR="0025476F" w:rsidRPr="00D82909" w:rsidRDefault="0025476F">
      <w:pPr>
        <w:pStyle w:val="FootnoteText"/>
        <w:rPr>
          <w:sz w:val="18"/>
          <w:szCs w:val="18"/>
          <w:lang w:val="en-AU"/>
        </w:rPr>
      </w:pPr>
      <w:r>
        <w:rPr>
          <w:rStyle w:val="FootnoteReference"/>
        </w:rPr>
        <w:footnoteRef/>
      </w:r>
      <w:r>
        <w:t xml:space="preserve"> </w:t>
      </w:r>
      <w:hyperlink r:id="rId5" w:history="1">
        <w:r w:rsidRPr="00D82909">
          <w:rPr>
            <w:rStyle w:val="Hyperlink"/>
            <w:sz w:val="18"/>
            <w:szCs w:val="18"/>
            <w:lang w:val="en-AU"/>
          </w:rPr>
          <w:t>Policy guideline on Nutrition, Health and Related Claims</w:t>
        </w:r>
      </w:hyperlink>
      <w:r w:rsidRPr="00D82909">
        <w:rPr>
          <w:sz w:val="18"/>
          <w:szCs w:val="18"/>
          <w:lang w:val="en-AU"/>
        </w:rPr>
        <w:t xml:space="preserve"> (accessed </w:t>
      </w:r>
      <w:r>
        <w:rPr>
          <w:sz w:val="18"/>
          <w:szCs w:val="18"/>
          <w:lang w:val="en-AU"/>
        </w:rPr>
        <w:t>25 September</w:t>
      </w:r>
      <w:r w:rsidRPr="00D82909">
        <w:rPr>
          <w:sz w:val="18"/>
          <w:szCs w:val="18"/>
          <w:lang w:val="en-AU"/>
        </w:rPr>
        <w:t xml:space="preserve"> 2018)</w:t>
      </w:r>
    </w:p>
  </w:footnote>
  <w:footnote w:id="16">
    <w:p w14:paraId="65CEF234" w14:textId="2A675245" w:rsidR="0025476F" w:rsidRPr="00F047E7" w:rsidRDefault="0025476F" w:rsidP="008D55D9">
      <w:pPr>
        <w:pStyle w:val="FootnoteText"/>
        <w:rPr>
          <w:lang w:val="en-AU"/>
        </w:rPr>
      </w:pPr>
      <w:r>
        <w:rPr>
          <w:rStyle w:val="FootnoteReference"/>
        </w:rPr>
        <w:footnoteRef/>
      </w:r>
      <w:r>
        <w:t xml:space="preserve"> </w:t>
      </w:r>
      <w:r>
        <w:rPr>
          <w:lang w:val="en-AU"/>
        </w:rPr>
        <w:t>Brand name GlyCare.</w:t>
      </w:r>
    </w:p>
  </w:footnote>
  <w:footnote w:id="17">
    <w:p w14:paraId="1C4C96F8" w14:textId="77777777" w:rsidR="0025476F" w:rsidRPr="00C01116" w:rsidRDefault="0025476F" w:rsidP="0003203F">
      <w:pPr>
        <w:pStyle w:val="FootnoteText"/>
        <w:rPr>
          <w:lang w:val="en-AU"/>
        </w:rPr>
      </w:pPr>
      <w:r w:rsidRPr="0065298F">
        <w:rPr>
          <w:rStyle w:val="FootnoteReference"/>
          <w:sz w:val="18"/>
        </w:rPr>
        <w:footnoteRef/>
      </w:r>
      <w:r w:rsidRPr="0065298F">
        <w:rPr>
          <w:sz w:val="18"/>
        </w:rPr>
        <w:t xml:space="preserve"> </w:t>
      </w:r>
      <w:r w:rsidRPr="0065298F">
        <w:rPr>
          <w:i/>
          <w:sz w:val="18"/>
          <w:lang w:val="en-AU"/>
        </w:rPr>
        <w:t xml:space="preserve">Serving </w:t>
      </w:r>
      <w:r w:rsidRPr="0065298F">
        <w:rPr>
          <w:sz w:val="18"/>
        </w:rPr>
        <w:t>means an amount of the food which constitutes one normal serving when prepared according to manufacturer’s directions or when the food requires no further preparation before consumption, and in the case of a formulated meal replacement is equivalent to one meal.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5669" w14:textId="77777777" w:rsidR="00987B64" w:rsidRDefault="00987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68CEB" w14:textId="77777777" w:rsidR="00987B64" w:rsidRDefault="0098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80D7" w14:textId="7CF4AF27" w:rsidR="0025476F" w:rsidRDefault="0025476F">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740C"/>
    <w:multiLevelType w:val="hybridMultilevel"/>
    <w:tmpl w:val="7F06A2A6"/>
    <w:lvl w:ilvl="0" w:tplc="FA6A582C">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25F25D6"/>
    <w:multiLevelType w:val="hybridMultilevel"/>
    <w:tmpl w:val="016A8EBC"/>
    <w:lvl w:ilvl="0" w:tplc="612EB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4697F"/>
    <w:multiLevelType w:val="hybridMultilevel"/>
    <w:tmpl w:val="47C23D2A"/>
    <w:lvl w:ilvl="0" w:tplc="906A99F8">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E4EA1"/>
    <w:multiLevelType w:val="hybridMultilevel"/>
    <w:tmpl w:val="5BD467EE"/>
    <w:lvl w:ilvl="0" w:tplc="08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DE40C5"/>
    <w:multiLevelType w:val="hybridMultilevel"/>
    <w:tmpl w:val="46A6E390"/>
    <w:lvl w:ilvl="0" w:tplc="CA720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57937"/>
    <w:multiLevelType w:val="hybridMultilevel"/>
    <w:tmpl w:val="EB3C1B56"/>
    <w:lvl w:ilvl="0" w:tplc="D92C1278">
      <w:start w:val="1"/>
      <w:numFmt w:val="decimal"/>
      <w:lvlText w:val="(%1)"/>
      <w:lvlJc w:val="left"/>
      <w:pPr>
        <w:ind w:left="844" w:hanging="855"/>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 w15:restartNumberingAfterBreak="0">
    <w:nsid w:val="09FE7417"/>
    <w:multiLevelType w:val="hybridMultilevel"/>
    <w:tmpl w:val="E302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65E8D"/>
    <w:multiLevelType w:val="hybridMultilevel"/>
    <w:tmpl w:val="1AC4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21C22"/>
    <w:multiLevelType w:val="hybridMultilevel"/>
    <w:tmpl w:val="28687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E25601"/>
    <w:multiLevelType w:val="hybridMultilevel"/>
    <w:tmpl w:val="78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127977"/>
    <w:multiLevelType w:val="hybridMultilevel"/>
    <w:tmpl w:val="5A82C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E687B"/>
    <w:multiLevelType w:val="hybridMultilevel"/>
    <w:tmpl w:val="80F83C1E"/>
    <w:lvl w:ilvl="0" w:tplc="36F6E3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4F0087"/>
    <w:multiLevelType w:val="hybridMultilevel"/>
    <w:tmpl w:val="C7885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A57390"/>
    <w:multiLevelType w:val="hybridMultilevel"/>
    <w:tmpl w:val="6A02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DE7E2D"/>
    <w:multiLevelType w:val="hybridMultilevel"/>
    <w:tmpl w:val="A6C4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1454C4"/>
    <w:multiLevelType w:val="hybridMultilevel"/>
    <w:tmpl w:val="67DE28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73467F"/>
    <w:multiLevelType w:val="hybridMultilevel"/>
    <w:tmpl w:val="8D243A2E"/>
    <w:lvl w:ilvl="0" w:tplc="3A842E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905F9F"/>
    <w:multiLevelType w:val="hybridMultilevel"/>
    <w:tmpl w:val="2998F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315BAB"/>
    <w:multiLevelType w:val="hybridMultilevel"/>
    <w:tmpl w:val="277AE6CC"/>
    <w:lvl w:ilvl="0" w:tplc="DB223030">
      <w:start w:val="1"/>
      <w:numFmt w:val="bullet"/>
      <w:pStyle w:val="F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FA0076"/>
    <w:multiLevelType w:val="hybridMultilevel"/>
    <w:tmpl w:val="324A9908"/>
    <w:lvl w:ilvl="0" w:tplc="2B48B728">
      <w:start w:val="1"/>
      <w:numFmt w:val="bullet"/>
      <w:pStyle w:val="AARBullet"/>
      <w:lvlText w:val=""/>
      <w:lvlJc w:val="left"/>
      <w:pPr>
        <w:ind w:left="360" w:hanging="360"/>
      </w:pPr>
      <w:rPr>
        <w:rFonts w:ascii="Symbol" w:hAnsi="Symbol" w:hint="default"/>
        <w:color w:val="auto"/>
        <w:sz w:val="24"/>
      </w:rPr>
    </w:lvl>
    <w:lvl w:ilvl="1" w:tplc="42E4712C">
      <w:start w:val="1"/>
      <w:numFmt w:val="bullet"/>
      <w:lvlText w:val=""/>
      <w:lvlJc w:val="left"/>
      <w:pPr>
        <w:tabs>
          <w:tab w:val="num" w:pos="1647"/>
        </w:tabs>
        <w:ind w:left="1647" w:hanging="567"/>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243F11"/>
    <w:multiLevelType w:val="hybridMultilevel"/>
    <w:tmpl w:val="6CCE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1C7AB2"/>
    <w:multiLevelType w:val="hybridMultilevel"/>
    <w:tmpl w:val="817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F74534"/>
    <w:multiLevelType w:val="hybridMultilevel"/>
    <w:tmpl w:val="2708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277F8D"/>
    <w:multiLevelType w:val="hybridMultilevel"/>
    <w:tmpl w:val="2DA8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D453AC"/>
    <w:multiLevelType w:val="hybridMultilevel"/>
    <w:tmpl w:val="5A28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F4EC6"/>
    <w:multiLevelType w:val="hybridMultilevel"/>
    <w:tmpl w:val="083638A0"/>
    <w:lvl w:ilvl="0" w:tplc="F2FEAC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681F22"/>
    <w:multiLevelType w:val="hybridMultilevel"/>
    <w:tmpl w:val="866C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C826A5"/>
    <w:multiLevelType w:val="hybridMultilevel"/>
    <w:tmpl w:val="67908B82"/>
    <w:lvl w:ilvl="0" w:tplc="74ECDDFA">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5179F8"/>
    <w:multiLevelType w:val="hybridMultilevel"/>
    <w:tmpl w:val="C456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B6A74"/>
    <w:multiLevelType w:val="hybridMultilevel"/>
    <w:tmpl w:val="6A3A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C11C90"/>
    <w:multiLevelType w:val="hybridMultilevel"/>
    <w:tmpl w:val="D7EE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984626"/>
    <w:multiLevelType w:val="hybridMultilevel"/>
    <w:tmpl w:val="D77E7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1CD1F78"/>
    <w:multiLevelType w:val="hybridMultilevel"/>
    <w:tmpl w:val="DB168A5E"/>
    <w:lvl w:ilvl="0" w:tplc="EB1C269E">
      <w:start w:val="1"/>
      <w:numFmt w:val="bullet"/>
      <w:lvlText w:val="-"/>
      <w:lvlJc w:val="left"/>
      <w:pPr>
        <w:ind w:left="720" w:hanging="363"/>
      </w:pPr>
      <w:rPr>
        <w:rFonts w:ascii="Arial" w:eastAsiaTheme="minorHAnsi" w:hAnsi="Arial" w:cs="Arial" w:hint="default"/>
      </w:rPr>
    </w:lvl>
    <w:lvl w:ilvl="1" w:tplc="0C090003" w:tentative="1">
      <w:start w:val="1"/>
      <w:numFmt w:val="bullet"/>
      <w:lvlText w:val="o"/>
      <w:lvlJc w:val="left"/>
      <w:pPr>
        <w:ind w:left="306" w:hanging="360"/>
      </w:pPr>
      <w:rPr>
        <w:rFonts w:ascii="Courier New" w:hAnsi="Courier New" w:cs="Courier New" w:hint="default"/>
      </w:rPr>
    </w:lvl>
    <w:lvl w:ilvl="2" w:tplc="0C090005" w:tentative="1">
      <w:start w:val="1"/>
      <w:numFmt w:val="bullet"/>
      <w:lvlText w:val=""/>
      <w:lvlJc w:val="left"/>
      <w:pPr>
        <w:ind w:left="1026" w:hanging="360"/>
      </w:pPr>
      <w:rPr>
        <w:rFonts w:ascii="Wingdings" w:hAnsi="Wingdings"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abstractNum w:abstractNumId="34" w15:restartNumberingAfterBreak="0">
    <w:nsid w:val="421A2CEF"/>
    <w:multiLevelType w:val="hybridMultilevel"/>
    <w:tmpl w:val="00EE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2E45760"/>
    <w:multiLevelType w:val="hybridMultilevel"/>
    <w:tmpl w:val="C1DA431C"/>
    <w:lvl w:ilvl="0" w:tplc="7DD6EB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D97E07"/>
    <w:multiLevelType w:val="hybridMultilevel"/>
    <w:tmpl w:val="729C6EE4"/>
    <w:lvl w:ilvl="0" w:tplc="EB1C269E">
      <w:start w:val="1"/>
      <w:numFmt w:val="bullet"/>
      <w:lvlText w:val="-"/>
      <w:lvlJc w:val="left"/>
      <w:pPr>
        <w:ind w:left="930" w:hanging="363"/>
      </w:pPr>
      <w:rPr>
        <w:rFonts w:ascii="Arial" w:eastAsiaTheme="minorHAnsi" w:hAnsi="Arial" w:cs="Arial" w:hint="default"/>
      </w:rPr>
    </w:lvl>
    <w:lvl w:ilvl="1" w:tplc="0C090003" w:tentative="1">
      <w:start w:val="1"/>
      <w:numFmt w:val="bullet"/>
      <w:lvlText w:val="o"/>
      <w:lvlJc w:val="left"/>
      <w:pPr>
        <w:ind w:left="516" w:hanging="360"/>
      </w:pPr>
      <w:rPr>
        <w:rFonts w:ascii="Courier New" w:hAnsi="Courier New" w:cs="Courier New" w:hint="default"/>
      </w:rPr>
    </w:lvl>
    <w:lvl w:ilvl="2" w:tplc="0C090005" w:tentative="1">
      <w:start w:val="1"/>
      <w:numFmt w:val="bullet"/>
      <w:lvlText w:val=""/>
      <w:lvlJc w:val="left"/>
      <w:pPr>
        <w:ind w:left="1236" w:hanging="360"/>
      </w:pPr>
      <w:rPr>
        <w:rFonts w:ascii="Wingdings" w:hAnsi="Wingdings" w:hint="default"/>
      </w:rPr>
    </w:lvl>
    <w:lvl w:ilvl="3" w:tplc="0C090001" w:tentative="1">
      <w:start w:val="1"/>
      <w:numFmt w:val="bullet"/>
      <w:lvlText w:val=""/>
      <w:lvlJc w:val="left"/>
      <w:pPr>
        <w:ind w:left="1956" w:hanging="360"/>
      </w:pPr>
      <w:rPr>
        <w:rFonts w:ascii="Symbol" w:hAnsi="Symbol" w:hint="default"/>
      </w:rPr>
    </w:lvl>
    <w:lvl w:ilvl="4" w:tplc="0C090003" w:tentative="1">
      <w:start w:val="1"/>
      <w:numFmt w:val="bullet"/>
      <w:lvlText w:val="o"/>
      <w:lvlJc w:val="left"/>
      <w:pPr>
        <w:ind w:left="2676" w:hanging="360"/>
      </w:pPr>
      <w:rPr>
        <w:rFonts w:ascii="Courier New" w:hAnsi="Courier New" w:cs="Courier New" w:hint="default"/>
      </w:rPr>
    </w:lvl>
    <w:lvl w:ilvl="5" w:tplc="0C090005" w:tentative="1">
      <w:start w:val="1"/>
      <w:numFmt w:val="bullet"/>
      <w:lvlText w:val=""/>
      <w:lvlJc w:val="left"/>
      <w:pPr>
        <w:ind w:left="3396" w:hanging="360"/>
      </w:pPr>
      <w:rPr>
        <w:rFonts w:ascii="Wingdings" w:hAnsi="Wingdings" w:hint="default"/>
      </w:rPr>
    </w:lvl>
    <w:lvl w:ilvl="6" w:tplc="0C090001" w:tentative="1">
      <w:start w:val="1"/>
      <w:numFmt w:val="bullet"/>
      <w:lvlText w:val=""/>
      <w:lvlJc w:val="left"/>
      <w:pPr>
        <w:ind w:left="4116" w:hanging="360"/>
      </w:pPr>
      <w:rPr>
        <w:rFonts w:ascii="Symbol" w:hAnsi="Symbol" w:hint="default"/>
      </w:rPr>
    </w:lvl>
    <w:lvl w:ilvl="7" w:tplc="0C090003" w:tentative="1">
      <w:start w:val="1"/>
      <w:numFmt w:val="bullet"/>
      <w:lvlText w:val="o"/>
      <w:lvlJc w:val="left"/>
      <w:pPr>
        <w:ind w:left="4836" w:hanging="360"/>
      </w:pPr>
      <w:rPr>
        <w:rFonts w:ascii="Courier New" w:hAnsi="Courier New" w:cs="Courier New" w:hint="default"/>
      </w:rPr>
    </w:lvl>
    <w:lvl w:ilvl="8" w:tplc="0C090005" w:tentative="1">
      <w:start w:val="1"/>
      <w:numFmt w:val="bullet"/>
      <w:lvlText w:val=""/>
      <w:lvlJc w:val="left"/>
      <w:pPr>
        <w:ind w:left="5556" w:hanging="360"/>
      </w:pPr>
      <w:rPr>
        <w:rFonts w:ascii="Wingdings" w:hAnsi="Wingdings" w:hint="default"/>
      </w:rPr>
    </w:lvl>
  </w:abstractNum>
  <w:abstractNum w:abstractNumId="38" w15:restartNumberingAfterBreak="0">
    <w:nsid w:val="4A444497"/>
    <w:multiLevelType w:val="hybridMultilevel"/>
    <w:tmpl w:val="FC60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5030C3"/>
    <w:multiLevelType w:val="hybridMultilevel"/>
    <w:tmpl w:val="E272E400"/>
    <w:lvl w:ilvl="0" w:tplc="08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CBD36CE"/>
    <w:multiLevelType w:val="hybridMultilevel"/>
    <w:tmpl w:val="05E20548"/>
    <w:lvl w:ilvl="0" w:tplc="EEE2EAD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EF67E07"/>
    <w:multiLevelType w:val="hybridMultilevel"/>
    <w:tmpl w:val="5BAC4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2362154"/>
    <w:multiLevelType w:val="hybridMultilevel"/>
    <w:tmpl w:val="DC820F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387170C"/>
    <w:multiLevelType w:val="hybridMultilevel"/>
    <w:tmpl w:val="DE3C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7546B09"/>
    <w:multiLevelType w:val="hybridMultilevel"/>
    <w:tmpl w:val="1012E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8784A8C"/>
    <w:multiLevelType w:val="hybridMultilevel"/>
    <w:tmpl w:val="664E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2C2682"/>
    <w:multiLevelType w:val="hybridMultilevel"/>
    <w:tmpl w:val="69B0E834"/>
    <w:lvl w:ilvl="0" w:tplc="63C60B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C9179FA"/>
    <w:multiLevelType w:val="hybridMultilevel"/>
    <w:tmpl w:val="C0727D0E"/>
    <w:lvl w:ilvl="0" w:tplc="EB1C269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7172BA"/>
    <w:multiLevelType w:val="multilevel"/>
    <w:tmpl w:val="17A68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EE12CFF"/>
    <w:multiLevelType w:val="hybridMultilevel"/>
    <w:tmpl w:val="71C2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714C1C"/>
    <w:multiLevelType w:val="hybridMultilevel"/>
    <w:tmpl w:val="9138B142"/>
    <w:lvl w:ilvl="0" w:tplc="AF921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D1AE0"/>
    <w:multiLevelType w:val="hybridMultilevel"/>
    <w:tmpl w:val="02DABA12"/>
    <w:lvl w:ilvl="0" w:tplc="571AE6A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362C8B"/>
    <w:multiLevelType w:val="multilevel"/>
    <w:tmpl w:val="17A68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4A42C0C"/>
    <w:multiLevelType w:val="hybridMultilevel"/>
    <w:tmpl w:val="630C42A0"/>
    <w:lvl w:ilvl="0" w:tplc="1728D426">
      <w:start w:val="1"/>
      <w:numFmt w:val="bullet"/>
      <w:pStyle w:val="FSBullet3"/>
      <w:lvlText w:val="o"/>
      <w:lvlJc w:val="left"/>
      <w:pPr>
        <w:ind w:left="930" w:hanging="363"/>
      </w:pPr>
      <w:rPr>
        <w:rFonts w:ascii="Courier New" w:hAnsi="Courier New" w:hint="default"/>
      </w:rPr>
    </w:lvl>
    <w:lvl w:ilvl="1" w:tplc="0C090003" w:tentative="1">
      <w:start w:val="1"/>
      <w:numFmt w:val="bullet"/>
      <w:lvlText w:val="o"/>
      <w:lvlJc w:val="left"/>
      <w:pPr>
        <w:ind w:left="516" w:hanging="360"/>
      </w:pPr>
      <w:rPr>
        <w:rFonts w:ascii="Courier New" w:hAnsi="Courier New" w:cs="Courier New" w:hint="default"/>
      </w:rPr>
    </w:lvl>
    <w:lvl w:ilvl="2" w:tplc="0C090005" w:tentative="1">
      <w:start w:val="1"/>
      <w:numFmt w:val="bullet"/>
      <w:lvlText w:val=""/>
      <w:lvlJc w:val="left"/>
      <w:pPr>
        <w:ind w:left="1236" w:hanging="360"/>
      </w:pPr>
      <w:rPr>
        <w:rFonts w:ascii="Wingdings" w:hAnsi="Wingdings" w:hint="default"/>
      </w:rPr>
    </w:lvl>
    <w:lvl w:ilvl="3" w:tplc="0C090001" w:tentative="1">
      <w:start w:val="1"/>
      <w:numFmt w:val="bullet"/>
      <w:lvlText w:val=""/>
      <w:lvlJc w:val="left"/>
      <w:pPr>
        <w:ind w:left="1956" w:hanging="360"/>
      </w:pPr>
      <w:rPr>
        <w:rFonts w:ascii="Symbol" w:hAnsi="Symbol" w:hint="default"/>
      </w:rPr>
    </w:lvl>
    <w:lvl w:ilvl="4" w:tplc="0C090003" w:tentative="1">
      <w:start w:val="1"/>
      <w:numFmt w:val="bullet"/>
      <w:lvlText w:val="o"/>
      <w:lvlJc w:val="left"/>
      <w:pPr>
        <w:ind w:left="2676" w:hanging="360"/>
      </w:pPr>
      <w:rPr>
        <w:rFonts w:ascii="Courier New" w:hAnsi="Courier New" w:cs="Courier New" w:hint="default"/>
      </w:rPr>
    </w:lvl>
    <w:lvl w:ilvl="5" w:tplc="0C090005" w:tentative="1">
      <w:start w:val="1"/>
      <w:numFmt w:val="bullet"/>
      <w:lvlText w:val=""/>
      <w:lvlJc w:val="left"/>
      <w:pPr>
        <w:ind w:left="3396" w:hanging="360"/>
      </w:pPr>
      <w:rPr>
        <w:rFonts w:ascii="Wingdings" w:hAnsi="Wingdings" w:hint="default"/>
      </w:rPr>
    </w:lvl>
    <w:lvl w:ilvl="6" w:tplc="0C090001" w:tentative="1">
      <w:start w:val="1"/>
      <w:numFmt w:val="bullet"/>
      <w:lvlText w:val=""/>
      <w:lvlJc w:val="left"/>
      <w:pPr>
        <w:ind w:left="4116" w:hanging="360"/>
      </w:pPr>
      <w:rPr>
        <w:rFonts w:ascii="Symbol" w:hAnsi="Symbol" w:hint="default"/>
      </w:rPr>
    </w:lvl>
    <w:lvl w:ilvl="7" w:tplc="0C090003" w:tentative="1">
      <w:start w:val="1"/>
      <w:numFmt w:val="bullet"/>
      <w:lvlText w:val="o"/>
      <w:lvlJc w:val="left"/>
      <w:pPr>
        <w:ind w:left="4836" w:hanging="360"/>
      </w:pPr>
      <w:rPr>
        <w:rFonts w:ascii="Courier New" w:hAnsi="Courier New" w:cs="Courier New" w:hint="default"/>
      </w:rPr>
    </w:lvl>
    <w:lvl w:ilvl="8" w:tplc="0C090005" w:tentative="1">
      <w:start w:val="1"/>
      <w:numFmt w:val="bullet"/>
      <w:lvlText w:val=""/>
      <w:lvlJc w:val="left"/>
      <w:pPr>
        <w:ind w:left="5556" w:hanging="360"/>
      </w:pPr>
      <w:rPr>
        <w:rFonts w:ascii="Wingdings" w:hAnsi="Wingdings" w:hint="default"/>
      </w:rPr>
    </w:lvl>
  </w:abstractNum>
  <w:abstractNum w:abstractNumId="55" w15:restartNumberingAfterBreak="0">
    <w:nsid w:val="67E50379"/>
    <w:multiLevelType w:val="hybridMultilevel"/>
    <w:tmpl w:val="E1A0733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6" w15:restartNumberingAfterBreak="0">
    <w:nsid w:val="68543C78"/>
    <w:multiLevelType w:val="hybridMultilevel"/>
    <w:tmpl w:val="EFA425DE"/>
    <w:lvl w:ilvl="0" w:tplc="EB1C269E">
      <w:start w:val="1"/>
      <w:numFmt w:val="bullet"/>
      <w:lvlText w:val="-"/>
      <w:lvlJc w:val="left"/>
      <w:pPr>
        <w:ind w:left="930" w:hanging="363"/>
      </w:pPr>
      <w:rPr>
        <w:rFonts w:ascii="Arial" w:eastAsiaTheme="minorHAnsi" w:hAnsi="Arial" w:cs="Arial" w:hint="default"/>
      </w:rPr>
    </w:lvl>
    <w:lvl w:ilvl="1" w:tplc="0C090003" w:tentative="1">
      <w:start w:val="1"/>
      <w:numFmt w:val="bullet"/>
      <w:lvlText w:val="o"/>
      <w:lvlJc w:val="left"/>
      <w:pPr>
        <w:ind w:left="516" w:hanging="360"/>
      </w:pPr>
      <w:rPr>
        <w:rFonts w:ascii="Courier New" w:hAnsi="Courier New" w:cs="Courier New" w:hint="default"/>
      </w:rPr>
    </w:lvl>
    <w:lvl w:ilvl="2" w:tplc="0C090005" w:tentative="1">
      <w:start w:val="1"/>
      <w:numFmt w:val="bullet"/>
      <w:lvlText w:val=""/>
      <w:lvlJc w:val="left"/>
      <w:pPr>
        <w:ind w:left="1236" w:hanging="360"/>
      </w:pPr>
      <w:rPr>
        <w:rFonts w:ascii="Wingdings" w:hAnsi="Wingdings" w:hint="default"/>
      </w:rPr>
    </w:lvl>
    <w:lvl w:ilvl="3" w:tplc="0C090001" w:tentative="1">
      <w:start w:val="1"/>
      <w:numFmt w:val="bullet"/>
      <w:lvlText w:val=""/>
      <w:lvlJc w:val="left"/>
      <w:pPr>
        <w:ind w:left="1956" w:hanging="360"/>
      </w:pPr>
      <w:rPr>
        <w:rFonts w:ascii="Symbol" w:hAnsi="Symbol" w:hint="default"/>
      </w:rPr>
    </w:lvl>
    <w:lvl w:ilvl="4" w:tplc="0C090003" w:tentative="1">
      <w:start w:val="1"/>
      <w:numFmt w:val="bullet"/>
      <w:lvlText w:val="o"/>
      <w:lvlJc w:val="left"/>
      <w:pPr>
        <w:ind w:left="2676" w:hanging="360"/>
      </w:pPr>
      <w:rPr>
        <w:rFonts w:ascii="Courier New" w:hAnsi="Courier New" w:cs="Courier New" w:hint="default"/>
      </w:rPr>
    </w:lvl>
    <w:lvl w:ilvl="5" w:tplc="0C090005" w:tentative="1">
      <w:start w:val="1"/>
      <w:numFmt w:val="bullet"/>
      <w:lvlText w:val=""/>
      <w:lvlJc w:val="left"/>
      <w:pPr>
        <w:ind w:left="3396" w:hanging="360"/>
      </w:pPr>
      <w:rPr>
        <w:rFonts w:ascii="Wingdings" w:hAnsi="Wingdings" w:hint="default"/>
      </w:rPr>
    </w:lvl>
    <w:lvl w:ilvl="6" w:tplc="0C090001" w:tentative="1">
      <w:start w:val="1"/>
      <w:numFmt w:val="bullet"/>
      <w:lvlText w:val=""/>
      <w:lvlJc w:val="left"/>
      <w:pPr>
        <w:ind w:left="4116" w:hanging="360"/>
      </w:pPr>
      <w:rPr>
        <w:rFonts w:ascii="Symbol" w:hAnsi="Symbol" w:hint="default"/>
      </w:rPr>
    </w:lvl>
    <w:lvl w:ilvl="7" w:tplc="0C090003" w:tentative="1">
      <w:start w:val="1"/>
      <w:numFmt w:val="bullet"/>
      <w:lvlText w:val="o"/>
      <w:lvlJc w:val="left"/>
      <w:pPr>
        <w:ind w:left="4836" w:hanging="360"/>
      </w:pPr>
      <w:rPr>
        <w:rFonts w:ascii="Courier New" w:hAnsi="Courier New" w:cs="Courier New" w:hint="default"/>
      </w:rPr>
    </w:lvl>
    <w:lvl w:ilvl="8" w:tplc="0C090005" w:tentative="1">
      <w:start w:val="1"/>
      <w:numFmt w:val="bullet"/>
      <w:lvlText w:val=""/>
      <w:lvlJc w:val="left"/>
      <w:pPr>
        <w:ind w:left="5556" w:hanging="360"/>
      </w:pPr>
      <w:rPr>
        <w:rFonts w:ascii="Wingdings" w:hAnsi="Wingdings" w:hint="default"/>
      </w:rPr>
    </w:lvl>
  </w:abstractNum>
  <w:abstractNum w:abstractNumId="57" w15:restartNumberingAfterBreak="0">
    <w:nsid w:val="69CD3957"/>
    <w:multiLevelType w:val="hybridMultilevel"/>
    <w:tmpl w:val="77A21210"/>
    <w:lvl w:ilvl="0" w:tplc="342C01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9" w15:restartNumberingAfterBreak="0">
    <w:nsid w:val="724A40F3"/>
    <w:multiLevelType w:val="hybridMultilevel"/>
    <w:tmpl w:val="C804D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6F5812"/>
    <w:multiLevelType w:val="hybridMultilevel"/>
    <w:tmpl w:val="89CCC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4F53E1D"/>
    <w:multiLevelType w:val="hybridMultilevel"/>
    <w:tmpl w:val="02AA6F86"/>
    <w:lvl w:ilvl="0" w:tplc="9464616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4E0C41"/>
    <w:multiLevelType w:val="hybridMultilevel"/>
    <w:tmpl w:val="7306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A01D73"/>
    <w:multiLevelType w:val="hybridMultilevel"/>
    <w:tmpl w:val="06D8F46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4" w15:restartNumberingAfterBreak="0">
    <w:nsid w:val="7F537768"/>
    <w:multiLevelType w:val="hybridMultilevel"/>
    <w:tmpl w:val="3C4A6B38"/>
    <w:lvl w:ilvl="0" w:tplc="8220843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80228A"/>
    <w:multiLevelType w:val="hybridMultilevel"/>
    <w:tmpl w:val="016A8EBC"/>
    <w:lvl w:ilvl="0" w:tplc="612EBC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0"/>
  </w:num>
  <w:num w:numId="3">
    <w:abstractNumId w:val="54"/>
  </w:num>
  <w:num w:numId="4">
    <w:abstractNumId w:val="19"/>
  </w:num>
  <w:num w:numId="5">
    <w:abstractNumId w:val="39"/>
  </w:num>
  <w:num w:numId="6">
    <w:abstractNumId w:val="3"/>
  </w:num>
  <w:num w:numId="7">
    <w:abstractNumId w:val="61"/>
  </w:num>
  <w:num w:numId="8">
    <w:abstractNumId w:val="53"/>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num>
  <w:num w:numId="12">
    <w:abstractNumId w:val="27"/>
  </w:num>
  <w:num w:numId="13">
    <w:abstractNumId w:val="58"/>
  </w:num>
  <w:num w:numId="14">
    <w:abstractNumId w:val="35"/>
  </w:num>
  <w:num w:numId="15">
    <w:abstractNumId w:val="44"/>
  </w:num>
  <w:num w:numId="16">
    <w:abstractNumId w:val="15"/>
  </w:num>
  <w:num w:numId="17">
    <w:abstractNumId w:val="45"/>
  </w:num>
  <w:num w:numId="18">
    <w:abstractNumId w:val="41"/>
  </w:num>
  <w:num w:numId="19">
    <w:abstractNumId w:val="60"/>
  </w:num>
  <w:num w:numId="20">
    <w:abstractNumId w:val="12"/>
  </w:num>
  <w:num w:numId="21">
    <w:abstractNumId w:val="48"/>
  </w:num>
  <w:num w:numId="22">
    <w:abstractNumId w:val="42"/>
  </w:num>
  <w:num w:numId="23">
    <w:abstractNumId w:val="28"/>
  </w:num>
  <w:num w:numId="24">
    <w:abstractNumId w:val="9"/>
  </w:num>
  <w:num w:numId="25">
    <w:abstractNumId w:val="30"/>
  </w:num>
  <w:num w:numId="26">
    <w:abstractNumId w:val="11"/>
  </w:num>
  <w:num w:numId="27">
    <w:abstractNumId w:val="36"/>
  </w:num>
  <w:num w:numId="28">
    <w:abstractNumId w:val="2"/>
  </w:num>
  <w:num w:numId="29">
    <w:abstractNumId w:val="10"/>
  </w:num>
  <w:num w:numId="30">
    <w:abstractNumId w:val="34"/>
  </w:num>
  <w:num w:numId="31">
    <w:abstractNumId w:val="17"/>
  </w:num>
  <w:num w:numId="32">
    <w:abstractNumId w:val="7"/>
  </w:num>
  <w:num w:numId="33">
    <w:abstractNumId w:val="32"/>
  </w:num>
  <w:num w:numId="34">
    <w:abstractNumId w:val="22"/>
  </w:num>
  <w:num w:numId="35">
    <w:abstractNumId w:val="50"/>
  </w:num>
  <w:num w:numId="36">
    <w:abstractNumId w:val="13"/>
  </w:num>
  <w:num w:numId="37">
    <w:abstractNumId w:val="59"/>
  </w:num>
  <w:num w:numId="38">
    <w:abstractNumId w:val="23"/>
  </w:num>
  <w:num w:numId="39">
    <w:abstractNumId w:val="21"/>
  </w:num>
  <w:num w:numId="40">
    <w:abstractNumId w:val="63"/>
  </w:num>
  <w:num w:numId="41">
    <w:abstractNumId w:val="55"/>
  </w:num>
  <w:num w:numId="42">
    <w:abstractNumId w:val="6"/>
  </w:num>
  <w:num w:numId="43">
    <w:abstractNumId w:val="40"/>
  </w:num>
  <w:num w:numId="44">
    <w:abstractNumId w:val="26"/>
  </w:num>
  <w:num w:numId="45">
    <w:abstractNumId w:val="54"/>
    <w:lvlOverride w:ilvl="0">
      <w:startOverride w:val="1"/>
    </w:lvlOverride>
  </w:num>
  <w:num w:numId="46">
    <w:abstractNumId w:val="4"/>
  </w:num>
  <w:num w:numId="47">
    <w:abstractNumId w:val="38"/>
  </w:num>
  <w:num w:numId="48">
    <w:abstractNumId w:val="14"/>
  </w:num>
  <w:num w:numId="49">
    <w:abstractNumId w:val="64"/>
  </w:num>
  <w:num w:numId="50">
    <w:abstractNumId w:val="31"/>
  </w:num>
  <w:num w:numId="51">
    <w:abstractNumId w:val="40"/>
  </w:num>
  <w:num w:numId="52">
    <w:abstractNumId w:val="29"/>
  </w:num>
  <w:num w:numId="53">
    <w:abstractNumId w:val="46"/>
  </w:num>
  <w:num w:numId="54">
    <w:abstractNumId w:val="40"/>
  </w:num>
  <w:num w:numId="55">
    <w:abstractNumId w:val="47"/>
  </w:num>
  <w:num w:numId="56">
    <w:abstractNumId w:val="25"/>
  </w:num>
  <w:num w:numId="57">
    <w:abstractNumId w:val="40"/>
  </w:num>
  <w:num w:numId="58">
    <w:abstractNumId w:val="40"/>
  </w:num>
  <w:num w:numId="59">
    <w:abstractNumId w:val="40"/>
  </w:num>
  <w:num w:numId="60">
    <w:abstractNumId w:val="24"/>
  </w:num>
  <w:num w:numId="61">
    <w:abstractNumId w:val="40"/>
  </w:num>
  <w:num w:numId="62">
    <w:abstractNumId w:val="8"/>
  </w:num>
  <w:num w:numId="63">
    <w:abstractNumId w:val="43"/>
  </w:num>
  <w:num w:numId="64">
    <w:abstractNumId w:val="20"/>
  </w:num>
  <w:num w:numId="65">
    <w:abstractNumId w:val="51"/>
  </w:num>
  <w:num w:numId="66">
    <w:abstractNumId w:val="49"/>
  </w:num>
  <w:num w:numId="67">
    <w:abstractNumId w:val="57"/>
  </w:num>
  <w:num w:numId="68">
    <w:abstractNumId w:val="16"/>
  </w:num>
  <w:num w:numId="69">
    <w:abstractNumId w:val="5"/>
  </w:num>
  <w:num w:numId="70">
    <w:abstractNumId w:val="65"/>
  </w:num>
  <w:num w:numId="71">
    <w:abstractNumId w:val="1"/>
  </w:num>
  <w:num w:numId="72">
    <w:abstractNumId w:val="18"/>
  </w:num>
  <w:num w:numId="73">
    <w:abstractNumId w:val="33"/>
  </w:num>
  <w:num w:numId="74">
    <w:abstractNumId w:val="37"/>
  </w:num>
  <w:num w:numId="75">
    <w:abstractNumId w:val="56"/>
  </w:num>
  <w:num w:numId="76">
    <w:abstractNumId w:val="5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08B8"/>
    <w:rsid w:val="000008E8"/>
    <w:rsid w:val="00000F2D"/>
    <w:rsid w:val="00001139"/>
    <w:rsid w:val="00001670"/>
    <w:rsid w:val="00001CF2"/>
    <w:rsid w:val="00001FD0"/>
    <w:rsid w:val="0000222D"/>
    <w:rsid w:val="0000237B"/>
    <w:rsid w:val="0000247B"/>
    <w:rsid w:val="00002589"/>
    <w:rsid w:val="00002D6B"/>
    <w:rsid w:val="00003317"/>
    <w:rsid w:val="00003AB9"/>
    <w:rsid w:val="00003FA9"/>
    <w:rsid w:val="00004274"/>
    <w:rsid w:val="0000433D"/>
    <w:rsid w:val="0000469B"/>
    <w:rsid w:val="00004F71"/>
    <w:rsid w:val="00004FAF"/>
    <w:rsid w:val="0000529D"/>
    <w:rsid w:val="000052DB"/>
    <w:rsid w:val="0000548D"/>
    <w:rsid w:val="00005CE0"/>
    <w:rsid w:val="00006A85"/>
    <w:rsid w:val="00006CF0"/>
    <w:rsid w:val="00006EE6"/>
    <w:rsid w:val="00007472"/>
    <w:rsid w:val="000076D4"/>
    <w:rsid w:val="00007959"/>
    <w:rsid w:val="00010489"/>
    <w:rsid w:val="00010CC0"/>
    <w:rsid w:val="000116A3"/>
    <w:rsid w:val="0001269D"/>
    <w:rsid w:val="0001324E"/>
    <w:rsid w:val="00013615"/>
    <w:rsid w:val="0001388F"/>
    <w:rsid w:val="00013980"/>
    <w:rsid w:val="00013CF7"/>
    <w:rsid w:val="00014163"/>
    <w:rsid w:val="00014AEF"/>
    <w:rsid w:val="00014BFA"/>
    <w:rsid w:val="00014ED7"/>
    <w:rsid w:val="00015489"/>
    <w:rsid w:val="00015802"/>
    <w:rsid w:val="0001609D"/>
    <w:rsid w:val="000165E3"/>
    <w:rsid w:val="00016CB6"/>
    <w:rsid w:val="0001710B"/>
    <w:rsid w:val="0001716E"/>
    <w:rsid w:val="000205C7"/>
    <w:rsid w:val="00020738"/>
    <w:rsid w:val="00020A10"/>
    <w:rsid w:val="00020C54"/>
    <w:rsid w:val="00020D40"/>
    <w:rsid w:val="00020FE2"/>
    <w:rsid w:val="0002112D"/>
    <w:rsid w:val="0002164F"/>
    <w:rsid w:val="00021911"/>
    <w:rsid w:val="00022246"/>
    <w:rsid w:val="00022A38"/>
    <w:rsid w:val="00022D37"/>
    <w:rsid w:val="00022DBC"/>
    <w:rsid w:val="00022FA1"/>
    <w:rsid w:val="000230C9"/>
    <w:rsid w:val="000235E0"/>
    <w:rsid w:val="000240C9"/>
    <w:rsid w:val="00024C73"/>
    <w:rsid w:val="00024F02"/>
    <w:rsid w:val="0002529E"/>
    <w:rsid w:val="0002569A"/>
    <w:rsid w:val="00025F9A"/>
    <w:rsid w:val="000261BE"/>
    <w:rsid w:val="00027CED"/>
    <w:rsid w:val="0003038D"/>
    <w:rsid w:val="00030E7D"/>
    <w:rsid w:val="0003120A"/>
    <w:rsid w:val="00031264"/>
    <w:rsid w:val="0003203F"/>
    <w:rsid w:val="0003204C"/>
    <w:rsid w:val="00032F76"/>
    <w:rsid w:val="000334BC"/>
    <w:rsid w:val="00034038"/>
    <w:rsid w:val="00034226"/>
    <w:rsid w:val="00034F87"/>
    <w:rsid w:val="00035D67"/>
    <w:rsid w:val="00035FF3"/>
    <w:rsid w:val="00036A3D"/>
    <w:rsid w:val="000372FC"/>
    <w:rsid w:val="00037BCE"/>
    <w:rsid w:val="00040728"/>
    <w:rsid w:val="00040A87"/>
    <w:rsid w:val="00041166"/>
    <w:rsid w:val="0004121B"/>
    <w:rsid w:val="000417FA"/>
    <w:rsid w:val="00041CE9"/>
    <w:rsid w:val="00041F91"/>
    <w:rsid w:val="000427B2"/>
    <w:rsid w:val="0004292E"/>
    <w:rsid w:val="00042C96"/>
    <w:rsid w:val="00043038"/>
    <w:rsid w:val="00043649"/>
    <w:rsid w:val="00043780"/>
    <w:rsid w:val="00043A79"/>
    <w:rsid w:val="00044886"/>
    <w:rsid w:val="00044942"/>
    <w:rsid w:val="00044CF3"/>
    <w:rsid w:val="00044FD3"/>
    <w:rsid w:val="0004633B"/>
    <w:rsid w:val="0004657C"/>
    <w:rsid w:val="000472BE"/>
    <w:rsid w:val="00047330"/>
    <w:rsid w:val="0004799D"/>
    <w:rsid w:val="00047CF5"/>
    <w:rsid w:val="00047FE0"/>
    <w:rsid w:val="0005028F"/>
    <w:rsid w:val="000504D0"/>
    <w:rsid w:val="00050FB7"/>
    <w:rsid w:val="00050FBE"/>
    <w:rsid w:val="00051021"/>
    <w:rsid w:val="0005129F"/>
    <w:rsid w:val="00051C5E"/>
    <w:rsid w:val="00051DEE"/>
    <w:rsid w:val="00051E36"/>
    <w:rsid w:val="00051ED9"/>
    <w:rsid w:val="00053F01"/>
    <w:rsid w:val="000546BC"/>
    <w:rsid w:val="00054D37"/>
    <w:rsid w:val="00054E96"/>
    <w:rsid w:val="00055015"/>
    <w:rsid w:val="00055057"/>
    <w:rsid w:val="00055676"/>
    <w:rsid w:val="000556FB"/>
    <w:rsid w:val="00055AA7"/>
    <w:rsid w:val="00056211"/>
    <w:rsid w:val="000564DE"/>
    <w:rsid w:val="00056F49"/>
    <w:rsid w:val="00057181"/>
    <w:rsid w:val="00057351"/>
    <w:rsid w:val="0005750E"/>
    <w:rsid w:val="0005769C"/>
    <w:rsid w:val="00057AD0"/>
    <w:rsid w:val="00060133"/>
    <w:rsid w:val="00060A08"/>
    <w:rsid w:val="00061229"/>
    <w:rsid w:val="00061407"/>
    <w:rsid w:val="000615C4"/>
    <w:rsid w:val="0006194C"/>
    <w:rsid w:val="00061A90"/>
    <w:rsid w:val="00061DF7"/>
    <w:rsid w:val="00061E4C"/>
    <w:rsid w:val="000622C9"/>
    <w:rsid w:val="000623F5"/>
    <w:rsid w:val="00062BCF"/>
    <w:rsid w:val="00062F55"/>
    <w:rsid w:val="0006405D"/>
    <w:rsid w:val="00064B2D"/>
    <w:rsid w:val="00064C5B"/>
    <w:rsid w:val="00064E88"/>
    <w:rsid w:val="00065CB6"/>
    <w:rsid w:val="00065F1F"/>
    <w:rsid w:val="000664C4"/>
    <w:rsid w:val="00066883"/>
    <w:rsid w:val="00066AD8"/>
    <w:rsid w:val="00067DC9"/>
    <w:rsid w:val="00071BC1"/>
    <w:rsid w:val="00071C6A"/>
    <w:rsid w:val="000720C7"/>
    <w:rsid w:val="000728D8"/>
    <w:rsid w:val="00072A22"/>
    <w:rsid w:val="00072B5D"/>
    <w:rsid w:val="0007304E"/>
    <w:rsid w:val="000735FD"/>
    <w:rsid w:val="0007386C"/>
    <w:rsid w:val="00073930"/>
    <w:rsid w:val="0007393C"/>
    <w:rsid w:val="00073D10"/>
    <w:rsid w:val="0007466A"/>
    <w:rsid w:val="00075736"/>
    <w:rsid w:val="00075F37"/>
    <w:rsid w:val="0007623F"/>
    <w:rsid w:val="00076D33"/>
    <w:rsid w:val="000771BE"/>
    <w:rsid w:val="000778D6"/>
    <w:rsid w:val="0008020F"/>
    <w:rsid w:val="000805D8"/>
    <w:rsid w:val="000806D8"/>
    <w:rsid w:val="00080DA8"/>
    <w:rsid w:val="0008181E"/>
    <w:rsid w:val="000818A3"/>
    <w:rsid w:val="000820C0"/>
    <w:rsid w:val="0008218C"/>
    <w:rsid w:val="00083392"/>
    <w:rsid w:val="000836ED"/>
    <w:rsid w:val="00083C5D"/>
    <w:rsid w:val="00083D7D"/>
    <w:rsid w:val="00084123"/>
    <w:rsid w:val="00084393"/>
    <w:rsid w:val="00084462"/>
    <w:rsid w:val="00084B50"/>
    <w:rsid w:val="000851E7"/>
    <w:rsid w:val="00085331"/>
    <w:rsid w:val="000854FC"/>
    <w:rsid w:val="00085C8F"/>
    <w:rsid w:val="000863FF"/>
    <w:rsid w:val="000866B0"/>
    <w:rsid w:val="00087609"/>
    <w:rsid w:val="000877DD"/>
    <w:rsid w:val="00087CC5"/>
    <w:rsid w:val="00087EFA"/>
    <w:rsid w:val="000901D8"/>
    <w:rsid w:val="00090A9E"/>
    <w:rsid w:val="000911FD"/>
    <w:rsid w:val="00091493"/>
    <w:rsid w:val="000917D0"/>
    <w:rsid w:val="00091CC2"/>
    <w:rsid w:val="000921F1"/>
    <w:rsid w:val="000926AE"/>
    <w:rsid w:val="00092C3D"/>
    <w:rsid w:val="00092DAC"/>
    <w:rsid w:val="00093091"/>
    <w:rsid w:val="000933C8"/>
    <w:rsid w:val="00093A5E"/>
    <w:rsid w:val="00093F13"/>
    <w:rsid w:val="00094061"/>
    <w:rsid w:val="000942A8"/>
    <w:rsid w:val="00094648"/>
    <w:rsid w:val="00095AB7"/>
    <w:rsid w:val="00096181"/>
    <w:rsid w:val="00096EC5"/>
    <w:rsid w:val="00097503"/>
    <w:rsid w:val="00097D45"/>
    <w:rsid w:val="000A00B9"/>
    <w:rsid w:val="000A072B"/>
    <w:rsid w:val="000A0EB0"/>
    <w:rsid w:val="000A1424"/>
    <w:rsid w:val="000A17BB"/>
    <w:rsid w:val="000A17C8"/>
    <w:rsid w:val="000A1BE2"/>
    <w:rsid w:val="000A21F4"/>
    <w:rsid w:val="000A2534"/>
    <w:rsid w:val="000A2669"/>
    <w:rsid w:val="000A27E9"/>
    <w:rsid w:val="000A2A8D"/>
    <w:rsid w:val="000A2D87"/>
    <w:rsid w:val="000A35EF"/>
    <w:rsid w:val="000A3CF4"/>
    <w:rsid w:val="000A3D8B"/>
    <w:rsid w:val="000A4680"/>
    <w:rsid w:val="000A4961"/>
    <w:rsid w:val="000A4B18"/>
    <w:rsid w:val="000A4E6D"/>
    <w:rsid w:val="000A57E9"/>
    <w:rsid w:val="000A5DF8"/>
    <w:rsid w:val="000A6179"/>
    <w:rsid w:val="000A69F3"/>
    <w:rsid w:val="000A7473"/>
    <w:rsid w:val="000A783A"/>
    <w:rsid w:val="000A7A7F"/>
    <w:rsid w:val="000A7B1C"/>
    <w:rsid w:val="000A7D4E"/>
    <w:rsid w:val="000B0260"/>
    <w:rsid w:val="000B07DC"/>
    <w:rsid w:val="000B085A"/>
    <w:rsid w:val="000B0F0F"/>
    <w:rsid w:val="000B19FA"/>
    <w:rsid w:val="000B2484"/>
    <w:rsid w:val="000B252D"/>
    <w:rsid w:val="000B2971"/>
    <w:rsid w:val="000B2FEA"/>
    <w:rsid w:val="000B3137"/>
    <w:rsid w:val="000B3655"/>
    <w:rsid w:val="000B3A3B"/>
    <w:rsid w:val="000B3E65"/>
    <w:rsid w:val="000B418F"/>
    <w:rsid w:val="000B486C"/>
    <w:rsid w:val="000B4DC4"/>
    <w:rsid w:val="000B51B4"/>
    <w:rsid w:val="000B561F"/>
    <w:rsid w:val="000B618B"/>
    <w:rsid w:val="000B6AF2"/>
    <w:rsid w:val="000B6C7C"/>
    <w:rsid w:val="000B7962"/>
    <w:rsid w:val="000B798C"/>
    <w:rsid w:val="000B7B09"/>
    <w:rsid w:val="000C15AA"/>
    <w:rsid w:val="000C1729"/>
    <w:rsid w:val="000C391D"/>
    <w:rsid w:val="000C3BB3"/>
    <w:rsid w:val="000C412C"/>
    <w:rsid w:val="000C48BA"/>
    <w:rsid w:val="000C48F8"/>
    <w:rsid w:val="000C6184"/>
    <w:rsid w:val="000C6623"/>
    <w:rsid w:val="000C66EC"/>
    <w:rsid w:val="000C7BA0"/>
    <w:rsid w:val="000D0984"/>
    <w:rsid w:val="000D12DB"/>
    <w:rsid w:val="000D2219"/>
    <w:rsid w:val="000D222C"/>
    <w:rsid w:val="000D230B"/>
    <w:rsid w:val="000D295F"/>
    <w:rsid w:val="000D35F2"/>
    <w:rsid w:val="000D38E2"/>
    <w:rsid w:val="000D3BF4"/>
    <w:rsid w:val="000D48F6"/>
    <w:rsid w:val="000D49DE"/>
    <w:rsid w:val="000D4E96"/>
    <w:rsid w:val="000D571D"/>
    <w:rsid w:val="000D5C92"/>
    <w:rsid w:val="000D5CE9"/>
    <w:rsid w:val="000D5F1B"/>
    <w:rsid w:val="000D6153"/>
    <w:rsid w:val="000D6E25"/>
    <w:rsid w:val="000D6E38"/>
    <w:rsid w:val="000D6FD4"/>
    <w:rsid w:val="000D7577"/>
    <w:rsid w:val="000D7786"/>
    <w:rsid w:val="000D7DFE"/>
    <w:rsid w:val="000D7FCA"/>
    <w:rsid w:val="000E00CB"/>
    <w:rsid w:val="000E00FD"/>
    <w:rsid w:val="000E0AE4"/>
    <w:rsid w:val="000E11D7"/>
    <w:rsid w:val="000E1C05"/>
    <w:rsid w:val="000E23B3"/>
    <w:rsid w:val="000E25F5"/>
    <w:rsid w:val="000E2999"/>
    <w:rsid w:val="000E369A"/>
    <w:rsid w:val="000E3827"/>
    <w:rsid w:val="000E3C1B"/>
    <w:rsid w:val="000E3DBC"/>
    <w:rsid w:val="000E5A58"/>
    <w:rsid w:val="000E706B"/>
    <w:rsid w:val="000E70C1"/>
    <w:rsid w:val="000E7662"/>
    <w:rsid w:val="000E79E6"/>
    <w:rsid w:val="000E7DF4"/>
    <w:rsid w:val="000F002A"/>
    <w:rsid w:val="000F03F8"/>
    <w:rsid w:val="000F082C"/>
    <w:rsid w:val="000F0C30"/>
    <w:rsid w:val="000F1718"/>
    <w:rsid w:val="000F17EF"/>
    <w:rsid w:val="000F210B"/>
    <w:rsid w:val="000F246F"/>
    <w:rsid w:val="000F276B"/>
    <w:rsid w:val="000F2863"/>
    <w:rsid w:val="000F2DFB"/>
    <w:rsid w:val="000F3E84"/>
    <w:rsid w:val="000F411E"/>
    <w:rsid w:val="000F453C"/>
    <w:rsid w:val="000F4E4B"/>
    <w:rsid w:val="000F4FB0"/>
    <w:rsid w:val="000F5041"/>
    <w:rsid w:val="000F525C"/>
    <w:rsid w:val="000F5343"/>
    <w:rsid w:val="000F5D6B"/>
    <w:rsid w:val="000F671D"/>
    <w:rsid w:val="000F6B7E"/>
    <w:rsid w:val="000F6DCB"/>
    <w:rsid w:val="000F7629"/>
    <w:rsid w:val="000F7950"/>
    <w:rsid w:val="000F7FA4"/>
    <w:rsid w:val="00100323"/>
    <w:rsid w:val="001004EF"/>
    <w:rsid w:val="00100994"/>
    <w:rsid w:val="00100A6C"/>
    <w:rsid w:val="00100DDC"/>
    <w:rsid w:val="001014A7"/>
    <w:rsid w:val="00101BE1"/>
    <w:rsid w:val="00101C35"/>
    <w:rsid w:val="00102683"/>
    <w:rsid w:val="00102946"/>
    <w:rsid w:val="00102EBC"/>
    <w:rsid w:val="0010311A"/>
    <w:rsid w:val="0010317F"/>
    <w:rsid w:val="0010334F"/>
    <w:rsid w:val="0010363B"/>
    <w:rsid w:val="00103C1A"/>
    <w:rsid w:val="00104008"/>
    <w:rsid w:val="001047E9"/>
    <w:rsid w:val="00104C88"/>
    <w:rsid w:val="00105E3D"/>
    <w:rsid w:val="001060BC"/>
    <w:rsid w:val="001067FD"/>
    <w:rsid w:val="00106E18"/>
    <w:rsid w:val="00107383"/>
    <w:rsid w:val="00110D52"/>
    <w:rsid w:val="0011102F"/>
    <w:rsid w:val="0011159D"/>
    <w:rsid w:val="00111916"/>
    <w:rsid w:val="00111AEE"/>
    <w:rsid w:val="001126BD"/>
    <w:rsid w:val="00112BAE"/>
    <w:rsid w:val="00112D76"/>
    <w:rsid w:val="0011358A"/>
    <w:rsid w:val="00113CE3"/>
    <w:rsid w:val="00114011"/>
    <w:rsid w:val="0011469E"/>
    <w:rsid w:val="00114D33"/>
    <w:rsid w:val="001150A8"/>
    <w:rsid w:val="001153C5"/>
    <w:rsid w:val="001153E3"/>
    <w:rsid w:val="00115949"/>
    <w:rsid w:val="00115B60"/>
    <w:rsid w:val="00115C72"/>
    <w:rsid w:val="00115E7B"/>
    <w:rsid w:val="00115E7D"/>
    <w:rsid w:val="00116A17"/>
    <w:rsid w:val="00117311"/>
    <w:rsid w:val="00117522"/>
    <w:rsid w:val="0011768B"/>
    <w:rsid w:val="00117731"/>
    <w:rsid w:val="00117C61"/>
    <w:rsid w:val="00121137"/>
    <w:rsid w:val="0012145D"/>
    <w:rsid w:val="00122011"/>
    <w:rsid w:val="0012228E"/>
    <w:rsid w:val="0012255E"/>
    <w:rsid w:val="0012257C"/>
    <w:rsid w:val="00122AA4"/>
    <w:rsid w:val="00123047"/>
    <w:rsid w:val="001239AA"/>
    <w:rsid w:val="00123B35"/>
    <w:rsid w:val="00123FEB"/>
    <w:rsid w:val="00124B23"/>
    <w:rsid w:val="001254CD"/>
    <w:rsid w:val="00125C49"/>
    <w:rsid w:val="0012665A"/>
    <w:rsid w:val="00126CBE"/>
    <w:rsid w:val="00126E80"/>
    <w:rsid w:val="0012742D"/>
    <w:rsid w:val="00127602"/>
    <w:rsid w:val="00127E03"/>
    <w:rsid w:val="001301C7"/>
    <w:rsid w:val="00130750"/>
    <w:rsid w:val="00130B6D"/>
    <w:rsid w:val="001311E6"/>
    <w:rsid w:val="0013144B"/>
    <w:rsid w:val="00131A00"/>
    <w:rsid w:val="00132999"/>
    <w:rsid w:val="00132BC0"/>
    <w:rsid w:val="001337DB"/>
    <w:rsid w:val="00133A93"/>
    <w:rsid w:val="00133BF1"/>
    <w:rsid w:val="00134388"/>
    <w:rsid w:val="00134A21"/>
    <w:rsid w:val="00134C8C"/>
    <w:rsid w:val="0013564A"/>
    <w:rsid w:val="0013605F"/>
    <w:rsid w:val="0013608C"/>
    <w:rsid w:val="00136178"/>
    <w:rsid w:val="0013655F"/>
    <w:rsid w:val="0013657C"/>
    <w:rsid w:val="001400A4"/>
    <w:rsid w:val="00140D06"/>
    <w:rsid w:val="001416EA"/>
    <w:rsid w:val="00141806"/>
    <w:rsid w:val="00141C67"/>
    <w:rsid w:val="00142216"/>
    <w:rsid w:val="0014275A"/>
    <w:rsid w:val="00142FCE"/>
    <w:rsid w:val="001430F3"/>
    <w:rsid w:val="00143216"/>
    <w:rsid w:val="00143705"/>
    <w:rsid w:val="00143C09"/>
    <w:rsid w:val="001441C1"/>
    <w:rsid w:val="00144450"/>
    <w:rsid w:val="0014461B"/>
    <w:rsid w:val="00145105"/>
    <w:rsid w:val="00145512"/>
    <w:rsid w:val="001456D1"/>
    <w:rsid w:val="00146478"/>
    <w:rsid w:val="00146CDF"/>
    <w:rsid w:val="00147069"/>
    <w:rsid w:val="0014740B"/>
    <w:rsid w:val="001474F1"/>
    <w:rsid w:val="001477A7"/>
    <w:rsid w:val="00147CB5"/>
    <w:rsid w:val="0015005B"/>
    <w:rsid w:val="00150C9C"/>
    <w:rsid w:val="00150D68"/>
    <w:rsid w:val="001514C0"/>
    <w:rsid w:val="00151550"/>
    <w:rsid w:val="00151926"/>
    <w:rsid w:val="00151CEE"/>
    <w:rsid w:val="00152790"/>
    <w:rsid w:val="001528B7"/>
    <w:rsid w:val="00152AD4"/>
    <w:rsid w:val="00152D46"/>
    <w:rsid w:val="001539D3"/>
    <w:rsid w:val="00153AC0"/>
    <w:rsid w:val="00153C5B"/>
    <w:rsid w:val="0015422D"/>
    <w:rsid w:val="001542D8"/>
    <w:rsid w:val="001542E3"/>
    <w:rsid w:val="001545E8"/>
    <w:rsid w:val="00154C93"/>
    <w:rsid w:val="00154EF0"/>
    <w:rsid w:val="00155180"/>
    <w:rsid w:val="001551DF"/>
    <w:rsid w:val="00155390"/>
    <w:rsid w:val="001559E3"/>
    <w:rsid w:val="00155AE8"/>
    <w:rsid w:val="00155CC2"/>
    <w:rsid w:val="0015611C"/>
    <w:rsid w:val="0015631A"/>
    <w:rsid w:val="001575D3"/>
    <w:rsid w:val="001600A0"/>
    <w:rsid w:val="001613B1"/>
    <w:rsid w:val="00161DB7"/>
    <w:rsid w:val="00162A78"/>
    <w:rsid w:val="00163123"/>
    <w:rsid w:val="0016347F"/>
    <w:rsid w:val="001635F8"/>
    <w:rsid w:val="00164535"/>
    <w:rsid w:val="00164771"/>
    <w:rsid w:val="0016527C"/>
    <w:rsid w:val="001659D2"/>
    <w:rsid w:val="00165C4C"/>
    <w:rsid w:val="001664F9"/>
    <w:rsid w:val="00166639"/>
    <w:rsid w:val="00166ADA"/>
    <w:rsid w:val="0016792D"/>
    <w:rsid w:val="00167AE0"/>
    <w:rsid w:val="00167D38"/>
    <w:rsid w:val="00170069"/>
    <w:rsid w:val="00170469"/>
    <w:rsid w:val="00170D9A"/>
    <w:rsid w:val="0017221B"/>
    <w:rsid w:val="001726A1"/>
    <w:rsid w:val="00172813"/>
    <w:rsid w:val="00173386"/>
    <w:rsid w:val="001735E9"/>
    <w:rsid w:val="00175374"/>
    <w:rsid w:val="00175E7E"/>
    <w:rsid w:val="0017670D"/>
    <w:rsid w:val="00176B60"/>
    <w:rsid w:val="00176CC9"/>
    <w:rsid w:val="001770E2"/>
    <w:rsid w:val="00177E4E"/>
    <w:rsid w:val="00180159"/>
    <w:rsid w:val="0018043E"/>
    <w:rsid w:val="001805AF"/>
    <w:rsid w:val="00180C41"/>
    <w:rsid w:val="00180DDF"/>
    <w:rsid w:val="00181091"/>
    <w:rsid w:val="00181627"/>
    <w:rsid w:val="001819FA"/>
    <w:rsid w:val="00181B19"/>
    <w:rsid w:val="00181E55"/>
    <w:rsid w:val="00181ECC"/>
    <w:rsid w:val="00182094"/>
    <w:rsid w:val="00182C0C"/>
    <w:rsid w:val="00182C4C"/>
    <w:rsid w:val="00183226"/>
    <w:rsid w:val="00183352"/>
    <w:rsid w:val="00183740"/>
    <w:rsid w:val="00183D6D"/>
    <w:rsid w:val="00183F9C"/>
    <w:rsid w:val="0018407F"/>
    <w:rsid w:val="001844BC"/>
    <w:rsid w:val="00184B59"/>
    <w:rsid w:val="00185CF9"/>
    <w:rsid w:val="00185FFF"/>
    <w:rsid w:val="00186457"/>
    <w:rsid w:val="00186BD1"/>
    <w:rsid w:val="00186F0B"/>
    <w:rsid w:val="00187524"/>
    <w:rsid w:val="00187783"/>
    <w:rsid w:val="00187880"/>
    <w:rsid w:val="00187A99"/>
    <w:rsid w:val="00187D05"/>
    <w:rsid w:val="001902FB"/>
    <w:rsid w:val="001904DB"/>
    <w:rsid w:val="00190A4A"/>
    <w:rsid w:val="00190C25"/>
    <w:rsid w:val="0019152A"/>
    <w:rsid w:val="00191B21"/>
    <w:rsid w:val="00191E07"/>
    <w:rsid w:val="001926E0"/>
    <w:rsid w:val="00192D80"/>
    <w:rsid w:val="00192E9C"/>
    <w:rsid w:val="00192FA9"/>
    <w:rsid w:val="0019359E"/>
    <w:rsid w:val="001937D5"/>
    <w:rsid w:val="0019391B"/>
    <w:rsid w:val="00193D41"/>
    <w:rsid w:val="0019409D"/>
    <w:rsid w:val="001943D6"/>
    <w:rsid w:val="00194B5E"/>
    <w:rsid w:val="00195254"/>
    <w:rsid w:val="0019596E"/>
    <w:rsid w:val="00195B45"/>
    <w:rsid w:val="00195C6B"/>
    <w:rsid w:val="0019617D"/>
    <w:rsid w:val="00196616"/>
    <w:rsid w:val="00197265"/>
    <w:rsid w:val="00197A34"/>
    <w:rsid w:val="00197D8D"/>
    <w:rsid w:val="00197E89"/>
    <w:rsid w:val="00197EBD"/>
    <w:rsid w:val="001A0505"/>
    <w:rsid w:val="001A0532"/>
    <w:rsid w:val="001A08BD"/>
    <w:rsid w:val="001A09C0"/>
    <w:rsid w:val="001A0EDE"/>
    <w:rsid w:val="001A1442"/>
    <w:rsid w:val="001A1A75"/>
    <w:rsid w:val="001A1B54"/>
    <w:rsid w:val="001A2FFF"/>
    <w:rsid w:val="001A363D"/>
    <w:rsid w:val="001A47BC"/>
    <w:rsid w:val="001A4865"/>
    <w:rsid w:val="001A4A63"/>
    <w:rsid w:val="001A4B9E"/>
    <w:rsid w:val="001A53A3"/>
    <w:rsid w:val="001A5DC9"/>
    <w:rsid w:val="001A5EF0"/>
    <w:rsid w:val="001A5FC5"/>
    <w:rsid w:val="001A6A90"/>
    <w:rsid w:val="001A6AC9"/>
    <w:rsid w:val="001A6CCA"/>
    <w:rsid w:val="001A6DFD"/>
    <w:rsid w:val="001A6FA2"/>
    <w:rsid w:val="001A7384"/>
    <w:rsid w:val="001A73C4"/>
    <w:rsid w:val="001A7625"/>
    <w:rsid w:val="001A767C"/>
    <w:rsid w:val="001A76F5"/>
    <w:rsid w:val="001A79F7"/>
    <w:rsid w:val="001A7B33"/>
    <w:rsid w:val="001A7C76"/>
    <w:rsid w:val="001A7E9A"/>
    <w:rsid w:val="001B0295"/>
    <w:rsid w:val="001B0746"/>
    <w:rsid w:val="001B133E"/>
    <w:rsid w:val="001B1A9D"/>
    <w:rsid w:val="001B1BC1"/>
    <w:rsid w:val="001B1F57"/>
    <w:rsid w:val="001B221C"/>
    <w:rsid w:val="001B3135"/>
    <w:rsid w:val="001B334A"/>
    <w:rsid w:val="001B3782"/>
    <w:rsid w:val="001B3CC8"/>
    <w:rsid w:val="001B3F62"/>
    <w:rsid w:val="001B4126"/>
    <w:rsid w:val="001B43DE"/>
    <w:rsid w:val="001B44F7"/>
    <w:rsid w:val="001B4692"/>
    <w:rsid w:val="001B46DA"/>
    <w:rsid w:val="001B47BD"/>
    <w:rsid w:val="001B4D30"/>
    <w:rsid w:val="001B4E55"/>
    <w:rsid w:val="001B547A"/>
    <w:rsid w:val="001B6209"/>
    <w:rsid w:val="001B6BA6"/>
    <w:rsid w:val="001B6D1E"/>
    <w:rsid w:val="001B70A9"/>
    <w:rsid w:val="001C0B92"/>
    <w:rsid w:val="001C27A3"/>
    <w:rsid w:val="001C282C"/>
    <w:rsid w:val="001C2E42"/>
    <w:rsid w:val="001C3CB5"/>
    <w:rsid w:val="001C3D2F"/>
    <w:rsid w:val="001C4096"/>
    <w:rsid w:val="001C4E6E"/>
    <w:rsid w:val="001C4EDA"/>
    <w:rsid w:val="001C5295"/>
    <w:rsid w:val="001C53C0"/>
    <w:rsid w:val="001C78FB"/>
    <w:rsid w:val="001D0B33"/>
    <w:rsid w:val="001D0CCA"/>
    <w:rsid w:val="001D0DF3"/>
    <w:rsid w:val="001D1DE4"/>
    <w:rsid w:val="001D1E04"/>
    <w:rsid w:val="001D26B7"/>
    <w:rsid w:val="001D2D8E"/>
    <w:rsid w:val="001D30B1"/>
    <w:rsid w:val="001D329E"/>
    <w:rsid w:val="001D3D27"/>
    <w:rsid w:val="001D440C"/>
    <w:rsid w:val="001D49EF"/>
    <w:rsid w:val="001D61B0"/>
    <w:rsid w:val="001D6A44"/>
    <w:rsid w:val="001D6B64"/>
    <w:rsid w:val="001D744A"/>
    <w:rsid w:val="001D7943"/>
    <w:rsid w:val="001D7C29"/>
    <w:rsid w:val="001D7E12"/>
    <w:rsid w:val="001E09FA"/>
    <w:rsid w:val="001E1588"/>
    <w:rsid w:val="001E1F34"/>
    <w:rsid w:val="001E24DE"/>
    <w:rsid w:val="001E2B76"/>
    <w:rsid w:val="001E2CBC"/>
    <w:rsid w:val="001E2F09"/>
    <w:rsid w:val="001E3064"/>
    <w:rsid w:val="001E3194"/>
    <w:rsid w:val="001E337A"/>
    <w:rsid w:val="001E3842"/>
    <w:rsid w:val="001E4163"/>
    <w:rsid w:val="001E47F9"/>
    <w:rsid w:val="001E4DD2"/>
    <w:rsid w:val="001E4E5E"/>
    <w:rsid w:val="001E58D1"/>
    <w:rsid w:val="001E59C6"/>
    <w:rsid w:val="001E68A9"/>
    <w:rsid w:val="001E6ED5"/>
    <w:rsid w:val="001F014D"/>
    <w:rsid w:val="001F0F19"/>
    <w:rsid w:val="001F1272"/>
    <w:rsid w:val="001F1850"/>
    <w:rsid w:val="001F1A6B"/>
    <w:rsid w:val="001F1E88"/>
    <w:rsid w:val="001F2175"/>
    <w:rsid w:val="001F2637"/>
    <w:rsid w:val="001F2DBC"/>
    <w:rsid w:val="001F3996"/>
    <w:rsid w:val="001F4302"/>
    <w:rsid w:val="001F45DE"/>
    <w:rsid w:val="001F476F"/>
    <w:rsid w:val="001F5B9C"/>
    <w:rsid w:val="001F6652"/>
    <w:rsid w:val="001F6654"/>
    <w:rsid w:val="001F694C"/>
    <w:rsid w:val="001F6C17"/>
    <w:rsid w:val="001F719F"/>
    <w:rsid w:val="001F74B2"/>
    <w:rsid w:val="001F7CD6"/>
    <w:rsid w:val="00200499"/>
    <w:rsid w:val="002008B4"/>
    <w:rsid w:val="00200A1F"/>
    <w:rsid w:val="002012CE"/>
    <w:rsid w:val="002013B7"/>
    <w:rsid w:val="00201417"/>
    <w:rsid w:val="002017C3"/>
    <w:rsid w:val="00201A91"/>
    <w:rsid w:val="00201BA8"/>
    <w:rsid w:val="00201E5C"/>
    <w:rsid w:val="00202202"/>
    <w:rsid w:val="00202EB7"/>
    <w:rsid w:val="00203540"/>
    <w:rsid w:val="00203B92"/>
    <w:rsid w:val="00203C4A"/>
    <w:rsid w:val="00203C55"/>
    <w:rsid w:val="00203F7D"/>
    <w:rsid w:val="00204493"/>
    <w:rsid w:val="002046F0"/>
    <w:rsid w:val="0020491B"/>
    <w:rsid w:val="00205235"/>
    <w:rsid w:val="00205374"/>
    <w:rsid w:val="002059B9"/>
    <w:rsid w:val="00205BF9"/>
    <w:rsid w:val="002065DB"/>
    <w:rsid w:val="0020716B"/>
    <w:rsid w:val="0020747B"/>
    <w:rsid w:val="002101AB"/>
    <w:rsid w:val="0021029B"/>
    <w:rsid w:val="002103FA"/>
    <w:rsid w:val="00210891"/>
    <w:rsid w:val="00210BB0"/>
    <w:rsid w:val="002111C2"/>
    <w:rsid w:val="00213129"/>
    <w:rsid w:val="00213245"/>
    <w:rsid w:val="00213529"/>
    <w:rsid w:val="00213664"/>
    <w:rsid w:val="00213809"/>
    <w:rsid w:val="002140F1"/>
    <w:rsid w:val="0021485D"/>
    <w:rsid w:val="00214BE6"/>
    <w:rsid w:val="00214D77"/>
    <w:rsid w:val="002157EA"/>
    <w:rsid w:val="00215A27"/>
    <w:rsid w:val="00215B97"/>
    <w:rsid w:val="00215BE0"/>
    <w:rsid w:val="00215FF4"/>
    <w:rsid w:val="0021601A"/>
    <w:rsid w:val="002162B5"/>
    <w:rsid w:val="00216370"/>
    <w:rsid w:val="00216B56"/>
    <w:rsid w:val="00221990"/>
    <w:rsid w:val="00221D07"/>
    <w:rsid w:val="00221E49"/>
    <w:rsid w:val="00221FDD"/>
    <w:rsid w:val="002227D3"/>
    <w:rsid w:val="00222AB7"/>
    <w:rsid w:val="00222E90"/>
    <w:rsid w:val="00223892"/>
    <w:rsid w:val="002239E8"/>
    <w:rsid w:val="00223C28"/>
    <w:rsid w:val="0022437C"/>
    <w:rsid w:val="0022486A"/>
    <w:rsid w:val="002248FF"/>
    <w:rsid w:val="00224B54"/>
    <w:rsid w:val="00226421"/>
    <w:rsid w:val="00227192"/>
    <w:rsid w:val="0022765F"/>
    <w:rsid w:val="00227BD3"/>
    <w:rsid w:val="00227E4A"/>
    <w:rsid w:val="0023021C"/>
    <w:rsid w:val="00230440"/>
    <w:rsid w:val="00230ED4"/>
    <w:rsid w:val="00231861"/>
    <w:rsid w:val="00231990"/>
    <w:rsid w:val="00232431"/>
    <w:rsid w:val="002329F6"/>
    <w:rsid w:val="00232B62"/>
    <w:rsid w:val="0023357A"/>
    <w:rsid w:val="00233B6F"/>
    <w:rsid w:val="00234321"/>
    <w:rsid w:val="0023455E"/>
    <w:rsid w:val="00234BF9"/>
    <w:rsid w:val="00234DCD"/>
    <w:rsid w:val="00235640"/>
    <w:rsid w:val="00235C62"/>
    <w:rsid w:val="00236608"/>
    <w:rsid w:val="002368A1"/>
    <w:rsid w:val="00236BD2"/>
    <w:rsid w:val="00236BFD"/>
    <w:rsid w:val="00236F26"/>
    <w:rsid w:val="00237296"/>
    <w:rsid w:val="00237DF2"/>
    <w:rsid w:val="0024025D"/>
    <w:rsid w:val="00240451"/>
    <w:rsid w:val="0024073C"/>
    <w:rsid w:val="00241017"/>
    <w:rsid w:val="00241381"/>
    <w:rsid w:val="00242586"/>
    <w:rsid w:val="00242A5B"/>
    <w:rsid w:val="00242CEB"/>
    <w:rsid w:val="00242E7B"/>
    <w:rsid w:val="0024313F"/>
    <w:rsid w:val="002432EE"/>
    <w:rsid w:val="00243497"/>
    <w:rsid w:val="00243FD7"/>
    <w:rsid w:val="00244ACB"/>
    <w:rsid w:val="00244D72"/>
    <w:rsid w:val="00245675"/>
    <w:rsid w:val="0024582E"/>
    <w:rsid w:val="002458A1"/>
    <w:rsid w:val="00245998"/>
    <w:rsid w:val="00246496"/>
    <w:rsid w:val="00246975"/>
    <w:rsid w:val="00246B2F"/>
    <w:rsid w:val="00247883"/>
    <w:rsid w:val="00247AB2"/>
    <w:rsid w:val="00250140"/>
    <w:rsid w:val="00250159"/>
    <w:rsid w:val="00250824"/>
    <w:rsid w:val="0025085D"/>
    <w:rsid w:val="00250CD0"/>
    <w:rsid w:val="002517B1"/>
    <w:rsid w:val="002526D1"/>
    <w:rsid w:val="00252766"/>
    <w:rsid w:val="002529FD"/>
    <w:rsid w:val="002531D3"/>
    <w:rsid w:val="0025349D"/>
    <w:rsid w:val="002536B6"/>
    <w:rsid w:val="0025380B"/>
    <w:rsid w:val="00253BBD"/>
    <w:rsid w:val="00253C0F"/>
    <w:rsid w:val="00253CE7"/>
    <w:rsid w:val="00253D1F"/>
    <w:rsid w:val="0025476F"/>
    <w:rsid w:val="002547EF"/>
    <w:rsid w:val="00255471"/>
    <w:rsid w:val="002556A4"/>
    <w:rsid w:val="0025574F"/>
    <w:rsid w:val="002558B3"/>
    <w:rsid w:val="00255B43"/>
    <w:rsid w:val="00255C8C"/>
    <w:rsid w:val="00255FCF"/>
    <w:rsid w:val="0025657C"/>
    <w:rsid w:val="0025657E"/>
    <w:rsid w:val="00256D65"/>
    <w:rsid w:val="002579BD"/>
    <w:rsid w:val="00257D85"/>
    <w:rsid w:val="00260ADD"/>
    <w:rsid w:val="00261440"/>
    <w:rsid w:val="002624DA"/>
    <w:rsid w:val="00262C60"/>
    <w:rsid w:val="00263109"/>
    <w:rsid w:val="00263ACD"/>
    <w:rsid w:val="00263CFF"/>
    <w:rsid w:val="00264BB4"/>
    <w:rsid w:val="00264CF2"/>
    <w:rsid w:val="00265A2E"/>
    <w:rsid w:val="00265EC6"/>
    <w:rsid w:val="0026649F"/>
    <w:rsid w:val="00266680"/>
    <w:rsid w:val="002671F9"/>
    <w:rsid w:val="00267519"/>
    <w:rsid w:val="00267BD4"/>
    <w:rsid w:val="002705F0"/>
    <w:rsid w:val="002709D1"/>
    <w:rsid w:val="00270C2B"/>
    <w:rsid w:val="00270D38"/>
    <w:rsid w:val="00271F00"/>
    <w:rsid w:val="00272622"/>
    <w:rsid w:val="00272BC1"/>
    <w:rsid w:val="00273242"/>
    <w:rsid w:val="00273A80"/>
    <w:rsid w:val="00274496"/>
    <w:rsid w:val="0027511B"/>
    <w:rsid w:val="0027513D"/>
    <w:rsid w:val="002754C3"/>
    <w:rsid w:val="00276026"/>
    <w:rsid w:val="002762F3"/>
    <w:rsid w:val="00276721"/>
    <w:rsid w:val="00276E8B"/>
    <w:rsid w:val="002771E6"/>
    <w:rsid w:val="00277507"/>
    <w:rsid w:val="002778EA"/>
    <w:rsid w:val="00277D0B"/>
    <w:rsid w:val="00277DE2"/>
    <w:rsid w:val="0028002B"/>
    <w:rsid w:val="00280B4E"/>
    <w:rsid w:val="00280D68"/>
    <w:rsid w:val="002817CA"/>
    <w:rsid w:val="00281F46"/>
    <w:rsid w:val="00281F87"/>
    <w:rsid w:val="00281F8C"/>
    <w:rsid w:val="002823C9"/>
    <w:rsid w:val="0028272A"/>
    <w:rsid w:val="00282A25"/>
    <w:rsid w:val="00282EEC"/>
    <w:rsid w:val="0028336B"/>
    <w:rsid w:val="002833F5"/>
    <w:rsid w:val="002835F8"/>
    <w:rsid w:val="00283980"/>
    <w:rsid w:val="00283C76"/>
    <w:rsid w:val="002851C8"/>
    <w:rsid w:val="00285205"/>
    <w:rsid w:val="002857A3"/>
    <w:rsid w:val="00285B14"/>
    <w:rsid w:val="00285D32"/>
    <w:rsid w:val="00285D7A"/>
    <w:rsid w:val="00286269"/>
    <w:rsid w:val="00286307"/>
    <w:rsid w:val="002864E5"/>
    <w:rsid w:val="002865B9"/>
    <w:rsid w:val="002865BF"/>
    <w:rsid w:val="00286620"/>
    <w:rsid w:val="00287354"/>
    <w:rsid w:val="00290050"/>
    <w:rsid w:val="00290179"/>
    <w:rsid w:val="0029071B"/>
    <w:rsid w:val="00290900"/>
    <w:rsid w:val="002909C8"/>
    <w:rsid w:val="0029108B"/>
    <w:rsid w:val="00291EFD"/>
    <w:rsid w:val="00291FB2"/>
    <w:rsid w:val="0029204E"/>
    <w:rsid w:val="00292634"/>
    <w:rsid w:val="00292853"/>
    <w:rsid w:val="00292F68"/>
    <w:rsid w:val="002938D4"/>
    <w:rsid w:val="00293952"/>
    <w:rsid w:val="00293EE6"/>
    <w:rsid w:val="002940C6"/>
    <w:rsid w:val="002940C7"/>
    <w:rsid w:val="00294973"/>
    <w:rsid w:val="00294BAD"/>
    <w:rsid w:val="00295037"/>
    <w:rsid w:val="002950AA"/>
    <w:rsid w:val="002955F8"/>
    <w:rsid w:val="002960D0"/>
    <w:rsid w:val="0029631C"/>
    <w:rsid w:val="0029687F"/>
    <w:rsid w:val="0029746C"/>
    <w:rsid w:val="00297516"/>
    <w:rsid w:val="002975B9"/>
    <w:rsid w:val="00297BBF"/>
    <w:rsid w:val="002A00AA"/>
    <w:rsid w:val="002A0194"/>
    <w:rsid w:val="002A0503"/>
    <w:rsid w:val="002A05D3"/>
    <w:rsid w:val="002A0BA4"/>
    <w:rsid w:val="002A0FA9"/>
    <w:rsid w:val="002A1369"/>
    <w:rsid w:val="002A13BC"/>
    <w:rsid w:val="002A16B4"/>
    <w:rsid w:val="002A1FFF"/>
    <w:rsid w:val="002A22A7"/>
    <w:rsid w:val="002A2521"/>
    <w:rsid w:val="002A2746"/>
    <w:rsid w:val="002A3790"/>
    <w:rsid w:val="002A4F6C"/>
    <w:rsid w:val="002A526A"/>
    <w:rsid w:val="002A55D7"/>
    <w:rsid w:val="002A5E46"/>
    <w:rsid w:val="002A5F8B"/>
    <w:rsid w:val="002A640F"/>
    <w:rsid w:val="002A6EBA"/>
    <w:rsid w:val="002A7071"/>
    <w:rsid w:val="002A7F6C"/>
    <w:rsid w:val="002B01F3"/>
    <w:rsid w:val="002B03A9"/>
    <w:rsid w:val="002B0A50"/>
    <w:rsid w:val="002B0AE6"/>
    <w:rsid w:val="002B0C9C"/>
    <w:rsid w:val="002B0D8E"/>
    <w:rsid w:val="002B14A0"/>
    <w:rsid w:val="002B1518"/>
    <w:rsid w:val="002B1AA3"/>
    <w:rsid w:val="002B1B26"/>
    <w:rsid w:val="002B2408"/>
    <w:rsid w:val="002B2D10"/>
    <w:rsid w:val="002B33A3"/>
    <w:rsid w:val="002B34F6"/>
    <w:rsid w:val="002B4028"/>
    <w:rsid w:val="002B4A36"/>
    <w:rsid w:val="002B4A6B"/>
    <w:rsid w:val="002B54BF"/>
    <w:rsid w:val="002B606C"/>
    <w:rsid w:val="002B628B"/>
    <w:rsid w:val="002B6629"/>
    <w:rsid w:val="002B6888"/>
    <w:rsid w:val="002B68E6"/>
    <w:rsid w:val="002B6C97"/>
    <w:rsid w:val="002B6EBF"/>
    <w:rsid w:val="002B719E"/>
    <w:rsid w:val="002B7D54"/>
    <w:rsid w:val="002C009C"/>
    <w:rsid w:val="002C0292"/>
    <w:rsid w:val="002C0883"/>
    <w:rsid w:val="002C092B"/>
    <w:rsid w:val="002C149C"/>
    <w:rsid w:val="002C1ED6"/>
    <w:rsid w:val="002C2B2E"/>
    <w:rsid w:val="002C2FE4"/>
    <w:rsid w:val="002C305E"/>
    <w:rsid w:val="002C3112"/>
    <w:rsid w:val="002C3417"/>
    <w:rsid w:val="002C3549"/>
    <w:rsid w:val="002C3772"/>
    <w:rsid w:val="002C4923"/>
    <w:rsid w:val="002C4A91"/>
    <w:rsid w:val="002C4D55"/>
    <w:rsid w:val="002C4ED7"/>
    <w:rsid w:val="002C55E2"/>
    <w:rsid w:val="002C5951"/>
    <w:rsid w:val="002C6529"/>
    <w:rsid w:val="002C72C1"/>
    <w:rsid w:val="002C77A8"/>
    <w:rsid w:val="002C795A"/>
    <w:rsid w:val="002D1109"/>
    <w:rsid w:val="002D1CDE"/>
    <w:rsid w:val="002D1FBA"/>
    <w:rsid w:val="002D2084"/>
    <w:rsid w:val="002D245F"/>
    <w:rsid w:val="002D3834"/>
    <w:rsid w:val="002D3ADF"/>
    <w:rsid w:val="002D4140"/>
    <w:rsid w:val="002D4532"/>
    <w:rsid w:val="002D46D5"/>
    <w:rsid w:val="002D4C24"/>
    <w:rsid w:val="002D4D3D"/>
    <w:rsid w:val="002D50B8"/>
    <w:rsid w:val="002D5740"/>
    <w:rsid w:val="002D63F5"/>
    <w:rsid w:val="002D66F2"/>
    <w:rsid w:val="002D67A3"/>
    <w:rsid w:val="002D6809"/>
    <w:rsid w:val="002D6919"/>
    <w:rsid w:val="002D6BEA"/>
    <w:rsid w:val="002D6F3B"/>
    <w:rsid w:val="002D7191"/>
    <w:rsid w:val="002D71A5"/>
    <w:rsid w:val="002D74D4"/>
    <w:rsid w:val="002D7F97"/>
    <w:rsid w:val="002E057A"/>
    <w:rsid w:val="002E086A"/>
    <w:rsid w:val="002E0B14"/>
    <w:rsid w:val="002E101C"/>
    <w:rsid w:val="002E1941"/>
    <w:rsid w:val="002E1B9E"/>
    <w:rsid w:val="002E246A"/>
    <w:rsid w:val="002E2550"/>
    <w:rsid w:val="002E265A"/>
    <w:rsid w:val="002E2F55"/>
    <w:rsid w:val="002E3ACA"/>
    <w:rsid w:val="002E3E56"/>
    <w:rsid w:val="002E419A"/>
    <w:rsid w:val="002E5123"/>
    <w:rsid w:val="002E5D51"/>
    <w:rsid w:val="002E6177"/>
    <w:rsid w:val="002E6C98"/>
    <w:rsid w:val="002E7362"/>
    <w:rsid w:val="002E7A3A"/>
    <w:rsid w:val="002E7C51"/>
    <w:rsid w:val="002F08D6"/>
    <w:rsid w:val="002F0F80"/>
    <w:rsid w:val="002F1D8D"/>
    <w:rsid w:val="002F21A9"/>
    <w:rsid w:val="002F22C6"/>
    <w:rsid w:val="002F2717"/>
    <w:rsid w:val="002F2FF3"/>
    <w:rsid w:val="002F344E"/>
    <w:rsid w:val="002F3776"/>
    <w:rsid w:val="002F41C2"/>
    <w:rsid w:val="002F458B"/>
    <w:rsid w:val="002F459B"/>
    <w:rsid w:val="002F570B"/>
    <w:rsid w:val="002F625B"/>
    <w:rsid w:val="002F6488"/>
    <w:rsid w:val="002F6C14"/>
    <w:rsid w:val="002F77E7"/>
    <w:rsid w:val="002F7C75"/>
    <w:rsid w:val="002F7E80"/>
    <w:rsid w:val="00300171"/>
    <w:rsid w:val="003004A2"/>
    <w:rsid w:val="003004EE"/>
    <w:rsid w:val="00301515"/>
    <w:rsid w:val="00301563"/>
    <w:rsid w:val="0030158F"/>
    <w:rsid w:val="00301D3C"/>
    <w:rsid w:val="0030201A"/>
    <w:rsid w:val="003025CA"/>
    <w:rsid w:val="0030279C"/>
    <w:rsid w:val="00302992"/>
    <w:rsid w:val="00302C42"/>
    <w:rsid w:val="003030E1"/>
    <w:rsid w:val="00303923"/>
    <w:rsid w:val="00304E44"/>
    <w:rsid w:val="00305132"/>
    <w:rsid w:val="003061D6"/>
    <w:rsid w:val="00306B70"/>
    <w:rsid w:val="00306CA2"/>
    <w:rsid w:val="00306E8A"/>
    <w:rsid w:val="00307FA6"/>
    <w:rsid w:val="00307FF0"/>
    <w:rsid w:val="0031026C"/>
    <w:rsid w:val="003102CB"/>
    <w:rsid w:val="0031051B"/>
    <w:rsid w:val="00310695"/>
    <w:rsid w:val="00310DA4"/>
    <w:rsid w:val="00310E39"/>
    <w:rsid w:val="00310E84"/>
    <w:rsid w:val="00311131"/>
    <w:rsid w:val="00311EC0"/>
    <w:rsid w:val="0031289E"/>
    <w:rsid w:val="00313078"/>
    <w:rsid w:val="003131B2"/>
    <w:rsid w:val="00313734"/>
    <w:rsid w:val="003139B2"/>
    <w:rsid w:val="00313EDE"/>
    <w:rsid w:val="0031454D"/>
    <w:rsid w:val="00314F15"/>
    <w:rsid w:val="00315551"/>
    <w:rsid w:val="00315A71"/>
    <w:rsid w:val="0031614D"/>
    <w:rsid w:val="003162F9"/>
    <w:rsid w:val="00317BF9"/>
    <w:rsid w:val="003202C6"/>
    <w:rsid w:val="003202F1"/>
    <w:rsid w:val="0032030F"/>
    <w:rsid w:val="003203B6"/>
    <w:rsid w:val="003206DC"/>
    <w:rsid w:val="003206EC"/>
    <w:rsid w:val="003213F9"/>
    <w:rsid w:val="003215A2"/>
    <w:rsid w:val="00321682"/>
    <w:rsid w:val="00321AF9"/>
    <w:rsid w:val="00321DBA"/>
    <w:rsid w:val="00321F8A"/>
    <w:rsid w:val="0032247F"/>
    <w:rsid w:val="00322568"/>
    <w:rsid w:val="00322707"/>
    <w:rsid w:val="00323875"/>
    <w:rsid w:val="00323AB0"/>
    <w:rsid w:val="00323BF9"/>
    <w:rsid w:val="00323DBF"/>
    <w:rsid w:val="00324170"/>
    <w:rsid w:val="00324783"/>
    <w:rsid w:val="00324972"/>
    <w:rsid w:val="00324CA4"/>
    <w:rsid w:val="00324CE7"/>
    <w:rsid w:val="00325002"/>
    <w:rsid w:val="003253F6"/>
    <w:rsid w:val="00325C3F"/>
    <w:rsid w:val="00326A3A"/>
    <w:rsid w:val="003274DA"/>
    <w:rsid w:val="0032777C"/>
    <w:rsid w:val="003278DD"/>
    <w:rsid w:val="0033045C"/>
    <w:rsid w:val="003309A8"/>
    <w:rsid w:val="00330A23"/>
    <w:rsid w:val="00330B5E"/>
    <w:rsid w:val="00330E58"/>
    <w:rsid w:val="003310EC"/>
    <w:rsid w:val="00331579"/>
    <w:rsid w:val="00332214"/>
    <w:rsid w:val="003325F7"/>
    <w:rsid w:val="00332B12"/>
    <w:rsid w:val="00332B91"/>
    <w:rsid w:val="003330A8"/>
    <w:rsid w:val="00333BB5"/>
    <w:rsid w:val="00333C09"/>
    <w:rsid w:val="00334004"/>
    <w:rsid w:val="0033470E"/>
    <w:rsid w:val="00334F3D"/>
    <w:rsid w:val="00334F6E"/>
    <w:rsid w:val="00335187"/>
    <w:rsid w:val="00335752"/>
    <w:rsid w:val="00335CFF"/>
    <w:rsid w:val="0033608C"/>
    <w:rsid w:val="00336118"/>
    <w:rsid w:val="0033613A"/>
    <w:rsid w:val="00336347"/>
    <w:rsid w:val="003364D5"/>
    <w:rsid w:val="0033658D"/>
    <w:rsid w:val="00336711"/>
    <w:rsid w:val="00336E54"/>
    <w:rsid w:val="00337420"/>
    <w:rsid w:val="00337A32"/>
    <w:rsid w:val="00337C2A"/>
    <w:rsid w:val="003410FE"/>
    <w:rsid w:val="00341C77"/>
    <w:rsid w:val="003422E9"/>
    <w:rsid w:val="003426FC"/>
    <w:rsid w:val="00342B75"/>
    <w:rsid w:val="00342E10"/>
    <w:rsid w:val="003430E5"/>
    <w:rsid w:val="0034327E"/>
    <w:rsid w:val="003433CD"/>
    <w:rsid w:val="003436E4"/>
    <w:rsid w:val="00344208"/>
    <w:rsid w:val="0034469D"/>
    <w:rsid w:val="003448F8"/>
    <w:rsid w:val="00345812"/>
    <w:rsid w:val="00346147"/>
    <w:rsid w:val="00346992"/>
    <w:rsid w:val="00346D2B"/>
    <w:rsid w:val="00346DDE"/>
    <w:rsid w:val="00347078"/>
    <w:rsid w:val="0034708E"/>
    <w:rsid w:val="00347935"/>
    <w:rsid w:val="0035017C"/>
    <w:rsid w:val="00350491"/>
    <w:rsid w:val="0035090A"/>
    <w:rsid w:val="0035098F"/>
    <w:rsid w:val="00350DBD"/>
    <w:rsid w:val="00351927"/>
    <w:rsid w:val="003519BF"/>
    <w:rsid w:val="00351AAC"/>
    <w:rsid w:val="00351B07"/>
    <w:rsid w:val="00351EC0"/>
    <w:rsid w:val="00352077"/>
    <w:rsid w:val="003521D2"/>
    <w:rsid w:val="00352AAB"/>
    <w:rsid w:val="00352ECF"/>
    <w:rsid w:val="003531F2"/>
    <w:rsid w:val="0035324F"/>
    <w:rsid w:val="00353300"/>
    <w:rsid w:val="003539FE"/>
    <w:rsid w:val="00353A2E"/>
    <w:rsid w:val="0035412F"/>
    <w:rsid w:val="00354AE1"/>
    <w:rsid w:val="00354ECC"/>
    <w:rsid w:val="00354F89"/>
    <w:rsid w:val="00355D3C"/>
    <w:rsid w:val="00356274"/>
    <w:rsid w:val="003564D6"/>
    <w:rsid w:val="003564E3"/>
    <w:rsid w:val="00357136"/>
    <w:rsid w:val="0035745D"/>
    <w:rsid w:val="0035760A"/>
    <w:rsid w:val="00357A3E"/>
    <w:rsid w:val="00360FA0"/>
    <w:rsid w:val="00361533"/>
    <w:rsid w:val="00361F7C"/>
    <w:rsid w:val="0036268A"/>
    <w:rsid w:val="00362C2E"/>
    <w:rsid w:val="00362D2A"/>
    <w:rsid w:val="00363BEB"/>
    <w:rsid w:val="003642EA"/>
    <w:rsid w:val="00364841"/>
    <w:rsid w:val="0036494D"/>
    <w:rsid w:val="00364B68"/>
    <w:rsid w:val="00364DF4"/>
    <w:rsid w:val="003656AF"/>
    <w:rsid w:val="0036635A"/>
    <w:rsid w:val="00367201"/>
    <w:rsid w:val="003675E6"/>
    <w:rsid w:val="00367624"/>
    <w:rsid w:val="00370041"/>
    <w:rsid w:val="00370122"/>
    <w:rsid w:val="00370314"/>
    <w:rsid w:val="00370445"/>
    <w:rsid w:val="00370862"/>
    <w:rsid w:val="003710DB"/>
    <w:rsid w:val="003711D6"/>
    <w:rsid w:val="003713C1"/>
    <w:rsid w:val="00371705"/>
    <w:rsid w:val="00371857"/>
    <w:rsid w:val="003719EB"/>
    <w:rsid w:val="00371A51"/>
    <w:rsid w:val="00371B29"/>
    <w:rsid w:val="00372007"/>
    <w:rsid w:val="00372182"/>
    <w:rsid w:val="0037249B"/>
    <w:rsid w:val="00372515"/>
    <w:rsid w:val="00372A7E"/>
    <w:rsid w:val="0037322F"/>
    <w:rsid w:val="0037384E"/>
    <w:rsid w:val="003745BA"/>
    <w:rsid w:val="0037520F"/>
    <w:rsid w:val="0037597F"/>
    <w:rsid w:val="00376948"/>
    <w:rsid w:val="00377362"/>
    <w:rsid w:val="003776E3"/>
    <w:rsid w:val="00377B3E"/>
    <w:rsid w:val="00377CA4"/>
    <w:rsid w:val="00377E57"/>
    <w:rsid w:val="00377F68"/>
    <w:rsid w:val="00380348"/>
    <w:rsid w:val="0038049B"/>
    <w:rsid w:val="00381FF4"/>
    <w:rsid w:val="00382E6D"/>
    <w:rsid w:val="00383712"/>
    <w:rsid w:val="00383D18"/>
    <w:rsid w:val="00384440"/>
    <w:rsid w:val="00384D1A"/>
    <w:rsid w:val="00384DD8"/>
    <w:rsid w:val="00385991"/>
    <w:rsid w:val="00386B27"/>
    <w:rsid w:val="00387103"/>
    <w:rsid w:val="00387B07"/>
    <w:rsid w:val="00390004"/>
    <w:rsid w:val="0039002D"/>
    <w:rsid w:val="0039081C"/>
    <w:rsid w:val="00390A18"/>
    <w:rsid w:val="00390B1F"/>
    <w:rsid w:val="00390F43"/>
    <w:rsid w:val="00391769"/>
    <w:rsid w:val="00391D41"/>
    <w:rsid w:val="003923C0"/>
    <w:rsid w:val="003925A6"/>
    <w:rsid w:val="003932AD"/>
    <w:rsid w:val="0039336A"/>
    <w:rsid w:val="0039404C"/>
    <w:rsid w:val="0039498D"/>
    <w:rsid w:val="003953E1"/>
    <w:rsid w:val="003955A4"/>
    <w:rsid w:val="003956B3"/>
    <w:rsid w:val="00395A96"/>
    <w:rsid w:val="00395E71"/>
    <w:rsid w:val="00395E78"/>
    <w:rsid w:val="003965DA"/>
    <w:rsid w:val="0039682F"/>
    <w:rsid w:val="00396CF0"/>
    <w:rsid w:val="00397511"/>
    <w:rsid w:val="00397AB5"/>
    <w:rsid w:val="00397C30"/>
    <w:rsid w:val="00397C79"/>
    <w:rsid w:val="003A0462"/>
    <w:rsid w:val="003A091B"/>
    <w:rsid w:val="003A0A15"/>
    <w:rsid w:val="003A0C73"/>
    <w:rsid w:val="003A0E99"/>
    <w:rsid w:val="003A10DF"/>
    <w:rsid w:val="003A1521"/>
    <w:rsid w:val="003A154D"/>
    <w:rsid w:val="003A17E6"/>
    <w:rsid w:val="003A1E14"/>
    <w:rsid w:val="003A3277"/>
    <w:rsid w:val="003A473A"/>
    <w:rsid w:val="003A49CB"/>
    <w:rsid w:val="003A4A97"/>
    <w:rsid w:val="003A4B3F"/>
    <w:rsid w:val="003A68BE"/>
    <w:rsid w:val="003A7725"/>
    <w:rsid w:val="003A772B"/>
    <w:rsid w:val="003A7731"/>
    <w:rsid w:val="003B2197"/>
    <w:rsid w:val="003B37AE"/>
    <w:rsid w:val="003B383F"/>
    <w:rsid w:val="003B3C9D"/>
    <w:rsid w:val="003B3D52"/>
    <w:rsid w:val="003B428E"/>
    <w:rsid w:val="003B45CB"/>
    <w:rsid w:val="003B48B1"/>
    <w:rsid w:val="003B4A19"/>
    <w:rsid w:val="003B4D3C"/>
    <w:rsid w:val="003B51A4"/>
    <w:rsid w:val="003B51E4"/>
    <w:rsid w:val="003B560F"/>
    <w:rsid w:val="003B6517"/>
    <w:rsid w:val="003B6820"/>
    <w:rsid w:val="003B725D"/>
    <w:rsid w:val="003B78E0"/>
    <w:rsid w:val="003B7BF4"/>
    <w:rsid w:val="003C0010"/>
    <w:rsid w:val="003C069F"/>
    <w:rsid w:val="003C0772"/>
    <w:rsid w:val="003C0A62"/>
    <w:rsid w:val="003C171C"/>
    <w:rsid w:val="003C1D4D"/>
    <w:rsid w:val="003C2337"/>
    <w:rsid w:val="003C2392"/>
    <w:rsid w:val="003C2D30"/>
    <w:rsid w:val="003C31D6"/>
    <w:rsid w:val="003C35F0"/>
    <w:rsid w:val="003C3C2C"/>
    <w:rsid w:val="003C411C"/>
    <w:rsid w:val="003C4286"/>
    <w:rsid w:val="003C4969"/>
    <w:rsid w:val="003C4FA9"/>
    <w:rsid w:val="003C56AC"/>
    <w:rsid w:val="003C5706"/>
    <w:rsid w:val="003C58A9"/>
    <w:rsid w:val="003C5B6D"/>
    <w:rsid w:val="003C5C0F"/>
    <w:rsid w:val="003C5EDC"/>
    <w:rsid w:val="003C7B15"/>
    <w:rsid w:val="003C7CD0"/>
    <w:rsid w:val="003C7D8D"/>
    <w:rsid w:val="003C7F99"/>
    <w:rsid w:val="003D10A1"/>
    <w:rsid w:val="003D139D"/>
    <w:rsid w:val="003D1422"/>
    <w:rsid w:val="003D16B6"/>
    <w:rsid w:val="003D2062"/>
    <w:rsid w:val="003D230D"/>
    <w:rsid w:val="003D4051"/>
    <w:rsid w:val="003D41B5"/>
    <w:rsid w:val="003D4548"/>
    <w:rsid w:val="003D4741"/>
    <w:rsid w:val="003D47E6"/>
    <w:rsid w:val="003D4B1F"/>
    <w:rsid w:val="003D4D18"/>
    <w:rsid w:val="003D4DA1"/>
    <w:rsid w:val="003D52DC"/>
    <w:rsid w:val="003D5318"/>
    <w:rsid w:val="003D5812"/>
    <w:rsid w:val="003D590C"/>
    <w:rsid w:val="003D5A7F"/>
    <w:rsid w:val="003D5B63"/>
    <w:rsid w:val="003D6114"/>
    <w:rsid w:val="003D697E"/>
    <w:rsid w:val="003D699D"/>
    <w:rsid w:val="003D6EA6"/>
    <w:rsid w:val="003D79D1"/>
    <w:rsid w:val="003D7A28"/>
    <w:rsid w:val="003D7F34"/>
    <w:rsid w:val="003E0A71"/>
    <w:rsid w:val="003E0C59"/>
    <w:rsid w:val="003E0D9C"/>
    <w:rsid w:val="003E0F3E"/>
    <w:rsid w:val="003E1E7B"/>
    <w:rsid w:val="003E1EA3"/>
    <w:rsid w:val="003E2390"/>
    <w:rsid w:val="003E293B"/>
    <w:rsid w:val="003E2C30"/>
    <w:rsid w:val="003E2F42"/>
    <w:rsid w:val="003E3496"/>
    <w:rsid w:val="003E386E"/>
    <w:rsid w:val="003E3888"/>
    <w:rsid w:val="003E3BAF"/>
    <w:rsid w:val="003E3CC7"/>
    <w:rsid w:val="003E3DF5"/>
    <w:rsid w:val="003E41A8"/>
    <w:rsid w:val="003E41D5"/>
    <w:rsid w:val="003E4352"/>
    <w:rsid w:val="003E44C3"/>
    <w:rsid w:val="003E46BA"/>
    <w:rsid w:val="003E61CF"/>
    <w:rsid w:val="003E7621"/>
    <w:rsid w:val="003E7D22"/>
    <w:rsid w:val="003F0091"/>
    <w:rsid w:val="003F0ECA"/>
    <w:rsid w:val="003F217F"/>
    <w:rsid w:val="003F272B"/>
    <w:rsid w:val="003F31EF"/>
    <w:rsid w:val="003F3BCB"/>
    <w:rsid w:val="003F4AD1"/>
    <w:rsid w:val="003F4ED8"/>
    <w:rsid w:val="003F5564"/>
    <w:rsid w:val="003F57B5"/>
    <w:rsid w:val="003F58D4"/>
    <w:rsid w:val="003F6039"/>
    <w:rsid w:val="003F66E3"/>
    <w:rsid w:val="003F6731"/>
    <w:rsid w:val="003F6E54"/>
    <w:rsid w:val="003F7041"/>
    <w:rsid w:val="003F74C1"/>
    <w:rsid w:val="003F7A46"/>
    <w:rsid w:val="00400D46"/>
    <w:rsid w:val="00401676"/>
    <w:rsid w:val="00401C4B"/>
    <w:rsid w:val="00401E05"/>
    <w:rsid w:val="00401F46"/>
    <w:rsid w:val="00402186"/>
    <w:rsid w:val="00402737"/>
    <w:rsid w:val="00403124"/>
    <w:rsid w:val="00403BCB"/>
    <w:rsid w:val="00403E4D"/>
    <w:rsid w:val="00404DB2"/>
    <w:rsid w:val="004056AA"/>
    <w:rsid w:val="00405B1A"/>
    <w:rsid w:val="00405C1F"/>
    <w:rsid w:val="00405EBB"/>
    <w:rsid w:val="00406BFB"/>
    <w:rsid w:val="00406CF8"/>
    <w:rsid w:val="00406DDD"/>
    <w:rsid w:val="00406FD7"/>
    <w:rsid w:val="0040709C"/>
    <w:rsid w:val="00407241"/>
    <w:rsid w:val="00407354"/>
    <w:rsid w:val="0040761E"/>
    <w:rsid w:val="00407DF4"/>
    <w:rsid w:val="00410837"/>
    <w:rsid w:val="00410C76"/>
    <w:rsid w:val="00411907"/>
    <w:rsid w:val="004119EF"/>
    <w:rsid w:val="00411D44"/>
    <w:rsid w:val="004124CA"/>
    <w:rsid w:val="004124E4"/>
    <w:rsid w:val="004126D3"/>
    <w:rsid w:val="00412A0A"/>
    <w:rsid w:val="00412DFC"/>
    <w:rsid w:val="00413CA8"/>
    <w:rsid w:val="00413DBD"/>
    <w:rsid w:val="00413EA8"/>
    <w:rsid w:val="004142E6"/>
    <w:rsid w:val="00414300"/>
    <w:rsid w:val="00414A96"/>
    <w:rsid w:val="00415991"/>
    <w:rsid w:val="0041633E"/>
    <w:rsid w:val="0041677A"/>
    <w:rsid w:val="004167D6"/>
    <w:rsid w:val="00416F54"/>
    <w:rsid w:val="00417282"/>
    <w:rsid w:val="004172B3"/>
    <w:rsid w:val="0041760A"/>
    <w:rsid w:val="00417671"/>
    <w:rsid w:val="00417EE3"/>
    <w:rsid w:val="00417F04"/>
    <w:rsid w:val="004204F5"/>
    <w:rsid w:val="0042050B"/>
    <w:rsid w:val="004207EB"/>
    <w:rsid w:val="004209D2"/>
    <w:rsid w:val="00420B7A"/>
    <w:rsid w:val="004213FE"/>
    <w:rsid w:val="00422F66"/>
    <w:rsid w:val="00423BF0"/>
    <w:rsid w:val="00424603"/>
    <w:rsid w:val="004247BB"/>
    <w:rsid w:val="004252F3"/>
    <w:rsid w:val="00425CEB"/>
    <w:rsid w:val="00425D9A"/>
    <w:rsid w:val="00426380"/>
    <w:rsid w:val="0042640F"/>
    <w:rsid w:val="00426B46"/>
    <w:rsid w:val="00426F9A"/>
    <w:rsid w:val="00427273"/>
    <w:rsid w:val="004278F4"/>
    <w:rsid w:val="00427DB2"/>
    <w:rsid w:val="00427F2B"/>
    <w:rsid w:val="00430009"/>
    <w:rsid w:val="0043137F"/>
    <w:rsid w:val="00431C88"/>
    <w:rsid w:val="0043255C"/>
    <w:rsid w:val="0043276B"/>
    <w:rsid w:val="00432A9A"/>
    <w:rsid w:val="00432B80"/>
    <w:rsid w:val="00432EE0"/>
    <w:rsid w:val="00433672"/>
    <w:rsid w:val="00433D61"/>
    <w:rsid w:val="00433E1B"/>
    <w:rsid w:val="00434185"/>
    <w:rsid w:val="0043418D"/>
    <w:rsid w:val="00434AD2"/>
    <w:rsid w:val="00435024"/>
    <w:rsid w:val="00435990"/>
    <w:rsid w:val="00435FA5"/>
    <w:rsid w:val="00436144"/>
    <w:rsid w:val="00436B7C"/>
    <w:rsid w:val="00436B8D"/>
    <w:rsid w:val="00437276"/>
    <w:rsid w:val="00441028"/>
    <w:rsid w:val="004410B9"/>
    <w:rsid w:val="00441360"/>
    <w:rsid w:val="00441401"/>
    <w:rsid w:val="00441485"/>
    <w:rsid w:val="00441535"/>
    <w:rsid w:val="00441602"/>
    <w:rsid w:val="00441ACE"/>
    <w:rsid w:val="00441FD9"/>
    <w:rsid w:val="004423AB"/>
    <w:rsid w:val="00442E2E"/>
    <w:rsid w:val="00442E54"/>
    <w:rsid w:val="00443262"/>
    <w:rsid w:val="0044420E"/>
    <w:rsid w:val="004443E4"/>
    <w:rsid w:val="00444A86"/>
    <w:rsid w:val="004454BF"/>
    <w:rsid w:val="00445B3E"/>
    <w:rsid w:val="004471CB"/>
    <w:rsid w:val="004474D7"/>
    <w:rsid w:val="00447B69"/>
    <w:rsid w:val="00447E67"/>
    <w:rsid w:val="00447F62"/>
    <w:rsid w:val="00450719"/>
    <w:rsid w:val="00450AB2"/>
    <w:rsid w:val="00450EDA"/>
    <w:rsid w:val="004512E2"/>
    <w:rsid w:val="004517B3"/>
    <w:rsid w:val="0045291F"/>
    <w:rsid w:val="00453070"/>
    <w:rsid w:val="00453B28"/>
    <w:rsid w:val="00453BA3"/>
    <w:rsid w:val="00454089"/>
    <w:rsid w:val="00454274"/>
    <w:rsid w:val="00454443"/>
    <w:rsid w:val="00455118"/>
    <w:rsid w:val="004551B6"/>
    <w:rsid w:val="00455537"/>
    <w:rsid w:val="0045556F"/>
    <w:rsid w:val="004556A7"/>
    <w:rsid w:val="00455783"/>
    <w:rsid w:val="00455817"/>
    <w:rsid w:val="004558DA"/>
    <w:rsid w:val="0045600F"/>
    <w:rsid w:val="004563F7"/>
    <w:rsid w:val="0045667A"/>
    <w:rsid w:val="00456955"/>
    <w:rsid w:val="00456B54"/>
    <w:rsid w:val="00456C6E"/>
    <w:rsid w:val="00456D07"/>
    <w:rsid w:val="0045700E"/>
    <w:rsid w:val="00457041"/>
    <w:rsid w:val="00457F81"/>
    <w:rsid w:val="004600F1"/>
    <w:rsid w:val="004606EA"/>
    <w:rsid w:val="00461AEF"/>
    <w:rsid w:val="00461B4A"/>
    <w:rsid w:val="00461E27"/>
    <w:rsid w:val="004622B3"/>
    <w:rsid w:val="004629BC"/>
    <w:rsid w:val="00464641"/>
    <w:rsid w:val="00464643"/>
    <w:rsid w:val="004646F8"/>
    <w:rsid w:val="00464B98"/>
    <w:rsid w:val="00464C14"/>
    <w:rsid w:val="00464E1B"/>
    <w:rsid w:val="00465334"/>
    <w:rsid w:val="00465CB3"/>
    <w:rsid w:val="00466E21"/>
    <w:rsid w:val="00466F5B"/>
    <w:rsid w:val="00467529"/>
    <w:rsid w:val="004679D1"/>
    <w:rsid w:val="00467F22"/>
    <w:rsid w:val="00470CFB"/>
    <w:rsid w:val="004716B1"/>
    <w:rsid w:val="00471D8E"/>
    <w:rsid w:val="00471ED3"/>
    <w:rsid w:val="00472033"/>
    <w:rsid w:val="00472301"/>
    <w:rsid w:val="00472429"/>
    <w:rsid w:val="00472CDE"/>
    <w:rsid w:val="004734DA"/>
    <w:rsid w:val="0047396C"/>
    <w:rsid w:val="00473FEE"/>
    <w:rsid w:val="00474BCC"/>
    <w:rsid w:val="00474EEC"/>
    <w:rsid w:val="00475078"/>
    <w:rsid w:val="0047588C"/>
    <w:rsid w:val="0047595E"/>
    <w:rsid w:val="00476914"/>
    <w:rsid w:val="00477C4C"/>
    <w:rsid w:val="0048040A"/>
    <w:rsid w:val="004812D3"/>
    <w:rsid w:val="00481EDA"/>
    <w:rsid w:val="00482072"/>
    <w:rsid w:val="00482673"/>
    <w:rsid w:val="00482D2A"/>
    <w:rsid w:val="0048455F"/>
    <w:rsid w:val="004848F6"/>
    <w:rsid w:val="00484E76"/>
    <w:rsid w:val="00484EBB"/>
    <w:rsid w:val="0048506E"/>
    <w:rsid w:val="00485EB4"/>
    <w:rsid w:val="004862B9"/>
    <w:rsid w:val="00486793"/>
    <w:rsid w:val="00486D52"/>
    <w:rsid w:val="004879F7"/>
    <w:rsid w:val="00487A03"/>
    <w:rsid w:val="00490ACF"/>
    <w:rsid w:val="00491115"/>
    <w:rsid w:val="00492378"/>
    <w:rsid w:val="0049263B"/>
    <w:rsid w:val="00492B7A"/>
    <w:rsid w:val="00493496"/>
    <w:rsid w:val="004935EB"/>
    <w:rsid w:val="00493FAA"/>
    <w:rsid w:val="0049437C"/>
    <w:rsid w:val="00495910"/>
    <w:rsid w:val="00495C5A"/>
    <w:rsid w:val="0049664E"/>
    <w:rsid w:val="00496729"/>
    <w:rsid w:val="00496848"/>
    <w:rsid w:val="004969A1"/>
    <w:rsid w:val="0049729B"/>
    <w:rsid w:val="004973CB"/>
    <w:rsid w:val="00497A23"/>
    <w:rsid w:val="004A02EC"/>
    <w:rsid w:val="004A1193"/>
    <w:rsid w:val="004A1587"/>
    <w:rsid w:val="004A1BDC"/>
    <w:rsid w:val="004A2033"/>
    <w:rsid w:val="004A2037"/>
    <w:rsid w:val="004A3018"/>
    <w:rsid w:val="004A33F5"/>
    <w:rsid w:val="004A356C"/>
    <w:rsid w:val="004A3685"/>
    <w:rsid w:val="004A3BAA"/>
    <w:rsid w:val="004A42B8"/>
    <w:rsid w:val="004A4473"/>
    <w:rsid w:val="004A4694"/>
    <w:rsid w:val="004A48DA"/>
    <w:rsid w:val="004A4FDD"/>
    <w:rsid w:val="004A5858"/>
    <w:rsid w:val="004A598E"/>
    <w:rsid w:val="004A607C"/>
    <w:rsid w:val="004A6088"/>
    <w:rsid w:val="004A6297"/>
    <w:rsid w:val="004A6863"/>
    <w:rsid w:val="004A6BC1"/>
    <w:rsid w:val="004B08D4"/>
    <w:rsid w:val="004B0D70"/>
    <w:rsid w:val="004B0DAD"/>
    <w:rsid w:val="004B0E44"/>
    <w:rsid w:val="004B2AD2"/>
    <w:rsid w:val="004B2F9C"/>
    <w:rsid w:val="004B345D"/>
    <w:rsid w:val="004B362E"/>
    <w:rsid w:val="004B39D3"/>
    <w:rsid w:val="004B3CB8"/>
    <w:rsid w:val="004B3ECC"/>
    <w:rsid w:val="004B4085"/>
    <w:rsid w:val="004B4BBD"/>
    <w:rsid w:val="004B4BC7"/>
    <w:rsid w:val="004B4FE8"/>
    <w:rsid w:val="004B5685"/>
    <w:rsid w:val="004B56AE"/>
    <w:rsid w:val="004B5CB6"/>
    <w:rsid w:val="004B60D1"/>
    <w:rsid w:val="004B614E"/>
    <w:rsid w:val="004B6221"/>
    <w:rsid w:val="004B63B3"/>
    <w:rsid w:val="004B63C7"/>
    <w:rsid w:val="004B6698"/>
    <w:rsid w:val="004B6792"/>
    <w:rsid w:val="004B735A"/>
    <w:rsid w:val="004B749C"/>
    <w:rsid w:val="004B792C"/>
    <w:rsid w:val="004B7D58"/>
    <w:rsid w:val="004B7EBC"/>
    <w:rsid w:val="004C00C1"/>
    <w:rsid w:val="004C0CB6"/>
    <w:rsid w:val="004C122C"/>
    <w:rsid w:val="004C1286"/>
    <w:rsid w:val="004C1947"/>
    <w:rsid w:val="004C23EC"/>
    <w:rsid w:val="004C279D"/>
    <w:rsid w:val="004C27A3"/>
    <w:rsid w:val="004C2CE7"/>
    <w:rsid w:val="004C2D09"/>
    <w:rsid w:val="004C2E73"/>
    <w:rsid w:val="004C36C0"/>
    <w:rsid w:val="004C4A2B"/>
    <w:rsid w:val="004C533C"/>
    <w:rsid w:val="004C5445"/>
    <w:rsid w:val="004C572D"/>
    <w:rsid w:val="004C5FD4"/>
    <w:rsid w:val="004C636F"/>
    <w:rsid w:val="004C6A5C"/>
    <w:rsid w:val="004C6B14"/>
    <w:rsid w:val="004C6B50"/>
    <w:rsid w:val="004C76DC"/>
    <w:rsid w:val="004D019E"/>
    <w:rsid w:val="004D035B"/>
    <w:rsid w:val="004D0565"/>
    <w:rsid w:val="004D1362"/>
    <w:rsid w:val="004D13E5"/>
    <w:rsid w:val="004D21E6"/>
    <w:rsid w:val="004D2900"/>
    <w:rsid w:val="004D2ADB"/>
    <w:rsid w:val="004D30A6"/>
    <w:rsid w:val="004D3B15"/>
    <w:rsid w:val="004D4291"/>
    <w:rsid w:val="004D4534"/>
    <w:rsid w:val="004D47B6"/>
    <w:rsid w:val="004D5482"/>
    <w:rsid w:val="004D5F26"/>
    <w:rsid w:val="004D6138"/>
    <w:rsid w:val="004D6362"/>
    <w:rsid w:val="004D6BBF"/>
    <w:rsid w:val="004D6D62"/>
    <w:rsid w:val="004D6F0C"/>
    <w:rsid w:val="004D7999"/>
    <w:rsid w:val="004D7BFC"/>
    <w:rsid w:val="004E00D6"/>
    <w:rsid w:val="004E0434"/>
    <w:rsid w:val="004E098A"/>
    <w:rsid w:val="004E0F49"/>
    <w:rsid w:val="004E16A2"/>
    <w:rsid w:val="004E1981"/>
    <w:rsid w:val="004E20B7"/>
    <w:rsid w:val="004E20F2"/>
    <w:rsid w:val="004E223D"/>
    <w:rsid w:val="004E2ACA"/>
    <w:rsid w:val="004E37E7"/>
    <w:rsid w:val="004E3E71"/>
    <w:rsid w:val="004E4130"/>
    <w:rsid w:val="004E46BB"/>
    <w:rsid w:val="004E4885"/>
    <w:rsid w:val="004E4F68"/>
    <w:rsid w:val="004E5008"/>
    <w:rsid w:val="004E5911"/>
    <w:rsid w:val="004E5BAA"/>
    <w:rsid w:val="004E60F9"/>
    <w:rsid w:val="004E654D"/>
    <w:rsid w:val="004E6B56"/>
    <w:rsid w:val="004E75DB"/>
    <w:rsid w:val="004E770B"/>
    <w:rsid w:val="004E7862"/>
    <w:rsid w:val="004F0EEB"/>
    <w:rsid w:val="004F10A4"/>
    <w:rsid w:val="004F1B4D"/>
    <w:rsid w:val="004F2462"/>
    <w:rsid w:val="004F3258"/>
    <w:rsid w:val="004F3C71"/>
    <w:rsid w:val="004F3E47"/>
    <w:rsid w:val="004F448D"/>
    <w:rsid w:val="004F4614"/>
    <w:rsid w:val="004F48C3"/>
    <w:rsid w:val="004F48DC"/>
    <w:rsid w:val="004F48E8"/>
    <w:rsid w:val="004F4912"/>
    <w:rsid w:val="004F4F98"/>
    <w:rsid w:val="004F51D3"/>
    <w:rsid w:val="004F53BF"/>
    <w:rsid w:val="004F5CDA"/>
    <w:rsid w:val="004F5F0A"/>
    <w:rsid w:val="004F6422"/>
    <w:rsid w:val="004F65EA"/>
    <w:rsid w:val="004F69F6"/>
    <w:rsid w:val="004F6F0B"/>
    <w:rsid w:val="004F71D6"/>
    <w:rsid w:val="004F79AC"/>
    <w:rsid w:val="00500267"/>
    <w:rsid w:val="005008AF"/>
    <w:rsid w:val="00500AD4"/>
    <w:rsid w:val="00500F52"/>
    <w:rsid w:val="005010C0"/>
    <w:rsid w:val="00501798"/>
    <w:rsid w:val="005017CF"/>
    <w:rsid w:val="0050186C"/>
    <w:rsid w:val="00501A48"/>
    <w:rsid w:val="00501B3A"/>
    <w:rsid w:val="00501C42"/>
    <w:rsid w:val="00501CA9"/>
    <w:rsid w:val="00501CD5"/>
    <w:rsid w:val="00501FB2"/>
    <w:rsid w:val="00502AB8"/>
    <w:rsid w:val="005031B3"/>
    <w:rsid w:val="00503511"/>
    <w:rsid w:val="0050399C"/>
    <w:rsid w:val="00503A9A"/>
    <w:rsid w:val="005040F5"/>
    <w:rsid w:val="00504D09"/>
    <w:rsid w:val="00505581"/>
    <w:rsid w:val="005063A6"/>
    <w:rsid w:val="00506C64"/>
    <w:rsid w:val="00507634"/>
    <w:rsid w:val="005103E3"/>
    <w:rsid w:val="005106EF"/>
    <w:rsid w:val="00510C95"/>
    <w:rsid w:val="00510CFD"/>
    <w:rsid w:val="00510D32"/>
    <w:rsid w:val="00511673"/>
    <w:rsid w:val="00511697"/>
    <w:rsid w:val="005118E6"/>
    <w:rsid w:val="00511A6C"/>
    <w:rsid w:val="00511AE7"/>
    <w:rsid w:val="00511F3A"/>
    <w:rsid w:val="00512290"/>
    <w:rsid w:val="00512446"/>
    <w:rsid w:val="0051245F"/>
    <w:rsid w:val="00512761"/>
    <w:rsid w:val="0051277A"/>
    <w:rsid w:val="00512D0B"/>
    <w:rsid w:val="005132F8"/>
    <w:rsid w:val="00513788"/>
    <w:rsid w:val="00514103"/>
    <w:rsid w:val="00514203"/>
    <w:rsid w:val="00514935"/>
    <w:rsid w:val="00514F49"/>
    <w:rsid w:val="005154B0"/>
    <w:rsid w:val="005160B3"/>
    <w:rsid w:val="00516B7A"/>
    <w:rsid w:val="00516E3F"/>
    <w:rsid w:val="00516FEE"/>
    <w:rsid w:val="00517043"/>
    <w:rsid w:val="00517B1D"/>
    <w:rsid w:val="00517F64"/>
    <w:rsid w:val="005207D8"/>
    <w:rsid w:val="0052199B"/>
    <w:rsid w:val="00521F70"/>
    <w:rsid w:val="00521FA7"/>
    <w:rsid w:val="00522A60"/>
    <w:rsid w:val="005237D0"/>
    <w:rsid w:val="00524016"/>
    <w:rsid w:val="0052403C"/>
    <w:rsid w:val="005244F8"/>
    <w:rsid w:val="005249F9"/>
    <w:rsid w:val="00525975"/>
    <w:rsid w:val="00526159"/>
    <w:rsid w:val="0052649E"/>
    <w:rsid w:val="005269D9"/>
    <w:rsid w:val="005271FC"/>
    <w:rsid w:val="005275D0"/>
    <w:rsid w:val="00527BC3"/>
    <w:rsid w:val="005305FC"/>
    <w:rsid w:val="00530F4F"/>
    <w:rsid w:val="00531010"/>
    <w:rsid w:val="0053182E"/>
    <w:rsid w:val="00532608"/>
    <w:rsid w:val="005327E2"/>
    <w:rsid w:val="005328DD"/>
    <w:rsid w:val="00532EAC"/>
    <w:rsid w:val="00532ECC"/>
    <w:rsid w:val="00532F04"/>
    <w:rsid w:val="005330FC"/>
    <w:rsid w:val="005337A8"/>
    <w:rsid w:val="00533BFB"/>
    <w:rsid w:val="00533EF0"/>
    <w:rsid w:val="005340D2"/>
    <w:rsid w:val="00534219"/>
    <w:rsid w:val="0053464E"/>
    <w:rsid w:val="00534E2E"/>
    <w:rsid w:val="00535646"/>
    <w:rsid w:val="005358B0"/>
    <w:rsid w:val="00535B4D"/>
    <w:rsid w:val="00536153"/>
    <w:rsid w:val="00536537"/>
    <w:rsid w:val="00536730"/>
    <w:rsid w:val="00536C88"/>
    <w:rsid w:val="005379B3"/>
    <w:rsid w:val="00537A8A"/>
    <w:rsid w:val="00537D13"/>
    <w:rsid w:val="00540A10"/>
    <w:rsid w:val="00540B38"/>
    <w:rsid w:val="00540C56"/>
    <w:rsid w:val="00540D22"/>
    <w:rsid w:val="0054160E"/>
    <w:rsid w:val="005416F1"/>
    <w:rsid w:val="005421E5"/>
    <w:rsid w:val="005429C5"/>
    <w:rsid w:val="0054369B"/>
    <w:rsid w:val="00543A2E"/>
    <w:rsid w:val="00543B7E"/>
    <w:rsid w:val="0054468B"/>
    <w:rsid w:val="00544843"/>
    <w:rsid w:val="00544B2E"/>
    <w:rsid w:val="00544D50"/>
    <w:rsid w:val="00544F51"/>
    <w:rsid w:val="00545472"/>
    <w:rsid w:val="00545D84"/>
    <w:rsid w:val="00545FA9"/>
    <w:rsid w:val="00546301"/>
    <w:rsid w:val="00546718"/>
    <w:rsid w:val="00546EFD"/>
    <w:rsid w:val="00546FEA"/>
    <w:rsid w:val="00547878"/>
    <w:rsid w:val="00550411"/>
    <w:rsid w:val="00550FC7"/>
    <w:rsid w:val="00551013"/>
    <w:rsid w:val="0055198C"/>
    <w:rsid w:val="00551D40"/>
    <w:rsid w:val="00551DDE"/>
    <w:rsid w:val="005528BD"/>
    <w:rsid w:val="00553969"/>
    <w:rsid w:val="00553B11"/>
    <w:rsid w:val="00554275"/>
    <w:rsid w:val="0055473F"/>
    <w:rsid w:val="00554F74"/>
    <w:rsid w:val="0055578F"/>
    <w:rsid w:val="005558F4"/>
    <w:rsid w:val="00555D2D"/>
    <w:rsid w:val="00556C0F"/>
    <w:rsid w:val="00556F89"/>
    <w:rsid w:val="00556FCB"/>
    <w:rsid w:val="005573A5"/>
    <w:rsid w:val="005577F5"/>
    <w:rsid w:val="0055781A"/>
    <w:rsid w:val="00557FAE"/>
    <w:rsid w:val="00560217"/>
    <w:rsid w:val="0056034E"/>
    <w:rsid w:val="00560399"/>
    <w:rsid w:val="005605CE"/>
    <w:rsid w:val="005608AE"/>
    <w:rsid w:val="00560A07"/>
    <w:rsid w:val="00560C7A"/>
    <w:rsid w:val="00560C9F"/>
    <w:rsid w:val="00560D74"/>
    <w:rsid w:val="00560EA0"/>
    <w:rsid w:val="00562917"/>
    <w:rsid w:val="00562D10"/>
    <w:rsid w:val="00562F57"/>
    <w:rsid w:val="005630C0"/>
    <w:rsid w:val="00563735"/>
    <w:rsid w:val="00563E49"/>
    <w:rsid w:val="0056422A"/>
    <w:rsid w:val="005642A7"/>
    <w:rsid w:val="0056470C"/>
    <w:rsid w:val="00564D9C"/>
    <w:rsid w:val="005652EE"/>
    <w:rsid w:val="005655CA"/>
    <w:rsid w:val="00565697"/>
    <w:rsid w:val="005663D0"/>
    <w:rsid w:val="00566414"/>
    <w:rsid w:val="00566A93"/>
    <w:rsid w:val="00566B63"/>
    <w:rsid w:val="00567351"/>
    <w:rsid w:val="00567609"/>
    <w:rsid w:val="005676E2"/>
    <w:rsid w:val="00567C52"/>
    <w:rsid w:val="00567E2A"/>
    <w:rsid w:val="0057023B"/>
    <w:rsid w:val="0057090C"/>
    <w:rsid w:val="00570B02"/>
    <w:rsid w:val="00570C7E"/>
    <w:rsid w:val="005711DA"/>
    <w:rsid w:val="00572344"/>
    <w:rsid w:val="005724C2"/>
    <w:rsid w:val="00572B34"/>
    <w:rsid w:val="00572BEE"/>
    <w:rsid w:val="00572D06"/>
    <w:rsid w:val="00572E01"/>
    <w:rsid w:val="00573317"/>
    <w:rsid w:val="005736ED"/>
    <w:rsid w:val="00573E45"/>
    <w:rsid w:val="00573F59"/>
    <w:rsid w:val="0057493F"/>
    <w:rsid w:val="005756E0"/>
    <w:rsid w:val="00575A6D"/>
    <w:rsid w:val="00575B0F"/>
    <w:rsid w:val="00575C9A"/>
    <w:rsid w:val="0057638B"/>
    <w:rsid w:val="00576D50"/>
    <w:rsid w:val="00576DEF"/>
    <w:rsid w:val="00576FF6"/>
    <w:rsid w:val="0057789B"/>
    <w:rsid w:val="00577DE8"/>
    <w:rsid w:val="0058018B"/>
    <w:rsid w:val="00580B51"/>
    <w:rsid w:val="00580C3E"/>
    <w:rsid w:val="00580F1A"/>
    <w:rsid w:val="0058130E"/>
    <w:rsid w:val="00581B53"/>
    <w:rsid w:val="0058278F"/>
    <w:rsid w:val="005832EA"/>
    <w:rsid w:val="00583389"/>
    <w:rsid w:val="005836C9"/>
    <w:rsid w:val="0058396E"/>
    <w:rsid w:val="00583A2F"/>
    <w:rsid w:val="00583C99"/>
    <w:rsid w:val="00584C16"/>
    <w:rsid w:val="00585BBC"/>
    <w:rsid w:val="00586228"/>
    <w:rsid w:val="0058626B"/>
    <w:rsid w:val="005865E4"/>
    <w:rsid w:val="005877F3"/>
    <w:rsid w:val="005879B6"/>
    <w:rsid w:val="00587ACF"/>
    <w:rsid w:val="00587F9D"/>
    <w:rsid w:val="00587FB1"/>
    <w:rsid w:val="0059016D"/>
    <w:rsid w:val="005902D3"/>
    <w:rsid w:val="005905DC"/>
    <w:rsid w:val="00590866"/>
    <w:rsid w:val="00590E47"/>
    <w:rsid w:val="00590E83"/>
    <w:rsid w:val="0059127A"/>
    <w:rsid w:val="0059227F"/>
    <w:rsid w:val="005928E8"/>
    <w:rsid w:val="00592F99"/>
    <w:rsid w:val="005930DB"/>
    <w:rsid w:val="00593286"/>
    <w:rsid w:val="0059429F"/>
    <w:rsid w:val="00594567"/>
    <w:rsid w:val="005947F4"/>
    <w:rsid w:val="0059498B"/>
    <w:rsid w:val="005954DD"/>
    <w:rsid w:val="005961B2"/>
    <w:rsid w:val="0059644F"/>
    <w:rsid w:val="00596AE0"/>
    <w:rsid w:val="00596E33"/>
    <w:rsid w:val="00597050"/>
    <w:rsid w:val="00597254"/>
    <w:rsid w:val="005972C5"/>
    <w:rsid w:val="00597BF5"/>
    <w:rsid w:val="005A10D3"/>
    <w:rsid w:val="005A1851"/>
    <w:rsid w:val="005A2026"/>
    <w:rsid w:val="005A2869"/>
    <w:rsid w:val="005A2ABD"/>
    <w:rsid w:val="005A31D3"/>
    <w:rsid w:val="005A39F0"/>
    <w:rsid w:val="005A3A03"/>
    <w:rsid w:val="005A3DC9"/>
    <w:rsid w:val="005A3EB2"/>
    <w:rsid w:val="005A55A5"/>
    <w:rsid w:val="005A5649"/>
    <w:rsid w:val="005A67F2"/>
    <w:rsid w:val="005A696F"/>
    <w:rsid w:val="005A7462"/>
    <w:rsid w:val="005A7496"/>
    <w:rsid w:val="005A79DC"/>
    <w:rsid w:val="005A7B4C"/>
    <w:rsid w:val="005B01E7"/>
    <w:rsid w:val="005B0249"/>
    <w:rsid w:val="005B054B"/>
    <w:rsid w:val="005B0B60"/>
    <w:rsid w:val="005B1DD4"/>
    <w:rsid w:val="005B2FA8"/>
    <w:rsid w:val="005B43DC"/>
    <w:rsid w:val="005B480E"/>
    <w:rsid w:val="005B4BA2"/>
    <w:rsid w:val="005B4E81"/>
    <w:rsid w:val="005B4ED8"/>
    <w:rsid w:val="005B5669"/>
    <w:rsid w:val="005B596B"/>
    <w:rsid w:val="005B598E"/>
    <w:rsid w:val="005B60A8"/>
    <w:rsid w:val="005B615C"/>
    <w:rsid w:val="005B67A3"/>
    <w:rsid w:val="005B6906"/>
    <w:rsid w:val="005B6AF4"/>
    <w:rsid w:val="005B6F8C"/>
    <w:rsid w:val="005B7216"/>
    <w:rsid w:val="005B7643"/>
    <w:rsid w:val="005B77FF"/>
    <w:rsid w:val="005B7EDF"/>
    <w:rsid w:val="005C04CB"/>
    <w:rsid w:val="005C058D"/>
    <w:rsid w:val="005C07FF"/>
    <w:rsid w:val="005C08EE"/>
    <w:rsid w:val="005C0B1F"/>
    <w:rsid w:val="005C151F"/>
    <w:rsid w:val="005C281D"/>
    <w:rsid w:val="005C2CB4"/>
    <w:rsid w:val="005C364D"/>
    <w:rsid w:val="005C38AC"/>
    <w:rsid w:val="005C3E11"/>
    <w:rsid w:val="005C3E1A"/>
    <w:rsid w:val="005C4F6E"/>
    <w:rsid w:val="005C5403"/>
    <w:rsid w:val="005C5AA3"/>
    <w:rsid w:val="005C5E70"/>
    <w:rsid w:val="005C5EA7"/>
    <w:rsid w:val="005C6A16"/>
    <w:rsid w:val="005C6AAE"/>
    <w:rsid w:val="005C6E2F"/>
    <w:rsid w:val="005C71BA"/>
    <w:rsid w:val="005C792B"/>
    <w:rsid w:val="005C7A8C"/>
    <w:rsid w:val="005C7BE5"/>
    <w:rsid w:val="005D03A6"/>
    <w:rsid w:val="005D0D82"/>
    <w:rsid w:val="005D16AD"/>
    <w:rsid w:val="005D18B8"/>
    <w:rsid w:val="005D193E"/>
    <w:rsid w:val="005D1BBE"/>
    <w:rsid w:val="005D1F0E"/>
    <w:rsid w:val="005D1F2C"/>
    <w:rsid w:val="005D3091"/>
    <w:rsid w:val="005D331F"/>
    <w:rsid w:val="005D395B"/>
    <w:rsid w:val="005D4CC4"/>
    <w:rsid w:val="005D4E8F"/>
    <w:rsid w:val="005D5394"/>
    <w:rsid w:val="005D6759"/>
    <w:rsid w:val="005D6B6B"/>
    <w:rsid w:val="005D6F61"/>
    <w:rsid w:val="005D71B6"/>
    <w:rsid w:val="005D72E1"/>
    <w:rsid w:val="005D74B9"/>
    <w:rsid w:val="005D7CA3"/>
    <w:rsid w:val="005E0656"/>
    <w:rsid w:val="005E14C4"/>
    <w:rsid w:val="005E1922"/>
    <w:rsid w:val="005E1963"/>
    <w:rsid w:val="005E19EB"/>
    <w:rsid w:val="005E1A85"/>
    <w:rsid w:val="005E2344"/>
    <w:rsid w:val="005E2F53"/>
    <w:rsid w:val="005E3EDC"/>
    <w:rsid w:val="005E42ED"/>
    <w:rsid w:val="005E43B5"/>
    <w:rsid w:val="005E63E6"/>
    <w:rsid w:val="005E6C13"/>
    <w:rsid w:val="005E6E16"/>
    <w:rsid w:val="005E6E41"/>
    <w:rsid w:val="005E70A6"/>
    <w:rsid w:val="005E7B25"/>
    <w:rsid w:val="005E7C50"/>
    <w:rsid w:val="005F1303"/>
    <w:rsid w:val="005F1C42"/>
    <w:rsid w:val="005F210E"/>
    <w:rsid w:val="005F21EE"/>
    <w:rsid w:val="005F290C"/>
    <w:rsid w:val="005F2DA2"/>
    <w:rsid w:val="005F2E79"/>
    <w:rsid w:val="005F3ADF"/>
    <w:rsid w:val="005F3B1A"/>
    <w:rsid w:val="005F3B24"/>
    <w:rsid w:val="005F400E"/>
    <w:rsid w:val="005F4B8B"/>
    <w:rsid w:val="005F5D0A"/>
    <w:rsid w:val="005F6A91"/>
    <w:rsid w:val="005F6EB8"/>
    <w:rsid w:val="005F7342"/>
    <w:rsid w:val="005F7872"/>
    <w:rsid w:val="005F78E1"/>
    <w:rsid w:val="0060145E"/>
    <w:rsid w:val="0060198D"/>
    <w:rsid w:val="00601EDB"/>
    <w:rsid w:val="006022A4"/>
    <w:rsid w:val="0060238D"/>
    <w:rsid w:val="00602699"/>
    <w:rsid w:val="00602E9A"/>
    <w:rsid w:val="006030EE"/>
    <w:rsid w:val="00603A08"/>
    <w:rsid w:val="0060465E"/>
    <w:rsid w:val="00604737"/>
    <w:rsid w:val="00604AC7"/>
    <w:rsid w:val="00604C39"/>
    <w:rsid w:val="00604CA5"/>
    <w:rsid w:val="00604FD0"/>
    <w:rsid w:val="00605086"/>
    <w:rsid w:val="00605570"/>
    <w:rsid w:val="006066BC"/>
    <w:rsid w:val="006066E3"/>
    <w:rsid w:val="00606C88"/>
    <w:rsid w:val="006070E6"/>
    <w:rsid w:val="00607871"/>
    <w:rsid w:val="006102CB"/>
    <w:rsid w:val="0061046A"/>
    <w:rsid w:val="00610566"/>
    <w:rsid w:val="006108DF"/>
    <w:rsid w:val="00610A3C"/>
    <w:rsid w:val="00610A4E"/>
    <w:rsid w:val="00610E76"/>
    <w:rsid w:val="00610EA3"/>
    <w:rsid w:val="00610EEE"/>
    <w:rsid w:val="00611466"/>
    <w:rsid w:val="00611EFC"/>
    <w:rsid w:val="006123C7"/>
    <w:rsid w:val="0061247B"/>
    <w:rsid w:val="00612597"/>
    <w:rsid w:val="00613A56"/>
    <w:rsid w:val="00614C48"/>
    <w:rsid w:val="0061529A"/>
    <w:rsid w:val="00615EF8"/>
    <w:rsid w:val="00615F2B"/>
    <w:rsid w:val="00616825"/>
    <w:rsid w:val="006169F5"/>
    <w:rsid w:val="0061733E"/>
    <w:rsid w:val="006205F2"/>
    <w:rsid w:val="00620C03"/>
    <w:rsid w:val="00620E86"/>
    <w:rsid w:val="006211CD"/>
    <w:rsid w:val="00621ADD"/>
    <w:rsid w:val="00621E7D"/>
    <w:rsid w:val="0062209F"/>
    <w:rsid w:val="00622446"/>
    <w:rsid w:val="00623112"/>
    <w:rsid w:val="00623654"/>
    <w:rsid w:val="0062399E"/>
    <w:rsid w:val="00624252"/>
    <w:rsid w:val="00624454"/>
    <w:rsid w:val="00624DA5"/>
    <w:rsid w:val="00624F06"/>
    <w:rsid w:val="00625071"/>
    <w:rsid w:val="00626096"/>
    <w:rsid w:val="00626E7B"/>
    <w:rsid w:val="00627710"/>
    <w:rsid w:val="00627B5C"/>
    <w:rsid w:val="00627F48"/>
    <w:rsid w:val="00627FA4"/>
    <w:rsid w:val="006303B7"/>
    <w:rsid w:val="006309A1"/>
    <w:rsid w:val="00630A67"/>
    <w:rsid w:val="00630B18"/>
    <w:rsid w:val="00630B82"/>
    <w:rsid w:val="0063103C"/>
    <w:rsid w:val="006312D1"/>
    <w:rsid w:val="00632371"/>
    <w:rsid w:val="00632876"/>
    <w:rsid w:val="00632AED"/>
    <w:rsid w:val="00632F05"/>
    <w:rsid w:val="00633353"/>
    <w:rsid w:val="00633430"/>
    <w:rsid w:val="0063374A"/>
    <w:rsid w:val="00633795"/>
    <w:rsid w:val="00633ACA"/>
    <w:rsid w:val="00633B6C"/>
    <w:rsid w:val="006342E0"/>
    <w:rsid w:val="00634320"/>
    <w:rsid w:val="0063471B"/>
    <w:rsid w:val="0063484E"/>
    <w:rsid w:val="006348B6"/>
    <w:rsid w:val="006348E4"/>
    <w:rsid w:val="00634EBC"/>
    <w:rsid w:val="00635DD7"/>
    <w:rsid w:val="006362E7"/>
    <w:rsid w:val="00636CEB"/>
    <w:rsid w:val="00640079"/>
    <w:rsid w:val="0064045A"/>
    <w:rsid w:val="006410B3"/>
    <w:rsid w:val="0064144C"/>
    <w:rsid w:val="00641574"/>
    <w:rsid w:val="00641A85"/>
    <w:rsid w:val="00641ABF"/>
    <w:rsid w:val="006422F2"/>
    <w:rsid w:val="00642431"/>
    <w:rsid w:val="00642A47"/>
    <w:rsid w:val="00642D39"/>
    <w:rsid w:val="006432DD"/>
    <w:rsid w:val="0064396C"/>
    <w:rsid w:val="00645229"/>
    <w:rsid w:val="00645E02"/>
    <w:rsid w:val="00645F5D"/>
    <w:rsid w:val="00646A3C"/>
    <w:rsid w:val="00646BE5"/>
    <w:rsid w:val="00646C14"/>
    <w:rsid w:val="00646FDD"/>
    <w:rsid w:val="00647065"/>
    <w:rsid w:val="006500D7"/>
    <w:rsid w:val="00650176"/>
    <w:rsid w:val="006501E0"/>
    <w:rsid w:val="006512BB"/>
    <w:rsid w:val="00651314"/>
    <w:rsid w:val="0065144C"/>
    <w:rsid w:val="006518A9"/>
    <w:rsid w:val="0065191B"/>
    <w:rsid w:val="00652C68"/>
    <w:rsid w:val="00652CB8"/>
    <w:rsid w:val="00652EF5"/>
    <w:rsid w:val="00652F2E"/>
    <w:rsid w:val="00653EE8"/>
    <w:rsid w:val="00654C78"/>
    <w:rsid w:val="00654CF9"/>
    <w:rsid w:val="00654D7D"/>
    <w:rsid w:val="00654FE7"/>
    <w:rsid w:val="0065506F"/>
    <w:rsid w:val="006551C7"/>
    <w:rsid w:val="00655797"/>
    <w:rsid w:val="00655F85"/>
    <w:rsid w:val="006562A2"/>
    <w:rsid w:val="006562BB"/>
    <w:rsid w:val="00656578"/>
    <w:rsid w:val="00657004"/>
    <w:rsid w:val="00657D14"/>
    <w:rsid w:val="00657F60"/>
    <w:rsid w:val="00657F83"/>
    <w:rsid w:val="00660118"/>
    <w:rsid w:val="00661F50"/>
    <w:rsid w:val="006620C8"/>
    <w:rsid w:val="006624E3"/>
    <w:rsid w:val="00662D26"/>
    <w:rsid w:val="00662F0F"/>
    <w:rsid w:val="00663FCF"/>
    <w:rsid w:val="006640F7"/>
    <w:rsid w:val="0066468C"/>
    <w:rsid w:val="0066494F"/>
    <w:rsid w:val="00664DC7"/>
    <w:rsid w:val="00664DCC"/>
    <w:rsid w:val="0066508C"/>
    <w:rsid w:val="006652A2"/>
    <w:rsid w:val="00665319"/>
    <w:rsid w:val="00665387"/>
    <w:rsid w:val="00666252"/>
    <w:rsid w:val="0066636D"/>
    <w:rsid w:val="00666517"/>
    <w:rsid w:val="00666744"/>
    <w:rsid w:val="006670CE"/>
    <w:rsid w:val="00667612"/>
    <w:rsid w:val="0067000C"/>
    <w:rsid w:val="00670C0E"/>
    <w:rsid w:val="006713C2"/>
    <w:rsid w:val="00671AAF"/>
    <w:rsid w:val="00672264"/>
    <w:rsid w:val="00672851"/>
    <w:rsid w:val="00672D9B"/>
    <w:rsid w:val="00673857"/>
    <w:rsid w:val="00675AA0"/>
    <w:rsid w:val="00675CA6"/>
    <w:rsid w:val="006763A8"/>
    <w:rsid w:val="00676572"/>
    <w:rsid w:val="0067666D"/>
    <w:rsid w:val="00676AD8"/>
    <w:rsid w:val="00676F6D"/>
    <w:rsid w:val="0067708A"/>
    <w:rsid w:val="006772D9"/>
    <w:rsid w:val="0067742D"/>
    <w:rsid w:val="00677CFB"/>
    <w:rsid w:val="00680301"/>
    <w:rsid w:val="006806D5"/>
    <w:rsid w:val="00680762"/>
    <w:rsid w:val="00680D3D"/>
    <w:rsid w:val="00680EB9"/>
    <w:rsid w:val="006813E7"/>
    <w:rsid w:val="00681754"/>
    <w:rsid w:val="00681D53"/>
    <w:rsid w:val="00681D94"/>
    <w:rsid w:val="006829DE"/>
    <w:rsid w:val="00682C85"/>
    <w:rsid w:val="006833AF"/>
    <w:rsid w:val="006836B8"/>
    <w:rsid w:val="00683BBB"/>
    <w:rsid w:val="00683DAB"/>
    <w:rsid w:val="00683E69"/>
    <w:rsid w:val="00683F78"/>
    <w:rsid w:val="00683F86"/>
    <w:rsid w:val="00683FE6"/>
    <w:rsid w:val="00685269"/>
    <w:rsid w:val="00685785"/>
    <w:rsid w:val="00686184"/>
    <w:rsid w:val="00686238"/>
    <w:rsid w:val="0068674C"/>
    <w:rsid w:val="006869BF"/>
    <w:rsid w:val="00686E6E"/>
    <w:rsid w:val="00686F5D"/>
    <w:rsid w:val="00687DDC"/>
    <w:rsid w:val="00690AE8"/>
    <w:rsid w:val="00690C43"/>
    <w:rsid w:val="00690FE0"/>
    <w:rsid w:val="006910EF"/>
    <w:rsid w:val="00691201"/>
    <w:rsid w:val="00691BB2"/>
    <w:rsid w:val="00692844"/>
    <w:rsid w:val="006929F1"/>
    <w:rsid w:val="00692F48"/>
    <w:rsid w:val="0069314B"/>
    <w:rsid w:val="0069314E"/>
    <w:rsid w:val="00693151"/>
    <w:rsid w:val="006932D3"/>
    <w:rsid w:val="0069366E"/>
    <w:rsid w:val="006937FF"/>
    <w:rsid w:val="00694D02"/>
    <w:rsid w:val="00694D82"/>
    <w:rsid w:val="00695DE2"/>
    <w:rsid w:val="00696023"/>
    <w:rsid w:val="006965BF"/>
    <w:rsid w:val="00696B16"/>
    <w:rsid w:val="00697EE2"/>
    <w:rsid w:val="006A0347"/>
    <w:rsid w:val="006A11FF"/>
    <w:rsid w:val="006A2410"/>
    <w:rsid w:val="006A24C0"/>
    <w:rsid w:val="006A2EB7"/>
    <w:rsid w:val="006A402D"/>
    <w:rsid w:val="006A48A7"/>
    <w:rsid w:val="006A4A15"/>
    <w:rsid w:val="006A4A1A"/>
    <w:rsid w:val="006A4F7C"/>
    <w:rsid w:val="006A5743"/>
    <w:rsid w:val="006A578C"/>
    <w:rsid w:val="006A5AAC"/>
    <w:rsid w:val="006A5BC7"/>
    <w:rsid w:val="006A5C85"/>
    <w:rsid w:val="006A6770"/>
    <w:rsid w:val="006A67C3"/>
    <w:rsid w:val="006A67F9"/>
    <w:rsid w:val="006A6EE1"/>
    <w:rsid w:val="006A7635"/>
    <w:rsid w:val="006A7A79"/>
    <w:rsid w:val="006A7CAB"/>
    <w:rsid w:val="006B00B4"/>
    <w:rsid w:val="006B079A"/>
    <w:rsid w:val="006B0B68"/>
    <w:rsid w:val="006B0EC8"/>
    <w:rsid w:val="006B128B"/>
    <w:rsid w:val="006B1554"/>
    <w:rsid w:val="006B1600"/>
    <w:rsid w:val="006B19E1"/>
    <w:rsid w:val="006B1ADD"/>
    <w:rsid w:val="006B1B3E"/>
    <w:rsid w:val="006B1CC1"/>
    <w:rsid w:val="006B2318"/>
    <w:rsid w:val="006B2FA7"/>
    <w:rsid w:val="006B31A9"/>
    <w:rsid w:val="006B3ADE"/>
    <w:rsid w:val="006B4BA1"/>
    <w:rsid w:val="006B4E2C"/>
    <w:rsid w:val="006B50F0"/>
    <w:rsid w:val="006B6C62"/>
    <w:rsid w:val="006B7775"/>
    <w:rsid w:val="006B7ED0"/>
    <w:rsid w:val="006C090D"/>
    <w:rsid w:val="006C0FB3"/>
    <w:rsid w:val="006C17FE"/>
    <w:rsid w:val="006C1BDE"/>
    <w:rsid w:val="006C238B"/>
    <w:rsid w:val="006C25B5"/>
    <w:rsid w:val="006C27EF"/>
    <w:rsid w:val="006C28E2"/>
    <w:rsid w:val="006C2EF2"/>
    <w:rsid w:val="006C3D67"/>
    <w:rsid w:val="006C4717"/>
    <w:rsid w:val="006C5CF5"/>
    <w:rsid w:val="006C624F"/>
    <w:rsid w:val="006C6924"/>
    <w:rsid w:val="006C70CA"/>
    <w:rsid w:val="006C7237"/>
    <w:rsid w:val="006D025F"/>
    <w:rsid w:val="006D02B0"/>
    <w:rsid w:val="006D05E5"/>
    <w:rsid w:val="006D08D7"/>
    <w:rsid w:val="006D0B18"/>
    <w:rsid w:val="006D1737"/>
    <w:rsid w:val="006D1956"/>
    <w:rsid w:val="006D2CFE"/>
    <w:rsid w:val="006D2E33"/>
    <w:rsid w:val="006D2F6A"/>
    <w:rsid w:val="006D365C"/>
    <w:rsid w:val="006D372F"/>
    <w:rsid w:val="006D38D6"/>
    <w:rsid w:val="006D4542"/>
    <w:rsid w:val="006D484A"/>
    <w:rsid w:val="006D4D81"/>
    <w:rsid w:val="006D50D0"/>
    <w:rsid w:val="006D5498"/>
    <w:rsid w:val="006D55B1"/>
    <w:rsid w:val="006D58B0"/>
    <w:rsid w:val="006D59F1"/>
    <w:rsid w:val="006D5BD5"/>
    <w:rsid w:val="006D5C8C"/>
    <w:rsid w:val="006D5D22"/>
    <w:rsid w:val="006D6108"/>
    <w:rsid w:val="006D64FF"/>
    <w:rsid w:val="006D6D37"/>
    <w:rsid w:val="006D6E76"/>
    <w:rsid w:val="006D75CC"/>
    <w:rsid w:val="006D7673"/>
    <w:rsid w:val="006D7863"/>
    <w:rsid w:val="006D79F0"/>
    <w:rsid w:val="006D7B8E"/>
    <w:rsid w:val="006E020C"/>
    <w:rsid w:val="006E02E5"/>
    <w:rsid w:val="006E0465"/>
    <w:rsid w:val="006E0A27"/>
    <w:rsid w:val="006E0E2E"/>
    <w:rsid w:val="006E1037"/>
    <w:rsid w:val="006E1A56"/>
    <w:rsid w:val="006E1F6C"/>
    <w:rsid w:val="006E2113"/>
    <w:rsid w:val="006E3319"/>
    <w:rsid w:val="006E3447"/>
    <w:rsid w:val="006E39D0"/>
    <w:rsid w:val="006E4851"/>
    <w:rsid w:val="006E4C34"/>
    <w:rsid w:val="006E527D"/>
    <w:rsid w:val="006E5A4B"/>
    <w:rsid w:val="006E5AE2"/>
    <w:rsid w:val="006E60EA"/>
    <w:rsid w:val="006E64A3"/>
    <w:rsid w:val="006E68BE"/>
    <w:rsid w:val="006E6B7B"/>
    <w:rsid w:val="006E7942"/>
    <w:rsid w:val="006E7E21"/>
    <w:rsid w:val="006F0BBE"/>
    <w:rsid w:val="006F0C2F"/>
    <w:rsid w:val="006F1409"/>
    <w:rsid w:val="006F14AB"/>
    <w:rsid w:val="006F17A0"/>
    <w:rsid w:val="006F20EA"/>
    <w:rsid w:val="006F25F5"/>
    <w:rsid w:val="006F28B2"/>
    <w:rsid w:val="006F2C24"/>
    <w:rsid w:val="006F3178"/>
    <w:rsid w:val="006F3381"/>
    <w:rsid w:val="006F3AC1"/>
    <w:rsid w:val="006F40BF"/>
    <w:rsid w:val="006F423A"/>
    <w:rsid w:val="006F4884"/>
    <w:rsid w:val="006F48FB"/>
    <w:rsid w:val="006F4A82"/>
    <w:rsid w:val="006F4DCA"/>
    <w:rsid w:val="006F5078"/>
    <w:rsid w:val="006F5381"/>
    <w:rsid w:val="006F548C"/>
    <w:rsid w:val="006F5BB1"/>
    <w:rsid w:val="006F60DD"/>
    <w:rsid w:val="006F614B"/>
    <w:rsid w:val="006F6648"/>
    <w:rsid w:val="006F66B5"/>
    <w:rsid w:val="006F7DEB"/>
    <w:rsid w:val="00700239"/>
    <w:rsid w:val="00700BA0"/>
    <w:rsid w:val="00700ECE"/>
    <w:rsid w:val="00701633"/>
    <w:rsid w:val="00701662"/>
    <w:rsid w:val="00701ABB"/>
    <w:rsid w:val="00701CCE"/>
    <w:rsid w:val="0070231C"/>
    <w:rsid w:val="0070262A"/>
    <w:rsid w:val="00703058"/>
    <w:rsid w:val="007036ED"/>
    <w:rsid w:val="0070373B"/>
    <w:rsid w:val="00703CE1"/>
    <w:rsid w:val="0070414F"/>
    <w:rsid w:val="00704A46"/>
    <w:rsid w:val="007051FC"/>
    <w:rsid w:val="00705229"/>
    <w:rsid w:val="007052AF"/>
    <w:rsid w:val="00705412"/>
    <w:rsid w:val="00705630"/>
    <w:rsid w:val="00705C29"/>
    <w:rsid w:val="007065FB"/>
    <w:rsid w:val="0070665D"/>
    <w:rsid w:val="007071B5"/>
    <w:rsid w:val="007073E3"/>
    <w:rsid w:val="007074A6"/>
    <w:rsid w:val="00707E60"/>
    <w:rsid w:val="00707E72"/>
    <w:rsid w:val="0071014B"/>
    <w:rsid w:val="007104B1"/>
    <w:rsid w:val="00710652"/>
    <w:rsid w:val="007108FA"/>
    <w:rsid w:val="00710BF4"/>
    <w:rsid w:val="007113EB"/>
    <w:rsid w:val="0071148B"/>
    <w:rsid w:val="00711731"/>
    <w:rsid w:val="00711999"/>
    <w:rsid w:val="00713A20"/>
    <w:rsid w:val="00714F93"/>
    <w:rsid w:val="00715495"/>
    <w:rsid w:val="00715B55"/>
    <w:rsid w:val="00715DC5"/>
    <w:rsid w:val="00715E65"/>
    <w:rsid w:val="00716C0E"/>
    <w:rsid w:val="00716FB2"/>
    <w:rsid w:val="00717810"/>
    <w:rsid w:val="00717E80"/>
    <w:rsid w:val="007203E5"/>
    <w:rsid w:val="00720A47"/>
    <w:rsid w:val="0072108D"/>
    <w:rsid w:val="0072150F"/>
    <w:rsid w:val="007217E4"/>
    <w:rsid w:val="00721846"/>
    <w:rsid w:val="007223BD"/>
    <w:rsid w:val="00722889"/>
    <w:rsid w:val="00722E84"/>
    <w:rsid w:val="0072310B"/>
    <w:rsid w:val="007239E0"/>
    <w:rsid w:val="00723A62"/>
    <w:rsid w:val="00724376"/>
    <w:rsid w:val="00724545"/>
    <w:rsid w:val="00724A02"/>
    <w:rsid w:val="00724E9A"/>
    <w:rsid w:val="00724FA4"/>
    <w:rsid w:val="00725BEC"/>
    <w:rsid w:val="0072609A"/>
    <w:rsid w:val="00726AF9"/>
    <w:rsid w:val="00726B6E"/>
    <w:rsid w:val="00726C2F"/>
    <w:rsid w:val="00727141"/>
    <w:rsid w:val="007273A4"/>
    <w:rsid w:val="00727CB5"/>
    <w:rsid w:val="007304F4"/>
    <w:rsid w:val="00730800"/>
    <w:rsid w:val="00730CA7"/>
    <w:rsid w:val="00730E1E"/>
    <w:rsid w:val="0073198C"/>
    <w:rsid w:val="00731A2A"/>
    <w:rsid w:val="00731C61"/>
    <w:rsid w:val="00731D7F"/>
    <w:rsid w:val="007325B0"/>
    <w:rsid w:val="0073266F"/>
    <w:rsid w:val="00732978"/>
    <w:rsid w:val="00732D8E"/>
    <w:rsid w:val="00732E01"/>
    <w:rsid w:val="0073347D"/>
    <w:rsid w:val="00733FE0"/>
    <w:rsid w:val="00734822"/>
    <w:rsid w:val="00734B9B"/>
    <w:rsid w:val="00734CD7"/>
    <w:rsid w:val="00734E4A"/>
    <w:rsid w:val="00735510"/>
    <w:rsid w:val="00735E4B"/>
    <w:rsid w:val="0073604A"/>
    <w:rsid w:val="007363D7"/>
    <w:rsid w:val="00736594"/>
    <w:rsid w:val="007368AB"/>
    <w:rsid w:val="00736957"/>
    <w:rsid w:val="00736D7B"/>
    <w:rsid w:val="00737902"/>
    <w:rsid w:val="0074030A"/>
    <w:rsid w:val="0074044B"/>
    <w:rsid w:val="007404D7"/>
    <w:rsid w:val="0074063C"/>
    <w:rsid w:val="00740800"/>
    <w:rsid w:val="00740C90"/>
    <w:rsid w:val="00741201"/>
    <w:rsid w:val="0074181B"/>
    <w:rsid w:val="00741B01"/>
    <w:rsid w:val="00741EFE"/>
    <w:rsid w:val="007422E7"/>
    <w:rsid w:val="0074402A"/>
    <w:rsid w:val="0074422A"/>
    <w:rsid w:val="00744DD2"/>
    <w:rsid w:val="00744DF2"/>
    <w:rsid w:val="00744F53"/>
    <w:rsid w:val="00744F84"/>
    <w:rsid w:val="007452C9"/>
    <w:rsid w:val="00745929"/>
    <w:rsid w:val="007460C0"/>
    <w:rsid w:val="00746147"/>
    <w:rsid w:val="00746272"/>
    <w:rsid w:val="007464E0"/>
    <w:rsid w:val="00746A0A"/>
    <w:rsid w:val="007471E1"/>
    <w:rsid w:val="00747346"/>
    <w:rsid w:val="00747D1B"/>
    <w:rsid w:val="00747FAF"/>
    <w:rsid w:val="00750B84"/>
    <w:rsid w:val="00750E6D"/>
    <w:rsid w:val="00750EB7"/>
    <w:rsid w:val="00750EE7"/>
    <w:rsid w:val="00750F63"/>
    <w:rsid w:val="007511FB"/>
    <w:rsid w:val="00751557"/>
    <w:rsid w:val="00751954"/>
    <w:rsid w:val="00752593"/>
    <w:rsid w:val="00753036"/>
    <w:rsid w:val="00753721"/>
    <w:rsid w:val="007541C6"/>
    <w:rsid w:val="00754310"/>
    <w:rsid w:val="00755170"/>
    <w:rsid w:val="00755420"/>
    <w:rsid w:val="0075542A"/>
    <w:rsid w:val="0075563C"/>
    <w:rsid w:val="00755AC8"/>
    <w:rsid w:val="00755B71"/>
    <w:rsid w:val="007560E0"/>
    <w:rsid w:val="00756257"/>
    <w:rsid w:val="00756430"/>
    <w:rsid w:val="00757DAD"/>
    <w:rsid w:val="00760256"/>
    <w:rsid w:val="00760270"/>
    <w:rsid w:val="007602AA"/>
    <w:rsid w:val="007606FB"/>
    <w:rsid w:val="00760B60"/>
    <w:rsid w:val="00760BEA"/>
    <w:rsid w:val="00760FE2"/>
    <w:rsid w:val="00761417"/>
    <w:rsid w:val="00761D64"/>
    <w:rsid w:val="00761E30"/>
    <w:rsid w:val="00761EFA"/>
    <w:rsid w:val="00762500"/>
    <w:rsid w:val="00762615"/>
    <w:rsid w:val="00762819"/>
    <w:rsid w:val="007629D4"/>
    <w:rsid w:val="00762ABD"/>
    <w:rsid w:val="00762D2B"/>
    <w:rsid w:val="007634C6"/>
    <w:rsid w:val="0076383B"/>
    <w:rsid w:val="0076394F"/>
    <w:rsid w:val="0076446A"/>
    <w:rsid w:val="007649A1"/>
    <w:rsid w:val="00764C42"/>
    <w:rsid w:val="00765036"/>
    <w:rsid w:val="007651F2"/>
    <w:rsid w:val="007652EF"/>
    <w:rsid w:val="007656AB"/>
    <w:rsid w:val="0076595E"/>
    <w:rsid w:val="00765F20"/>
    <w:rsid w:val="0076631A"/>
    <w:rsid w:val="007663F7"/>
    <w:rsid w:val="00766922"/>
    <w:rsid w:val="0076709E"/>
    <w:rsid w:val="0076721A"/>
    <w:rsid w:val="007674B7"/>
    <w:rsid w:val="00770DDF"/>
    <w:rsid w:val="00770F39"/>
    <w:rsid w:val="007711D7"/>
    <w:rsid w:val="00771960"/>
    <w:rsid w:val="00771AA2"/>
    <w:rsid w:val="00771AD3"/>
    <w:rsid w:val="0077252A"/>
    <w:rsid w:val="007725F3"/>
    <w:rsid w:val="00772BDC"/>
    <w:rsid w:val="00772D62"/>
    <w:rsid w:val="00773033"/>
    <w:rsid w:val="00773463"/>
    <w:rsid w:val="00773A5A"/>
    <w:rsid w:val="00773E65"/>
    <w:rsid w:val="00774970"/>
    <w:rsid w:val="00774981"/>
    <w:rsid w:val="00774A7F"/>
    <w:rsid w:val="00777008"/>
    <w:rsid w:val="007775F0"/>
    <w:rsid w:val="00777E98"/>
    <w:rsid w:val="007802B7"/>
    <w:rsid w:val="00780792"/>
    <w:rsid w:val="00780F85"/>
    <w:rsid w:val="00781141"/>
    <w:rsid w:val="00781313"/>
    <w:rsid w:val="007818A8"/>
    <w:rsid w:val="007819C7"/>
    <w:rsid w:val="00781D4B"/>
    <w:rsid w:val="0078217F"/>
    <w:rsid w:val="00782A91"/>
    <w:rsid w:val="0078392C"/>
    <w:rsid w:val="00783BDA"/>
    <w:rsid w:val="00783F07"/>
    <w:rsid w:val="007845CB"/>
    <w:rsid w:val="0078473E"/>
    <w:rsid w:val="00784F66"/>
    <w:rsid w:val="00785462"/>
    <w:rsid w:val="00785730"/>
    <w:rsid w:val="00785A06"/>
    <w:rsid w:val="00785F38"/>
    <w:rsid w:val="0078613C"/>
    <w:rsid w:val="00786621"/>
    <w:rsid w:val="00786714"/>
    <w:rsid w:val="00786ED8"/>
    <w:rsid w:val="007877B2"/>
    <w:rsid w:val="00787941"/>
    <w:rsid w:val="00787BA8"/>
    <w:rsid w:val="00787E14"/>
    <w:rsid w:val="00790801"/>
    <w:rsid w:val="007909E9"/>
    <w:rsid w:val="00790D29"/>
    <w:rsid w:val="00791A00"/>
    <w:rsid w:val="00792B99"/>
    <w:rsid w:val="00792FDC"/>
    <w:rsid w:val="0079377C"/>
    <w:rsid w:val="0079454F"/>
    <w:rsid w:val="0079482F"/>
    <w:rsid w:val="00794AA6"/>
    <w:rsid w:val="00794B75"/>
    <w:rsid w:val="00794CC2"/>
    <w:rsid w:val="00795972"/>
    <w:rsid w:val="00795B18"/>
    <w:rsid w:val="00796D0C"/>
    <w:rsid w:val="00797F5C"/>
    <w:rsid w:val="00797FDC"/>
    <w:rsid w:val="007A0345"/>
    <w:rsid w:val="007A0738"/>
    <w:rsid w:val="007A0ABB"/>
    <w:rsid w:val="007A16AE"/>
    <w:rsid w:val="007A1CFD"/>
    <w:rsid w:val="007A1F87"/>
    <w:rsid w:val="007A2061"/>
    <w:rsid w:val="007A21C2"/>
    <w:rsid w:val="007A2381"/>
    <w:rsid w:val="007A2C12"/>
    <w:rsid w:val="007A41D8"/>
    <w:rsid w:val="007A44B4"/>
    <w:rsid w:val="007A55FD"/>
    <w:rsid w:val="007A578A"/>
    <w:rsid w:val="007A6AAA"/>
    <w:rsid w:val="007A6BBE"/>
    <w:rsid w:val="007A6D8F"/>
    <w:rsid w:val="007A709F"/>
    <w:rsid w:val="007A7107"/>
    <w:rsid w:val="007A71DF"/>
    <w:rsid w:val="007A7D3D"/>
    <w:rsid w:val="007A7EC5"/>
    <w:rsid w:val="007A7F3C"/>
    <w:rsid w:val="007B0B36"/>
    <w:rsid w:val="007B214F"/>
    <w:rsid w:val="007B225D"/>
    <w:rsid w:val="007B2D7D"/>
    <w:rsid w:val="007B2ED2"/>
    <w:rsid w:val="007B32D2"/>
    <w:rsid w:val="007B3453"/>
    <w:rsid w:val="007B36FD"/>
    <w:rsid w:val="007B3A47"/>
    <w:rsid w:val="007B3F66"/>
    <w:rsid w:val="007B4359"/>
    <w:rsid w:val="007B4C51"/>
    <w:rsid w:val="007B542F"/>
    <w:rsid w:val="007B6110"/>
    <w:rsid w:val="007B63A3"/>
    <w:rsid w:val="007B6541"/>
    <w:rsid w:val="007B65BB"/>
    <w:rsid w:val="007B719E"/>
    <w:rsid w:val="007B7358"/>
    <w:rsid w:val="007B7427"/>
    <w:rsid w:val="007B7BED"/>
    <w:rsid w:val="007C0FE8"/>
    <w:rsid w:val="007C11AC"/>
    <w:rsid w:val="007C11DE"/>
    <w:rsid w:val="007C174F"/>
    <w:rsid w:val="007C1C64"/>
    <w:rsid w:val="007C1F62"/>
    <w:rsid w:val="007C1FD9"/>
    <w:rsid w:val="007C208A"/>
    <w:rsid w:val="007C20A0"/>
    <w:rsid w:val="007C300C"/>
    <w:rsid w:val="007C309F"/>
    <w:rsid w:val="007C3A00"/>
    <w:rsid w:val="007C431E"/>
    <w:rsid w:val="007C4433"/>
    <w:rsid w:val="007C44EC"/>
    <w:rsid w:val="007C499E"/>
    <w:rsid w:val="007C4C05"/>
    <w:rsid w:val="007C4D13"/>
    <w:rsid w:val="007C56B2"/>
    <w:rsid w:val="007C5797"/>
    <w:rsid w:val="007C5840"/>
    <w:rsid w:val="007C6D1E"/>
    <w:rsid w:val="007C7753"/>
    <w:rsid w:val="007C77D1"/>
    <w:rsid w:val="007C795C"/>
    <w:rsid w:val="007D0D99"/>
    <w:rsid w:val="007D0E0B"/>
    <w:rsid w:val="007D1E7B"/>
    <w:rsid w:val="007D2346"/>
    <w:rsid w:val="007D249A"/>
    <w:rsid w:val="007D2798"/>
    <w:rsid w:val="007D3B00"/>
    <w:rsid w:val="007D40A1"/>
    <w:rsid w:val="007D44C3"/>
    <w:rsid w:val="007D4AB3"/>
    <w:rsid w:val="007D4CD1"/>
    <w:rsid w:val="007D4F46"/>
    <w:rsid w:val="007D5DE1"/>
    <w:rsid w:val="007D5E53"/>
    <w:rsid w:val="007D5EC3"/>
    <w:rsid w:val="007D6026"/>
    <w:rsid w:val="007D61F9"/>
    <w:rsid w:val="007D6B45"/>
    <w:rsid w:val="007D773D"/>
    <w:rsid w:val="007D7887"/>
    <w:rsid w:val="007D7CBF"/>
    <w:rsid w:val="007D7D10"/>
    <w:rsid w:val="007E0CF3"/>
    <w:rsid w:val="007E1567"/>
    <w:rsid w:val="007E1985"/>
    <w:rsid w:val="007E1C30"/>
    <w:rsid w:val="007E2D0F"/>
    <w:rsid w:val="007E2DC8"/>
    <w:rsid w:val="007E2E8A"/>
    <w:rsid w:val="007E3111"/>
    <w:rsid w:val="007E346E"/>
    <w:rsid w:val="007E3A0B"/>
    <w:rsid w:val="007E44E6"/>
    <w:rsid w:val="007E48BC"/>
    <w:rsid w:val="007E4CE5"/>
    <w:rsid w:val="007E52A1"/>
    <w:rsid w:val="007E5D86"/>
    <w:rsid w:val="007E607C"/>
    <w:rsid w:val="007E6651"/>
    <w:rsid w:val="007E757E"/>
    <w:rsid w:val="007E7970"/>
    <w:rsid w:val="007E79D6"/>
    <w:rsid w:val="007E79F7"/>
    <w:rsid w:val="007E7C8A"/>
    <w:rsid w:val="007F02D3"/>
    <w:rsid w:val="007F04C9"/>
    <w:rsid w:val="007F0865"/>
    <w:rsid w:val="007F0A6C"/>
    <w:rsid w:val="007F0AB1"/>
    <w:rsid w:val="007F1337"/>
    <w:rsid w:val="007F1C63"/>
    <w:rsid w:val="007F28E9"/>
    <w:rsid w:val="007F2A0B"/>
    <w:rsid w:val="007F2C17"/>
    <w:rsid w:val="007F2C97"/>
    <w:rsid w:val="007F331C"/>
    <w:rsid w:val="007F35D9"/>
    <w:rsid w:val="007F3630"/>
    <w:rsid w:val="007F3BD4"/>
    <w:rsid w:val="007F3F7F"/>
    <w:rsid w:val="007F4644"/>
    <w:rsid w:val="007F4B9C"/>
    <w:rsid w:val="007F4C0B"/>
    <w:rsid w:val="007F4EA0"/>
    <w:rsid w:val="007F4EA8"/>
    <w:rsid w:val="007F52F6"/>
    <w:rsid w:val="007F6735"/>
    <w:rsid w:val="007F6826"/>
    <w:rsid w:val="007F6993"/>
    <w:rsid w:val="007F6E5C"/>
    <w:rsid w:val="007F6F3D"/>
    <w:rsid w:val="007F79E9"/>
    <w:rsid w:val="007F7BBC"/>
    <w:rsid w:val="00800379"/>
    <w:rsid w:val="008007D3"/>
    <w:rsid w:val="00800AA8"/>
    <w:rsid w:val="00800CA0"/>
    <w:rsid w:val="008012BC"/>
    <w:rsid w:val="00801F93"/>
    <w:rsid w:val="008036CE"/>
    <w:rsid w:val="00803E24"/>
    <w:rsid w:val="00803F59"/>
    <w:rsid w:val="00803FC5"/>
    <w:rsid w:val="008042AE"/>
    <w:rsid w:val="00804630"/>
    <w:rsid w:val="00804CA9"/>
    <w:rsid w:val="00804EAF"/>
    <w:rsid w:val="008058BB"/>
    <w:rsid w:val="008058DE"/>
    <w:rsid w:val="00806492"/>
    <w:rsid w:val="00806766"/>
    <w:rsid w:val="00806EF6"/>
    <w:rsid w:val="008070B1"/>
    <w:rsid w:val="00807559"/>
    <w:rsid w:val="00807942"/>
    <w:rsid w:val="00810077"/>
    <w:rsid w:val="008107D4"/>
    <w:rsid w:val="00810B76"/>
    <w:rsid w:val="00810E84"/>
    <w:rsid w:val="008113F0"/>
    <w:rsid w:val="008113F7"/>
    <w:rsid w:val="00811C73"/>
    <w:rsid w:val="00812105"/>
    <w:rsid w:val="00812718"/>
    <w:rsid w:val="00813705"/>
    <w:rsid w:val="00813DE5"/>
    <w:rsid w:val="0081443C"/>
    <w:rsid w:val="00814A40"/>
    <w:rsid w:val="00814DE8"/>
    <w:rsid w:val="008155DB"/>
    <w:rsid w:val="008157AB"/>
    <w:rsid w:val="00815AEF"/>
    <w:rsid w:val="00816B28"/>
    <w:rsid w:val="00816D1D"/>
    <w:rsid w:val="008176A4"/>
    <w:rsid w:val="008178A9"/>
    <w:rsid w:val="00820535"/>
    <w:rsid w:val="008207A7"/>
    <w:rsid w:val="00820CA3"/>
    <w:rsid w:val="00820DC8"/>
    <w:rsid w:val="00821267"/>
    <w:rsid w:val="0082147A"/>
    <w:rsid w:val="00821896"/>
    <w:rsid w:val="0082209F"/>
    <w:rsid w:val="008222AB"/>
    <w:rsid w:val="00822B0D"/>
    <w:rsid w:val="00822B2B"/>
    <w:rsid w:val="00823235"/>
    <w:rsid w:val="00823BEA"/>
    <w:rsid w:val="00823C14"/>
    <w:rsid w:val="00823C3E"/>
    <w:rsid w:val="00824186"/>
    <w:rsid w:val="00824711"/>
    <w:rsid w:val="008248CD"/>
    <w:rsid w:val="00824B51"/>
    <w:rsid w:val="0082501C"/>
    <w:rsid w:val="0082525D"/>
    <w:rsid w:val="00825404"/>
    <w:rsid w:val="00825454"/>
    <w:rsid w:val="00825E5D"/>
    <w:rsid w:val="00825EB5"/>
    <w:rsid w:val="00826330"/>
    <w:rsid w:val="008263D7"/>
    <w:rsid w:val="008266CC"/>
    <w:rsid w:val="00830414"/>
    <w:rsid w:val="008308C6"/>
    <w:rsid w:val="00830E24"/>
    <w:rsid w:val="0083158D"/>
    <w:rsid w:val="00831624"/>
    <w:rsid w:val="00831A06"/>
    <w:rsid w:val="00831AA1"/>
    <w:rsid w:val="00831C81"/>
    <w:rsid w:val="00831EA4"/>
    <w:rsid w:val="00832156"/>
    <w:rsid w:val="008322B6"/>
    <w:rsid w:val="008329AC"/>
    <w:rsid w:val="00832FC0"/>
    <w:rsid w:val="00833D36"/>
    <w:rsid w:val="0083407F"/>
    <w:rsid w:val="008340D7"/>
    <w:rsid w:val="0083426F"/>
    <w:rsid w:val="008343F6"/>
    <w:rsid w:val="00834AD8"/>
    <w:rsid w:val="00834FE7"/>
    <w:rsid w:val="008356C4"/>
    <w:rsid w:val="008359B9"/>
    <w:rsid w:val="00835CCB"/>
    <w:rsid w:val="00835E0C"/>
    <w:rsid w:val="00835EDB"/>
    <w:rsid w:val="00836844"/>
    <w:rsid w:val="00836B05"/>
    <w:rsid w:val="00836FD7"/>
    <w:rsid w:val="00840B9B"/>
    <w:rsid w:val="00841033"/>
    <w:rsid w:val="008414E6"/>
    <w:rsid w:val="008415F7"/>
    <w:rsid w:val="00841BCC"/>
    <w:rsid w:val="00841D7F"/>
    <w:rsid w:val="00841E09"/>
    <w:rsid w:val="00842938"/>
    <w:rsid w:val="00842D90"/>
    <w:rsid w:val="00842E1D"/>
    <w:rsid w:val="00843230"/>
    <w:rsid w:val="0084330A"/>
    <w:rsid w:val="00843575"/>
    <w:rsid w:val="008435ED"/>
    <w:rsid w:val="00844935"/>
    <w:rsid w:val="008450BC"/>
    <w:rsid w:val="00845190"/>
    <w:rsid w:val="008457E7"/>
    <w:rsid w:val="00845FBA"/>
    <w:rsid w:val="008461BE"/>
    <w:rsid w:val="00846A01"/>
    <w:rsid w:val="00846CF7"/>
    <w:rsid w:val="0084772F"/>
    <w:rsid w:val="00847CD2"/>
    <w:rsid w:val="00847E26"/>
    <w:rsid w:val="00847F08"/>
    <w:rsid w:val="00850414"/>
    <w:rsid w:val="0085099D"/>
    <w:rsid w:val="00850BCB"/>
    <w:rsid w:val="00851905"/>
    <w:rsid w:val="00851A60"/>
    <w:rsid w:val="00851C32"/>
    <w:rsid w:val="00851C8A"/>
    <w:rsid w:val="00852059"/>
    <w:rsid w:val="008523FA"/>
    <w:rsid w:val="00852BB5"/>
    <w:rsid w:val="0085334B"/>
    <w:rsid w:val="00853356"/>
    <w:rsid w:val="008538FD"/>
    <w:rsid w:val="00854208"/>
    <w:rsid w:val="008546FA"/>
    <w:rsid w:val="00854C2F"/>
    <w:rsid w:val="00854C53"/>
    <w:rsid w:val="00854CD8"/>
    <w:rsid w:val="00855491"/>
    <w:rsid w:val="00855965"/>
    <w:rsid w:val="00855C74"/>
    <w:rsid w:val="008561CA"/>
    <w:rsid w:val="00856243"/>
    <w:rsid w:val="0085628D"/>
    <w:rsid w:val="0085679D"/>
    <w:rsid w:val="00856C1D"/>
    <w:rsid w:val="00856CBA"/>
    <w:rsid w:val="00857663"/>
    <w:rsid w:val="00857818"/>
    <w:rsid w:val="00857A0F"/>
    <w:rsid w:val="00857C9B"/>
    <w:rsid w:val="00857CE3"/>
    <w:rsid w:val="0086028D"/>
    <w:rsid w:val="0086097D"/>
    <w:rsid w:val="00860F6C"/>
    <w:rsid w:val="0086141F"/>
    <w:rsid w:val="00861572"/>
    <w:rsid w:val="0086160B"/>
    <w:rsid w:val="00861981"/>
    <w:rsid w:val="0086240C"/>
    <w:rsid w:val="008627C4"/>
    <w:rsid w:val="008628F4"/>
    <w:rsid w:val="008639FA"/>
    <w:rsid w:val="00863BD3"/>
    <w:rsid w:val="008640E6"/>
    <w:rsid w:val="00864317"/>
    <w:rsid w:val="00864F7E"/>
    <w:rsid w:val="0086589E"/>
    <w:rsid w:val="00865BA6"/>
    <w:rsid w:val="00866138"/>
    <w:rsid w:val="008661A6"/>
    <w:rsid w:val="00866487"/>
    <w:rsid w:val="008674C0"/>
    <w:rsid w:val="00867B23"/>
    <w:rsid w:val="00870214"/>
    <w:rsid w:val="008702BB"/>
    <w:rsid w:val="008704C6"/>
    <w:rsid w:val="008706D8"/>
    <w:rsid w:val="00870A01"/>
    <w:rsid w:val="00870CBA"/>
    <w:rsid w:val="00870D77"/>
    <w:rsid w:val="00871BF6"/>
    <w:rsid w:val="00871E52"/>
    <w:rsid w:val="0087252E"/>
    <w:rsid w:val="00872665"/>
    <w:rsid w:val="00872E33"/>
    <w:rsid w:val="00873719"/>
    <w:rsid w:val="00873D04"/>
    <w:rsid w:val="0087419E"/>
    <w:rsid w:val="008743F6"/>
    <w:rsid w:val="00874696"/>
    <w:rsid w:val="008757AC"/>
    <w:rsid w:val="0087615C"/>
    <w:rsid w:val="00876515"/>
    <w:rsid w:val="008768E7"/>
    <w:rsid w:val="00877556"/>
    <w:rsid w:val="00877674"/>
    <w:rsid w:val="0087767D"/>
    <w:rsid w:val="0088015A"/>
    <w:rsid w:val="00880447"/>
    <w:rsid w:val="00880A68"/>
    <w:rsid w:val="00881ACA"/>
    <w:rsid w:val="00881DD6"/>
    <w:rsid w:val="0088226B"/>
    <w:rsid w:val="008823CB"/>
    <w:rsid w:val="008828D9"/>
    <w:rsid w:val="00882A16"/>
    <w:rsid w:val="00883217"/>
    <w:rsid w:val="00883643"/>
    <w:rsid w:val="00883A32"/>
    <w:rsid w:val="00884448"/>
    <w:rsid w:val="008848F7"/>
    <w:rsid w:val="00884EEC"/>
    <w:rsid w:val="008856AF"/>
    <w:rsid w:val="00885C51"/>
    <w:rsid w:val="00885EB0"/>
    <w:rsid w:val="0088652E"/>
    <w:rsid w:val="0088674B"/>
    <w:rsid w:val="00886D2E"/>
    <w:rsid w:val="008873EA"/>
    <w:rsid w:val="00887501"/>
    <w:rsid w:val="00890455"/>
    <w:rsid w:val="00890673"/>
    <w:rsid w:val="00890826"/>
    <w:rsid w:val="00890E5F"/>
    <w:rsid w:val="0089191D"/>
    <w:rsid w:val="00891BDD"/>
    <w:rsid w:val="00891D90"/>
    <w:rsid w:val="00892286"/>
    <w:rsid w:val="0089264A"/>
    <w:rsid w:val="00892BE1"/>
    <w:rsid w:val="00892F9F"/>
    <w:rsid w:val="00893334"/>
    <w:rsid w:val="00893395"/>
    <w:rsid w:val="00893D65"/>
    <w:rsid w:val="0089445C"/>
    <w:rsid w:val="0089460F"/>
    <w:rsid w:val="00894B9A"/>
    <w:rsid w:val="00894BC7"/>
    <w:rsid w:val="00894EF0"/>
    <w:rsid w:val="008957AF"/>
    <w:rsid w:val="00895AE4"/>
    <w:rsid w:val="00896B85"/>
    <w:rsid w:val="00896F33"/>
    <w:rsid w:val="00897554"/>
    <w:rsid w:val="0089755E"/>
    <w:rsid w:val="008A0115"/>
    <w:rsid w:val="008A052C"/>
    <w:rsid w:val="008A09F9"/>
    <w:rsid w:val="008A1004"/>
    <w:rsid w:val="008A109E"/>
    <w:rsid w:val="008A10D0"/>
    <w:rsid w:val="008A22BE"/>
    <w:rsid w:val="008A2902"/>
    <w:rsid w:val="008A2923"/>
    <w:rsid w:val="008A2AFD"/>
    <w:rsid w:val="008A3221"/>
    <w:rsid w:val="008A3529"/>
    <w:rsid w:val="008A35FB"/>
    <w:rsid w:val="008A3AC2"/>
    <w:rsid w:val="008A4D05"/>
    <w:rsid w:val="008A5C40"/>
    <w:rsid w:val="008A6580"/>
    <w:rsid w:val="008A6603"/>
    <w:rsid w:val="008A669F"/>
    <w:rsid w:val="008A6993"/>
    <w:rsid w:val="008A6C1B"/>
    <w:rsid w:val="008A6C8E"/>
    <w:rsid w:val="008A6DEE"/>
    <w:rsid w:val="008A7040"/>
    <w:rsid w:val="008A72D3"/>
    <w:rsid w:val="008A7532"/>
    <w:rsid w:val="008A7626"/>
    <w:rsid w:val="008A7AAB"/>
    <w:rsid w:val="008A7DD1"/>
    <w:rsid w:val="008B0075"/>
    <w:rsid w:val="008B06E6"/>
    <w:rsid w:val="008B0B2F"/>
    <w:rsid w:val="008B0C00"/>
    <w:rsid w:val="008B11F2"/>
    <w:rsid w:val="008B13EA"/>
    <w:rsid w:val="008B149D"/>
    <w:rsid w:val="008B1A8B"/>
    <w:rsid w:val="008B1E56"/>
    <w:rsid w:val="008B1E71"/>
    <w:rsid w:val="008B213B"/>
    <w:rsid w:val="008B21DD"/>
    <w:rsid w:val="008B2C1E"/>
    <w:rsid w:val="008B3044"/>
    <w:rsid w:val="008B35E7"/>
    <w:rsid w:val="008B3940"/>
    <w:rsid w:val="008B474E"/>
    <w:rsid w:val="008B49DC"/>
    <w:rsid w:val="008B5567"/>
    <w:rsid w:val="008B595D"/>
    <w:rsid w:val="008B626A"/>
    <w:rsid w:val="008B62CC"/>
    <w:rsid w:val="008B6304"/>
    <w:rsid w:val="008B659F"/>
    <w:rsid w:val="008B6F48"/>
    <w:rsid w:val="008B7124"/>
    <w:rsid w:val="008B7744"/>
    <w:rsid w:val="008C0174"/>
    <w:rsid w:val="008C0769"/>
    <w:rsid w:val="008C0E7A"/>
    <w:rsid w:val="008C1B36"/>
    <w:rsid w:val="008C1DCD"/>
    <w:rsid w:val="008C1FBF"/>
    <w:rsid w:val="008C2876"/>
    <w:rsid w:val="008C46A3"/>
    <w:rsid w:val="008C4EAF"/>
    <w:rsid w:val="008C5085"/>
    <w:rsid w:val="008C5883"/>
    <w:rsid w:val="008C6391"/>
    <w:rsid w:val="008D0694"/>
    <w:rsid w:val="008D06C6"/>
    <w:rsid w:val="008D0886"/>
    <w:rsid w:val="008D0DB6"/>
    <w:rsid w:val="008D107D"/>
    <w:rsid w:val="008D12DB"/>
    <w:rsid w:val="008D14F0"/>
    <w:rsid w:val="008D20D7"/>
    <w:rsid w:val="008D267F"/>
    <w:rsid w:val="008D2D8D"/>
    <w:rsid w:val="008D2F44"/>
    <w:rsid w:val="008D3BA3"/>
    <w:rsid w:val="008D4453"/>
    <w:rsid w:val="008D454E"/>
    <w:rsid w:val="008D4848"/>
    <w:rsid w:val="008D48EF"/>
    <w:rsid w:val="008D49E9"/>
    <w:rsid w:val="008D55D9"/>
    <w:rsid w:val="008D56E9"/>
    <w:rsid w:val="008D5B78"/>
    <w:rsid w:val="008D648C"/>
    <w:rsid w:val="008D64B7"/>
    <w:rsid w:val="008D74B3"/>
    <w:rsid w:val="008D786B"/>
    <w:rsid w:val="008D7CB0"/>
    <w:rsid w:val="008E00A6"/>
    <w:rsid w:val="008E0616"/>
    <w:rsid w:val="008E07EB"/>
    <w:rsid w:val="008E0D5C"/>
    <w:rsid w:val="008E0E0B"/>
    <w:rsid w:val="008E194F"/>
    <w:rsid w:val="008E1D53"/>
    <w:rsid w:val="008E22B5"/>
    <w:rsid w:val="008E257D"/>
    <w:rsid w:val="008E29C1"/>
    <w:rsid w:val="008E2D7E"/>
    <w:rsid w:val="008E34C9"/>
    <w:rsid w:val="008E446D"/>
    <w:rsid w:val="008E4634"/>
    <w:rsid w:val="008E4724"/>
    <w:rsid w:val="008E5936"/>
    <w:rsid w:val="008E5F27"/>
    <w:rsid w:val="008E6250"/>
    <w:rsid w:val="008E65EA"/>
    <w:rsid w:val="008E665E"/>
    <w:rsid w:val="008E6A24"/>
    <w:rsid w:val="008E6EF9"/>
    <w:rsid w:val="008E70DB"/>
    <w:rsid w:val="008E7F00"/>
    <w:rsid w:val="008F0138"/>
    <w:rsid w:val="008F01EF"/>
    <w:rsid w:val="008F0751"/>
    <w:rsid w:val="008F14AE"/>
    <w:rsid w:val="008F1AE2"/>
    <w:rsid w:val="008F2246"/>
    <w:rsid w:val="008F339D"/>
    <w:rsid w:val="008F3577"/>
    <w:rsid w:val="008F366C"/>
    <w:rsid w:val="008F3ADD"/>
    <w:rsid w:val="008F3DA6"/>
    <w:rsid w:val="008F4E83"/>
    <w:rsid w:val="008F63F6"/>
    <w:rsid w:val="008F646B"/>
    <w:rsid w:val="008F6650"/>
    <w:rsid w:val="008F68E0"/>
    <w:rsid w:val="008F6C1B"/>
    <w:rsid w:val="008F7080"/>
    <w:rsid w:val="008F78F6"/>
    <w:rsid w:val="009003F3"/>
    <w:rsid w:val="00900A77"/>
    <w:rsid w:val="00900F04"/>
    <w:rsid w:val="009013B4"/>
    <w:rsid w:val="00901EF6"/>
    <w:rsid w:val="00902272"/>
    <w:rsid w:val="00902354"/>
    <w:rsid w:val="00902AF6"/>
    <w:rsid w:val="009031C6"/>
    <w:rsid w:val="009035A1"/>
    <w:rsid w:val="009043ED"/>
    <w:rsid w:val="009049EB"/>
    <w:rsid w:val="00905F85"/>
    <w:rsid w:val="00905FBE"/>
    <w:rsid w:val="00906B4E"/>
    <w:rsid w:val="00906BCA"/>
    <w:rsid w:val="0090719D"/>
    <w:rsid w:val="0090794C"/>
    <w:rsid w:val="00907C31"/>
    <w:rsid w:val="00907FBB"/>
    <w:rsid w:val="009124A5"/>
    <w:rsid w:val="0091295E"/>
    <w:rsid w:val="00912F4D"/>
    <w:rsid w:val="00913719"/>
    <w:rsid w:val="00913D32"/>
    <w:rsid w:val="00913F2F"/>
    <w:rsid w:val="00914030"/>
    <w:rsid w:val="00914398"/>
    <w:rsid w:val="009144F6"/>
    <w:rsid w:val="00914D21"/>
    <w:rsid w:val="0091535D"/>
    <w:rsid w:val="009153D1"/>
    <w:rsid w:val="00915446"/>
    <w:rsid w:val="009157F0"/>
    <w:rsid w:val="0091610E"/>
    <w:rsid w:val="009162AE"/>
    <w:rsid w:val="00916B54"/>
    <w:rsid w:val="00916DDE"/>
    <w:rsid w:val="009170CA"/>
    <w:rsid w:val="0091742C"/>
    <w:rsid w:val="009174FF"/>
    <w:rsid w:val="00920249"/>
    <w:rsid w:val="00921082"/>
    <w:rsid w:val="00921103"/>
    <w:rsid w:val="00921482"/>
    <w:rsid w:val="0092217B"/>
    <w:rsid w:val="009228B9"/>
    <w:rsid w:val="00922D97"/>
    <w:rsid w:val="009233F7"/>
    <w:rsid w:val="009239B0"/>
    <w:rsid w:val="009244D0"/>
    <w:rsid w:val="00924770"/>
    <w:rsid w:val="0092494C"/>
    <w:rsid w:val="00924C80"/>
    <w:rsid w:val="00924D24"/>
    <w:rsid w:val="00925197"/>
    <w:rsid w:val="00925D61"/>
    <w:rsid w:val="00925FD7"/>
    <w:rsid w:val="00926268"/>
    <w:rsid w:val="009262D7"/>
    <w:rsid w:val="00926822"/>
    <w:rsid w:val="00926D76"/>
    <w:rsid w:val="00927676"/>
    <w:rsid w:val="00927B44"/>
    <w:rsid w:val="00927C98"/>
    <w:rsid w:val="00927E8F"/>
    <w:rsid w:val="00930114"/>
    <w:rsid w:val="00931227"/>
    <w:rsid w:val="0093155F"/>
    <w:rsid w:val="00931880"/>
    <w:rsid w:val="009318FC"/>
    <w:rsid w:val="009325C5"/>
    <w:rsid w:val="009327FB"/>
    <w:rsid w:val="00932E77"/>
    <w:rsid w:val="00932F14"/>
    <w:rsid w:val="00933BA2"/>
    <w:rsid w:val="00934245"/>
    <w:rsid w:val="00934A4B"/>
    <w:rsid w:val="00934E2E"/>
    <w:rsid w:val="00935056"/>
    <w:rsid w:val="00935063"/>
    <w:rsid w:val="00935C36"/>
    <w:rsid w:val="009360C6"/>
    <w:rsid w:val="00937475"/>
    <w:rsid w:val="00937A59"/>
    <w:rsid w:val="00937CD1"/>
    <w:rsid w:val="00937D99"/>
    <w:rsid w:val="00937F8F"/>
    <w:rsid w:val="00940774"/>
    <w:rsid w:val="0094096E"/>
    <w:rsid w:val="00940976"/>
    <w:rsid w:val="00940D28"/>
    <w:rsid w:val="0094120D"/>
    <w:rsid w:val="009412FE"/>
    <w:rsid w:val="0094141E"/>
    <w:rsid w:val="00941BF7"/>
    <w:rsid w:val="009423F8"/>
    <w:rsid w:val="0094247F"/>
    <w:rsid w:val="0094255D"/>
    <w:rsid w:val="00942D09"/>
    <w:rsid w:val="00942D60"/>
    <w:rsid w:val="00943026"/>
    <w:rsid w:val="00943055"/>
    <w:rsid w:val="00944726"/>
    <w:rsid w:val="00944AB4"/>
    <w:rsid w:val="00944BA4"/>
    <w:rsid w:val="00944E17"/>
    <w:rsid w:val="00945060"/>
    <w:rsid w:val="0094550C"/>
    <w:rsid w:val="0094577B"/>
    <w:rsid w:val="00945B20"/>
    <w:rsid w:val="00945BAD"/>
    <w:rsid w:val="00945CF8"/>
    <w:rsid w:val="00945FCB"/>
    <w:rsid w:val="00946258"/>
    <w:rsid w:val="00946556"/>
    <w:rsid w:val="00946C52"/>
    <w:rsid w:val="00947815"/>
    <w:rsid w:val="00947881"/>
    <w:rsid w:val="00947F07"/>
    <w:rsid w:val="00950125"/>
    <w:rsid w:val="0095012D"/>
    <w:rsid w:val="00951178"/>
    <w:rsid w:val="0095183A"/>
    <w:rsid w:val="00951DB6"/>
    <w:rsid w:val="00951E89"/>
    <w:rsid w:val="00952040"/>
    <w:rsid w:val="009520AD"/>
    <w:rsid w:val="00952AD5"/>
    <w:rsid w:val="00952D88"/>
    <w:rsid w:val="009531A8"/>
    <w:rsid w:val="009538AB"/>
    <w:rsid w:val="00953AFD"/>
    <w:rsid w:val="00954CC7"/>
    <w:rsid w:val="00954E9F"/>
    <w:rsid w:val="0095514F"/>
    <w:rsid w:val="00955DE7"/>
    <w:rsid w:val="0095689C"/>
    <w:rsid w:val="0095785E"/>
    <w:rsid w:val="00957D03"/>
    <w:rsid w:val="0096037B"/>
    <w:rsid w:val="0096040A"/>
    <w:rsid w:val="00960A55"/>
    <w:rsid w:val="0096248B"/>
    <w:rsid w:val="009625F7"/>
    <w:rsid w:val="0096276A"/>
    <w:rsid w:val="009631D0"/>
    <w:rsid w:val="0096355E"/>
    <w:rsid w:val="00963936"/>
    <w:rsid w:val="00963E40"/>
    <w:rsid w:val="00964620"/>
    <w:rsid w:val="00964B6E"/>
    <w:rsid w:val="00964F82"/>
    <w:rsid w:val="0096523B"/>
    <w:rsid w:val="00965B69"/>
    <w:rsid w:val="00965CE9"/>
    <w:rsid w:val="009662E9"/>
    <w:rsid w:val="00966503"/>
    <w:rsid w:val="00966780"/>
    <w:rsid w:val="00966D14"/>
    <w:rsid w:val="00966EE3"/>
    <w:rsid w:val="009671DA"/>
    <w:rsid w:val="0096779F"/>
    <w:rsid w:val="009677CE"/>
    <w:rsid w:val="00970472"/>
    <w:rsid w:val="00970517"/>
    <w:rsid w:val="00971533"/>
    <w:rsid w:val="009725AA"/>
    <w:rsid w:val="00972717"/>
    <w:rsid w:val="00972B4E"/>
    <w:rsid w:val="00972D06"/>
    <w:rsid w:val="00973A26"/>
    <w:rsid w:val="00974171"/>
    <w:rsid w:val="00975ADE"/>
    <w:rsid w:val="00975D1C"/>
    <w:rsid w:val="00976041"/>
    <w:rsid w:val="0097614B"/>
    <w:rsid w:val="0097626D"/>
    <w:rsid w:val="00976931"/>
    <w:rsid w:val="00977279"/>
    <w:rsid w:val="009772F4"/>
    <w:rsid w:val="00980233"/>
    <w:rsid w:val="009804C5"/>
    <w:rsid w:val="009805B3"/>
    <w:rsid w:val="00981614"/>
    <w:rsid w:val="00981EE1"/>
    <w:rsid w:val="00982373"/>
    <w:rsid w:val="00982C1F"/>
    <w:rsid w:val="00982D10"/>
    <w:rsid w:val="00982F08"/>
    <w:rsid w:val="00983A11"/>
    <w:rsid w:val="009841B8"/>
    <w:rsid w:val="00985281"/>
    <w:rsid w:val="00986036"/>
    <w:rsid w:val="009866C1"/>
    <w:rsid w:val="00986BD7"/>
    <w:rsid w:val="00987B64"/>
    <w:rsid w:val="00987BBB"/>
    <w:rsid w:val="00990684"/>
    <w:rsid w:val="00990AE7"/>
    <w:rsid w:val="00990CBB"/>
    <w:rsid w:val="00990D5A"/>
    <w:rsid w:val="00990E9E"/>
    <w:rsid w:val="009911DD"/>
    <w:rsid w:val="00991464"/>
    <w:rsid w:val="009916B3"/>
    <w:rsid w:val="00991977"/>
    <w:rsid w:val="00991C51"/>
    <w:rsid w:val="00992009"/>
    <w:rsid w:val="00992B36"/>
    <w:rsid w:val="00992F51"/>
    <w:rsid w:val="00993853"/>
    <w:rsid w:val="00993BE6"/>
    <w:rsid w:val="00993CC3"/>
    <w:rsid w:val="00993DA4"/>
    <w:rsid w:val="00994243"/>
    <w:rsid w:val="00994952"/>
    <w:rsid w:val="00994962"/>
    <w:rsid w:val="0099499A"/>
    <w:rsid w:val="009955DD"/>
    <w:rsid w:val="009956A1"/>
    <w:rsid w:val="00995893"/>
    <w:rsid w:val="00995AA6"/>
    <w:rsid w:val="009962FF"/>
    <w:rsid w:val="0099667A"/>
    <w:rsid w:val="00997F9A"/>
    <w:rsid w:val="009A0163"/>
    <w:rsid w:val="009A048F"/>
    <w:rsid w:val="009A04B9"/>
    <w:rsid w:val="009A04CA"/>
    <w:rsid w:val="009A0701"/>
    <w:rsid w:val="009A09CE"/>
    <w:rsid w:val="009A0CB3"/>
    <w:rsid w:val="009A0F48"/>
    <w:rsid w:val="009A1272"/>
    <w:rsid w:val="009A1606"/>
    <w:rsid w:val="009A16A7"/>
    <w:rsid w:val="009A23AA"/>
    <w:rsid w:val="009A2AD6"/>
    <w:rsid w:val="009A2BBC"/>
    <w:rsid w:val="009A333E"/>
    <w:rsid w:val="009A3796"/>
    <w:rsid w:val="009A3809"/>
    <w:rsid w:val="009A391C"/>
    <w:rsid w:val="009A3A03"/>
    <w:rsid w:val="009A3C09"/>
    <w:rsid w:val="009A4008"/>
    <w:rsid w:val="009A406B"/>
    <w:rsid w:val="009A41D8"/>
    <w:rsid w:val="009A4593"/>
    <w:rsid w:val="009A4818"/>
    <w:rsid w:val="009A50F2"/>
    <w:rsid w:val="009A5271"/>
    <w:rsid w:val="009A55AA"/>
    <w:rsid w:val="009A58C0"/>
    <w:rsid w:val="009A5A4B"/>
    <w:rsid w:val="009A61A0"/>
    <w:rsid w:val="009A7650"/>
    <w:rsid w:val="009A7DE3"/>
    <w:rsid w:val="009B0882"/>
    <w:rsid w:val="009B187A"/>
    <w:rsid w:val="009B1944"/>
    <w:rsid w:val="009B3373"/>
    <w:rsid w:val="009B33A2"/>
    <w:rsid w:val="009B37CA"/>
    <w:rsid w:val="009B3E58"/>
    <w:rsid w:val="009B4376"/>
    <w:rsid w:val="009B48B0"/>
    <w:rsid w:val="009B4DA8"/>
    <w:rsid w:val="009B55FD"/>
    <w:rsid w:val="009B591D"/>
    <w:rsid w:val="009B59C5"/>
    <w:rsid w:val="009B5ABC"/>
    <w:rsid w:val="009B5EAA"/>
    <w:rsid w:val="009B64DD"/>
    <w:rsid w:val="009B659C"/>
    <w:rsid w:val="009B716D"/>
    <w:rsid w:val="009B78C3"/>
    <w:rsid w:val="009B7D3D"/>
    <w:rsid w:val="009C10DC"/>
    <w:rsid w:val="009C1263"/>
    <w:rsid w:val="009C1C22"/>
    <w:rsid w:val="009C257C"/>
    <w:rsid w:val="009C2F95"/>
    <w:rsid w:val="009C3032"/>
    <w:rsid w:val="009C3BEC"/>
    <w:rsid w:val="009C3EC2"/>
    <w:rsid w:val="009C414C"/>
    <w:rsid w:val="009C4322"/>
    <w:rsid w:val="009C558A"/>
    <w:rsid w:val="009C55B5"/>
    <w:rsid w:val="009C629F"/>
    <w:rsid w:val="009C6763"/>
    <w:rsid w:val="009C721F"/>
    <w:rsid w:val="009C72AE"/>
    <w:rsid w:val="009C7904"/>
    <w:rsid w:val="009C7CFE"/>
    <w:rsid w:val="009D00D5"/>
    <w:rsid w:val="009D04E3"/>
    <w:rsid w:val="009D055E"/>
    <w:rsid w:val="009D05BD"/>
    <w:rsid w:val="009D0B08"/>
    <w:rsid w:val="009D0EF4"/>
    <w:rsid w:val="009D175C"/>
    <w:rsid w:val="009D1E54"/>
    <w:rsid w:val="009D2477"/>
    <w:rsid w:val="009D280F"/>
    <w:rsid w:val="009D2A52"/>
    <w:rsid w:val="009D2B7B"/>
    <w:rsid w:val="009D2B82"/>
    <w:rsid w:val="009D2CB0"/>
    <w:rsid w:val="009D2EDC"/>
    <w:rsid w:val="009D30DC"/>
    <w:rsid w:val="009D324B"/>
    <w:rsid w:val="009D41BB"/>
    <w:rsid w:val="009D5243"/>
    <w:rsid w:val="009D560F"/>
    <w:rsid w:val="009D6B77"/>
    <w:rsid w:val="009D6BDF"/>
    <w:rsid w:val="009D6EA7"/>
    <w:rsid w:val="009D718D"/>
    <w:rsid w:val="009D790B"/>
    <w:rsid w:val="009E0484"/>
    <w:rsid w:val="009E06E5"/>
    <w:rsid w:val="009E0864"/>
    <w:rsid w:val="009E0A61"/>
    <w:rsid w:val="009E111B"/>
    <w:rsid w:val="009E1436"/>
    <w:rsid w:val="009E1801"/>
    <w:rsid w:val="009E1A51"/>
    <w:rsid w:val="009E1AC1"/>
    <w:rsid w:val="009E2684"/>
    <w:rsid w:val="009E2E46"/>
    <w:rsid w:val="009E2E98"/>
    <w:rsid w:val="009E2FF5"/>
    <w:rsid w:val="009E3010"/>
    <w:rsid w:val="009E3047"/>
    <w:rsid w:val="009E3B7C"/>
    <w:rsid w:val="009E4354"/>
    <w:rsid w:val="009E4527"/>
    <w:rsid w:val="009E506A"/>
    <w:rsid w:val="009E5806"/>
    <w:rsid w:val="009E58DC"/>
    <w:rsid w:val="009E5A62"/>
    <w:rsid w:val="009E5E57"/>
    <w:rsid w:val="009E6153"/>
    <w:rsid w:val="009E6330"/>
    <w:rsid w:val="009E68DF"/>
    <w:rsid w:val="009E7F32"/>
    <w:rsid w:val="009F007E"/>
    <w:rsid w:val="009F0A6C"/>
    <w:rsid w:val="009F1095"/>
    <w:rsid w:val="009F12DA"/>
    <w:rsid w:val="009F1533"/>
    <w:rsid w:val="009F1611"/>
    <w:rsid w:val="009F1ABF"/>
    <w:rsid w:val="009F1BCF"/>
    <w:rsid w:val="009F3235"/>
    <w:rsid w:val="009F32D9"/>
    <w:rsid w:val="009F37CD"/>
    <w:rsid w:val="009F3CE2"/>
    <w:rsid w:val="009F4288"/>
    <w:rsid w:val="009F428D"/>
    <w:rsid w:val="009F449C"/>
    <w:rsid w:val="009F49F1"/>
    <w:rsid w:val="009F4AD2"/>
    <w:rsid w:val="009F4D59"/>
    <w:rsid w:val="009F55B7"/>
    <w:rsid w:val="009F5E2D"/>
    <w:rsid w:val="009F60E8"/>
    <w:rsid w:val="009F6993"/>
    <w:rsid w:val="009F7065"/>
    <w:rsid w:val="009F7804"/>
    <w:rsid w:val="00A005A9"/>
    <w:rsid w:val="00A00C2E"/>
    <w:rsid w:val="00A00CE3"/>
    <w:rsid w:val="00A01577"/>
    <w:rsid w:val="00A01664"/>
    <w:rsid w:val="00A01DBA"/>
    <w:rsid w:val="00A02214"/>
    <w:rsid w:val="00A02226"/>
    <w:rsid w:val="00A0271D"/>
    <w:rsid w:val="00A0385C"/>
    <w:rsid w:val="00A0397E"/>
    <w:rsid w:val="00A046C2"/>
    <w:rsid w:val="00A0470D"/>
    <w:rsid w:val="00A04AC7"/>
    <w:rsid w:val="00A04F4E"/>
    <w:rsid w:val="00A0535F"/>
    <w:rsid w:val="00A057E5"/>
    <w:rsid w:val="00A06560"/>
    <w:rsid w:val="00A06755"/>
    <w:rsid w:val="00A06E37"/>
    <w:rsid w:val="00A0764E"/>
    <w:rsid w:val="00A07DE7"/>
    <w:rsid w:val="00A07F2E"/>
    <w:rsid w:val="00A10260"/>
    <w:rsid w:val="00A10EA7"/>
    <w:rsid w:val="00A11EBD"/>
    <w:rsid w:val="00A120D1"/>
    <w:rsid w:val="00A1292F"/>
    <w:rsid w:val="00A12B44"/>
    <w:rsid w:val="00A12C7D"/>
    <w:rsid w:val="00A13A27"/>
    <w:rsid w:val="00A13C3A"/>
    <w:rsid w:val="00A145AF"/>
    <w:rsid w:val="00A146B0"/>
    <w:rsid w:val="00A14867"/>
    <w:rsid w:val="00A15000"/>
    <w:rsid w:val="00A15AF1"/>
    <w:rsid w:val="00A15B47"/>
    <w:rsid w:val="00A16DCF"/>
    <w:rsid w:val="00A16F7A"/>
    <w:rsid w:val="00A174B4"/>
    <w:rsid w:val="00A17C20"/>
    <w:rsid w:val="00A17F5D"/>
    <w:rsid w:val="00A204E4"/>
    <w:rsid w:val="00A20A93"/>
    <w:rsid w:val="00A2110D"/>
    <w:rsid w:val="00A216EB"/>
    <w:rsid w:val="00A220A4"/>
    <w:rsid w:val="00A22170"/>
    <w:rsid w:val="00A223A6"/>
    <w:rsid w:val="00A22C0B"/>
    <w:rsid w:val="00A22EAF"/>
    <w:rsid w:val="00A2360D"/>
    <w:rsid w:val="00A23A99"/>
    <w:rsid w:val="00A23B2C"/>
    <w:rsid w:val="00A23BC4"/>
    <w:rsid w:val="00A2473C"/>
    <w:rsid w:val="00A24E2C"/>
    <w:rsid w:val="00A24F7F"/>
    <w:rsid w:val="00A25DB9"/>
    <w:rsid w:val="00A2609A"/>
    <w:rsid w:val="00A264D4"/>
    <w:rsid w:val="00A26849"/>
    <w:rsid w:val="00A26C06"/>
    <w:rsid w:val="00A26FE9"/>
    <w:rsid w:val="00A27170"/>
    <w:rsid w:val="00A30179"/>
    <w:rsid w:val="00A30465"/>
    <w:rsid w:val="00A30A09"/>
    <w:rsid w:val="00A30B6E"/>
    <w:rsid w:val="00A32082"/>
    <w:rsid w:val="00A32F21"/>
    <w:rsid w:val="00A33610"/>
    <w:rsid w:val="00A33BA6"/>
    <w:rsid w:val="00A34236"/>
    <w:rsid w:val="00A342AF"/>
    <w:rsid w:val="00A34393"/>
    <w:rsid w:val="00A34A45"/>
    <w:rsid w:val="00A34BE7"/>
    <w:rsid w:val="00A35D9F"/>
    <w:rsid w:val="00A368E5"/>
    <w:rsid w:val="00A40193"/>
    <w:rsid w:val="00A40380"/>
    <w:rsid w:val="00A405F5"/>
    <w:rsid w:val="00A409A7"/>
    <w:rsid w:val="00A40BF5"/>
    <w:rsid w:val="00A40CD5"/>
    <w:rsid w:val="00A410CD"/>
    <w:rsid w:val="00A4113A"/>
    <w:rsid w:val="00A4175D"/>
    <w:rsid w:val="00A41BED"/>
    <w:rsid w:val="00A42687"/>
    <w:rsid w:val="00A42AC6"/>
    <w:rsid w:val="00A43708"/>
    <w:rsid w:val="00A44575"/>
    <w:rsid w:val="00A447AC"/>
    <w:rsid w:val="00A457D2"/>
    <w:rsid w:val="00A46078"/>
    <w:rsid w:val="00A47751"/>
    <w:rsid w:val="00A4777F"/>
    <w:rsid w:val="00A50FA6"/>
    <w:rsid w:val="00A51467"/>
    <w:rsid w:val="00A51505"/>
    <w:rsid w:val="00A518C0"/>
    <w:rsid w:val="00A51C06"/>
    <w:rsid w:val="00A51E3D"/>
    <w:rsid w:val="00A522F9"/>
    <w:rsid w:val="00A52DB8"/>
    <w:rsid w:val="00A53BCD"/>
    <w:rsid w:val="00A53CE6"/>
    <w:rsid w:val="00A545E1"/>
    <w:rsid w:val="00A54934"/>
    <w:rsid w:val="00A54B95"/>
    <w:rsid w:val="00A54D7D"/>
    <w:rsid w:val="00A559E7"/>
    <w:rsid w:val="00A56124"/>
    <w:rsid w:val="00A56A5A"/>
    <w:rsid w:val="00A56BCD"/>
    <w:rsid w:val="00A56BEE"/>
    <w:rsid w:val="00A56DC7"/>
    <w:rsid w:val="00A56E34"/>
    <w:rsid w:val="00A57FD8"/>
    <w:rsid w:val="00A60292"/>
    <w:rsid w:val="00A60E3B"/>
    <w:rsid w:val="00A6126C"/>
    <w:rsid w:val="00A6149B"/>
    <w:rsid w:val="00A62130"/>
    <w:rsid w:val="00A62A4F"/>
    <w:rsid w:val="00A62C80"/>
    <w:rsid w:val="00A62DCB"/>
    <w:rsid w:val="00A6386E"/>
    <w:rsid w:val="00A647F8"/>
    <w:rsid w:val="00A64EAA"/>
    <w:rsid w:val="00A64F64"/>
    <w:rsid w:val="00A6520D"/>
    <w:rsid w:val="00A6565C"/>
    <w:rsid w:val="00A65796"/>
    <w:rsid w:val="00A65CAB"/>
    <w:rsid w:val="00A66401"/>
    <w:rsid w:val="00A66A21"/>
    <w:rsid w:val="00A66CC8"/>
    <w:rsid w:val="00A67906"/>
    <w:rsid w:val="00A70052"/>
    <w:rsid w:val="00A703BF"/>
    <w:rsid w:val="00A704CA"/>
    <w:rsid w:val="00A7056C"/>
    <w:rsid w:val="00A7182F"/>
    <w:rsid w:val="00A719A6"/>
    <w:rsid w:val="00A72377"/>
    <w:rsid w:val="00A723DE"/>
    <w:rsid w:val="00A72525"/>
    <w:rsid w:val="00A73162"/>
    <w:rsid w:val="00A731CC"/>
    <w:rsid w:val="00A739CD"/>
    <w:rsid w:val="00A7416D"/>
    <w:rsid w:val="00A74414"/>
    <w:rsid w:val="00A74EA1"/>
    <w:rsid w:val="00A74FD1"/>
    <w:rsid w:val="00A75BF6"/>
    <w:rsid w:val="00A7665E"/>
    <w:rsid w:val="00A774EA"/>
    <w:rsid w:val="00A776C8"/>
    <w:rsid w:val="00A779AF"/>
    <w:rsid w:val="00A80732"/>
    <w:rsid w:val="00A80B40"/>
    <w:rsid w:val="00A80B8A"/>
    <w:rsid w:val="00A80CA6"/>
    <w:rsid w:val="00A80D49"/>
    <w:rsid w:val="00A80F8E"/>
    <w:rsid w:val="00A822D7"/>
    <w:rsid w:val="00A82700"/>
    <w:rsid w:val="00A82E22"/>
    <w:rsid w:val="00A832D7"/>
    <w:rsid w:val="00A8360E"/>
    <w:rsid w:val="00A8368E"/>
    <w:rsid w:val="00A83F12"/>
    <w:rsid w:val="00A84083"/>
    <w:rsid w:val="00A84130"/>
    <w:rsid w:val="00A84A58"/>
    <w:rsid w:val="00A84B57"/>
    <w:rsid w:val="00A84B82"/>
    <w:rsid w:val="00A86E2D"/>
    <w:rsid w:val="00A874DD"/>
    <w:rsid w:val="00A8762E"/>
    <w:rsid w:val="00A87984"/>
    <w:rsid w:val="00A90E62"/>
    <w:rsid w:val="00A9167D"/>
    <w:rsid w:val="00A91DF1"/>
    <w:rsid w:val="00A92138"/>
    <w:rsid w:val="00A924AF"/>
    <w:rsid w:val="00A92F41"/>
    <w:rsid w:val="00A941D0"/>
    <w:rsid w:val="00A94447"/>
    <w:rsid w:val="00A948DB"/>
    <w:rsid w:val="00A94BE3"/>
    <w:rsid w:val="00A94DA1"/>
    <w:rsid w:val="00A94ED8"/>
    <w:rsid w:val="00A95259"/>
    <w:rsid w:val="00A95310"/>
    <w:rsid w:val="00A961C3"/>
    <w:rsid w:val="00A9655D"/>
    <w:rsid w:val="00A96586"/>
    <w:rsid w:val="00A97ABF"/>
    <w:rsid w:val="00AA0525"/>
    <w:rsid w:val="00AA0719"/>
    <w:rsid w:val="00AA0E3E"/>
    <w:rsid w:val="00AA1DEB"/>
    <w:rsid w:val="00AA1EBF"/>
    <w:rsid w:val="00AA1F2E"/>
    <w:rsid w:val="00AA1F8B"/>
    <w:rsid w:val="00AA238C"/>
    <w:rsid w:val="00AA25CE"/>
    <w:rsid w:val="00AA262A"/>
    <w:rsid w:val="00AA2924"/>
    <w:rsid w:val="00AA2BBA"/>
    <w:rsid w:val="00AA30AD"/>
    <w:rsid w:val="00AA330F"/>
    <w:rsid w:val="00AA3459"/>
    <w:rsid w:val="00AA3794"/>
    <w:rsid w:val="00AA3CF3"/>
    <w:rsid w:val="00AA4E3E"/>
    <w:rsid w:val="00AA5D47"/>
    <w:rsid w:val="00AA6451"/>
    <w:rsid w:val="00AA6DB4"/>
    <w:rsid w:val="00AA75E0"/>
    <w:rsid w:val="00AA7E2C"/>
    <w:rsid w:val="00AB0275"/>
    <w:rsid w:val="00AB0D39"/>
    <w:rsid w:val="00AB1315"/>
    <w:rsid w:val="00AB15B5"/>
    <w:rsid w:val="00AB16B9"/>
    <w:rsid w:val="00AB1788"/>
    <w:rsid w:val="00AB240F"/>
    <w:rsid w:val="00AB2563"/>
    <w:rsid w:val="00AB3201"/>
    <w:rsid w:val="00AB34DA"/>
    <w:rsid w:val="00AB3BA7"/>
    <w:rsid w:val="00AB40C7"/>
    <w:rsid w:val="00AB422E"/>
    <w:rsid w:val="00AB4292"/>
    <w:rsid w:val="00AB47CF"/>
    <w:rsid w:val="00AB48CF"/>
    <w:rsid w:val="00AB4A7F"/>
    <w:rsid w:val="00AB5245"/>
    <w:rsid w:val="00AB568E"/>
    <w:rsid w:val="00AB5859"/>
    <w:rsid w:val="00AB585F"/>
    <w:rsid w:val="00AB74D2"/>
    <w:rsid w:val="00AB750D"/>
    <w:rsid w:val="00AB756C"/>
    <w:rsid w:val="00AB775B"/>
    <w:rsid w:val="00AB7AF3"/>
    <w:rsid w:val="00AC041B"/>
    <w:rsid w:val="00AC0970"/>
    <w:rsid w:val="00AC09D5"/>
    <w:rsid w:val="00AC21B9"/>
    <w:rsid w:val="00AC241A"/>
    <w:rsid w:val="00AC2977"/>
    <w:rsid w:val="00AC30B4"/>
    <w:rsid w:val="00AC31B0"/>
    <w:rsid w:val="00AC3416"/>
    <w:rsid w:val="00AC3AB7"/>
    <w:rsid w:val="00AC43CE"/>
    <w:rsid w:val="00AC44CF"/>
    <w:rsid w:val="00AC4EAF"/>
    <w:rsid w:val="00AC52E7"/>
    <w:rsid w:val="00AC5AF0"/>
    <w:rsid w:val="00AC5C13"/>
    <w:rsid w:val="00AC5C47"/>
    <w:rsid w:val="00AC5DF5"/>
    <w:rsid w:val="00AC5E77"/>
    <w:rsid w:val="00AC6243"/>
    <w:rsid w:val="00AC63D3"/>
    <w:rsid w:val="00AC74CB"/>
    <w:rsid w:val="00AD00C8"/>
    <w:rsid w:val="00AD0BFC"/>
    <w:rsid w:val="00AD0E51"/>
    <w:rsid w:val="00AD1663"/>
    <w:rsid w:val="00AD22F9"/>
    <w:rsid w:val="00AD24C3"/>
    <w:rsid w:val="00AD267F"/>
    <w:rsid w:val="00AD30FF"/>
    <w:rsid w:val="00AD3838"/>
    <w:rsid w:val="00AD46A2"/>
    <w:rsid w:val="00AD4D03"/>
    <w:rsid w:val="00AD4E1E"/>
    <w:rsid w:val="00AD4FDD"/>
    <w:rsid w:val="00AD5582"/>
    <w:rsid w:val="00AD6433"/>
    <w:rsid w:val="00AD64C7"/>
    <w:rsid w:val="00AD6511"/>
    <w:rsid w:val="00AD6C69"/>
    <w:rsid w:val="00AD7454"/>
    <w:rsid w:val="00AD77EF"/>
    <w:rsid w:val="00AD7A3D"/>
    <w:rsid w:val="00AE0033"/>
    <w:rsid w:val="00AE006A"/>
    <w:rsid w:val="00AE03D6"/>
    <w:rsid w:val="00AE0450"/>
    <w:rsid w:val="00AE04D4"/>
    <w:rsid w:val="00AE0978"/>
    <w:rsid w:val="00AE1186"/>
    <w:rsid w:val="00AE2652"/>
    <w:rsid w:val="00AE2AA8"/>
    <w:rsid w:val="00AE2FFB"/>
    <w:rsid w:val="00AE3142"/>
    <w:rsid w:val="00AE3D39"/>
    <w:rsid w:val="00AE3E5E"/>
    <w:rsid w:val="00AE4E6E"/>
    <w:rsid w:val="00AE54F4"/>
    <w:rsid w:val="00AE5E61"/>
    <w:rsid w:val="00AE6161"/>
    <w:rsid w:val="00AE6440"/>
    <w:rsid w:val="00AE65F2"/>
    <w:rsid w:val="00AE684E"/>
    <w:rsid w:val="00AE766D"/>
    <w:rsid w:val="00AE79CC"/>
    <w:rsid w:val="00AF0131"/>
    <w:rsid w:val="00AF020A"/>
    <w:rsid w:val="00AF04E6"/>
    <w:rsid w:val="00AF06D2"/>
    <w:rsid w:val="00AF06FC"/>
    <w:rsid w:val="00AF0A1A"/>
    <w:rsid w:val="00AF1787"/>
    <w:rsid w:val="00AF17C1"/>
    <w:rsid w:val="00AF1896"/>
    <w:rsid w:val="00AF22B0"/>
    <w:rsid w:val="00AF2603"/>
    <w:rsid w:val="00AF2C33"/>
    <w:rsid w:val="00AF3236"/>
    <w:rsid w:val="00AF3391"/>
    <w:rsid w:val="00AF387F"/>
    <w:rsid w:val="00AF3D27"/>
    <w:rsid w:val="00AF49AC"/>
    <w:rsid w:val="00AF563C"/>
    <w:rsid w:val="00AF57F4"/>
    <w:rsid w:val="00AF59E7"/>
    <w:rsid w:val="00AF602C"/>
    <w:rsid w:val="00AF6345"/>
    <w:rsid w:val="00AF6605"/>
    <w:rsid w:val="00AF69A9"/>
    <w:rsid w:val="00AF70F0"/>
    <w:rsid w:val="00AF769A"/>
    <w:rsid w:val="00B005B5"/>
    <w:rsid w:val="00B00E7F"/>
    <w:rsid w:val="00B014B5"/>
    <w:rsid w:val="00B01628"/>
    <w:rsid w:val="00B017DA"/>
    <w:rsid w:val="00B02112"/>
    <w:rsid w:val="00B02409"/>
    <w:rsid w:val="00B0283F"/>
    <w:rsid w:val="00B02C2A"/>
    <w:rsid w:val="00B02D73"/>
    <w:rsid w:val="00B04FE3"/>
    <w:rsid w:val="00B057A6"/>
    <w:rsid w:val="00B058F3"/>
    <w:rsid w:val="00B0619F"/>
    <w:rsid w:val="00B0651F"/>
    <w:rsid w:val="00B06547"/>
    <w:rsid w:val="00B0690D"/>
    <w:rsid w:val="00B06D13"/>
    <w:rsid w:val="00B07024"/>
    <w:rsid w:val="00B072D9"/>
    <w:rsid w:val="00B077C6"/>
    <w:rsid w:val="00B078FC"/>
    <w:rsid w:val="00B10359"/>
    <w:rsid w:val="00B10C0B"/>
    <w:rsid w:val="00B1137E"/>
    <w:rsid w:val="00B11470"/>
    <w:rsid w:val="00B11738"/>
    <w:rsid w:val="00B11771"/>
    <w:rsid w:val="00B121E1"/>
    <w:rsid w:val="00B123A2"/>
    <w:rsid w:val="00B12494"/>
    <w:rsid w:val="00B12863"/>
    <w:rsid w:val="00B13464"/>
    <w:rsid w:val="00B1379A"/>
    <w:rsid w:val="00B1388F"/>
    <w:rsid w:val="00B13963"/>
    <w:rsid w:val="00B13C14"/>
    <w:rsid w:val="00B13C15"/>
    <w:rsid w:val="00B13EAB"/>
    <w:rsid w:val="00B14011"/>
    <w:rsid w:val="00B1549E"/>
    <w:rsid w:val="00B155CC"/>
    <w:rsid w:val="00B15CB8"/>
    <w:rsid w:val="00B15D08"/>
    <w:rsid w:val="00B15EDE"/>
    <w:rsid w:val="00B160E2"/>
    <w:rsid w:val="00B16FE4"/>
    <w:rsid w:val="00B171B0"/>
    <w:rsid w:val="00B171B7"/>
    <w:rsid w:val="00B173C7"/>
    <w:rsid w:val="00B173DA"/>
    <w:rsid w:val="00B1783C"/>
    <w:rsid w:val="00B17F54"/>
    <w:rsid w:val="00B2002F"/>
    <w:rsid w:val="00B21191"/>
    <w:rsid w:val="00B214FB"/>
    <w:rsid w:val="00B21B9B"/>
    <w:rsid w:val="00B21DCC"/>
    <w:rsid w:val="00B21F2A"/>
    <w:rsid w:val="00B223B8"/>
    <w:rsid w:val="00B22DB7"/>
    <w:rsid w:val="00B23A47"/>
    <w:rsid w:val="00B24918"/>
    <w:rsid w:val="00B250CB"/>
    <w:rsid w:val="00B25197"/>
    <w:rsid w:val="00B25613"/>
    <w:rsid w:val="00B25E84"/>
    <w:rsid w:val="00B25F37"/>
    <w:rsid w:val="00B25F84"/>
    <w:rsid w:val="00B27756"/>
    <w:rsid w:val="00B278F2"/>
    <w:rsid w:val="00B27B29"/>
    <w:rsid w:val="00B27B61"/>
    <w:rsid w:val="00B30158"/>
    <w:rsid w:val="00B30B28"/>
    <w:rsid w:val="00B3196A"/>
    <w:rsid w:val="00B32DF3"/>
    <w:rsid w:val="00B330F2"/>
    <w:rsid w:val="00B3315A"/>
    <w:rsid w:val="00B33758"/>
    <w:rsid w:val="00B33943"/>
    <w:rsid w:val="00B33FAB"/>
    <w:rsid w:val="00B34403"/>
    <w:rsid w:val="00B34807"/>
    <w:rsid w:val="00B34BA1"/>
    <w:rsid w:val="00B358A8"/>
    <w:rsid w:val="00B35A08"/>
    <w:rsid w:val="00B35F00"/>
    <w:rsid w:val="00B36057"/>
    <w:rsid w:val="00B363D9"/>
    <w:rsid w:val="00B36990"/>
    <w:rsid w:val="00B36A1C"/>
    <w:rsid w:val="00B36AF9"/>
    <w:rsid w:val="00B36B63"/>
    <w:rsid w:val="00B37484"/>
    <w:rsid w:val="00B3761A"/>
    <w:rsid w:val="00B37F34"/>
    <w:rsid w:val="00B402AA"/>
    <w:rsid w:val="00B40793"/>
    <w:rsid w:val="00B40DA2"/>
    <w:rsid w:val="00B419BD"/>
    <w:rsid w:val="00B41B43"/>
    <w:rsid w:val="00B41C9B"/>
    <w:rsid w:val="00B41D2E"/>
    <w:rsid w:val="00B422C3"/>
    <w:rsid w:val="00B422E3"/>
    <w:rsid w:val="00B42642"/>
    <w:rsid w:val="00B42AA4"/>
    <w:rsid w:val="00B42CB5"/>
    <w:rsid w:val="00B433EB"/>
    <w:rsid w:val="00B44134"/>
    <w:rsid w:val="00B44422"/>
    <w:rsid w:val="00B444B5"/>
    <w:rsid w:val="00B446FE"/>
    <w:rsid w:val="00B447AD"/>
    <w:rsid w:val="00B44A93"/>
    <w:rsid w:val="00B44AA0"/>
    <w:rsid w:val="00B44BAB"/>
    <w:rsid w:val="00B44FC5"/>
    <w:rsid w:val="00B4512E"/>
    <w:rsid w:val="00B4568E"/>
    <w:rsid w:val="00B45ECB"/>
    <w:rsid w:val="00B46368"/>
    <w:rsid w:val="00B4664E"/>
    <w:rsid w:val="00B4673C"/>
    <w:rsid w:val="00B467BB"/>
    <w:rsid w:val="00B46A42"/>
    <w:rsid w:val="00B46EA0"/>
    <w:rsid w:val="00B46EDE"/>
    <w:rsid w:val="00B4757B"/>
    <w:rsid w:val="00B476DF"/>
    <w:rsid w:val="00B47704"/>
    <w:rsid w:val="00B47909"/>
    <w:rsid w:val="00B47AC4"/>
    <w:rsid w:val="00B501D8"/>
    <w:rsid w:val="00B50978"/>
    <w:rsid w:val="00B50D3D"/>
    <w:rsid w:val="00B51870"/>
    <w:rsid w:val="00B518D1"/>
    <w:rsid w:val="00B51E03"/>
    <w:rsid w:val="00B51E8E"/>
    <w:rsid w:val="00B52239"/>
    <w:rsid w:val="00B5260C"/>
    <w:rsid w:val="00B52AC9"/>
    <w:rsid w:val="00B52CC8"/>
    <w:rsid w:val="00B54C39"/>
    <w:rsid w:val="00B54D03"/>
    <w:rsid w:val="00B54F77"/>
    <w:rsid w:val="00B5515A"/>
    <w:rsid w:val="00B55424"/>
    <w:rsid w:val="00B565FE"/>
    <w:rsid w:val="00B56E57"/>
    <w:rsid w:val="00B57142"/>
    <w:rsid w:val="00B57262"/>
    <w:rsid w:val="00B5760A"/>
    <w:rsid w:val="00B576FD"/>
    <w:rsid w:val="00B579EC"/>
    <w:rsid w:val="00B600FC"/>
    <w:rsid w:val="00B612C4"/>
    <w:rsid w:val="00B62371"/>
    <w:rsid w:val="00B628AD"/>
    <w:rsid w:val="00B6290C"/>
    <w:rsid w:val="00B6293B"/>
    <w:rsid w:val="00B62F5A"/>
    <w:rsid w:val="00B62F74"/>
    <w:rsid w:val="00B6310D"/>
    <w:rsid w:val="00B63568"/>
    <w:rsid w:val="00B635D3"/>
    <w:rsid w:val="00B637E2"/>
    <w:rsid w:val="00B63FCD"/>
    <w:rsid w:val="00B64ADD"/>
    <w:rsid w:val="00B64CC5"/>
    <w:rsid w:val="00B6550C"/>
    <w:rsid w:val="00B656FF"/>
    <w:rsid w:val="00B65710"/>
    <w:rsid w:val="00B658BF"/>
    <w:rsid w:val="00B65E8F"/>
    <w:rsid w:val="00B65F19"/>
    <w:rsid w:val="00B678A2"/>
    <w:rsid w:val="00B67AD2"/>
    <w:rsid w:val="00B700A8"/>
    <w:rsid w:val="00B701B5"/>
    <w:rsid w:val="00B706D1"/>
    <w:rsid w:val="00B716A0"/>
    <w:rsid w:val="00B7184C"/>
    <w:rsid w:val="00B71F51"/>
    <w:rsid w:val="00B72353"/>
    <w:rsid w:val="00B72A8E"/>
    <w:rsid w:val="00B72BEC"/>
    <w:rsid w:val="00B72F3C"/>
    <w:rsid w:val="00B731D3"/>
    <w:rsid w:val="00B7341B"/>
    <w:rsid w:val="00B73A1D"/>
    <w:rsid w:val="00B74303"/>
    <w:rsid w:val="00B746B7"/>
    <w:rsid w:val="00B74B24"/>
    <w:rsid w:val="00B74DB1"/>
    <w:rsid w:val="00B76257"/>
    <w:rsid w:val="00B7628A"/>
    <w:rsid w:val="00B76624"/>
    <w:rsid w:val="00B77206"/>
    <w:rsid w:val="00B777C1"/>
    <w:rsid w:val="00B77A64"/>
    <w:rsid w:val="00B77F1D"/>
    <w:rsid w:val="00B80029"/>
    <w:rsid w:val="00B8064E"/>
    <w:rsid w:val="00B807C4"/>
    <w:rsid w:val="00B813A5"/>
    <w:rsid w:val="00B815E5"/>
    <w:rsid w:val="00B81D5C"/>
    <w:rsid w:val="00B82186"/>
    <w:rsid w:val="00B82323"/>
    <w:rsid w:val="00B82A95"/>
    <w:rsid w:val="00B831C7"/>
    <w:rsid w:val="00B83259"/>
    <w:rsid w:val="00B833D8"/>
    <w:rsid w:val="00B839A3"/>
    <w:rsid w:val="00B84398"/>
    <w:rsid w:val="00B843AB"/>
    <w:rsid w:val="00B84512"/>
    <w:rsid w:val="00B848BD"/>
    <w:rsid w:val="00B84E09"/>
    <w:rsid w:val="00B853D2"/>
    <w:rsid w:val="00B8600A"/>
    <w:rsid w:val="00B87843"/>
    <w:rsid w:val="00B87C1F"/>
    <w:rsid w:val="00B87FD6"/>
    <w:rsid w:val="00B902BD"/>
    <w:rsid w:val="00B91B37"/>
    <w:rsid w:val="00B9218E"/>
    <w:rsid w:val="00B926BF"/>
    <w:rsid w:val="00B927CC"/>
    <w:rsid w:val="00B92C35"/>
    <w:rsid w:val="00B943A5"/>
    <w:rsid w:val="00B95171"/>
    <w:rsid w:val="00B95576"/>
    <w:rsid w:val="00B95A79"/>
    <w:rsid w:val="00B9694C"/>
    <w:rsid w:val="00B96DAC"/>
    <w:rsid w:val="00B97038"/>
    <w:rsid w:val="00B972A8"/>
    <w:rsid w:val="00B97844"/>
    <w:rsid w:val="00B97D29"/>
    <w:rsid w:val="00BA0115"/>
    <w:rsid w:val="00BA011F"/>
    <w:rsid w:val="00BA0647"/>
    <w:rsid w:val="00BA16D4"/>
    <w:rsid w:val="00BA1851"/>
    <w:rsid w:val="00BA1914"/>
    <w:rsid w:val="00BA1917"/>
    <w:rsid w:val="00BA1A43"/>
    <w:rsid w:val="00BA24E2"/>
    <w:rsid w:val="00BA2F99"/>
    <w:rsid w:val="00BA3068"/>
    <w:rsid w:val="00BA31C4"/>
    <w:rsid w:val="00BA31C5"/>
    <w:rsid w:val="00BA37F3"/>
    <w:rsid w:val="00BA3F40"/>
    <w:rsid w:val="00BA4456"/>
    <w:rsid w:val="00BA519F"/>
    <w:rsid w:val="00BA636B"/>
    <w:rsid w:val="00BA6C7C"/>
    <w:rsid w:val="00BA70C7"/>
    <w:rsid w:val="00BA736F"/>
    <w:rsid w:val="00BA7897"/>
    <w:rsid w:val="00BA79A9"/>
    <w:rsid w:val="00BA7DEC"/>
    <w:rsid w:val="00BB022D"/>
    <w:rsid w:val="00BB13CA"/>
    <w:rsid w:val="00BB1585"/>
    <w:rsid w:val="00BB17B7"/>
    <w:rsid w:val="00BB1BDF"/>
    <w:rsid w:val="00BB1CEB"/>
    <w:rsid w:val="00BB1DE2"/>
    <w:rsid w:val="00BB2255"/>
    <w:rsid w:val="00BB22B5"/>
    <w:rsid w:val="00BB24BF"/>
    <w:rsid w:val="00BB24FC"/>
    <w:rsid w:val="00BB2DA4"/>
    <w:rsid w:val="00BB3345"/>
    <w:rsid w:val="00BB3A2C"/>
    <w:rsid w:val="00BB455E"/>
    <w:rsid w:val="00BB46FF"/>
    <w:rsid w:val="00BB52E4"/>
    <w:rsid w:val="00BB56F4"/>
    <w:rsid w:val="00BB5930"/>
    <w:rsid w:val="00BB5F3A"/>
    <w:rsid w:val="00BB6C0B"/>
    <w:rsid w:val="00BB784E"/>
    <w:rsid w:val="00BC0320"/>
    <w:rsid w:val="00BC1DC5"/>
    <w:rsid w:val="00BC1EEC"/>
    <w:rsid w:val="00BC20C8"/>
    <w:rsid w:val="00BC222B"/>
    <w:rsid w:val="00BC2A9A"/>
    <w:rsid w:val="00BC33EA"/>
    <w:rsid w:val="00BC3B44"/>
    <w:rsid w:val="00BC455B"/>
    <w:rsid w:val="00BC4EA7"/>
    <w:rsid w:val="00BC5289"/>
    <w:rsid w:val="00BC5D59"/>
    <w:rsid w:val="00BC5EC8"/>
    <w:rsid w:val="00BC6086"/>
    <w:rsid w:val="00BC6958"/>
    <w:rsid w:val="00BC7059"/>
    <w:rsid w:val="00BC7083"/>
    <w:rsid w:val="00BC751E"/>
    <w:rsid w:val="00BD0468"/>
    <w:rsid w:val="00BD04D5"/>
    <w:rsid w:val="00BD0785"/>
    <w:rsid w:val="00BD0BE8"/>
    <w:rsid w:val="00BD0FA3"/>
    <w:rsid w:val="00BD14B4"/>
    <w:rsid w:val="00BD14C4"/>
    <w:rsid w:val="00BD2004"/>
    <w:rsid w:val="00BD2435"/>
    <w:rsid w:val="00BD245B"/>
    <w:rsid w:val="00BD2A39"/>
    <w:rsid w:val="00BD2B97"/>
    <w:rsid w:val="00BD2E80"/>
    <w:rsid w:val="00BD31F9"/>
    <w:rsid w:val="00BD404F"/>
    <w:rsid w:val="00BD47E1"/>
    <w:rsid w:val="00BD4F66"/>
    <w:rsid w:val="00BD5507"/>
    <w:rsid w:val="00BD5776"/>
    <w:rsid w:val="00BD59E2"/>
    <w:rsid w:val="00BD5C45"/>
    <w:rsid w:val="00BD6287"/>
    <w:rsid w:val="00BD707D"/>
    <w:rsid w:val="00BD744E"/>
    <w:rsid w:val="00BD75C8"/>
    <w:rsid w:val="00BD7AB3"/>
    <w:rsid w:val="00BD7DA5"/>
    <w:rsid w:val="00BE0829"/>
    <w:rsid w:val="00BE0975"/>
    <w:rsid w:val="00BE1037"/>
    <w:rsid w:val="00BE11B8"/>
    <w:rsid w:val="00BE1973"/>
    <w:rsid w:val="00BE1F90"/>
    <w:rsid w:val="00BE2153"/>
    <w:rsid w:val="00BE2ACC"/>
    <w:rsid w:val="00BE3226"/>
    <w:rsid w:val="00BE3818"/>
    <w:rsid w:val="00BE3A31"/>
    <w:rsid w:val="00BE438E"/>
    <w:rsid w:val="00BE44E0"/>
    <w:rsid w:val="00BE46A7"/>
    <w:rsid w:val="00BE497D"/>
    <w:rsid w:val="00BE49B9"/>
    <w:rsid w:val="00BE49BE"/>
    <w:rsid w:val="00BE4AFA"/>
    <w:rsid w:val="00BE4FD6"/>
    <w:rsid w:val="00BE5140"/>
    <w:rsid w:val="00BE5487"/>
    <w:rsid w:val="00BE570A"/>
    <w:rsid w:val="00BE5803"/>
    <w:rsid w:val="00BE5AEB"/>
    <w:rsid w:val="00BE61E3"/>
    <w:rsid w:val="00BE65AA"/>
    <w:rsid w:val="00BE764C"/>
    <w:rsid w:val="00BF0119"/>
    <w:rsid w:val="00BF0225"/>
    <w:rsid w:val="00BF0C0F"/>
    <w:rsid w:val="00BF0E40"/>
    <w:rsid w:val="00BF1144"/>
    <w:rsid w:val="00BF118C"/>
    <w:rsid w:val="00BF15A4"/>
    <w:rsid w:val="00BF1B31"/>
    <w:rsid w:val="00BF2A99"/>
    <w:rsid w:val="00BF2DBE"/>
    <w:rsid w:val="00BF321B"/>
    <w:rsid w:val="00BF34F6"/>
    <w:rsid w:val="00BF36B3"/>
    <w:rsid w:val="00BF3B71"/>
    <w:rsid w:val="00BF3DE7"/>
    <w:rsid w:val="00BF405E"/>
    <w:rsid w:val="00BF5528"/>
    <w:rsid w:val="00BF61D6"/>
    <w:rsid w:val="00BF655D"/>
    <w:rsid w:val="00BF6A07"/>
    <w:rsid w:val="00BF6AA7"/>
    <w:rsid w:val="00BF742F"/>
    <w:rsid w:val="00BF7AF4"/>
    <w:rsid w:val="00BF7F27"/>
    <w:rsid w:val="00BF7FF0"/>
    <w:rsid w:val="00C00393"/>
    <w:rsid w:val="00C0040E"/>
    <w:rsid w:val="00C00AEF"/>
    <w:rsid w:val="00C00BD3"/>
    <w:rsid w:val="00C00DDD"/>
    <w:rsid w:val="00C00E7C"/>
    <w:rsid w:val="00C0177B"/>
    <w:rsid w:val="00C01908"/>
    <w:rsid w:val="00C03B86"/>
    <w:rsid w:val="00C041CC"/>
    <w:rsid w:val="00C045B4"/>
    <w:rsid w:val="00C051D8"/>
    <w:rsid w:val="00C054D6"/>
    <w:rsid w:val="00C060A7"/>
    <w:rsid w:val="00C06676"/>
    <w:rsid w:val="00C067B0"/>
    <w:rsid w:val="00C069B6"/>
    <w:rsid w:val="00C06CA7"/>
    <w:rsid w:val="00C06F74"/>
    <w:rsid w:val="00C0708A"/>
    <w:rsid w:val="00C07AA1"/>
    <w:rsid w:val="00C07C60"/>
    <w:rsid w:val="00C07DC1"/>
    <w:rsid w:val="00C07DD3"/>
    <w:rsid w:val="00C10609"/>
    <w:rsid w:val="00C10709"/>
    <w:rsid w:val="00C10C0E"/>
    <w:rsid w:val="00C10C55"/>
    <w:rsid w:val="00C10DF4"/>
    <w:rsid w:val="00C11032"/>
    <w:rsid w:val="00C11038"/>
    <w:rsid w:val="00C11D92"/>
    <w:rsid w:val="00C122B1"/>
    <w:rsid w:val="00C12502"/>
    <w:rsid w:val="00C1266C"/>
    <w:rsid w:val="00C12904"/>
    <w:rsid w:val="00C13E58"/>
    <w:rsid w:val="00C140BA"/>
    <w:rsid w:val="00C14CA9"/>
    <w:rsid w:val="00C14FD2"/>
    <w:rsid w:val="00C164E9"/>
    <w:rsid w:val="00C165B2"/>
    <w:rsid w:val="00C166BF"/>
    <w:rsid w:val="00C17415"/>
    <w:rsid w:val="00C20B57"/>
    <w:rsid w:val="00C21425"/>
    <w:rsid w:val="00C217FE"/>
    <w:rsid w:val="00C21A74"/>
    <w:rsid w:val="00C22078"/>
    <w:rsid w:val="00C226C9"/>
    <w:rsid w:val="00C229C5"/>
    <w:rsid w:val="00C22A6F"/>
    <w:rsid w:val="00C22D58"/>
    <w:rsid w:val="00C23DB6"/>
    <w:rsid w:val="00C249AE"/>
    <w:rsid w:val="00C24C99"/>
    <w:rsid w:val="00C2500D"/>
    <w:rsid w:val="00C25579"/>
    <w:rsid w:val="00C260C5"/>
    <w:rsid w:val="00C263BE"/>
    <w:rsid w:val="00C2686C"/>
    <w:rsid w:val="00C269B2"/>
    <w:rsid w:val="00C27C22"/>
    <w:rsid w:val="00C27E14"/>
    <w:rsid w:val="00C31085"/>
    <w:rsid w:val="00C311D6"/>
    <w:rsid w:val="00C3192A"/>
    <w:rsid w:val="00C31F30"/>
    <w:rsid w:val="00C31F37"/>
    <w:rsid w:val="00C32045"/>
    <w:rsid w:val="00C32314"/>
    <w:rsid w:val="00C326BF"/>
    <w:rsid w:val="00C32A12"/>
    <w:rsid w:val="00C33601"/>
    <w:rsid w:val="00C33606"/>
    <w:rsid w:val="00C33C5F"/>
    <w:rsid w:val="00C3420B"/>
    <w:rsid w:val="00C342E1"/>
    <w:rsid w:val="00C34576"/>
    <w:rsid w:val="00C34DBE"/>
    <w:rsid w:val="00C34ECC"/>
    <w:rsid w:val="00C34F29"/>
    <w:rsid w:val="00C3518F"/>
    <w:rsid w:val="00C355F9"/>
    <w:rsid w:val="00C36568"/>
    <w:rsid w:val="00C36578"/>
    <w:rsid w:val="00C36DF0"/>
    <w:rsid w:val="00C36F5C"/>
    <w:rsid w:val="00C374D1"/>
    <w:rsid w:val="00C377CA"/>
    <w:rsid w:val="00C37AA1"/>
    <w:rsid w:val="00C37B6E"/>
    <w:rsid w:val="00C40094"/>
    <w:rsid w:val="00C40AA5"/>
    <w:rsid w:val="00C40AF8"/>
    <w:rsid w:val="00C40D00"/>
    <w:rsid w:val="00C4150F"/>
    <w:rsid w:val="00C41BC7"/>
    <w:rsid w:val="00C41BD6"/>
    <w:rsid w:val="00C42168"/>
    <w:rsid w:val="00C4243F"/>
    <w:rsid w:val="00C424E8"/>
    <w:rsid w:val="00C426B5"/>
    <w:rsid w:val="00C428B4"/>
    <w:rsid w:val="00C434CD"/>
    <w:rsid w:val="00C439C2"/>
    <w:rsid w:val="00C439E9"/>
    <w:rsid w:val="00C43C47"/>
    <w:rsid w:val="00C43DC2"/>
    <w:rsid w:val="00C4416E"/>
    <w:rsid w:val="00C44A9A"/>
    <w:rsid w:val="00C44CDA"/>
    <w:rsid w:val="00C44DB3"/>
    <w:rsid w:val="00C457E8"/>
    <w:rsid w:val="00C45BF1"/>
    <w:rsid w:val="00C46A4A"/>
    <w:rsid w:val="00C46F70"/>
    <w:rsid w:val="00C472B0"/>
    <w:rsid w:val="00C476D0"/>
    <w:rsid w:val="00C478A9"/>
    <w:rsid w:val="00C47D7D"/>
    <w:rsid w:val="00C47EF1"/>
    <w:rsid w:val="00C47F4F"/>
    <w:rsid w:val="00C50446"/>
    <w:rsid w:val="00C50ED7"/>
    <w:rsid w:val="00C516DB"/>
    <w:rsid w:val="00C51DBC"/>
    <w:rsid w:val="00C53477"/>
    <w:rsid w:val="00C534FD"/>
    <w:rsid w:val="00C53A55"/>
    <w:rsid w:val="00C53E22"/>
    <w:rsid w:val="00C54280"/>
    <w:rsid w:val="00C54323"/>
    <w:rsid w:val="00C551E2"/>
    <w:rsid w:val="00C55746"/>
    <w:rsid w:val="00C55EA1"/>
    <w:rsid w:val="00C56702"/>
    <w:rsid w:val="00C5698E"/>
    <w:rsid w:val="00C56D44"/>
    <w:rsid w:val="00C56D9C"/>
    <w:rsid w:val="00C56E5B"/>
    <w:rsid w:val="00C56F71"/>
    <w:rsid w:val="00C57BFA"/>
    <w:rsid w:val="00C57E4E"/>
    <w:rsid w:val="00C600EB"/>
    <w:rsid w:val="00C611B9"/>
    <w:rsid w:val="00C61707"/>
    <w:rsid w:val="00C61E9C"/>
    <w:rsid w:val="00C620E2"/>
    <w:rsid w:val="00C62104"/>
    <w:rsid w:val="00C63130"/>
    <w:rsid w:val="00C633F4"/>
    <w:rsid w:val="00C6349F"/>
    <w:rsid w:val="00C63580"/>
    <w:rsid w:val="00C6371C"/>
    <w:rsid w:val="00C645ED"/>
    <w:rsid w:val="00C64A22"/>
    <w:rsid w:val="00C64A91"/>
    <w:rsid w:val="00C64CAF"/>
    <w:rsid w:val="00C64D27"/>
    <w:rsid w:val="00C6549E"/>
    <w:rsid w:val="00C662A5"/>
    <w:rsid w:val="00C66B99"/>
    <w:rsid w:val="00C66BEF"/>
    <w:rsid w:val="00C67092"/>
    <w:rsid w:val="00C6751C"/>
    <w:rsid w:val="00C67919"/>
    <w:rsid w:val="00C67FF5"/>
    <w:rsid w:val="00C70174"/>
    <w:rsid w:val="00C70340"/>
    <w:rsid w:val="00C70FC5"/>
    <w:rsid w:val="00C7156D"/>
    <w:rsid w:val="00C71885"/>
    <w:rsid w:val="00C71BAB"/>
    <w:rsid w:val="00C730BD"/>
    <w:rsid w:val="00C73AAA"/>
    <w:rsid w:val="00C74B6F"/>
    <w:rsid w:val="00C74D10"/>
    <w:rsid w:val="00C750FA"/>
    <w:rsid w:val="00C75A4A"/>
    <w:rsid w:val="00C75B62"/>
    <w:rsid w:val="00C75CCC"/>
    <w:rsid w:val="00C75EB4"/>
    <w:rsid w:val="00C76731"/>
    <w:rsid w:val="00C77F59"/>
    <w:rsid w:val="00C80169"/>
    <w:rsid w:val="00C8052F"/>
    <w:rsid w:val="00C80EE6"/>
    <w:rsid w:val="00C81AD4"/>
    <w:rsid w:val="00C81C77"/>
    <w:rsid w:val="00C81F5F"/>
    <w:rsid w:val="00C82048"/>
    <w:rsid w:val="00C82200"/>
    <w:rsid w:val="00C8260F"/>
    <w:rsid w:val="00C83431"/>
    <w:rsid w:val="00C836D1"/>
    <w:rsid w:val="00C836E3"/>
    <w:rsid w:val="00C83DB5"/>
    <w:rsid w:val="00C83E52"/>
    <w:rsid w:val="00C84128"/>
    <w:rsid w:val="00C84605"/>
    <w:rsid w:val="00C84842"/>
    <w:rsid w:val="00C8553B"/>
    <w:rsid w:val="00C862D8"/>
    <w:rsid w:val="00C86304"/>
    <w:rsid w:val="00C86356"/>
    <w:rsid w:val="00C864D7"/>
    <w:rsid w:val="00C86577"/>
    <w:rsid w:val="00C86C88"/>
    <w:rsid w:val="00C872C2"/>
    <w:rsid w:val="00C874D1"/>
    <w:rsid w:val="00C875E1"/>
    <w:rsid w:val="00C87857"/>
    <w:rsid w:val="00C8787D"/>
    <w:rsid w:val="00C87CF1"/>
    <w:rsid w:val="00C90451"/>
    <w:rsid w:val="00C90755"/>
    <w:rsid w:val="00C909F3"/>
    <w:rsid w:val="00C90EEF"/>
    <w:rsid w:val="00C91404"/>
    <w:rsid w:val="00C918B2"/>
    <w:rsid w:val="00C9193A"/>
    <w:rsid w:val="00C92040"/>
    <w:rsid w:val="00C921FB"/>
    <w:rsid w:val="00C92641"/>
    <w:rsid w:val="00C92687"/>
    <w:rsid w:val="00C9291A"/>
    <w:rsid w:val="00C929B8"/>
    <w:rsid w:val="00C92E07"/>
    <w:rsid w:val="00C9316F"/>
    <w:rsid w:val="00C9320D"/>
    <w:rsid w:val="00C932A2"/>
    <w:rsid w:val="00C93588"/>
    <w:rsid w:val="00C9376D"/>
    <w:rsid w:val="00C93E3D"/>
    <w:rsid w:val="00C93E6E"/>
    <w:rsid w:val="00C940E6"/>
    <w:rsid w:val="00C94942"/>
    <w:rsid w:val="00C94F40"/>
    <w:rsid w:val="00C951B9"/>
    <w:rsid w:val="00C952B3"/>
    <w:rsid w:val="00C955BB"/>
    <w:rsid w:val="00C95A55"/>
    <w:rsid w:val="00C95FCD"/>
    <w:rsid w:val="00C96225"/>
    <w:rsid w:val="00C963C1"/>
    <w:rsid w:val="00C965FA"/>
    <w:rsid w:val="00C96868"/>
    <w:rsid w:val="00C968C8"/>
    <w:rsid w:val="00C96A50"/>
    <w:rsid w:val="00C96D43"/>
    <w:rsid w:val="00C96D8E"/>
    <w:rsid w:val="00C96DF9"/>
    <w:rsid w:val="00C974EE"/>
    <w:rsid w:val="00C97D78"/>
    <w:rsid w:val="00C97EA1"/>
    <w:rsid w:val="00CA0416"/>
    <w:rsid w:val="00CA0906"/>
    <w:rsid w:val="00CA189B"/>
    <w:rsid w:val="00CA1FDA"/>
    <w:rsid w:val="00CA2108"/>
    <w:rsid w:val="00CA2759"/>
    <w:rsid w:val="00CA290F"/>
    <w:rsid w:val="00CA34DE"/>
    <w:rsid w:val="00CA35A8"/>
    <w:rsid w:val="00CA376B"/>
    <w:rsid w:val="00CA3B21"/>
    <w:rsid w:val="00CA3C65"/>
    <w:rsid w:val="00CA43F9"/>
    <w:rsid w:val="00CA452F"/>
    <w:rsid w:val="00CA50FB"/>
    <w:rsid w:val="00CA5425"/>
    <w:rsid w:val="00CA55F3"/>
    <w:rsid w:val="00CA56D1"/>
    <w:rsid w:val="00CA5BC8"/>
    <w:rsid w:val="00CA6000"/>
    <w:rsid w:val="00CA6109"/>
    <w:rsid w:val="00CA61F4"/>
    <w:rsid w:val="00CA67F0"/>
    <w:rsid w:val="00CA6B3B"/>
    <w:rsid w:val="00CA6C9C"/>
    <w:rsid w:val="00CA71D2"/>
    <w:rsid w:val="00CA7DF7"/>
    <w:rsid w:val="00CA7F35"/>
    <w:rsid w:val="00CA7FDA"/>
    <w:rsid w:val="00CB003E"/>
    <w:rsid w:val="00CB0870"/>
    <w:rsid w:val="00CB134C"/>
    <w:rsid w:val="00CB1375"/>
    <w:rsid w:val="00CB2B67"/>
    <w:rsid w:val="00CB3754"/>
    <w:rsid w:val="00CB387A"/>
    <w:rsid w:val="00CB4216"/>
    <w:rsid w:val="00CB4BFC"/>
    <w:rsid w:val="00CB53E9"/>
    <w:rsid w:val="00CB5544"/>
    <w:rsid w:val="00CB5B9B"/>
    <w:rsid w:val="00CB5C5D"/>
    <w:rsid w:val="00CB5CFA"/>
    <w:rsid w:val="00CB5E9F"/>
    <w:rsid w:val="00CB5FD9"/>
    <w:rsid w:val="00CB6B23"/>
    <w:rsid w:val="00CB6DDB"/>
    <w:rsid w:val="00CB70CE"/>
    <w:rsid w:val="00CC01AF"/>
    <w:rsid w:val="00CC035A"/>
    <w:rsid w:val="00CC042C"/>
    <w:rsid w:val="00CC0480"/>
    <w:rsid w:val="00CC2765"/>
    <w:rsid w:val="00CC27DA"/>
    <w:rsid w:val="00CC2831"/>
    <w:rsid w:val="00CC2AD6"/>
    <w:rsid w:val="00CC2BA4"/>
    <w:rsid w:val="00CC3295"/>
    <w:rsid w:val="00CC36E7"/>
    <w:rsid w:val="00CC3AF2"/>
    <w:rsid w:val="00CC3FB5"/>
    <w:rsid w:val="00CC4059"/>
    <w:rsid w:val="00CC41D3"/>
    <w:rsid w:val="00CC4779"/>
    <w:rsid w:val="00CC514F"/>
    <w:rsid w:val="00CC560B"/>
    <w:rsid w:val="00CC5A5A"/>
    <w:rsid w:val="00CC5C37"/>
    <w:rsid w:val="00CC5D8C"/>
    <w:rsid w:val="00CC6960"/>
    <w:rsid w:val="00CC6C74"/>
    <w:rsid w:val="00CC7058"/>
    <w:rsid w:val="00CC715E"/>
    <w:rsid w:val="00CC730E"/>
    <w:rsid w:val="00CC738E"/>
    <w:rsid w:val="00CC75E2"/>
    <w:rsid w:val="00CC7737"/>
    <w:rsid w:val="00CC788B"/>
    <w:rsid w:val="00CC7890"/>
    <w:rsid w:val="00CC7E25"/>
    <w:rsid w:val="00CD04B9"/>
    <w:rsid w:val="00CD09B1"/>
    <w:rsid w:val="00CD0B08"/>
    <w:rsid w:val="00CD1B41"/>
    <w:rsid w:val="00CD251B"/>
    <w:rsid w:val="00CD254F"/>
    <w:rsid w:val="00CD29D9"/>
    <w:rsid w:val="00CD2BF0"/>
    <w:rsid w:val="00CD3096"/>
    <w:rsid w:val="00CD344D"/>
    <w:rsid w:val="00CD3684"/>
    <w:rsid w:val="00CD3C8C"/>
    <w:rsid w:val="00CD3CB7"/>
    <w:rsid w:val="00CD3DD9"/>
    <w:rsid w:val="00CD46EB"/>
    <w:rsid w:val="00CD494A"/>
    <w:rsid w:val="00CD4A5E"/>
    <w:rsid w:val="00CD4D9B"/>
    <w:rsid w:val="00CD4DC0"/>
    <w:rsid w:val="00CD5551"/>
    <w:rsid w:val="00CD6008"/>
    <w:rsid w:val="00CD6042"/>
    <w:rsid w:val="00CD639E"/>
    <w:rsid w:val="00CD6FB6"/>
    <w:rsid w:val="00CD7D57"/>
    <w:rsid w:val="00CD7EBF"/>
    <w:rsid w:val="00CE0AEB"/>
    <w:rsid w:val="00CE0B11"/>
    <w:rsid w:val="00CE0B21"/>
    <w:rsid w:val="00CE0FE9"/>
    <w:rsid w:val="00CE183D"/>
    <w:rsid w:val="00CE197A"/>
    <w:rsid w:val="00CE1E5C"/>
    <w:rsid w:val="00CE1F71"/>
    <w:rsid w:val="00CE25C8"/>
    <w:rsid w:val="00CE2682"/>
    <w:rsid w:val="00CE29E0"/>
    <w:rsid w:val="00CE31D6"/>
    <w:rsid w:val="00CE3417"/>
    <w:rsid w:val="00CE3DAF"/>
    <w:rsid w:val="00CE3DE4"/>
    <w:rsid w:val="00CE4962"/>
    <w:rsid w:val="00CE5047"/>
    <w:rsid w:val="00CE5126"/>
    <w:rsid w:val="00CE5ABD"/>
    <w:rsid w:val="00CE5E39"/>
    <w:rsid w:val="00CE63D5"/>
    <w:rsid w:val="00CE66B5"/>
    <w:rsid w:val="00CE7081"/>
    <w:rsid w:val="00CE74DD"/>
    <w:rsid w:val="00CE753C"/>
    <w:rsid w:val="00CE7CC6"/>
    <w:rsid w:val="00CF0103"/>
    <w:rsid w:val="00CF0222"/>
    <w:rsid w:val="00CF02C0"/>
    <w:rsid w:val="00CF05A1"/>
    <w:rsid w:val="00CF0A9B"/>
    <w:rsid w:val="00CF103F"/>
    <w:rsid w:val="00CF229E"/>
    <w:rsid w:val="00CF26C9"/>
    <w:rsid w:val="00CF2C79"/>
    <w:rsid w:val="00CF2D2E"/>
    <w:rsid w:val="00CF30A9"/>
    <w:rsid w:val="00CF314F"/>
    <w:rsid w:val="00CF3230"/>
    <w:rsid w:val="00CF3518"/>
    <w:rsid w:val="00CF37E6"/>
    <w:rsid w:val="00CF3B09"/>
    <w:rsid w:val="00CF3B7E"/>
    <w:rsid w:val="00CF4149"/>
    <w:rsid w:val="00CF4441"/>
    <w:rsid w:val="00CF457F"/>
    <w:rsid w:val="00CF4933"/>
    <w:rsid w:val="00CF4BE8"/>
    <w:rsid w:val="00CF5133"/>
    <w:rsid w:val="00CF58F6"/>
    <w:rsid w:val="00CF6488"/>
    <w:rsid w:val="00CF6546"/>
    <w:rsid w:val="00CF65FA"/>
    <w:rsid w:val="00CF6AED"/>
    <w:rsid w:val="00CF7E38"/>
    <w:rsid w:val="00D00814"/>
    <w:rsid w:val="00D0109A"/>
    <w:rsid w:val="00D01417"/>
    <w:rsid w:val="00D02068"/>
    <w:rsid w:val="00D0283F"/>
    <w:rsid w:val="00D02B37"/>
    <w:rsid w:val="00D02BA8"/>
    <w:rsid w:val="00D035B5"/>
    <w:rsid w:val="00D03A41"/>
    <w:rsid w:val="00D044F6"/>
    <w:rsid w:val="00D04529"/>
    <w:rsid w:val="00D056F1"/>
    <w:rsid w:val="00D05B4E"/>
    <w:rsid w:val="00D06064"/>
    <w:rsid w:val="00D062E4"/>
    <w:rsid w:val="00D06345"/>
    <w:rsid w:val="00D07608"/>
    <w:rsid w:val="00D0764B"/>
    <w:rsid w:val="00D07872"/>
    <w:rsid w:val="00D07922"/>
    <w:rsid w:val="00D07C69"/>
    <w:rsid w:val="00D10587"/>
    <w:rsid w:val="00D10D44"/>
    <w:rsid w:val="00D11171"/>
    <w:rsid w:val="00D1141D"/>
    <w:rsid w:val="00D118BC"/>
    <w:rsid w:val="00D11C60"/>
    <w:rsid w:val="00D11EA4"/>
    <w:rsid w:val="00D11FA9"/>
    <w:rsid w:val="00D12030"/>
    <w:rsid w:val="00D12847"/>
    <w:rsid w:val="00D12A42"/>
    <w:rsid w:val="00D12AB5"/>
    <w:rsid w:val="00D12BCE"/>
    <w:rsid w:val="00D12BEF"/>
    <w:rsid w:val="00D12C3C"/>
    <w:rsid w:val="00D13672"/>
    <w:rsid w:val="00D13E67"/>
    <w:rsid w:val="00D140EA"/>
    <w:rsid w:val="00D14405"/>
    <w:rsid w:val="00D14624"/>
    <w:rsid w:val="00D14B3C"/>
    <w:rsid w:val="00D14D97"/>
    <w:rsid w:val="00D14DA5"/>
    <w:rsid w:val="00D1531F"/>
    <w:rsid w:val="00D15889"/>
    <w:rsid w:val="00D15B8A"/>
    <w:rsid w:val="00D16099"/>
    <w:rsid w:val="00D16A5F"/>
    <w:rsid w:val="00D172D9"/>
    <w:rsid w:val="00D200FC"/>
    <w:rsid w:val="00D2019D"/>
    <w:rsid w:val="00D201F9"/>
    <w:rsid w:val="00D203C5"/>
    <w:rsid w:val="00D205E5"/>
    <w:rsid w:val="00D2071E"/>
    <w:rsid w:val="00D2072F"/>
    <w:rsid w:val="00D208F7"/>
    <w:rsid w:val="00D209C9"/>
    <w:rsid w:val="00D20DD7"/>
    <w:rsid w:val="00D212B4"/>
    <w:rsid w:val="00D21625"/>
    <w:rsid w:val="00D21D62"/>
    <w:rsid w:val="00D22DEE"/>
    <w:rsid w:val="00D22F3C"/>
    <w:rsid w:val="00D22F3E"/>
    <w:rsid w:val="00D239CA"/>
    <w:rsid w:val="00D23D76"/>
    <w:rsid w:val="00D23DB6"/>
    <w:rsid w:val="00D25027"/>
    <w:rsid w:val="00D25232"/>
    <w:rsid w:val="00D25659"/>
    <w:rsid w:val="00D25BE9"/>
    <w:rsid w:val="00D25E4A"/>
    <w:rsid w:val="00D2601A"/>
    <w:rsid w:val="00D26814"/>
    <w:rsid w:val="00D269A9"/>
    <w:rsid w:val="00D26A59"/>
    <w:rsid w:val="00D26C48"/>
    <w:rsid w:val="00D27117"/>
    <w:rsid w:val="00D2740B"/>
    <w:rsid w:val="00D27630"/>
    <w:rsid w:val="00D2788D"/>
    <w:rsid w:val="00D279EA"/>
    <w:rsid w:val="00D279EC"/>
    <w:rsid w:val="00D27EE4"/>
    <w:rsid w:val="00D3048F"/>
    <w:rsid w:val="00D3171B"/>
    <w:rsid w:val="00D32035"/>
    <w:rsid w:val="00D32988"/>
    <w:rsid w:val="00D33296"/>
    <w:rsid w:val="00D33F56"/>
    <w:rsid w:val="00D3411C"/>
    <w:rsid w:val="00D343BB"/>
    <w:rsid w:val="00D34A14"/>
    <w:rsid w:val="00D35098"/>
    <w:rsid w:val="00D35685"/>
    <w:rsid w:val="00D36224"/>
    <w:rsid w:val="00D362DC"/>
    <w:rsid w:val="00D36606"/>
    <w:rsid w:val="00D368EC"/>
    <w:rsid w:val="00D36B01"/>
    <w:rsid w:val="00D36B76"/>
    <w:rsid w:val="00D3706E"/>
    <w:rsid w:val="00D37C85"/>
    <w:rsid w:val="00D37CA5"/>
    <w:rsid w:val="00D37FA1"/>
    <w:rsid w:val="00D40618"/>
    <w:rsid w:val="00D40A30"/>
    <w:rsid w:val="00D4249C"/>
    <w:rsid w:val="00D42675"/>
    <w:rsid w:val="00D426B8"/>
    <w:rsid w:val="00D427FA"/>
    <w:rsid w:val="00D42FCD"/>
    <w:rsid w:val="00D431E4"/>
    <w:rsid w:val="00D43BF4"/>
    <w:rsid w:val="00D43F6C"/>
    <w:rsid w:val="00D43FE6"/>
    <w:rsid w:val="00D440FF"/>
    <w:rsid w:val="00D441DB"/>
    <w:rsid w:val="00D44797"/>
    <w:rsid w:val="00D465EF"/>
    <w:rsid w:val="00D46900"/>
    <w:rsid w:val="00D47278"/>
    <w:rsid w:val="00D47439"/>
    <w:rsid w:val="00D50267"/>
    <w:rsid w:val="00D50A9D"/>
    <w:rsid w:val="00D50F1D"/>
    <w:rsid w:val="00D51A95"/>
    <w:rsid w:val="00D51EDD"/>
    <w:rsid w:val="00D5401D"/>
    <w:rsid w:val="00D540BB"/>
    <w:rsid w:val="00D540C5"/>
    <w:rsid w:val="00D541DA"/>
    <w:rsid w:val="00D55E6C"/>
    <w:rsid w:val="00D56257"/>
    <w:rsid w:val="00D56857"/>
    <w:rsid w:val="00D56943"/>
    <w:rsid w:val="00D57071"/>
    <w:rsid w:val="00D572A8"/>
    <w:rsid w:val="00D578A6"/>
    <w:rsid w:val="00D60191"/>
    <w:rsid w:val="00D603E3"/>
    <w:rsid w:val="00D60568"/>
    <w:rsid w:val="00D60681"/>
    <w:rsid w:val="00D608D0"/>
    <w:rsid w:val="00D61B32"/>
    <w:rsid w:val="00D61B75"/>
    <w:rsid w:val="00D61E12"/>
    <w:rsid w:val="00D61ED4"/>
    <w:rsid w:val="00D6276A"/>
    <w:rsid w:val="00D63062"/>
    <w:rsid w:val="00D63299"/>
    <w:rsid w:val="00D63545"/>
    <w:rsid w:val="00D641C1"/>
    <w:rsid w:val="00D64240"/>
    <w:rsid w:val="00D64428"/>
    <w:rsid w:val="00D64474"/>
    <w:rsid w:val="00D64614"/>
    <w:rsid w:val="00D64E0E"/>
    <w:rsid w:val="00D64FA2"/>
    <w:rsid w:val="00D651D7"/>
    <w:rsid w:val="00D65905"/>
    <w:rsid w:val="00D65A4E"/>
    <w:rsid w:val="00D65FDC"/>
    <w:rsid w:val="00D664FC"/>
    <w:rsid w:val="00D6675A"/>
    <w:rsid w:val="00D673D0"/>
    <w:rsid w:val="00D6763D"/>
    <w:rsid w:val="00D676CF"/>
    <w:rsid w:val="00D67A2D"/>
    <w:rsid w:val="00D70B73"/>
    <w:rsid w:val="00D70C2F"/>
    <w:rsid w:val="00D70C7A"/>
    <w:rsid w:val="00D718F1"/>
    <w:rsid w:val="00D71D02"/>
    <w:rsid w:val="00D72462"/>
    <w:rsid w:val="00D726CA"/>
    <w:rsid w:val="00D72A7D"/>
    <w:rsid w:val="00D73073"/>
    <w:rsid w:val="00D73931"/>
    <w:rsid w:val="00D73A29"/>
    <w:rsid w:val="00D748CB"/>
    <w:rsid w:val="00D748DC"/>
    <w:rsid w:val="00D7516F"/>
    <w:rsid w:val="00D75348"/>
    <w:rsid w:val="00D767E2"/>
    <w:rsid w:val="00D769E3"/>
    <w:rsid w:val="00D76B1F"/>
    <w:rsid w:val="00D76B84"/>
    <w:rsid w:val="00D76DF2"/>
    <w:rsid w:val="00D76F31"/>
    <w:rsid w:val="00D7752A"/>
    <w:rsid w:val="00D7785C"/>
    <w:rsid w:val="00D77B8B"/>
    <w:rsid w:val="00D77E43"/>
    <w:rsid w:val="00D77E44"/>
    <w:rsid w:val="00D80965"/>
    <w:rsid w:val="00D80C99"/>
    <w:rsid w:val="00D80D81"/>
    <w:rsid w:val="00D813FB"/>
    <w:rsid w:val="00D81C78"/>
    <w:rsid w:val="00D81D38"/>
    <w:rsid w:val="00D820D8"/>
    <w:rsid w:val="00D8233F"/>
    <w:rsid w:val="00D82909"/>
    <w:rsid w:val="00D832C8"/>
    <w:rsid w:val="00D83475"/>
    <w:rsid w:val="00D838D4"/>
    <w:rsid w:val="00D840EA"/>
    <w:rsid w:val="00D84581"/>
    <w:rsid w:val="00D845C1"/>
    <w:rsid w:val="00D8470F"/>
    <w:rsid w:val="00D8471A"/>
    <w:rsid w:val="00D84CC7"/>
    <w:rsid w:val="00D84D14"/>
    <w:rsid w:val="00D84F5B"/>
    <w:rsid w:val="00D85156"/>
    <w:rsid w:val="00D853E4"/>
    <w:rsid w:val="00D85938"/>
    <w:rsid w:val="00D85CC7"/>
    <w:rsid w:val="00D85DD2"/>
    <w:rsid w:val="00D8647B"/>
    <w:rsid w:val="00D86AFB"/>
    <w:rsid w:val="00D86B55"/>
    <w:rsid w:val="00D86CA9"/>
    <w:rsid w:val="00D86F0B"/>
    <w:rsid w:val="00D872F5"/>
    <w:rsid w:val="00D904B2"/>
    <w:rsid w:val="00D9050F"/>
    <w:rsid w:val="00D9076D"/>
    <w:rsid w:val="00D90F1F"/>
    <w:rsid w:val="00D9104A"/>
    <w:rsid w:val="00D91067"/>
    <w:rsid w:val="00D92347"/>
    <w:rsid w:val="00D92581"/>
    <w:rsid w:val="00D9312D"/>
    <w:rsid w:val="00D934C3"/>
    <w:rsid w:val="00D9364C"/>
    <w:rsid w:val="00D93823"/>
    <w:rsid w:val="00D938DB"/>
    <w:rsid w:val="00D93BDB"/>
    <w:rsid w:val="00D940F2"/>
    <w:rsid w:val="00D943B7"/>
    <w:rsid w:val="00D94A80"/>
    <w:rsid w:val="00D95753"/>
    <w:rsid w:val="00D95849"/>
    <w:rsid w:val="00D959DA"/>
    <w:rsid w:val="00D95E7A"/>
    <w:rsid w:val="00D96876"/>
    <w:rsid w:val="00D97620"/>
    <w:rsid w:val="00D9790B"/>
    <w:rsid w:val="00DA10A8"/>
    <w:rsid w:val="00DA1127"/>
    <w:rsid w:val="00DA15EB"/>
    <w:rsid w:val="00DA18CD"/>
    <w:rsid w:val="00DA1D91"/>
    <w:rsid w:val="00DA218A"/>
    <w:rsid w:val="00DA28AE"/>
    <w:rsid w:val="00DA3F8A"/>
    <w:rsid w:val="00DA3FCA"/>
    <w:rsid w:val="00DA5399"/>
    <w:rsid w:val="00DA53E5"/>
    <w:rsid w:val="00DA5D2D"/>
    <w:rsid w:val="00DA65FA"/>
    <w:rsid w:val="00DA6B77"/>
    <w:rsid w:val="00DA6C2E"/>
    <w:rsid w:val="00DA737D"/>
    <w:rsid w:val="00DA746E"/>
    <w:rsid w:val="00DA75B3"/>
    <w:rsid w:val="00DB002E"/>
    <w:rsid w:val="00DB0A34"/>
    <w:rsid w:val="00DB0AB6"/>
    <w:rsid w:val="00DB0AFD"/>
    <w:rsid w:val="00DB10A5"/>
    <w:rsid w:val="00DB13BC"/>
    <w:rsid w:val="00DB14D0"/>
    <w:rsid w:val="00DB1E08"/>
    <w:rsid w:val="00DB252F"/>
    <w:rsid w:val="00DB2617"/>
    <w:rsid w:val="00DB2973"/>
    <w:rsid w:val="00DB324A"/>
    <w:rsid w:val="00DB3D36"/>
    <w:rsid w:val="00DB4310"/>
    <w:rsid w:val="00DB48E1"/>
    <w:rsid w:val="00DB4ED2"/>
    <w:rsid w:val="00DB57CA"/>
    <w:rsid w:val="00DB591B"/>
    <w:rsid w:val="00DB5EE8"/>
    <w:rsid w:val="00DB60E5"/>
    <w:rsid w:val="00DB6F03"/>
    <w:rsid w:val="00DB703A"/>
    <w:rsid w:val="00DB7131"/>
    <w:rsid w:val="00DB79B2"/>
    <w:rsid w:val="00DB7A08"/>
    <w:rsid w:val="00DB7CD9"/>
    <w:rsid w:val="00DB7D6F"/>
    <w:rsid w:val="00DB7D78"/>
    <w:rsid w:val="00DC0F14"/>
    <w:rsid w:val="00DC17ED"/>
    <w:rsid w:val="00DC1B56"/>
    <w:rsid w:val="00DC1C52"/>
    <w:rsid w:val="00DC1D52"/>
    <w:rsid w:val="00DC1DE9"/>
    <w:rsid w:val="00DC2082"/>
    <w:rsid w:val="00DC2129"/>
    <w:rsid w:val="00DC2303"/>
    <w:rsid w:val="00DC2AE0"/>
    <w:rsid w:val="00DC3C72"/>
    <w:rsid w:val="00DC3CB9"/>
    <w:rsid w:val="00DC3E2C"/>
    <w:rsid w:val="00DC4262"/>
    <w:rsid w:val="00DC43AC"/>
    <w:rsid w:val="00DC4B6F"/>
    <w:rsid w:val="00DC4D48"/>
    <w:rsid w:val="00DC4FF7"/>
    <w:rsid w:val="00DC5017"/>
    <w:rsid w:val="00DC5060"/>
    <w:rsid w:val="00DC515E"/>
    <w:rsid w:val="00DC5260"/>
    <w:rsid w:val="00DC598C"/>
    <w:rsid w:val="00DC5A5F"/>
    <w:rsid w:val="00DC5C8C"/>
    <w:rsid w:val="00DC6570"/>
    <w:rsid w:val="00DC6B81"/>
    <w:rsid w:val="00DC6C41"/>
    <w:rsid w:val="00DC7426"/>
    <w:rsid w:val="00DC7588"/>
    <w:rsid w:val="00DC75B7"/>
    <w:rsid w:val="00DD0055"/>
    <w:rsid w:val="00DD05E1"/>
    <w:rsid w:val="00DD0941"/>
    <w:rsid w:val="00DD0B62"/>
    <w:rsid w:val="00DD16C2"/>
    <w:rsid w:val="00DD2C78"/>
    <w:rsid w:val="00DD3713"/>
    <w:rsid w:val="00DD39CE"/>
    <w:rsid w:val="00DD3C5E"/>
    <w:rsid w:val="00DD3C79"/>
    <w:rsid w:val="00DD4703"/>
    <w:rsid w:val="00DD4F4F"/>
    <w:rsid w:val="00DD51DD"/>
    <w:rsid w:val="00DD598B"/>
    <w:rsid w:val="00DD5C3A"/>
    <w:rsid w:val="00DD6171"/>
    <w:rsid w:val="00DD64F5"/>
    <w:rsid w:val="00DD6CC4"/>
    <w:rsid w:val="00DD7738"/>
    <w:rsid w:val="00DD7F95"/>
    <w:rsid w:val="00DE0535"/>
    <w:rsid w:val="00DE068E"/>
    <w:rsid w:val="00DE092C"/>
    <w:rsid w:val="00DE1018"/>
    <w:rsid w:val="00DE11F0"/>
    <w:rsid w:val="00DE17EA"/>
    <w:rsid w:val="00DE19E7"/>
    <w:rsid w:val="00DE1AFA"/>
    <w:rsid w:val="00DE1F4B"/>
    <w:rsid w:val="00DE2428"/>
    <w:rsid w:val="00DE2552"/>
    <w:rsid w:val="00DE2AE3"/>
    <w:rsid w:val="00DE2D85"/>
    <w:rsid w:val="00DE37EF"/>
    <w:rsid w:val="00DE3C94"/>
    <w:rsid w:val="00DE41F1"/>
    <w:rsid w:val="00DE4923"/>
    <w:rsid w:val="00DE57D4"/>
    <w:rsid w:val="00DE681B"/>
    <w:rsid w:val="00DE7538"/>
    <w:rsid w:val="00DE7610"/>
    <w:rsid w:val="00DE79D9"/>
    <w:rsid w:val="00DE7A5B"/>
    <w:rsid w:val="00DE7A64"/>
    <w:rsid w:val="00DF0172"/>
    <w:rsid w:val="00DF0278"/>
    <w:rsid w:val="00DF0FCE"/>
    <w:rsid w:val="00DF1EEA"/>
    <w:rsid w:val="00DF24CF"/>
    <w:rsid w:val="00DF25C3"/>
    <w:rsid w:val="00DF2A6F"/>
    <w:rsid w:val="00DF2F5B"/>
    <w:rsid w:val="00DF38C5"/>
    <w:rsid w:val="00DF3BEB"/>
    <w:rsid w:val="00DF3D90"/>
    <w:rsid w:val="00DF43CE"/>
    <w:rsid w:val="00DF45E7"/>
    <w:rsid w:val="00DF477C"/>
    <w:rsid w:val="00DF4AD9"/>
    <w:rsid w:val="00DF509F"/>
    <w:rsid w:val="00DF5256"/>
    <w:rsid w:val="00DF5B58"/>
    <w:rsid w:val="00DF684B"/>
    <w:rsid w:val="00DF6A81"/>
    <w:rsid w:val="00DF6C81"/>
    <w:rsid w:val="00DF703B"/>
    <w:rsid w:val="00DF7205"/>
    <w:rsid w:val="00DF73DF"/>
    <w:rsid w:val="00DF7453"/>
    <w:rsid w:val="00DF747D"/>
    <w:rsid w:val="00DF74C4"/>
    <w:rsid w:val="00DF774E"/>
    <w:rsid w:val="00DF7982"/>
    <w:rsid w:val="00DF7A38"/>
    <w:rsid w:val="00DF7D6F"/>
    <w:rsid w:val="00E00137"/>
    <w:rsid w:val="00E00278"/>
    <w:rsid w:val="00E00741"/>
    <w:rsid w:val="00E00F27"/>
    <w:rsid w:val="00E014F5"/>
    <w:rsid w:val="00E02533"/>
    <w:rsid w:val="00E027C2"/>
    <w:rsid w:val="00E031D1"/>
    <w:rsid w:val="00E04062"/>
    <w:rsid w:val="00E0466D"/>
    <w:rsid w:val="00E04FD9"/>
    <w:rsid w:val="00E063C6"/>
    <w:rsid w:val="00E06F85"/>
    <w:rsid w:val="00E07FD6"/>
    <w:rsid w:val="00E1001D"/>
    <w:rsid w:val="00E10432"/>
    <w:rsid w:val="00E109AD"/>
    <w:rsid w:val="00E1101D"/>
    <w:rsid w:val="00E110A2"/>
    <w:rsid w:val="00E11458"/>
    <w:rsid w:val="00E114F6"/>
    <w:rsid w:val="00E11F49"/>
    <w:rsid w:val="00E1247C"/>
    <w:rsid w:val="00E124FA"/>
    <w:rsid w:val="00E12BE9"/>
    <w:rsid w:val="00E12D11"/>
    <w:rsid w:val="00E13A58"/>
    <w:rsid w:val="00E13D56"/>
    <w:rsid w:val="00E13E9A"/>
    <w:rsid w:val="00E149E4"/>
    <w:rsid w:val="00E14EB3"/>
    <w:rsid w:val="00E14EF2"/>
    <w:rsid w:val="00E14F45"/>
    <w:rsid w:val="00E1548A"/>
    <w:rsid w:val="00E1609C"/>
    <w:rsid w:val="00E16595"/>
    <w:rsid w:val="00E16A55"/>
    <w:rsid w:val="00E16E56"/>
    <w:rsid w:val="00E16F00"/>
    <w:rsid w:val="00E17BDA"/>
    <w:rsid w:val="00E17C0B"/>
    <w:rsid w:val="00E2003B"/>
    <w:rsid w:val="00E203C2"/>
    <w:rsid w:val="00E209A1"/>
    <w:rsid w:val="00E20BE6"/>
    <w:rsid w:val="00E2114F"/>
    <w:rsid w:val="00E2139C"/>
    <w:rsid w:val="00E2147E"/>
    <w:rsid w:val="00E21746"/>
    <w:rsid w:val="00E2176E"/>
    <w:rsid w:val="00E21B7D"/>
    <w:rsid w:val="00E21D88"/>
    <w:rsid w:val="00E2209A"/>
    <w:rsid w:val="00E220B8"/>
    <w:rsid w:val="00E223CA"/>
    <w:rsid w:val="00E2259D"/>
    <w:rsid w:val="00E22C19"/>
    <w:rsid w:val="00E23343"/>
    <w:rsid w:val="00E23412"/>
    <w:rsid w:val="00E23AC7"/>
    <w:rsid w:val="00E23B2A"/>
    <w:rsid w:val="00E23E04"/>
    <w:rsid w:val="00E24310"/>
    <w:rsid w:val="00E24488"/>
    <w:rsid w:val="00E24C53"/>
    <w:rsid w:val="00E24C68"/>
    <w:rsid w:val="00E24DE8"/>
    <w:rsid w:val="00E25670"/>
    <w:rsid w:val="00E25BE4"/>
    <w:rsid w:val="00E26AA2"/>
    <w:rsid w:val="00E26BDD"/>
    <w:rsid w:val="00E271E3"/>
    <w:rsid w:val="00E278AD"/>
    <w:rsid w:val="00E279D8"/>
    <w:rsid w:val="00E27AF1"/>
    <w:rsid w:val="00E27EB5"/>
    <w:rsid w:val="00E3015F"/>
    <w:rsid w:val="00E30349"/>
    <w:rsid w:val="00E3046F"/>
    <w:rsid w:val="00E30AC9"/>
    <w:rsid w:val="00E30D58"/>
    <w:rsid w:val="00E319B1"/>
    <w:rsid w:val="00E31BE6"/>
    <w:rsid w:val="00E31C9D"/>
    <w:rsid w:val="00E31DF5"/>
    <w:rsid w:val="00E32599"/>
    <w:rsid w:val="00E32DD5"/>
    <w:rsid w:val="00E32E3C"/>
    <w:rsid w:val="00E32EBA"/>
    <w:rsid w:val="00E33135"/>
    <w:rsid w:val="00E33488"/>
    <w:rsid w:val="00E33817"/>
    <w:rsid w:val="00E33FE0"/>
    <w:rsid w:val="00E34140"/>
    <w:rsid w:val="00E34B9B"/>
    <w:rsid w:val="00E35758"/>
    <w:rsid w:val="00E35D50"/>
    <w:rsid w:val="00E36B77"/>
    <w:rsid w:val="00E36E1A"/>
    <w:rsid w:val="00E373BB"/>
    <w:rsid w:val="00E3762E"/>
    <w:rsid w:val="00E3783D"/>
    <w:rsid w:val="00E37AB5"/>
    <w:rsid w:val="00E37E59"/>
    <w:rsid w:val="00E40ED4"/>
    <w:rsid w:val="00E4114D"/>
    <w:rsid w:val="00E416FC"/>
    <w:rsid w:val="00E417B0"/>
    <w:rsid w:val="00E41BE6"/>
    <w:rsid w:val="00E424C9"/>
    <w:rsid w:val="00E42C5C"/>
    <w:rsid w:val="00E432C4"/>
    <w:rsid w:val="00E4363F"/>
    <w:rsid w:val="00E44541"/>
    <w:rsid w:val="00E44E0D"/>
    <w:rsid w:val="00E4530A"/>
    <w:rsid w:val="00E45584"/>
    <w:rsid w:val="00E45A5D"/>
    <w:rsid w:val="00E45B1B"/>
    <w:rsid w:val="00E45D1B"/>
    <w:rsid w:val="00E45F57"/>
    <w:rsid w:val="00E461D7"/>
    <w:rsid w:val="00E46405"/>
    <w:rsid w:val="00E46488"/>
    <w:rsid w:val="00E468C2"/>
    <w:rsid w:val="00E46BBF"/>
    <w:rsid w:val="00E472E0"/>
    <w:rsid w:val="00E47357"/>
    <w:rsid w:val="00E47829"/>
    <w:rsid w:val="00E478AA"/>
    <w:rsid w:val="00E47D2E"/>
    <w:rsid w:val="00E50263"/>
    <w:rsid w:val="00E50525"/>
    <w:rsid w:val="00E505B1"/>
    <w:rsid w:val="00E50C01"/>
    <w:rsid w:val="00E50C0F"/>
    <w:rsid w:val="00E50EAF"/>
    <w:rsid w:val="00E51349"/>
    <w:rsid w:val="00E514A2"/>
    <w:rsid w:val="00E51644"/>
    <w:rsid w:val="00E520FE"/>
    <w:rsid w:val="00E52167"/>
    <w:rsid w:val="00E52174"/>
    <w:rsid w:val="00E523BA"/>
    <w:rsid w:val="00E5260E"/>
    <w:rsid w:val="00E52ABD"/>
    <w:rsid w:val="00E531B9"/>
    <w:rsid w:val="00E5353C"/>
    <w:rsid w:val="00E53819"/>
    <w:rsid w:val="00E53A36"/>
    <w:rsid w:val="00E53FE4"/>
    <w:rsid w:val="00E5411D"/>
    <w:rsid w:val="00E5492F"/>
    <w:rsid w:val="00E54FD5"/>
    <w:rsid w:val="00E55242"/>
    <w:rsid w:val="00E5529C"/>
    <w:rsid w:val="00E55AEE"/>
    <w:rsid w:val="00E55B20"/>
    <w:rsid w:val="00E55DDC"/>
    <w:rsid w:val="00E55FF5"/>
    <w:rsid w:val="00E5616D"/>
    <w:rsid w:val="00E56DC6"/>
    <w:rsid w:val="00E570B3"/>
    <w:rsid w:val="00E57110"/>
    <w:rsid w:val="00E573F9"/>
    <w:rsid w:val="00E5774C"/>
    <w:rsid w:val="00E57F5D"/>
    <w:rsid w:val="00E60111"/>
    <w:rsid w:val="00E603D5"/>
    <w:rsid w:val="00E606F5"/>
    <w:rsid w:val="00E61042"/>
    <w:rsid w:val="00E61212"/>
    <w:rsid w:val="00E612EE"/>
    <w:rsid w:val="00E61697"/>
    <w:rsid w:val="00E62DEF"/>
    <w:rsid w:val="00E6364B"/>
    <w:rsid w:val="00E63892"/>
    <w:rsid w:val="00E63BE9"/>
    <w:rsid w:val="00E63E73"/>
    <w:rsid w:val="00E6471A"/>
    <w:rsid w:val="00E64CCB"/>
    <w:rsid w:val="00E653D4"/>
    <w:rsid w:val="00E65823"/>
    <w:rsid w:val="00E65AAF"/>
    <w:rsid w:val="00E66AE6"/>
    <w:rsid w:val="00E67007"/>
    <w:rsid w:val="00E67C3A"/>
    <w:rsid w:val="00E67F80"/>
    <w:rsid w:val="00E67FFB"/>
    <w:rsid w:val="00E70A86"/>
    <w:rsid w:val="00E7102C"/>
    <w:rsid w:val="00E71DB1"/>
    <w:rsid w:val="00E72407"/>
    <w:rsid w:val="00E72650"/>
    <w:rsid w:val="00E729C2"/>
    <w:rsid w:val="00E72AFD"/>
    <w:rsid w:val="00E73142"/>
    <w:rsid w:val="00E73890"/>
    <w:rsid w:val="00E74453"/>
    <w:rsid w:val="00E74622"/>
    <w:rsid w:val="00E74B17"/>
    <w:rsid w:val="00E75054"/>
    <w:rsid w:val="00E75093"/>
    <w:rsid w:val="00E75133"/>
    <w:rsid w:val="00E751D6"/>
    <w:rsid w:val="00E763EA"/>
    <w:rsid w:val="00E76421"/>
    <w:rsid w:val="00E772A1"/>
    <w:rsid w:val="00E7747B"/>
    <w:rsid w:val="00E777EB"/>
    <w:rsid w:val="00E777EC"/>
    <w:rsid w:val="00E77960"/>
    <w:rsid w:val="00E77EA4"/>
    <w:rsid w:val="00E809AD"/>
    <w:rsid w:val="00E80C7F"/>
    <w:rsid w:val="00E80FCD"/>
    <w:rsid w:val="00E81077"/>
    <w:rsid w:val="00E81D9E"/>
    <w:rsid w:val="00E81F6E"/>
    <w:rsid w:val="00E81FF0"/>
    <w:rsid w:val="00E82089"/>
    <w:rsid w:val="00E8235B"/>
    <w:rsid w:val="00E82509"/>
    <w:rsid w:val="00E82F40"/>
    <w:rsid w:val="00E84404"/>
    <w:rsid w:val="00E858C0"/>
    <w:rsid w:val="00E85CE4"/>
    <w:rsid w:val="00E85DEC"/>
    <w:rsid w:val="00E85F5D"/>
    <w:rsid w:val="00E85F8C"/>
    <w:rsid w:val="00E864D6"/>
    <w:rsid w:val="00E86D5B"/>
    <w:rsid w:val="00E86F45"/>
    <w:rsid w:val="00E873BA"/>
    <w:rsid w:val="00E87F55"/>
    <w:rsid w:val="00E90C7E"/>
    <w:rsid w:val="00E91B1E"/>
    <w:rsid w:val="00E91F65"/>
    <w:rsid w:val="00E91FB8"/>
    <w:rsid w:val="00E9393E"/>
    <w:rsid w:val="00E93C24"/>
    <w:rsid w:val="00E94013"/>
    <w:rsid w:val="00E9498F"/>
    <w:rsid w:val="00E94A55"/>
    <w:rsid w:val="00E950F5"/>
    <w:rsid w:val="00E95A1C"/>
    <w:rsid w:val="00E95E0B"/>
    <w:rsid w:val="00E95E5D"/>
    <w:rsid w:val="00E95F9E"/>
    <w:rsid w:val="00E96B65"/>
    <w:rsid w:val="00E97479"/>
    <w:rsid w:val="00E97A52"/>
    <w:rsid w:val="00EA0053"/>
    <w:rsid w:val="00EA04DF"/>
    <w:rsid w:val="00EA0A55"/>
    <w:rsid w:val="00EA11A2"/>
    <w:rsid w:val="00EA16D7"/>
    <w:rsid w:val="00EA1973"/>
    <w:rsid w:val="00EA2554"/>
    <w:rsid w:val="00EA28FC"/>
    <w:rsid w:val="00EA2987"/>
    <w:rsid w:val="00EA2A4E"/>
    <w:rsid w:val="00EA3770"/>
    <w:rsid w:val="00EA377A"/>
    <w:rsid w:val="00EA3CA6"/>
    <w:rsid w:val="00EA3E96"/>
    <w:rsid w:val="00EA40F2"/>
    <w:rsid w:val="00EA4350"/>
    <w:rsid w:val="00EA4A29"/>
    <w:rsid w:val="00EA5CD4"/>
    <w:rsid w:val="00EA6112"/>
    <w:rsid w:val="00EA617B"/>
    <w:rsid w:val="00EA6491"/>
    <w:rsid w:val="00EA7C1F"/>
    <w:rsid w:val="00EA7F24"/>
    <w:rsid w:val="00EA7F2F"/>
    <w:rsid w:val="00EB0572"/>
    <w:rsid w:val="00EB076C"/>
    <w:rsid w:val="00EB0EDC"/>
    <w:rsid w:val="00EB1A06"/>
    <w:rsid w:val="00EB1C5D"/>
    <w:rsid w:val="00EB44CF"/>
    <w:rsid w:val="00EB48FB"/>
    <w:rsid w:val="00EB4E9B"/>
    <w:rsid w:val="00EB506F"/>
    <w:rsid w:val="00EB5D2D"/>
    <w:rsid w:val="00EB5F8F"/>
    <w:rsid w:val="00EB61C0"/>
    <w:rsid w:val="00EB7069"/>
    <w:rsid w:val="00EB73E4"/>
    <w:rsid w:val="00EB74EF"/>
    <w:rsid w:val="00EB773C"/>
    <w:rsid w:val="00EB787B"/>
    <w:rsid w:val="00EB79D2"/>
    <w:rsid w:val="00EB7D12"/>
    <w:rsid w:val="00EC00DE"/>
    <w:rsid w:val="00EC00EE"/>
    <w:rsid w:val="00EC01CD"/>
    <w:rsid w:val="00EC030F"/>
    <w:rsid w:val="00EC0B75"/>
    <w:rsid w:val="00EC12EF"/>
    <w:rsid w:val="00EC19A9"/>
    <w:rsid w:val="00EC1AD9"/>
    <w:rsid w:val="00EC21FB"/>
    <w:rsid w:val="00EC23EA"/>
    <w:rsid w:val="00EC2441"/>
    <w:rsid w:val="00EC2E54"/>
    <w:rsid w:val="00EC30E1"/>
    <w:rsid w:val="00EC3271"/>
    <w:rsid w:val="00EC3556"/>
    <w:rsid w:val="00EC38B0"/>
    <w:rsid w:val="00EC3C74"/>
    <w:rsid w:val="00EC437D"/>
    <w:rsid w:val="00EC43D6"/>
    <w:rsid w:val="00EC445C"/>
    <w:rsid w:val="00EC445F"/>
    <w:rsid w:val="00EC522D"/>
    <w:rsid w:val="00EC571E"/>
    <w:rsid w:val="00EC5B6E"/>
    <w:rsid w:val="00EC5FC1"/>
    <w:rsid w:val="00EC6771"/>
    <w:rsid w:val="00EC6C3E"/>
    <w:rsid w:val="00ED02DB"/>
    <w:rsid w:val="00ED172A"/>
    <w:rsid w:val="00ED1C34"/>
    <w:rsid w:val="00ED1C9F"/>
    <w:rsid w:val="00ED1F02"/>
    <w:rsid w:val="00ED2277"/>
    <w:rsid w:val="00ED2DDD"/>
    <w:rsid w:val="00ED3023"/>
    <w:rsid w:val="00ED3D6C"/>
    <w:rsid w:val="00ED427C"/>
    <w:rsid w:val="00ED4C9F"/>
    <w:rsid w:val="00ED52B8"/>
    <w:rsid w:val="00ED55B5"/>
    <w:rsid w:val="00ED564A"/>
    <w:rsid w:val="00ED5777"/>
    <w:rsid w:val="00ED5942"/>
    <w:rsid w:val="00ED5B13"/>
    <w:rsid w:val="00ED6DBA"/>
    <w:rsid w:val="00ED7325"/>
    <w:rsid w:val="00ED7870"/>
    <w:rsid w:val="00ED7B35"/>
    <w:rsid w:val="00ED7C9D"/>
    <w:rsid w:val="00EE025B"/>
    <w:rsid w:val="00EE0671"/>
    <w:rsid w:val="00EE0A23"/>
    <w:rsid w:val="00EE2169"/>
    <w:rsid w:val="00EE24A2"/>
    <w:rsid w:val="00EE2766"/>
    <w:rsid w:val="00EE2FAC"/>
    <w:rsid w:val="00EE40F0"/>
    <w:rsid w:val="00EE4372"/>
    <w:rsid w:val="00EE4F31"/>
    <w:rsid w:val="00EE4FBB"/>
    <w:rsid w:val="00EE5647"/>
    <w:rsid w:val="00EE5702"/>
    <w:rsid w:val="00EE611C"/>
    <w:rsid w:val="00EE65DA"/>
    <w:rsid w:val="00EE6946"/>
    <w:rsid w:val="00EE752A"/>
    <w:rsid w:val="00EE76F9"/>
    <w:rsid w:val="00EF0626"/>
    <w:rsid w:val="00EF0FBC"/>
    <w:rsid w:val="00EF1140"/>
    <w:rsid w:val="00EF1312"/>
    <w:rsid w:val="00EF14C8"/>
    <w:rsid w:val="00EF1532"/>
    <w:rsid w:val="00EF1834"/>
    <w:rsid w:val="00EF20EB"/>
    <w:rsid w:val="00EF36FC"/>
    <w:rsid w:val="00EF3E41"/>
    <w:rsid w:val="00EF41E8"/>
    <w:rsid w:val="00EF4494"/>
    <w:rsid w:val="00EF4541"/>
    <w:rsid w:val="00EF4D44"/>
    <w:rsid w:val="00EF4E13"/>
    <w:rsid w:val="00EF71D3"/>
    <w:rsid w:val="00EF7A0D"/>
    <w:rsid w:val="00EF7D9E"/>
    <w:rsid w:val="00F0010C"/>
    <w:rsid w:val="00F0033F"/>
    <w:rsid w:val="00F00678"/>
    <w:rsid w:val="00F00A77"/>
    <w:rsid w:val="00F013F0"/>
    <w:rsid w:val="00F014B8"/>
    <w:rsid w:val="00F0156B"/>
    <w:rsid w:val="00F01836"/>
    <w:rsid w:val="00F01AB4"/>
    <w:rsid w:val="00F01F2B"/>
    <w:rsid w:val="00F029A8"/>
    <w:rsid w:val="00F02AE6"/>
    <w:rsid w:val="00F02B4A"/>
    <w:rsid w:val="00F02C59"/>
    <w:rsid w:val="00F02EF5"/>
    <w:rsid w:val="00F03F19"/>
    <w:rsid w:val="00F04293"/>
    <w:rsid w:val="00F047E7"/>
    <w:rsid w:val="00F04F14"/>
    <w:rsid w:val="00F05027"/>
    <w:rsid w:val="00F05093"/>
    <w:rsid w:val="00F05F85"/>
    <w:rsid w:val="00F06051"/>
    <w:rsid w:val="00F06349"/>
    <w:rsid w:val="00F0671F"/>
    <w:rsid w:val="00F0672F"/>
    <w:rsid w:val="00F06968"/>
    <w:rsid w:val="00F06C9E"/>
    <w:rsid w:val="00F06DBC"/>
    <w:rsid w:val="00F0750B"/>
    <w:rsid w:val="00F07981"/>
    <w:rsid w:val="00F10522"/>
    <w:rsid w:val="00F105D8"/>
    <w:rsid w:val="00F10799"/>
    <w:rsid w:val="00F10BD0"/>
    <w:rsid w:val="00F11047"/>
    <w:rsid w:val="00F1105B"/>
    <w:rsid w:val="00F1113D"/>
    <w:rsid w:val="00F113D3"/>
    <w:rsid w:val="00F1140A"/>
    <w:rsid w:val="00F127EA"/>
    <w:rsid w:val="00F12C07"/>
    <w:rsid w:val="00F13288"/>
    <w:rsid w:val="00F13572"/>
    <w:rsid w:val="00F13654"/>
    <w:rsid w:val="00F13660"/>
    <w:rsid w:val="00F14175"/>
    <w:rsid w:val="00F1455C"/>
    <w:rsid w:val="00F14736"/>
    <w:rsid w:val="00F14BEC"/>
    <w:rsid w:val="00F151B9"/>
    <w:rsid w:val="00F154BB"/>
    <w:rsid w:val="00F15D60"/>
    <w:rsid w:val="00F16509"/>
    <w:rsid w:val="00F1681C"/>
    <w:rsid w:val="00F16ACE"/>
    <w:rsid w:val="00F16E28"/>
    <w:rsid w:val="00F17590"/>
    <w:rsid w:val="00F2094E"/>
    <w:rsid w:val="00F20A0C"/>
    <w:rsid w:val="00F20C08"/>
    <w:rsid w:val="00F20DFF"/>
    <w:rsid w:val="00F21BB1"/>
    <w:rsid w:val="00F225C5"/>
    <w:rsid w:val="00F22873"/>
    <w:rsid w:val="00F22E9C"/>
    <w:rsid w:val="00F23161"/>
    <w:rsid w:val="00F24289"/>
    <w:rsid w:val="00F2491C"/>
    <w:rsid w:val="00F24D0D"/>
    <w:rsid w:val="00F25526"/>
    <w:rsid w:val="00F2567A"/>
    <w:rsid w:val="00F2587A"/>
    <w:rsid w:val="00F25C39"/>
    <w:rsid w:val="00F25DA4"/>
    <w:rsid w:val="00F25E3C"/>
    <w:rsid w:val="00F261F6"/>
    <w:rsid w:val="00F269BD"/>
    <w:rsid w:val="00F26F8F"/>
    <w:rsid w:val="00F2766F"/>
    <w:rsid w:val="00F304A6"/>
    <w:rsid w:val="00F307B4"/>
    <w:rsid w:val="00F3097E"/>
    <w:rsid w:val="00F310F5"/>
    <w:rsid w:val="00F31463"/>
    <w:rsid w:val="00F31B0A"/>
    <w:rsid w:val="00F31C09"/>
    <w:rsid w:val="00F31E65"/>
    <w:rsid w:val="00F320D8"/>
    <w:rsid w:val="00F324A6"/>
    <w:rsid w:val="00F32596"/>
    <w:rsid w:val="00F325CB"/>
    <w:rsid w:val="00F33199"/>
    <w:rsid w:val="00F33B52"/>
    <w:rsid w:val="00F33BB8"/>
    <w:rsid w:val="00F34780"/>
    <w:rsid w:val="00F34BF2"/>
    <w:rsid w:val="00F350D3"/>
    <w:rsid w:val="00F358E6"/>
    <w:rsid w:val="00F35946"/>
    <w:rsid w:val="00F35D71"/>
    <w:rsid w:val="00F364AB"/>
    <w:rsid w:val="00F367E7"/>
    <w:rsid w:val="00F36E2D"/>
    <w:rsid w:val="00F3715D"/>
    <w:rsid w:val="00F37399"/>
    <w:rsid w:val="00F37843"/>
    <w:rsid w:val="00F37C93"/>
    <w:rsid w:val="00F37EBB"/>
    <w:rsid w:val="00F40282"/>
    <w:rsid w:val="00F420C8"/>
    <w:rsid w:val="00F4223A"/>
    <w:rsid w:val="00F42326"/>
    <w:rsid w:val="00F42937"/>
    <w:rsid w:val="00F42A4C"/>
    <w:rsid w:val="00F4392C"/>
    <w:rsid w:val="00F43B2E"/>
    <w:rsid w:val="00F4417D"/>
    <w:rsid w:val="00F44285"/>
    <w:rsid w:val="00F44C35"/>
    <w:rsid w:val="00F45268"/>
    <w:rsid w:val="00F4537E"/>
    <w:rsid w:val="00F45812"/>
    <w:rsid w:val="00F45893"/>
    <w:rsid w:val="00F45AD0"/>
    <w:rsid w:val="00F45D7E"/>
    <w:rsid w:val="00F45F53"/>
    <w:rsid w:val="00F460BC"/>
    <w:rsid w:val="00F46A90"/>
    <w:rsid w:val="00F47044"/>
    <w:rsid w:val="00F4709B"/>
    <w:rsid w:val="00F47820"/>
    <w:rsid w:val="00F47BFD"/>
    <w:rsid w:val="00F47E09"/>
    <w:rsid w:val="00F501E4"/>
    <w:rsid w:val="00F525F7"/>
    <w:rsid w:val="00F5274A"/>
    <w:rsid w:val="00F52AFF"/>
    <w:rsid w:val="00F5309C"/>
    <w:rsid w:val="00F53612"/>
    <w:rsid w:val="00F53710"/>
    <w:rsid w:val="00F53870"/>
    <w:rsid w:val="00F53B04"/>
    <w:rsid w:val="00F53DDA"/>
    <w:rsid w:val="00F53E4D"/>
    <w:rsid w:val="00F53EBB"/>
    <w:rsid w:val="00F53EED"/>
    <w:rsid w:val="00F541FC"/>
    <w:rsid w:val="00F54506"/>
    <w:rsid w:val="00F54CF9"/>
    <w:rsid w:val="00F555E2"/>
    <w:rsid w:val="00F560EE"/>
    <w:rsid w:val="00F56866"/>
    <w:rsid w:val="00F56C07"/>
    <w:rsid w:val="00F56D1D"/>
    <w:rsid w:val="00F572B1"/>
    <w:rsid w:val="00F57DD3"/>
    <w:rsid w:val="00F604DE"/>
    <w:rsid w:val="00F607AD"/>
    <w:rsid w:val="00F60DA6"/>
    <w:rsid w:val="00F61DB3"/>
    <w:rsid w:val="00F62080"/>
    <w:rsid w:val="00F638E9"/>
    <w:rsid w:val="00F63BAD"/>
    <w:rsid w:val="00F64233"/>
    <w:rsid w:val="00F6441F"/>
    <w:rsid w:val="00F644CA"/>
    <w:rsid w:val="00F64509"/>
    <w:rsid w:val="00F64653"/>
    <w:rsid w:val="00F6476B"/>
    <w:rsid w:val="00F64A65"/>
    <w:rsid w:val="00F64EF8"/>
    <w:rsid w:val="00F65235"/>
    <w:rsid w:val="00F6561B"/>
    <w:rsid w:val="00F658CE"/>
    <w:rsid w:val="00F659AD"/>
    <w:rsid w:val="00F662F8"/>
    <w:rsid w:val="00F67051"/>
    <w:rsid w:val="00F6774E"/>
    <w:rsid w:val="00F6775C"/>
    <w:rsid w:val="00F67B97"/>
    <w:rsid w:val="00F70061"/>
    <w:rsid w:val="00F70177"/>
    <w:rsid w:val="00F7018F"/>
    <w:rsid w:val="00F705A2"/>
    <w:rsid w:val="00F70B33"/>
    <w:rsid w:val="00F70BFD"/>
    <w:rsid w:val="00F70F51"/>
    <w:rsid w:val="00F7121A"/>
    <w:rsid w:val="00F716C2"/>
    <w:rsid w:val="00F71BDF"/>
    <w:rsid w:val="00F7297D"/>
    <w:rsid w:val="00F72DA7"/>
    <w:rsid w:val="00F72EFF"/>
    <w:rsid w:val="00F73138"/>
    <w:rsid w:val="00F7323C"/>
    <w:rsid w:val="00F732FB"/>
    <w:rsid w:val="00F73A9F"/>
    <w:rsid w:val="00F74DEF"/>
    <w:rsid w:val="00F74F35"/>
    <w:rsid w:val="00F74F4E"/>
    <w:rsid w:val="00F75C65"/>
    <w:rsid w:val="00F75FB8"/>
    <w:rsid w:val="00F76224"/>
    <w:rsid w:val="00F7694E"/>
    <w:rsid w:val="00F76B2B"/>
    <w:rsid w:val="00F76C3B"/>
    <w:rsid w:val="00F77419"/>
    <w:rsid w:val="00F779B5"/>
    <w:rsid w:val="00F77F27"/>
    <w:rsid w:val="00F80405"/>
    <w:rsid w:val="00F807E0"/>
    <w:rsid w:val="00F80D92"/>
    <w:rsid w:val="00F80E50"/>
    <w:rsid w:val="00F812C5"/>
    <w:rsid w:val="00F81321"/>
    <w:rsid w:val="00F823DC"/>
    <w:rsid w:val="00F82B0E"/>
    <w:rsid w:val="00F83102"/>
    <w:rsid w:val="00F83BF9"/>
    <w:rsid w:val="00F842DE"/>
    <w:rsid w:val="00F8440C"/>
    <w:rsid w:val="00F84515"/>
    <w:rsid w:val="00F84588"/>
    <w:rsid w:val="00F8460A"/>
    <w:rsid w:val="00F8481A"/>
    <w:rsid w:val="00F84AE5"/>
    <w:rsid w:val="00F84D71"/>
    <w:rsid w:val="00F84D82"/>
    <w:rsid w:val="00F8669F"/>
    <w:rsid w:val="00F86B01"/>
    <w:rsid w:val="00F877AC"/>
    <w:rsid w:val="00F87A86"/>
    <w:rsid w:val="00F87C2D"/>
    <w:rsid w:val="00F87E1D"/>
    <w:rsid w:val="00F914A2"/>
    <w:rsid w:val="00F91B9B"/>
    <w:rsid w:val="00F92050"/>
    <w:rsid w:val="00F9282B"/>
    <w:rsid w:val="00F9287C"/>
    <w:rsid w:val="00F92ECE"/>
    <w:rsid w:val="00F93442"/>
    <w:rsid w:val="00F93968"/>
    <w:rsid w:val="00F95A0B"/>
    <w:rsid w:val="00F96124"/>
    <w:rsid w:val="00F96824"/>
    <w:rsid w:val="00F97053"/>
    <w:rsid w:val="00F97B39"/>
    <w:rsid w:val="00FA0099"/>
    <w:rsid w:val="00FA02FB"/>
    <w:rsid w:val="00FA09EC"/>
    <w:rsid w:val="00FA0F66"/>
    <w:rsid w:val="00FA1E9D"/>
    <w:rsid w:val="00FA2B52"/>
    <w:rsid w:val="00FA2D37"/>
    <w:rsid w:val="00FA4355"/>
    <w:rsid w:val="00FA44CC"/>
    <w:rsid w:val="00FA453D"/>
    <w:rsid w:val="00FA46B9"/>
    <w:rsid w:val="00FA4CAA"/>
    <w:rsid w:val="00FA5474"/>
    <w:rsid w:val="00FA569E"/>
    <w:rsid w:val="00FA6628"/>
    <w:rsid w:val="00FA6701"/>
    <w:rsid w:val="00FA6931"/>
    <w:rsid w:val="00FA6D34"/>
    <w:rsid w:val="00FA6D48"/>
    <w:rsid w:val="00FA7335"/>
    <w:rsid w:val="00FA7D7A"/>
    <w:rsid w:val="00FA7DF3"/>
    <w:rsid w:val="00FB037E"/>
    <w:rsid w:val="00FB1533"/>
    <w:rsid w:val="00FB15DF"/>
    <w:rsid w:val="00FB1862"/>
    <w:rsid w:val="00FB198F"/>
    <w:rsid w:val="00FB1CB4"/>
    <w:rsid w:val="00FB2E11"/>
    <w:rsid w:val="00FB3887"/>
    <w:rsid w:val="00FB3930"/>
    <w:rsid w:val="00FB3CC7"/>
    <w:rsid w:val="00FB3F31"/>
    <w:rsid w:val="00FB3F9A"/>
    <w:rsid w:val="00FB42A8"/>
    <w:rsid w:val="00FB456B"/>
    <w:rsid w:val="00FB4AF8"/>
    <w:rsid w:val="00FB4BC1"/>
    <w:rsid w:val="00FB5FE2"/>
    <w:rsid w:val="00FB67A3"/>
    <w:rsid w:val="00FB68F1"/>
    <w:rsid w:val="00FB70B0"/>
    <w:rsid w:val="00FB7512"/>
    <w:rsid w:val="00FB7B58"/>
    <w:rsid w:val="00FC013C"/>
    <w:rsid w:val="00FC04F8"/>
    <w:rsid w:val="00FC0734"/>
    <w:rsid w:val="00FC1036"/>
    <w:rsid w:val="00FC1450"/>
    <w:rsid w:val="00FC1920"/>
    <w:rsid w:val="00FC1CC5"/>
    <w:rsid w:val="00FC1E0F"/>
    <w:rsid w:val="00FC2172"/>
    <w:rsid w:val="00FC24F6"/>
    <w:rsid w:val="00FC253F"/>
    <w:rsid w:val="00FC35A7"/>
    <w:rsid w:val="00FC368D"/>
    <w:rsid w:val="00FC3B53"/>
    <w:rsid w:val="00FC4613"/>
    <w:rsid w:val="00FC46A1"/>
    <w:rsid w:val="00FC54AE"/>
    <w:rsid w:val="00FC5B45"/>
    <w:rsid w:val="00FC618C"/>
    <w:rsid w:val="00FC63DC"/>
    <w:rsid w:val="00FC6719"/>
    <w:rsid w:val="00FC6908"/>
    <w:rsid w:val="00FC6E12"/>
    <w:rsid w:val="00FC7026"/>
    <w:rsid w:val="00FC77AE"/>
    <w:rsid w:val="00FD0300"/>
    <w:rsid w:val="00FD075D"/>
    <w:rsid w:val="00FD0772"/>
    <w:rsid w:val="00FD0865"/>
    <w:rsid w:val="00FD1050"/>
    <w:rsid w:val="00FD1A28"/>
    <w:rsid w:val="00FD1EBA"/>
    <w:rsid w:val="00FD214A"/>
    <w:rsid w:val="00FD2443"/>
    <w:rsid w:val="00FD2641"/>
    <w:rsid w:val="00FD2676"/>
    <w:rsid w:val="00FD29F2"/>
    <w:rsid w:val="00FD2FBE"/>
    <w:rsid w:val="00FD2FCB"/>
    <w:rsid w:val="00FD3733"/>
    <w:rsid w:val="00FD415B"/>
    <w:rsid w:val="00FD42B0"/>
    <w:rsid w:val="00FD4ADB"/>
    <w:rsid w:val="00FD4DB9"/>
    <w:rsid w:val="00FD57DF"/>
    <w:rsid w:val="00FD5EAB"/>
    <w:rsid w:val="00FD6314"/>
    <w:rsid w:val="00FD7547"/>
    <w:rsid w:val="00FE0331"/>
    <w:rsid w:val="00FE03B6"/>
    <w:rsid w:val="00FE06DB"/>
    <w:rsid w:val="00FE0AFD"/>
    <w:rsid w:val="00FE0E18"/>
    <w:rsid w:val="00FE1074"/>
    <w:rsid w:val="00FE10C9"/>
    <w:rsid w:val="00FE1242"/>
    <w:rsid w:val="00FE185A"/>
    <w:rsid w:val="00FE196D"/>
    <w:rsid w:val="00FE1CA0"/>
    <w:rsid w:val="00FE1E2F"/>
    <w:rsid w:val="00FE2E51"/>
    <w:rsid w:val="00FE3368"/>
    <w:rsid w:val="00FE33F7"/>
    <w:rsid w:val="00FE3800"/>
    <w:rsid w:val="00FE3979"/>
    <w:rsid w:val="00FE3A36"/>
    <w:rsid w:val="00FE3B81"/>
    <w:rsid w:val="00FE400E"/>
    <w:rsid w:val="00FE4366"/>
    <w:rsid w:val="00FE48BA"/>
    <w:rsid w:val="00FE48F7"/>
    <w:rsid w:val="00FE4AF1"/>
    <w:rsid w:val="00FE4BFC"/>
    <w:rsid w:val="00FE50DA"/>
    <w:rsid w:val="00FE54C2"/>
    <w:rsid w:val="00FE5515"/>
    <w:rsid w:val="00FE5A6C"/>
    <w:rsid w:val="00FE5DB2"/>
    <w:rsid w:val="00FE5E97"/>
    <w:rsid w:val="00FE68C8"/>
    <w:rsid w:val="00FE7DBD"/>
    <w:rsid w:val="00FE7F9B"/>
    <w:rsid w:val="00FF0480"/>
    <w:rsid w:val="00FF04F2"/>
    <w:rsid w:val="00FF0896"/>
    <w:rsid w:val="00FF0CBD"/>
    <w:rsid w:val="00FF12AF"/>
    <w:rsid w:val="00FF14BE"/>
    <w:rsid w:val="00FF1B08"/>
    <w:rsid w:val="00FF1D99"/>
    <w:rsid w:val="00FF25D7"/>
    <w:rsid w:val="00FF2BA0"/>
    <w:rsid w:val="00FF2C63"/>
    <w:rsid w:val="00FF2F32"/>
    <w:rsid w:val="00FF2F6F"/>
    <w:rsid w:val="00FF310D"/>
    <w:rsid w:val="00FF33C3"/>
    <w:rsid w:val="00FF37A1"/>
    <w:rsid w:val="00FF3CC9"/>
    <w:rsid w:val="00FF40BA"/>
    <w:rsid w:val="00FF5F5C"/>
    <w:rsid w:val="00FF69A5"/>
    <w:rsid w:val="00FF6C9A"/>
    <w:rsid w:val="00FF6FA7"/>
    <w:rsid w:val="00FF7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532F7F7B"/>
  <w15:docId w15:val="{32791582-C647-4C52-9522-0CDCFE91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locked="1" w:uiPriority="2" w:qFormat="1"/>
    <w:lsdException w:name="heading 2" w:locked="1" w:uiPriority="2" w:qFormat="1"/>
    <w:lsdException w:name="heading 3" w:locked="1" w:uiPriority="2" w:qFormat="1"/>
    <w:lsdException w:name="heading 4" w:locked="1" w:uiPriority="2" w:qFormat="1"/>
    <w:lsdException w:name="heading 5" w:locked="1" w:uiPriority="2"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qFormat="1"/>
    <w:lsdException w:name="annotation text" w:semiHidden="1" w:uiPriority="99" w:unhideWhenUsed="1"/>
    <w:lsdException w:name="header" w:semiHidden="1" w:uiPriority="3"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49E"/>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locked/>
    <w:rsid w:val="00D73931"/>
    <w:pPr>
      <w:keepNext/>
      <w:spacing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4646F8"/>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2"/>
    <w:unhideWhenUsed/>
    <w:qFormat/>
    <w:locked/>
    <w:rsid w:val="00022DB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2"/>
    <w:unhideWhenUsed/>
    <w:qFormat/>
    <w:locked/>
    <w:rsid w:val="006B1B3E"/>
    <w:pPr>
      <w:keepNext/>
      <w:spacing w:before="240" w:after="240"/>
      <w:outlineLvl w:val="3"/>
    </w:pPr>
    <w:rPr>
      <w:b/>
      <w:bCs/>
      <w:i/>
      <w:iCs/>
      <w:szCs w:val="22"/>
      <w:lang w:bidi="ar-SA"/>
    </w:rPr>
  </w:style>
  <w:style w:type="paragraph" w:styleId="Heading5">
    <w:name w:val="heading 5"/>
    <w:aliases w:val="FSHeading 5,Subheading 3"/>
    <w:basedOn w:val="Normal"/>
    <w:next w:val="Normal"/>
    <w:link w:val="Heading5Char"/>
    <w:uiPriority w:val="2"/>
    <w:unhideWhenUsed/>
    <w:qFormat/>
    <w:locked/>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2"/>
    <w:rsid w:val="00D73931"/>
    <w:rPr>
      <w:rFonts w:ascii="Arial" w:hAnsi="Arial"/>
      <w:b/>
      <w:bCs/>
      <w:sz w:val="36"/>
      <w:szCs w:val="28"/>
      <w:lang w:eastAsia="en-US"/>
    </w:rPr>
  </w:style>
  <w:style w:type="character" w:customStyle="1" w:styleId="Heading2Char">
    <w:name w:val="Heading 2 Char"/>
    <w:aliases w:val="FSHeading 2 Char,Section heading Char"/>
    <w:link w:val="Heading2"/>
    <w:uiPriority w:val="2"/>
    <w:rsid w:val="004646F8"/>
    <w:rPr>
      <w:rFonts w:ascii="Arial" w:hAnsi="Arial" w:cs="Arial"/>
      <w:b/>
      <w:bCs/>
      <w:sz w:val="28"/>
      <w:szCs w:val="22"/>
      <w:lang w:eastAsia="en-US"/>
    </w:rPr>
  </w:style>
  <w:style w:type="character" w:customStyle="1" w:styleId="Heading3Char">
    <w:name w:val="Heading 3 Char"/>
    <w:aliases w:val="FSHeading 3 Char,Subheading 1 Char"/>
    <w:link w:val="Heading3"/>
    <w:uiPriority w:val="2"/>
    <w:rsid w:val="00022DB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2"/>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2"/>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aliases w:val="FSHeader"/>
    <w:basedOn w:val="Normal"/>
    <w:link w:val="HeaderChar"/>
    <w:uiPriority w:val="3"/>
    <w:qFormat/>
    <w:rsid w:val="00E777EC"/>
  </w:style>
  <w:style w:type="paragraph" w:customStyle="1" w:styleId="FSTitle">
    <w:name w:val="FS Title"/>
    <w:basedOn w:val="Normal"/>
    <w:qFormat/>
    <w:rsid w:val="002432EE"/>
    <w:rPr>
      <w:rFonts w:cs="Tahoma"/>
      <w:bCs/>
      <w:sz w:val="32"/>
    </w:rPr>
  </w:style>
  <w:style w:type="paragraph" w:styleId="TOC1">
    <w:name w:val="toc 1"/>
    <w:basedOn w:val="Normal"/>
    <w:next w:val="Normal"/>
    <w:autoRedefine/>
    <w:uiPriority w:val="39"/>
    <w:rsid w:val="00B25F3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cstheme="minorHAnsi"/>
      <w:smallCaps/>
      <w:sz w:val="20"/>
      <w:szCs w:val="20"/>
    </w:rPr>
  </w:style>
  <w:style w:type="paragraph" w:styleId="Footer">
    <w:name w:val="footer"/>
    <w:aliases w:val="FSFooter"/>
    <w:basedOn w:val="Normal"/>
    <w:link w:val="FooterChar"/>
    <w:uiPriority w:val="99"/>
    <w:qFormat/>
    <w:rsid w:val="00E40ED4"/>
    <w:pPr>
      <w:tabs>
        <w:tab w:val="center" w:pos="4153"/>
        <w:tab w:val="right" w:pos="8306"/>
      </w:tabs>
    </w:pPr>
    <w:rPr>
      <w:sz w:val="20"/>
    </w:rPr>
  </w:style>
  <w:style w:type="character" w:styleId="PageNumber">
    <w:name w:val="page number"/>
    <w:basedOn w:val="DefaultParagraphFont"/>
    <w:locked/>
    <w:rsid w:val="00E40ED4"/>
    <w:rPr>
      <w:rFonts w:ascii="Arial" w:hAnsi="Arial"/>
      <w:sz w:val="20"/>
    </w:rPr>
  </w:style>
  <w:style w:type="paragraph" w:styleId="TOC3">
    <w:name w:val="toc 3"/>
    <w:basedOn w:val="Normal"/>
    <w:next w:val="Normal"/>
    <w:autoRedefine/>
    <w:uiPriority w:val="39"/>
    <w:pPr>
      <w:ind w:left="440"/>
    </w:pPr>
    <w:rPr>
      <w:rFonts w:asciiTheme="minorHAnsi" w:hAnsiTheme="minorHAnsi" w:cstheme="minorHAnsi"/>
      <w:i/>
      <w:iCs/>
      <w:sz w:val="20"/>
      <w:szCs w:val="20"/>
    </w:rPr>
  </w:style>
  <w:style w:type="paragraph" w:styleId="TOC4">
    <w:name w:val="toc 4"/>
    <w:basedOn w:val="Normal"/>
    <w:next w:val="Normal"/>
    <w:autoRedefine/>
    <w:semiHidden/>
    <w:pPr>
      <w:ind w:left="660"/>
    </w:pPr>
    <w:rPr>
      <w:rFonts w:asciiTheme="minorHAnsi" w:hAnsiTheme="minorHAnsi" w:cstheme="minorHAnsi"/>
      <w:sz w:val="18"/>
      <w:szCs w:val="18"/>
    </w:rPr>
  </w:style>
  <w:style w:type="paragraph" w:styleId="TOC5">
    <w:name w:val="toc 5"/>
    <w:basedOn w:val="Normal"/>
    <w:next w:val="Normal"/>
    <w:autoRedefine/>
    <w:semiHidden/>
    <w:pPr>
      <w:ind w:left="880"/>
    </w:pPr>
    <w:rPr>
      <w:rFonts w:asciiTheme="minorHAnsi" w:hAnsiTheme="minorHAnsi" w:cstheme="minorHAnsi"/>
      <w:sz w:val="18"/>
      <w:szCs w:val="18"/>
    </w:rPr>
  </w:style>
  <w:style w:type="character" w:styleId="FollowedHyperlink">
    <w:name w:val="FollowedHyperlink"/>
    <w:basedOn w:val="DefaultParagraphFont"/>
    <w:uiPriority w:val="99"/>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cstheme="minorHAnsi"/>
      <w:sz w:val="18"/>
      <w:szCs w:val="18"/>
    </w:rPr>
  </w:style>
  <w:style w:type="paragraph" w:customStyle="1" w:styleId="Footnote">
    <w:name w:val="Footnote"/>
    <w:basedOn w:val="Normal"/>
    <w:rsid w:val="00E40ED4"/>
    <w:pPr>
      <w:tabs>
        <w:tab w:val="left" w:pos="851"/>
      </w:tabs>
    </w:pPr>
    <w:rPr>
      <w:sz w:val="18"/>
      <w:szCs w:val="20"/>
    </w:rPr>
  </w:style>
  <w:style w:type="paragraph" w:customStyle="1" w:styleId="Table2">
    <w:name w:val="Table 2"/>
    <w:basedOn w:val="Normal"/>
    <w:uiPriority w:val="20"/>
    <w:qFormat/>
    <w:rsid w:val="00E40ED4"/>
    <w:pPr>
      <w:ind w:left="142" w:hanging="142"/>
    </w:pPr>
    <w:rPr>
      <w:bCs/>
      <w:sz w:val="18"/>
      <w:szCs w:val="20"/>
    </w:rPr>
  </w:style>
  <w:style w:type="paragraph" w:styleId="TOC7">
    <w:name w:val="toc 7"/>
    <w:basedOn w:val="Normal"/>
    <w:next w:val="Normal"/>
    <w:autoRedefine/>
    <w:semiHidden/>
    <w:pPr>
      <w:ind w:left="1320"/>
    </w:pPr>
    <w:rPr>
      <w:rFonts w:asciiTheme="minorHAnsi" w:hAnsiTheme="minorHAnsi" w:cstheme="minorHAnsi"/>
      <w:sz w:val="18"/>
      <w:szCs w:val="18"/>
    </w:rPr>
  </w:style>
  <w:style w:type="paragraph" w:styleId="TOC8">
    <w:name w:val="toc 8"/>
    <w:basedOn w:val="Normal"/>
    <w:next w:val="Normal"/>
    <w:autoRedefine/>
    <w:semiHidden/>
    <w:pPr>
      <w:ind w:left="1540"/>
    </w:pPr>
    <w:rPr>
      <w:rFonts w:asciiTheme="minorHAnsi" w:hAnsiTheme="minorHAnsi" w:cstheme="minorHAnsi"/>
      <w:sz w:val="18"/>
      <w:szCs w:val="18"/>
    </w:rPr>
  </w:style>
  <w:style w:type="paragraph" w:styleId="TOC9">
    <w:name w:val="toc 9"/>
    <w:basedOn w:val="Normal"/>
    <w:next w:val="Normal"/>
    <w:autoRedefine/>
    <w:semiHidden/>
    <w:pPr>
      <w:ind w:left="1760"/>
    </w:pPr>
    <w:rPr>
      <w:rFonts w:asciiTheme="minorHAnsi" w:hAnsiTheme="minorHAnsi" w:cstheme="minorHAnsi"/>
      <w:sz w:val="18"/>
      <w:szCs w:val="18"/>
    </w:rPr>
  </w:style>
  <w:style w:type="character" w:styleId="FootnoteReference">
    <w:name w:val="footnote reference"/>
    <w:basedOn w:val="DefaultParagraphFont"/>
    <w:rPr>
      <w:vertAlign w:val="superscript"/>
    </w:rPr>
  </w:style>
  <w:style w:type="paragraph" w:styleId="BalloonText">
    <w:name w:val="Balloon Text"/>
    <w:basedOn w:val="Normal"/>
    <w:link w:val="BalloonTextChar"/>
    <w:uiPriority w:val="99"/>
    <w:semiHidden/>
    <w:rsid w:val="00BD2A39"/>
    <w:rPr>
      <w:rFonts w:ascii="Tahoma" w:hAnsi="Tahoma" w:cs="Tahoma"/>
      <w:sz w:val="16"/>
      <w:szCs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uiPriority w:val="99"/>
    <w:rsid w:val="00AF387F"/>
    <w:rPr>
      <w:sz w:val="20"/>
      <w:szCs w:val="20"/>
    </w:rPr>
  </w:style>
  <w:style w:type="character" w:customStyle="1" w:styleId="CommentTextChar">
    <w:name w:val="Comment Text Char"/>
    <w:basedOn w:val="DefaultParagraphFont"/>
    <w:link w:val="CommentText"/>
    <w:uiPriority w:val="99"/>
    <w:rsid w:val="00AF387F"/>
    <w:rPr>
      <w:rFonts w:ascii="Arial" w:hAnsi="Arial"/>
      <w:lang w:eastAsia="en-US" w:bidi="en-US"/>
    </w:rPr>
  </w:style>
  <w:style w:type="paragraph" w:customStyle="1" w:styleId="FSBullet1">
    <w:name w:val="FSBullet 1"/>
    <w:basedOn w:val="Normal"/>
    <w:next w:val="Normal"/>
    <w:link w:val="FSBullet1Char"/>
    <w:uiPriority w:val="6"/>
    <w:qFormat/>
    <w:locked/>
    <w:rsid w:val="00B57142"/>
    <w:pPr>
      <w:widowControl/>
      <w:numPr>
        <w:numId w:val="72"/>
      </w:numPr>
      <w:ind w:left="567" w:hanging="567"/>
    </w:pPr>
    <w:rPr>
      <w:rFonts w:cs="Arial"/>
      <w:lang w:bidi="ar-SA"/>
    </w:rPr>
  </w:style>
  <w:style w:type="character" w:customStyle="1" w:styleId="FSBullet1Char">
    <w:name w:val="FSBullet 1 Char"/>
    <w:link w:val="FSBullet1"/>
    <w:uiPriority w:val="6"/>
    <w:rsid w:val="00B57142"/>
    <w:rPr>
      <w:rFonts w:ascii="Arial" w:hAnsi="Arial" w:cs="Arial"/>
      <w:sz w:val="22"/>
      <w:szCs w:val="24"/>
      <w:lang w:eastAsia="en-US"/>
    </w:rPr>
  </w:style>
  <w:style w:type="paragraph" w:customStyle="1" w:styleId="FSBullet2">
    <w:name w:val="FSBullet 2"/>
    <w:basedOn w:val="Normal"/>
    <w:uiPriority w:val="6"/>
    <w:qFormat/>
    <w:locked/>
    <w:rsid w:val="00944BA4"/>
    <w:pPr>
      <w:widowControl/>
      <w:numPr>
        <w:numId w:val="2"/>
      </w:numPr>
      <w:ind w:left="1134" w:hanging="567"/>
    </w:pPr>
    <w:rPr>
      <w:rFonts w:eastAsia="Calibri"/>
      <w:szCs w:val="22"/>
      <w:lang w:bidi="ar-SA"/>
    </w:rPr>
  </w:style>
  <w:style w:type="paragraph" w:customStyle="1" w:styleId="FSBullet3">
    <w:name w:val="FSBullet 3"/>
    <w:basedOn w:val="Normal"/>
    <w:uiPriority w:val="6"/>
    <w:qFormat/>
    <w:locked/>
    <w:rsid w:val="00944BA4"/>
    <w:pPr>
      <w:keepNext/>
      <w:widowControl/>
      <w:numPr>
        <w:numId w:val="3"/>
      </w:numPr>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Revision">
    <w:name w:val="Revision"/>
    <w:hidden/>
    <w:uiPriority w:val="99"/>
    <w:semiHidden/>
    <w:rsid w:val="0045556F"/>
    <w:rPr>
      <w:rFonts w:ascii="Arial" w:hAnsi="Arial"/>
      <w:sz w:val="22"/>
      <w:szCs w:val="24"/>
      <w:lang w:eastAsia="en-US" w:bidi="en-US"/>
    </w:rPr>
  </w:style>
  <w:style w:type="character" w:customStyle="1" w:styleId="HeaderChar">
    <w:name w:val="Header Char"/>
    <w:aliases w:val="FSHeader Char"/>
    <w:basedOn w:val="DefaultParagraphFont"/>
    <w:link w:val="Header"/>
    <w:uiPriority w:val="3"/>
    <w:rsid w:val="006342E0"/>
    <w:rPr>
      <w:rFonts w:ascii="Arial" w:hAnsi="Arial"/>
      <w:sz w:val="22"/>
      <w:szCs w:val="24"/>
      <w:lang w:eastAsia="en-US" w:bidi="en-US"/>
    </w:rPr>
  </w:style>
  <w:style w:type="paragraph" w:customStyle="1" w:styleId="FSCbaseheading">
    <w:name w:val="FSC_base_heading"/>
    <w:locked/>
    <w:rsid w:val="006E527D"/>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locked/>
    <w:rsid w:val="006E527D"/>
    <w:pPr>
      <w:keepLines/>
      <w:spacing w:before="120"/>
      <w:ind w:left="1701" w:hanging="1701"/>
    </w:pPr>
    <w:rPr>
      <w:rFonts w:ascii="Arial" w:hAnsi="Arial" w:cs="Arial"/>
      <w:iCs/>
      <w:szCs w:val="22"/>
      <w:lang w:eastAsia="en-AU"/>
    </w:rPr>
  </w:style>
  <w:style w:type="paragraph" w:customStyle="1" w:styleId="FSCbasetbl">
    <w:name w:val="FSC_base_tbl"/>
    <w:basedOn w:val="FSCbasepara"/>
    <w:locked/>
    <w:rsid w:val="006E527D"/>
    <w:pPr>
      <w:spacing w:before="60" w:after="60"/>
      <w:ind w:left="0" w:firstLine="0"/>
    </w:pPr>
    <w:rPr>
      <w:sz w:val="18"/>
    </w:rPr>
  </w:style>
  <w:style w:type="paragraph" w:customStyle="1" w:styleId="FSCbaseTOC">
    <w:name w:val="FSC_base_TOC"/>
    <w:locked/>
    <w:rsid w:val="006E527D"/>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locked/>
    <w:rsid w:val="006E527D"/>
    <w:pPr>
      <w:widowControl/>
      <w:tabs>
        <w:tab w:val="left" w:pos="851"/>
      </w:tabs>
      <w:spacing w:before="120" w:after="120"/>
    </w:pPr>
    <w:rPr>
      <w:sz w:val="20"/>
      <w:szCs w:val="20"/>
      <w:lang w:bidi="ar-SA"/>
    </w:rPr>
  </w:style>
  <w:style w:type="paragraph" w:customStyle="1" w:styleId="FSCDraftingitemheading">
    <w:name w:val="FSC_Drafting_item_heading"/>
    <w:basedOn w:val="Normal"/>
    <w:qFormat/>
    <w:locked/>
    <w:rsid w:val="006E527D"/>
    <w:pPr>
      <w:spacing w:before="120" w:after="120"/>
      <w:ind w:left="851" w:hanging="851"/>
    </w:pPr>
    <w:rPr>
      <w:b/>
      <w:sz w:val="20"/>
      <w:szCs w:val="20"/>
      <w:lang w:bidi="ar-SA"/>
    </w:rPr>
  </w:style>
  <w:style w:type="paragraph" w:customStyle="1" w:styleId="FSCfooter">
    <w:name w:val="FSC_footer"/>
    <w:basedOn w:val="Normal"/>
    <w:locked/>
    <w:rsid w:val="006E527D"/>
    <w:pPr>
      <w:widowControl/>
      <w:tabs>
        <w:tab w:val="center" w:pos="4536"/>
        <w:tab w:val="right" w:pos="9072"/>
      </w:tabs>
    </w:pPr>
    <w:rPr>
      <w:sz w:val="18"/>
      <w:szCs w:val="20"/>
      <w:lang w:bidi="ar-SA"/>
    </w:rPr>
  </w:style>
  <w:style w:type="paragraph" w:customStyle="1" w:styleId="FSCh1Chap">
    <w:name w:val="FSC_h1_Chap"/>
    <w:basedOn w:val="FSCbaseheading"/>
    <w:next w:val="FSCh2Part"/>
    <w:qFormat/>
    <w:locked/>
    <w:rsid w:val="006E527D"/>
    <w:pPr>
      <w:spacing w:before="0" w:after="240"/>
      <w:outlineLvl w:val="0"/>
    </w:pPr>
    <w:rPr>
      <w:bCs w:val="0"/>
      <w:sz w:val="40"/>
    </w:rPr>
  </w:style>
  <w:style w:type="paragraph" w:customStyle="1" w:styleId="FSCh2Part">
    <w:name w:val="FSC_h2_Part"/>
    <w:basedOn w:val="FSCbaseheading"/>
    <w:next w:val="FSCh3Standard"/>
    <w:qFormat/>
    <w:locked/>
    <w:rsid w:val="006E527D"/>
    <w:pPr>
      <w:spacing w:before="240" w:after="240"/>
      <w:outlineLvl w:val="1"/>
    </w:pPr>
    <w:rPr>
      <w:bCs w:val="0"/>
      <w:sz w:val="36"/>
      <w:szCs w:val="22"/>
    </w:rPr>
  </w:style>
  <w:style w:type="paragraph" w:customStyle="1" w:styleId="FSCh3Standard">
    <w:name w:val="FSC_h3_Standard"/>
    <w:basedOn w:val="FSCbaseheading"/>
    <w:next w:val="FSCh5Section"/>
    <w:qFormat/>
    <w:locked/>
    <w:rsid w:val="006E527D"/>
    <w:pPr>
      <w:spacing w:before="0" w:after="240"/>
      <w:outlineLvl w:val="2"/>
    </w:pPr>
    <w:rPr>
      <w:sz w:val="32"/>
    </w:rPr>
  </w:style>
  <w:style w:type="paragraph" w:customStyle="1" w:styleId="FSCh3Contents">
    <w:name w:val="FSC_h3_Contents"/>
    <w:basedOn w:val="FSCh3Standard"/>
    <w:locked/>
    <w:rsid w:val="006E527D"/>
    <w:pPr>
      <w:ind w:left="0" w:firstLine="0"/>
      <w:jc w:val="center"/>
    </w:pPr>
  </w:style>
  <w:style w:type="paragraph" w:customStyle="1" w:styleId="FSCh4Div">
    <w:name w:val="FSC_h4_Div"/>
    <w:basedOn w:val="FSCbaseheading"/>
    <w:next w:val="FSCh5Section"/>
    <w:qFormat/>
    <w:locked/>
    <w:rsid w:val="006E527D"/>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locked/>
    <w:rsid w:val="006E527D"/>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FSCtMain"/>
    <w:qFormat/>
    <w:locked/>
    <w:rsid w:val="006E527D"/>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FSCtMain"/>
    <w:qFormat/>
    <w:locked/>
    <w:rsid w:val="006E527D"/>
    <w:pPr>
      <w:keepLines w:val="0"/>
      <w:widowControl w:val="0"/>
      <w:spacing w:before="120" w:after="60"/>
      <w:ind w:left="1701" w:firstLine="0"/>
    </w:pPr>
    <w:rPr>
      <w:b w:val="0"/>
      <w:i/>
      <w:sz w:val="20"/>
    </w:rPr>
  </w:style>
  <w:style w:type="paragraph" w:customStyle="1" w:styleId="FSCtMain">
    <w:name w:val="FSC_t_Main"/>
    <w:basedOn w:val="FSCbasepara"/>
    <w:locked/>
    <w:rsid w:val="006E527D"/>
    <w:pPr>
      <w:keepLines w:val="0"/>
      <w:widowControl w:val="0"/>
      <w:tabs>
        <w:tab w:val="left" w:pos="1134"/>
      </w:tabs>
      <w:spacing w:after="120"/>
    </w:pPr>
  </w:style>
  <w:style w:type="paragraph" w:customStyle="1" w:styleId="FSCnatHeading">
    <w:name w:val="FSC_n_at_Heading"/>
    <w:basedOn w:val="FSCtMain"/>
    <w:qFormat/>
    <w:locked/>
    <w:rsid w:val="006E527D"/>
    <w:pPr>
      <w:ind w:left="851" w:hanging="851"/>
    </w:pPr>
    <w:rPr>
      <w:sz w:val="16"/>
    </w:rPr>
  </w:style>
  <w:style w:type="paragraph" w:customStyle="1" w:styleId="FSCtPara">
    <w:name w:val="FSC_t_Para"/>
    <w:basedOn w:val="FSCtMain"/>
    <w:qFormat/>
    <w:locked/>
    <w:rsid w:val="006E527D"/>
    <w:pPr>
      <w:tabs>
        <w:tab w:val="clear" w:pos="1134"/>
        <w:tab w:val="left" w:pos="1701"/>
      </w:tabs>
      <w:spacing w:before="60" w:after="60"/>
      <w:ind w:left="2268" w:hanging="2268"/>
    </w:pPr>
  </w:style>
  <w:style w:type="paragraph" w:customStyle="1" w:styleId="FSCnMain">
    <w:name w:val="FSC_n_Main"/>
    <w:basedOn w:val="FSCtPara"/>
    <w:qFormat/>
    <w:locked/>
    <w:rsid w:val="006E527D"/>
    <w:rPr>
      <w:iCs w:val="0"/>
      <w:sz w:val="16"/>
      <w:szCs w:val="18"/>
    </w:rPr>
  </w:style>
  <w:style w:type="paragraph" w:customStyle="1" w:styleId="FSCtSubpara">
    <w:name w:val="FSC_t_Subpara"/>
    <w:basedOn w:val="FSCtMain"/>
    <w:qFormat/>
    <w:locked/>
    <w:rsid w:val="006E527D"/>
    <w:pPr>
      <w:tabs>
        <w:tab w:val="clear" w:pos="1134"/>
        <w:tab w:val="left" w:pos="2268"/>
      </w:tabs>
      <w:spacing w:before="60" w:after="60"/>
      <w:ind w:left="2835" w:hanging="2835"/>
    </w:pPr>
  </w:style>
  <w:style w:type="paragraph" w:customStyle="1" w:styleId="FSCnPara">
    <w:name w:val="FSC_n_Para"/>
    <w:basedOn w:val="FSCtSubpara"/>
    <w:qFormat/>
    <w:locked/>
    <w:rsid w:val="006E527D"/>
    <w:rPr>
      <w:sz w:val="16"/>
    </w:rPr>
  </w:style>
  <w:style w:type="paragraph" w:customStyle="1" w:styleId="FSCtSubsub">
    <w:name w:val="FSC_t_Subsub"/>
    <w:basedOn w:val="FSCtPara"/>
    <w:qFormat/>
    <w:locked/>
    <w:rsid w:val="006E527D"/>
    <w:pPr>
      <w:tabs>
        <w:tab w:val="clear" w:pos="1701"/>
        <w:tab w:val="left" w:pos="2835"/>
      </w:tabs>
      <w:ind w:left="3402" w:hanging="3402"/>
    </w:pPr>
  </w:style>
  <w:style w:type="paragraph" w:customStyle="1" w:styleId="FSCnSubpara">
    <w:name w:val="FSC_n_Subpara"/>
    <w:basedOn w:val="FSCtSubsub"/>
    <w:qFormat/>
    <w:locked/>
    <w:rsid w:val="006E527D"/>
    <w:rPr>
      <w:sz w:val="16"/>
    </w:rPr>
  </w:style>
  <w:style w:type="paragraph" w:customStyle="1" w:styleId="FSCnSubsub">
    <w:name w:val="FSC_n_Subsub"/>
    <w:basedOn w:val="FSCnSubpara"/>
    <w:qFormat/>
    <w:locked/>
    <w:rsid w:val="006E527D"/>
    <w:pPr>
      <w:tabs>
        <w:tab w:val="clear" w:pos="2835"/>
        <w:tab w:val="left" w:pos="3402"/>
      </w:tabs>
      <w:ind w:left="3969" w:hanging="3969"/>
    </w:pPr>
  </w:style>
  <w:style w:type="paragraph" w:customStyle="1" w:styleId="FSCoContents">
    <w:name w:val="FSC_o_Contents"/>
    <w:basedOn w:val="FSCh2Part"/>
    <w:locked/>
    <w:rsid w:val="006E527D"/>
    <w:pPr>
      <w:ind w:left="0" w:firstLine="0"/>
      <w:jc w:val="center"/>
    </w:pPr>
  </w:style>
  <w:style w:type="paragraph" w:customStyle="1" w:styleId="FSCoDraftstrip">
    <w:name w:val="FSC_o_Draft_strip"/>
    <w:basedOn w:val="Normal"/>
    <w:locked/>
    <w:rsid w:val="006E527D"/>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locked/>
    <w:rsid w:val="006E527D"/>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locked/>
    <w:rsid w:val="006E527D"/>
    <w:pPr>
      <w:widowControl/>
      <w:spacing w:before="80"/>
    </w:pPr>
    <w:rPr>
      <w:color w:val="7030A0"/>
      <w:lang w:eastAsia="en-AU" w:bidi="ar-SA"/>
    </w:rPr>
  </w:style>
  <w:style w:type="paragraph" w:customStyle="1" w:styleId="FSCoFooter">
    <w:name w:val="FSC_o_Footer"/>
    <w:basedOn w:val="Normal"/>
    <w:locked/>
    <w:rsid w:val="006E527D"/>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locked/>
    <w:rsid w:val="006E527D"/>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locked/>
    <w:rsid w:val="006E527D"/>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6E527D"/>
    <w:rPr>
      <w:rFonts w:ascii="Arial" w:hAnsi="Arial"/>
      <w:b/>
      <w:noProof/>
      <w:szCs w:val="24"/>
      <w:lang w:eastAsia="en-AU"/>
    </w:rPr>
  </w:style>
  <w:style w:type="paragraph" w:customStyle="1" w:styleId="FSCoParaMark">
    <w:name w:val="FSC_o_Para_Mark"/>
    <w:basedOn w:val="Normal"/>
    <w:next w:val="Normal"/>
    <w:qFormat/>
    <w:locked/>
    <w:rsid w:val="006E527D"/>
    <w:pPr>
      <w:widowControl/>
    </w:pPr>
    <w:rPr>
      <w:sz w:val="16"/>
      <w:lang w:eastAsia="en-AU" w:bidi="ar-SA"/>
    </w:rPr>
  </w:style>
  <w:style w:type="paragraph" w:customStyle="1" w:styleId="FSCoStandardEnd">
    <w:name w:val="FSC_o_Standard_End"/>
    <w:basedOn w:val="FSCtMain"/>
    <w:qFormat/>
    <w:locked/>
    <w:rsid w:val="006E527D"/>
    <w:pPr>
      <w:spacing w:before="240" w:after="0"/>
      <w:jc w:val="center"/>
    </w:pPr>
    <w:rPr>
      <w:iCs w:val="0"/>
    </w:rPr>
  </w:style>
  <w:style w:type="paragraph" w:customStyle="1" w:styleId="FSCoTitleofInstrument">
    <w:name w:val="FSC_o_Title_of_Instrument"/>
    <w:basedOn w:val="Normal"/>
    <w:locked/>
    <w:rsid w:val="006E527D"/>
    <w:pPr>
      <w:widowControl/>
      <w:spacing w:before="200"/>
    </w:pPr>
    <w:rPr>
      <w:b/>
      <w:sz w:val="32"/>
      <w:lang w:eastAsia="en-AU" w:bidi="ar-SA"/>
    </w:rPr>
  </w:style>
  <w:style w:type="paragraph" w:customStyle="1" w:styleId="FSCoutChap">
    <w:name w:val="FSC_out_Chap"/>
    <w:basedOn w:val="FSCh4Div"/>
    <w:qFormat/>
    <w:locked/>
    <w:rsid w:val="006E527D"/>
    <w:pPr>
      <w:tabs>
        <w:tab w:val="left" w:pos="1701"/>
      </w:tabs>
      <w:spacing w:after="120"/>
      <w:ind w:left="3402" w:hanging="3402"/>
    </w:pPr>
  </w:style>
  <w:style w:type="paragraph" w:customStyle="1" w:styleId="FSCoutPart">
    <w:name w:val="FSC_out_Part"/>
    <w:basedOn w:val="FSCh5Section"/>
    <w:qFormat/>
    <w:locked/>
    <w:rsid w:val="006E527D"/>
    <w:pPr>
      <w:keepNext w:val="0"/>
      <w:tabs>
        <w:tab w:val="left" w:pos="1701"/>
      </w:tabs>
      <w:ind w:left="3402" w:hanging="3402"/>
    </w:pPr>
  </w:style>
  <w:style w:type="paragraph" w:customStyle="1" w:styleId="FSCoutStand">
    <w:name w:val="FSC_out_Stand"/>
    <w:basedOn w:val="FSCtMain"/>
    <w:qFormat/>
    <w:locked/>
    <w:rsid w:val="006E527D"/>
    <w:pPr>
      <w:tabs>
        <w:tab w:val="clear" w:pos="1134"/>
        <w:tab w:val="left" w:pos="1701"/>
      </w:tabs>
      <w:ind w:left="3402" w:hanging="3402"/>
    </w:pPr>
  </w:style>
  <w:style w:type="paragraph" w:customStyle="1" w:styleId="FSCtDefn">
    <w:name w:val="FSC_t_Defn"/>
    <w:basedOn w:val="FSCtMain"/>
    <w:locked/>
    <w:rsid w:val="006E527D"/>
    <w:pPr>
      <w:ind w:firstLine="0"/>
    </w:pPr>
  </w:style>
  <w:style w:type="paragraph" w:customStyle="1" w:styleId="FSCtblAddh1">
    <w:name w:val="FSC_tbl_Add_h1"/>
    <w:basedOn w:val="FSCh4Div"/>
    <w:locked/>
    <w:rsid w:val="006E527D"/>
    <w:pPr>
      <w:spacing w:before="120" w:after="120"/>
    </w:pPr>
    <w:rPr>
      <w:rFonts w:eastAsiaTheme="minorHAnsi"/>
      <w:sz w:val="20"/>
      <w:lang w:eastAsia="en-US"/>
    </w:rPr>
  </w:style>
  <w:style w:type="paragraph" w:customStyle="1" w:styleId="FSCtblAddh2">
    <w:name w:val="FSC_tbl_Add_h2"/>
    <w:basedOn w:val="FSCtblAddh1"/>
    <w:locked/>
    <w:rsid w:val="006E527D"/>
    <w:pPr>
      <w:spacing w:before="60" w:after="60"/>
    </w:pPr>
    <w:rPr>
      <w:i/>
    </w:rPr>
  </w:style>
  <w:style w:type="paragraph" w:customStyle="1" w:styleId="FSCtblAddh3">
    <w:name w:val="FSC_tbl_Add_h3"/>
    <w:basedOn w:val="Normal"/>
    <w:locked/>
    <w:rsid w:val="006E527D"/>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locked/>
    <w:rsid w:val="006E527D"/>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locked/>
    <w:rsid w:val="006E527D"/>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locked/>
    <w:rsid w:val="006E527D"/>
    <w:pPr>
      <w:keepLines/>
      <w:widowControl/>
      <w:spacing w:before="20" w:after="20"/>
    </w:pPr>
    <w:rPr>
      <w:rFonts w:eastAsiaTheme="minorHAnsi" w:cs="Arial"/>
      <w:sz w:val="18"/>
      <w:szCs w:val="22"/>
      <w:lang w:bidi="ar-SA"/>
    </w:rPr>
  </w:style>
  <w:style w:type="paragraph" w:customStyle="1" w:styleId="FSCtblAdd2">
    <w:name w:val="FSC_tbl_Add2"/>
    <w:basedOn w:val="Normal"/>
    <w:qFormat/>
    <w:locked/>
    <w:rsid w:val="006E527D"/>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locked/>
    <w:rsid w:val="006E527D"/>
    <w:pPr>
      <w:keepNext/>
      <w:widowControl/>
      <w:spacing w:after="60"/>
    </w:pPr>
    <w:rPr>
      <w:rFonts w:eastAsia="Calibri"/>
      <w:b/>
      <w:sz w:val="16"/>
      <w:szCs w:val="20"/>
      <w:lang w:eastAsia="en-AU" w:bidi="ar-SA"/>
    </w:rPr>
  </w:style>
  <w:style w:type="paragraph" w:customStyle="1" w:styleId="FSCtblAmendmain">
    <w:name w:val="FSC_tbl_Amend_main"/>
    <w:basedOn w:val="Normal"/>
    <w:qFormat/>
    <w:locked/>
    <w:rsid w:val="006E527D"/>
    <w:pPr>
      <w:widowControl/>
      <w:ind w:left="113" w:hanging="113"/>
    </w:pPr>
    <w:rPr>
      <w:bCs/>
      <w:sz w:val="16"/>
      <w:szCs w:val="20"/>
      <w:lang w:bidi="ar-SA"/>
    </w:rPr>
  </w:style>
  <w:style w:type="paragraph" w:customStyle="1" w:styleId="FSCtblh2">
    <w:name w:val="FSC_tbl_h2"/>
    <w:basedOn w:val="Normal"/>
    <w:qFormat/>
    <w:locked/>
    <w:rsid w:val="006E527D"/>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locked/>
    <w:rsid w:val="006E527D"/>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locked/>
    <w:rsid w:val="006E527D"/>
    <w:pPr>
      <w:keepNext/>
      <w:keepLines/>
      <w:widowControl/>
      <w:spacing w:before="60" w:after="60"/>
    </w:pPr>
    <w:rPr>
      <w:rFonts w:cs="Arial"/>
      <w:i/>
      <w:sz w:val="18"/>
      <w:szCs w:val="22"/>
      <w:lang w:eastAsia="en-AU" w:bidi="ar-SA"/>
    </w:rPr>
  </w:style>
  <w:style w:type="paragraph" w:customStyle="1" w:styleId="FSCtblMain">
    <w:name w:val="FSC_tbl_Main"/>
    <w:basedOn w:val="Normal"/>
    <w:locked/>
    <w:rsid w:val="006E527D"/>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locked/>
    <w:rsid w:val="006E527D"/>
    <w:pPr>
      <w:jc w:val="center"/>
    </w:pPr>
    <w:rPr>
      <w:rFonts w:eastAsiaTheme="minorHAnsi"/>
      <w:lang w:eastAsia="en-US"/>
    </w:rPr>
  </w:style>
  <w:style w:type="paragraph" w:customStyle="1" w:styleId="FSCtblMainRH">
    <w:name w:val="FSC_tbl_Main_RH"/>
    <w:basedOn w:val="FSCtblMain"/>
    <w:qFormat/>
    <w:locked/>
    <w:rsid w:val="006E527D"/>
    <w:pPr>
      <w:jc w:val="right"/>
    </w:pPr>
    <w:rPr>
      <w:rFonts w:eastAsiaTheme="minorHAnsi"/>
      <w:lang w:eastAsia="en-US"/>
    </w:rPr>
  </w:style>
  <w:style w:type="paragraph" w:customStyle="1" w:styleId="FSCtblMRL1">
    <w:name w:val="FSC_tbl_MRL1"/>
    <w:basedOn w:val="Normal"/>
    <w:locked/>
    <w:rsid w:val="006E527D"/>
    <w:pPr>
      <w:keepLines/>
      <w:widowControl/>
      <w:spacing w:before="20" w:after="20"/>
    </w:pPr>
    <w:rPr>
      <w:rFonts w:cs="Arial"/>
      <w:sz w:val="18"/>
      <w:szCs w:val="20"/>
      <w:lang w:eastAsia="en-AU" w:bidi="ar-SA"/>
    </w:rPr>
  </w:style>
  <w:style w:type="paragraph" w:customStyle="1" w:styleId="FSCtblMRL2">
    <w:name w:val="FSC_tbl_MRL2"/>
    <w:basedOn w:val="FSCtblMRL1"/>
    <w:qFormat/>
    <w:locked/>
    <w:rsid w:val="006E527D"/>
    <w:pPr>
      <w:jc w:val="right"/>
    </w:pPr>
    <w:rPr>
      <w:rFonts w:eastAsiaTheme="minorHAnsi"/>
      <w:lang w:eastAsia="en-US"/>
    </w:rPr>
  </w:style>
  <w:style w:type="paragraph" w:customStyle="1" w:styleId="FSCtblPara">
    <w:name w:val="FSC_tbl_Para"/>
    <w:basedOn w:val="Normal"/>
    <w:locked/>
    <w:rsid w:val="006E527D"/>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locked/>
    <w:rsid w:val="006E527D"/>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uiPriority w:val="99"/>
    <w:rsid w:val="009F1BCF"/>
    <w:rPr>
      <w:b/>
      <w:bCs/>
    </w:rPr>
  </w:style>
  <w:style w:type="character" w:customStyle="1" w:styleId="CommentSubjectChar">
    <w:name w:val="Comment Subject Char"/>
    <w:basedOn w:val="CommentTextChar"/>
    <w:link w:val="CommentSubject"/>
    <w:uiPriority w:val="99"/>
    <w:rsid w:val="009F1BCF"/>
    <w:rPr>
      <w:rFonts w:ascii="Arial" w:hAnsi="Arial"/>
      <w:b/>
      <w:bCs/>
      <w:lang w:eastAsia="en-US" w:bidi="en-US"/>
    </w:rPr>
  </w:style>
  <w:style w:type="paragraph" w:styleId="FootnoteText">
    <w:name w:val="footnote text"/>
    <w:aliases w:val="FSFootnote Text,Footnotes Text,FSFootnotes Text"/>
    <w:basedOn w:val="Normal"/>
    <w:link w:val="FootnoteTextChar"/>
    <w:uiPriority w:val="5"/>
    <w:qFormat/>
    <w:rsid w:val="00820535"/>
    <w:rPr>
      <w:sz w:val="20"/>
      <w:szCs w:val="20"/>
    </w:rPr>
  </w:style>
  <w:style w:type="character" w:customStyle="1" w:styleId="FootnoteTextChar">
    <w:name w:val="Footnote Text Char"/>
    <w:aliases w:val="FSFootnote Text Char,Footnotes Text Char,FSFootnotes Text Char"/>
    <w:basedOn w:val="DefaultParagraphFont"/>
    <w:link w:val="FootnoteText"/>
    <w:uiPriority w:val="5"/>
    <w:rsid w:val="00820535"/>
    <w:rPr>
      <w:rFonts w:ascii="Arial" w:hAnsi="Arial"/>
      <w:lang w:eastAsia="en-US" w:bidi="en-US"/>
    </w:rPr>
  </w:style>
  <w:style w:type="table" w:customStyle="1" w:styleId="TableGrid1">
    <w:name w:val="Table Grid1"/>
    <w:basedOn w:val="TableNormal"/>
    <w:rsid w:val="00372515"/>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RTableText">
    <w:name w:val="AAR Table Text"/>
    <w:basedOn w:val="Normal"/>
    <w:rsid w:val="002B14A0"/>
    <w:pPr>
      <w:widowControl/>
      <w:spacing w:before="60" w:after="60"/>
    </w:pPr>
    <w:rPr>
      <w:rFonts w:cs="Arial"/>
      <w:sz w:val="20"/>
      <w:szCs w:val="20"/>
      <w:lang w:val="en-AU" w:bidi="ar-SA"/>
    </w:rPr>
  </w:style>
  <w:style w:type="paragraph" w:styleId="ListParagraph">
    <w:name w:val="List Paragraph"/>
    <w:basedOn w:val="Normal"/>
    <w:uiPriority w:val="34"/>
    <w:qFormat/>
    <w:rsid w:val="000F17EF"/>
    <w:pPr>
      <w:ind w:left="720"/>
      <w:contextualSpacing/>
    </w:pPr>
  </w:style>
  <w:style w:type="paragraph" w:customStyle="1" w:styleId="fscnpara0">
    <w:name w:val="fscnpara"/>
    <w:basedOn w:val="Normal"/>
    <w:rsid w:val="00E54FD5"/>
    <w:pPr>
      <w:widowControl/>
      <w:spacing w:before="100" w:beforeAutospacing="1" w:after="100" w:afterAutospacing="1"/>
    </w:pPr>
    <w:rPr>
      <w:rFonts w:ascii="Times New Roman" w:hAnsi="Times New Roman"/>
      <w:sz w:val="24"/>
      <w:lang w:val="en-NZ" w:eastAsia="en-NZ" w:bidi="ar-SA"/>
    </w:rPr>
  </w:style>
  <w:style w:type="paragraph" w:customStyle="1" w:styleId="AARBullet">
    <w:name w:val="AAR Bullet"/>
    <w:basedOn w:val="Normal"/>
    <w:qFormat/>
    <w:rsid w:val="009B0882"/>
    <w:pPr>
      <w:widowControl/>
      <w:numPr>
        <w:numId w:val="4"/>
      </w:numPr>
      <w:spacing w:before="60" w:after="60"/>
    </w:pPr>
    <w:rPr>
      <w:rFonts w:cs="Arial"/>
      <w:sz w:val="20"/>
      <w:lang w:val="en-AU" w:bidi="ar-SA"/>
    </w:rPr>
  </w:style>
  <w:style w:type="character" w:styleId="Strong">
    <w:name w:val="Strong"/>
    <w:basedOn w:val="DefaultParagraphFont"/>
    <w:uiPriority w:val="22"/>
    <w:qFormat/>
    <w:rsid w:val="008B149D"/>
    <w:rPr>
      <w:b/>
      <w:bCs/>
    </w:rPr>
  </w:style>
  <w:style w:type="character" w:styleId="Emphasis">
    <w:name w:val="Emphasis"/>
    <w:basedOn w:val="DefaultParagraphFont"/>
    <w:uiPriority w:val="20"/>
    <w:qFormat/>
    <w:rsid w:val="00015489"/>
    <w:rPr>
      <w:i/>
      <w:iCs/>
    </w:rPr>
  </w:style>
  <w:style w:type="paragraph" w:customStyle="1" w:styleId="Default">
    <w:name w:val="Default"/>
    <w:rsid w:val="001477A7"/>
    <w:pPr>
      <w:autoSpaceDE w:val="0"/>
      <w:autoSpaceDN w:val="0"/>
      <w:adjustRightInd w:val="0"/>
    </w:pPr>
    <w:rPr>
      <w:rFonts w:ascii="Times New Roman" w:hAnsi="Times New Roman"/>
      <w:color w:val="000000"/>
      <w:sz w:val="24"/>
      <w:szCs w:val="24"/>
      <w:lang w:val="en-NZ" w:eastAsia="en-NZ"/>
    </w:rPr>
  </w:style>
  <w:style w:type="paragraph" w:customStyle="1" w:styleId="paragraph">
    <w:name w:val="paragraph"/>
    <w:basedOn w:val="Normal"/>
    <w:rsid w:val="00CC4779"/>
    <w:pPr>
      <w:widowControl/>
      <w:spacing w:before="100" w:beforeAutospacing="1" w:after="100" w:afterAutospacing="1"/>
    </w:pPr>
    <w:rPr>
      <w:rFonts w:ascii="Times New Roman" w:hAnsi="Times New Roman"/>
      <w:sz w:val="24"/>
      <w:lang w:eastAsia="en-GB" w:bidi="ar-SA"/>
    </w:rPr>
  </w:style>
  <w:style w:type="paragraph" w:styleId="EndnoteText">
    <w:name w:val="endnote text"/>
    <w:basedOn w:val="Normal"/>
    <w:link w:val="EndnoteTextChar"/>
    <w:semiHidden/>
    <w:unhideWhenUsed/>
    <w:rsid w:val="00B36057"/>
    <w:rPr>
      <w:sz w:val="20"/>
      <w:szCs w:val="20"/>
    </w:rPr>
  </w:style>
  <w:style w:type="character" w:customStyle="1" w:styleId="EndnoteTextChar">
    <w:name w:val="Endnote Text Char"/>
    <w:basedOn w:val="DefaultParagraphFont"/>
    <w:link w:val="EndnoteText"/>
    <w:semiHidden/>
    <w:rsid w:val="00B36057"/>
    <w:rPr>
      <w:rFonts w:ascii="Arial" w:hAnsi="Arial"/>
      <w:lang w:eastAsia="en-US" w:bidi="en-US"/>
    </w:rPr>
  </w:style>
  <w:style w:type="character" w:styleId="EndnoteReference">
    <w:name w:val="endnote reference"/>
    <w:basedOn w:val="DefaultParagraphFont"/>
    <w:semiHidden/>
    <w:unhideWhenUsed/>
    <w:rsid w:val="00B36057"/>
    <w:rPr>
      <w:vertAlign w:val="superscript"/>
    </w:rPr>
  </w:style>
  <w:style w:type="character" w:customStyle="1" w:styleId="ilfuvd">
    <w:name w:val="ilfuvd"/>
    <w:basedOn w:val="DefaultParagraphFont"/>
    <w:rsid w:val="008A7040"/>
  </w:style>
  <w:style w:type="paragraph" w:customStyle="1" w:styleId="131ItemHeading">
    <w:name w:val="1.3.1 Item Heading"/>
    <w:basedOn w:val="Table2"/>
    <w:next w:val="Table2"/>
    <w:uiPriority w:val="22"/>
    <w:qFormat/>
    <w:rsid w:val="004D7999"/>
    <w:pPr>
      <w:keepNext/>
      <w:widowControl/>
      <w:tabs>
        <w:tab w:val="left" w:pos="851"/>
      </w:tabs>
      <w:spacing w:after="200"/>
      <w:ind w:left="0" w:firstLine="0"/>
    </w:pPr>
    <w:rPr>
      <w:b/>
      <w:bCs w:val="0"/>
      <w:caps/>
      <w:sz w:val="20"/>
      <w:lang w:bidi="ar-SA"/>
    </w:rPr>
  </w:style>
  <w:style w:type="paragraph" w:customStyle="1" w:styleId="131Subitemheading">
    <w:name w:val="1.3.1 Subitem heading"/>
    <w:basedOn w:val="131ItemHeading"/>
    <w:next w:val="Table2"/>
    <w:uiPriority w:val="22"/>
    <w:qFormat/>
    <w:rsid w:val="004D7999"/>
    <w:pPr>
      <w:spacing w:after="120"/>
    </w:pPr>
    <w:rPr>
      <w:caps w:val="0"/>
      <w:sz w:val="18"/>
    </w:rPr>
  </w:style>
  <w:style w:type="paragraph" w:customStyle="1" w:styleId="142Tableheading1">
    <w:name w:val="1.4.2 Table heading1"/>
    <w:basedOn w:val="Normal"/>
    <w:uiPriority w:val="22"/>
    <w:qFormat/>
    <w:rsid w:val="004D7999"/>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D7999"/>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D7999"/>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4D7999"/>
    <w:rPr>
      <w:rFonts w:ascii="Arial" w:hAnsi="Arial"/>
      <w:sz w:val="18"/>
      <w:lang w:eastAsia="en-US"/>
    </w:rPr>
  </w:style>
  <w:style w:type="paragraph" w:customStyle="1" w:styleId="142Tabletext2">
    <w:name w:val="1.4.2 Table text2"/>
    <w:basedOn w:val="142Tabletext1"/>
    <w:uiPriority w:val="22"/>
    <w:qFormat/>
    <w:rsid w:val="004D7999"/>
    <w:pPr>
      <w:jc w:val="right"/>
    </w:pPr>
  </w:style>
  <w:style w:type="paragraph" w:customStyle="1" w:styleId="Blankpage">
    <w:name w:val="Blank page"/>
    <w:basedOn w:val="Normal"/>
    <w:next w:val="Normal"/>
    <w:uiPriority w:val="23"/>
    <w:qFormat/>
    <w:rsid w:val="004D7999"/>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4D7999"/>
    <w:pPr>
      <w:widowControl/>
      <w:tabs>
        <w:tab w:val="left" w:pos="851"/>
      </w:tabs>
    </w:pPr>
    <w:rPr>
      <w:sz w:val="20"/>
      <w:szCs w:val="20"/>
      <w:lang w:bidi="ar-SA"/>
    </w:rPr>
  </w:style>
  <w:style w:type="character" w:customStyle="1" w:styleId="ClauseChar">
    <w:name w:val="Clause Char"/>
    <w:basedOn w:val="DefaultParagraphFont"/>
    <w:link w:val="Clause"/>
    <w:uiPriority w:val="10"/>
    <w:rsid w:val="004D7999"/>
    <w:rPr>
      <w:rFonts w:ascii="Arial" w:hAnsi="Arial"/>
      <w:lang w:eastAsia="en-US"/>
    </w:rPr>
  </w:style>
  <w:style w:type="paragraph" w:customStyle="1" w:styleId="Clauseheading">
    <w:name w:val="Clause heading"/>
    <w:basedOn w:val="Normal"/>
    <w:next w:val="Normal"/>
    <w:uiPriority w:val="14"/>
    <w:qFormat/>
    <w:rsid w:val="004D7999"/>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D7999"/>
    <w:pPr>
      <w:tabs>
        <w:tab w:val="clear" w:pos="851"/>
      </w:tabs>
      <w:ind w:left="851" w:hanging="851"/>
    </w:pPr>
  </w:style>
  <w:style w:type="paragraph" w:customStyle="1" w:styleId="Definition">
    <w:name w:val="Definition"/>
    <w:basedOn w:val="Normal"/>
    <w:next w:val="Normal"/>
    <w:uiPriority w:val="15"/>
    <w:qFormat/>
    <w:rsid w:val="004D7999"/>
    <w:pPr>
      <w:widowControl/>
      <w:ind w:left="1701" w:hanging="851"/>
    </w:pPr>
    <w:rPr>
      <w:sz w:val="20"/>
      <w:szCs w:val="20"/>
      <w:lang w:bidi="ar-SA"/>
    </w:rPr>
  </w:style>
  <w:style w:type="paragraph" w:customStyle="1" w:styleId="DivisionHeading">
    <w:name w:val="Division Heading"/>
    <w:basedOn w:val="Normal"/>
    <w:next w:val="Normal"/>
    <w:uiPriority w:val="15"/>
    <w:qFormat/>
    <w:rsid w:val="004D7999"/>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D7999"/>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D7999"/>
    <w:pPr>
      <w:keepNext w:val="0"/>
    </w:pPr>
    <w:rPr>
      <w:b w:val="0"/>
    </w:rPr>
  </w:style>
  <w:style w:type="character" w:customStyle="1" w:styleId="FooterChar">
    <w:name w:val="Footer Char"/>
    <w:aliases w:val="FSFooter Char"/>
    <w:basedOn w:val="DefaultParagraphFont"/>
    <w:link w:val="Footer"/>
    <w:uiPriority w:val="99"/>
    <w:rsid w:val="004D7999"/>
    <w:rPr>
      <w:rFonts w:ascii="Arial" w:hAnsi="Arial"/>
      <w:szCs w:val="24"/>
      <w:lang w:eastAsia="en-US" w:bidi="en-US"/>
    </w:rPr>
  </w:style>
  <w:style w:type="paragraph" w:customStyle="1" w:styleId="FSCaption">
    <w:name w:val="FSCaption"/>
    <w:basedOn w:val="Normal"/>
    <w:uiPriority w:val="9"/>
    <w:qFormat/>
    <w:locked/>
    <w:rsid w:val="004D7999"/>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D7999"/>
    <w:pPr>
      <w:widowControl/>
    </w:pPr>
    <w:rPr>
      <w:sz w:val="16"/>
      <w:szCs w:val="20"/>
      <w:lang w:bidi="ar-SA"/>
    </w:rPr>
  </w:style>
  <w:style w:type="paragraph" w:customStyle="1" w:styleId="FSCFooter0">
    <w:name w:val="FSCFooter"/>
    <w:basedOn w:val="FSCFootnote"/>
    <w:uiPriority w:val="17"/>
    <w:qFormat/>
    <w:locked/>
    <w:rsid w:val="004D7999"/>
    <w:pPr>
      <w:tabs>
        <w:tab w:val="center" w:pos="4536"/>
        <w:tab w:val="right" w:pos="9070"/>
      </w:tabs>
    </w:pPr>
    <w:rPr>
      <w:sz w:val="18"/>
      <w:szCs w:val="18"/>
    </w:rPr>
  </w:style>
  <w:style w:type="paragraph" w:customStyle="1" w:styleId="FSPagenumber">
    <w:name w:val="FSPage number"/>
    <w:basedOn w:val="Normal"/>
    <w:uiPriority w:val="1"/>
    <w:qFormat/>
    <w:locked/>
    <w:rsid w:val="004D7999"/>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D7999"/>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D7999"/>
    <w:pPr>
      <w:widowControl/>
      <w:spacing w:before="120" w:after="120"/>
      <w:ind w:left="1134" w:hanging="1134"/>
    </w:pPr>
    <w:rPr>
      <w:rFonts w:eastAsiaTheme="minorHAnsi" w:cstheme="minorBidi"/>
      <w:b/>
      <w:i/>
      <w:szCs w:val="22"/>
      <w:lang w:bidi="ar-SA"/>
    </w:rPr>
  </w:style>
  <w:style w:type="paragraph" w:customStyle="1" w:styleId="Paragraph0">
    <w:name w:val="Paragraph"/>
    <w:basedOn w:val="Clause"/>
    <w:next w:val="Normal"/>
    <w:uiPriority w:val="12"/>
    <w:qFormat/>
    <w:rsid w:val="004D7999"/>
    <w:pPr>
      <w:tabs>
        <w:tab w:val="clear" w:pos="851"/>
      </w:tabs>
      <w:ind w:left="1702" w:hanging="851"/>
    </w:pPr>
  </w:style>
  <w:style w:type="paragraph" w:customStyle="1" w:styleId="ScheduleHeading">
    <w:name w:val="Schedule Heading"/>
    <w:basedOn w:val="Normal"/>
    <w:next w:val="Normal"/>
    <w:uiPriority w:val="18"/>
    <w:qFormat/>
    <w:rsid w:val="004D7999"/>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D7999"/>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4D7999"/>
    <w:pPr>
      <w:ind w:left="567" w:hanging="567"/>
    </w:pPr>
  </w:style>
  <w:style w:type="paragraph" w:customStyle="1" w:styleId="Subparagraph">
    <w:name w:val="Subparagraph"/>
    <w:basedOn w:val="Paragraph0"/>
    <w:next w:val="Normal"/>
    <w:uiPriority w:val="13"/>
    <w:qFormat/>
    <w:rsid w:val="004D7999"/>
    <w:pPr>
      <w:ind w:left="2553"/>
    </w:pPr>
  </w:style>
  <w:style w:type="paragraph" w:customStyle="1" w:styleId="Table1">
    <w:name w:val="Table 1"/>
    <w:basedOn w:val="Normal"/>
    <w:uiPriority w:val="20"/>
    <w:qFormat/>
    <w:rsid w:val="004D7999"/>
    <w:pPr>
      <w:keepNext/>
      <w:widowControl/>
      <w:spacing w:after="120"/>
      <w:jc w:val="center"/>
    </w:pPr>
    <w:rPr>
      <w:b/>
      <w:bCs/>
      <w:sz w:val="18"/>
      <w:szCs w:val="20"/>
      <w:lang w:bidi="ar-SA"/>
    </w:rPr>
  </w:style>
  <w:style w:type="paragraph" w:customStyle="1" w:styleId="TitleBorder">
    <w:name w:val="TitleBorder"/>
    <w:basedOn w:val="Normal"/>
    <w:uiPriority w:val="19"/>
    <w:qFormat/>
    <w:rsid w:val="004D7999"/>
    <w:pPr>
      <w:widowControl/>
      <w:pBdr>
        <w:bottom w:val="double" w:sz="6" w:space="0" w:color="auto"/>
      </w:pBdr>
      <w:tabs>
        <w:tab w:val="left" w:pos="851"/>
      </w:tabs>
    </w:pPr>
    <w:rPr>
      <w:sz w:val="20"/>
      <w:szCs w:val="20"/>
      <w:lang w:bidi="ar-SA"/>
    </w:rPr>
  </w:style>
  <w:style w:type="paragraph" w:styleId="NoSpacing">
    <w:name w:val="No Spacing"/>
    <w:uiPriority w:val="20"/>
    <w:rsid w:val="004D7999"/>
    <w:pPr>
      <w:widowControl w:val="0"/>
    </w:pPr>
    <w:rPr>
      <w:rFonts w:ascii="Arial" w:eastAsiaTheme="minorHAnsi" w:hAnsi="Arial" w:cstheme="minorBidi"/>
      <w:sz w:val="22"/>
      <w:szCs w:val="22"/>
      <w:lang w:eastAsia="en-US"/>
    </w:rPr>
  </w:style>
  <w:style w:type="paragraph" w:styleId="Subtitle">
    <w:name w:val="Subtitle"/>
    <w:basedOn w:val="Normal"/>
    <w:next w:val="Normal"/>
    <w:link w:val="SubtitleChar"/>
    <w:uiPriority w:val="11"/>
    <w:rsid w:val="004D7999"/>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4D7999"/>
    <w:rPr>
      <w:rFonts w:asciiTheme="majorHAnsi" w:eastAsiaTheme="majorEastAsia" w:hAnsiTheme="majorHAnsi" w:cstheme="majorBidi"/>
      <w:i/>
      <w:iCs/>
      <w:color w:val="4F81BD" w:themeColor="accent1"/>
      <w:spacing w:val="15"/>
      <w:sz w:val="24"/>
      <w:szCs w:val="24"/>
      <w:lang w:eastAsia="en-US"/>
    </w:rPr>
  </w:style>
  <w:style w:type="character" w:styleId="IntenseEmphasis">
    <w:name w:val="Intense Emphasis"/>
    <w:basedOn w:val="DefaultParagraphFont"/>
    <w:uiPriority w:val="21"/>
    <w:rsid w:val="004D7999"/>
    <w:rPr>
      <w:b/>
      <w:bCs/>
      <w:i/>
      <w:iCs/>
      <w:color w:val="4F81BD" w:themeColor="accent1"/>
    </w:rPr>
  </w:style>
  <w:style w:type="character" w:customStyle="1" w:styleId="BalloonTextChar">
    <w:name w:val="Balloon Text Char"/>
    <w:basedOn w:val="DefaultParagraphFont"/>
    <w:link w:val="BalloonText"/>
    <w:uiPriority w:val="99"/>
    <w:semiHidden/>
    <w:rsid w:val="004D7999"/>
    <w:rPr>
      <w:rFonts w:ascii="Tahoma" w:hAnsi="Tahoma" w:cs="Tahoma"/>
      <w:sz w:val="16"/>
      <w:szCs w:val="16"/>
      <w:lang w:eastAsia="en-US" w:bidi="en-US"/>
    </w:rPr>
  </w:style>
  <w:style w:type="paragraph" w:styleId="NormalWeb">
    <w:name w:val="Normal (Web)"/>
    <w:basedOn w:val="Normal"/>
    <w:uiPriority w:val="99"/>
    <w:unhideWhenUsed/>
    <w:rsid w:val="00583389"/>
    <w:pPr>
      <w:widowControl/>
      <w:spacing w:before="100" w:beforeAutospacing="1" w:after="100" w:afterAutospacing="1"/>
    </w:pPr>
    <w:rPr>
      <w:rFonts w:ascii="Times New Roman" w:eastAsia="MS PGothic" w:hAnsi="Times New Roman"/>
      <w:sz w:val="24"/>
      <w:lang w:eastAsia="ja-JP" w:bidi="ar-SA"/>
    </w:rPr>
  </w:style>
  <w:style w:type="character" w:customStyle="1" w:styleId="ms-displayinlineblock">
    <w:name w:val="ms-displayinlineblock"/>
    <w:basedOn w:val="DefaultParagraphFont"/>
    <w:rsid w:val="00A5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1604">
      <w:bodyDiv w:val="1"/>
      <w:marLeft w:val="0"/>
      <w:marRight w:val="0"/>
      <w:marTop w:val="0"/>
      <w:marBottom w:val="0"/>
      <w:divBdr>
        <w:top w:val="none" w:sz="0" w:space="0" w:color="auto"/>
        <w:left w:val="none" w:sz="0" w:space="0" w:color="auto"/>
        <w:bottom w:val="none" w:sz="0" w:space="0" w:color="auto"/>
        <w:right w:val="none" w:sz="0" w:space="0" w:color="auto"/>
      </w:divBdr>
    </w:div>
    <w:div w:id="129909323">
      <w:bodyDiv w:val="1"/>
      <w:marLeft w:val="0"/>
      <w:marRight w:val="0"/>
      <w:marTop w:val="0"/>
      <w:marBottom w:val="0"/>
      <w:divBdr>
        <w:top w:val="none" w:sz="0" w:space="0" w:color="auto"/>
        <w:left w:val="none" w:sz="0" w:space="0" w:color="auto"/>
        <w:bottom w:val="none" w:sz="0" w:space="0" w:color="auto"/>
        <w:right w:val="none" w:sz="0" w:space="0" w:color="auto"/>
      </w:divBdr>
    </w:div>
    <w:div w:id="196357128">
      <w:bodyDiv w:val="1"/>
      <w:marLeft w:val="0"/>
      <w:marRight w:val="0"/>
      <w:marTop w:val="0"/>
      <w:marBottom w:val="0"/>
      <w:divBdr>
        <w:top w:val="none" w:sz="0" w:space="0" w:color="auto"/>
        <w:left w:val="none" w:sz="0" w:space="0" w:color="auto"/>
        <w:bottom w:val="none" w:sz="0" w:space="0" w:color="auto"/>
        <w:right w:val="none" w:sz="0" w:space="0" w:color="auto"/>
      </w:divBdr>
    </w:div>
    <w:div w:id="262422385">
      <w:bodyDiv w:val="1"/>
      <w:marLeft w:val="0"/>
      <w:marRight w:val="0"/>
      <w:marTop w:val="0"/>
      <w:marBottom w:val="0"/>
      <w:divBdr>
        <w:top w:val="none" w:sz="0" w:space="0" w:color="auto"/>
        <w:left w:val="none" w:sz="0" w:space="0" w:color="auto"/>
        <w:bottom w:val="none" w:sz="0" w:space="0" w:color="auto"/>
        <w:right w:val="none" w:sz="0" w:space="0" w:color="auto"/>
      </w:divBdr>
    </w:div>
    <w:div w:id="289089929">
      <w:bodyDiv w:val="1"/>
      <w:marLeft w:val="0"/>
      <w:marRight w:val="0"/>
      <w:marTop w:val="0"/>
      <w:marBottom w:val="0"/>
      <w:divBdr>
        <w:top w:val="none" w:sz="0" w:space="0" w:color="auto"/>
        <w:left w:val="none" w:sz="0" w:space="0" w:color="auto"/>
        <w:bottom w:val="none" w:sz="0" w:space="0" w:color="auto"/>
        <w:right w:val="none" w:sz="0" w:space="0" w:color="auto"/>
      </w:divBdr>
    </w:div>
    <w:div w:id="351033656">
      <w:bodyDiv w:val="1"/>
      <w:marLeft w:val="0"/>
      <w:marRight w:val="0"/>
      <w:marTop w:val="0"/>
      <w:marBottom w:val="0"/>
      <w:divBdr>
        <w:top w:val="none" w:sz="0" w:space="0" w:color="auto"/>
        <w:left w:val="none" w:sz="0" w:space="0" w:color="auto"/>
        <w:bottom w:val="none" w:sz="0" w:space="0" w:color="auto"/>
        <w:right w:val="none" w:sz="0" w:space="0" w:color="auto"/>
      </w:divBdr>
    </w:div>
    <w:div w:id="404229113">
      <w:bodyDiv w:val="1"/>
      <w:marLeft w:val="0"/>
      <w:marRight w:val="0"/>
      <w:marTop w:val="0"/>
      <w:marBottom w:val="0"/>
      <w:divBdr>
        <w:top w:val="none" w:sz="0" w:space="0" w:color="auto"/>
        <w:left w:val="none" w:sz="0" w:space="0" w:color="auto"/>
        <w:bottom w:val="none" w:sz="0" w:space="0" w:color="auto"/>
        <w:right w:val="none" w:sz="0" w:space="0" w:color="auto"/>
      </w:divBdr>
    </w:div>
    <w:div w:id="508522553">
      <w:bodyDiv w:val="1"/>
      <w:marLeft w:val="0"/>
      <w:marRight w:val="0"/>
      <w:marTop w:val="0"/>
      <w:marBottom w:val="0"/>
      <w:divBdr>
        <w:top w:val="none" w:sz="0" w:space="0" w:color="auto"/>
        <w:left w:val="none" w:sz="0" w:space="0" w:color="auto"/>
        <w:bottom w:val="none" w:sz="0" w:space="0" w:color="auto"/>
        <w:right w:val="none" w:sz="0" w:space="0" w:color="auto"/>
      </w:divBdr>
    </w:div>
    <w:div w:id="622004449">
      <w:bodyDiv w:val="1"/>
      <w:marLeft w:val="0"/>
      <w:marRight w:val="0"/>
      <w:marTop w:val="0"/>
      <w:marBottom w:val="0"/>
      <w:divBdr>
        <w:top w:val="none" w:sz="0" w:space="0" w:color="auto"/>
        <w:left w:val="none" w:sz="0" w:space="0" w:color="auto"/>
        <w:bottom w:val="none" w:sz="0" w:space="0" w:color="auto"/>
        <w:right w:val="none" w:sz="0" w:space="0" w:color="auto"/>
      </w:divBdr>
    </w:div>
    <w:div w:id="676078497">
      <w:bodyDiv w:val="1"/>
      <w:marLeft w:val="0"/>
      <w:marRight w:val="0"/>
      <w:marTop w:val="0"/>
      <w:marBottom w:val="0"/>
      <w:divBdr>
        <w:top w:val="none" w:sz="0" w:space="0" w:color="auto"/>
        <w:left w:val="none" w:sz="0" w:space="0" w:color="auto"/>
        <w:bottom w:val="none" w:sz="0" w:space="0" w:color="auto"/>
        <w:right w:val="none" w:sz="0" w:space="0" w:color="auto"/>
      </w:divBdr>
    </w:div>
    <w:div w:id="801312180">
      <w:bodyDiv w:val="1"/>
      <w:marLeft w:val="0"/>
      <w:marRight w:val="0"/>
      <w:marTop w:val="0"/>
      <w:marBottom w:val="0"/>
      <w:divBdr>
        <w:top w:val="none" w:sz="0" w:space="0" w:color="auto"/>
        <w:left w:val="none" w:sz="0" w:space="0" w:color="auto"/>
        <w:bottom w:val="none" w:sz="0" w:space="0" w:color="auto"/>
        <w:right w:val="none" w:sz="0" w:space="0" w:color="auto"/>
      </w:divBdr>
    </w:div>
    <w:div w:id="864904939">
      <w:bodyDiv w:val="1"/>
      <w:marLeft w:val="0"/>
      <w:marRight w:val="0"/>
      <w:marTop w:val="0"/>
      <w:marBottom w:val="0"/>
      <w:divBdr>
        <w:top w:val="none" w:sz="0" w:space="0" w:color="auto"/>
        <w:left w:val="none" w:sz="0" w:space="0" w:color="auto"/>
        <w:bottom w:val="none" w:sz="0" w:space="0" w:color="auto"/>
        <w:right w:val="none" w:sz="0" w:space="0" w:color="auto"/>
      </w:divBdr>
    </w:div>
    <w:div w:id="866794552">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1">
          <w:marLeft w:val="0"/>
          <w:marRight w:val="0"/>
          <w:marTop w:val="0"/>
          <w:marBottom w:val="0"/>
          <w:divBdr>
            <w:top w:val="none" w:sz="0" w:space="0" w:color="auto"/>
            <w:left w:val="none" w:sz="0" w:space="0" w:color="auto"/>
            <w:bottom w:val="none" w:sz="0" w:space="0" w:color="auto"/>
            <w:right w:val="none" w:sz="0" w:space="0" w:color="auto"/>
          </w:divBdr>
          <w:divsChild>
            <w:div w:id="761292416">
              <w:marLeft w:val="0"/>
              <w:marRight w:val="0"/>
              <w:marTop w:val="0"/>
              <w:marBottom w:val="0"/>
              <w:divBdr>
                <w:top w:val="none" w:sz="0" w:space="0" w:color="auto"/>
                <w:left w:val="none" w:sz="0" w:space="0" w:color="auto"/>
                <w:bottom w:val="none" w:sz="0" w:space="0" w:color="auto"/>
                <w:right w:val="none" w:sz="0" w:space="0" w:color="auto"/>
              </w:divBdr>
              <w:divsChild>
                <w:div w:id="410322966">
                  <w:marLeft w:val="0"/>
                  <w:marRight w:val="0"/>
                  <w:marTop w:val="0"/>
                  <w:marBottom w:val="0"/>
                  <w:divBdr>
                    <w:top w:val="none" w:sz="0" w:space="0" w:color="auto"/>
                    <w:left w:val="none" w:sz="0" w:space="0" w:color="auto"/>
                    <w:bottom w:val="none" w:sz="0" w:space="0" w:color="auto"/>
                    <w:right w:val="none" w:sz="0" w:space="0" w:color="auto"/>
                  </w:divBdr>
                  <w:divsChild>
                    <w:div w:id="703017161">
                      <w:marLeft w:val="3000"/>
                      <w:marRight w:val="0"/>
                      <w:marTop w:val="0"/>
                      <w:marBottom w:val="75"/>
                      <w:divBdr>
                        <w:top w:val="none" w:sz="0" w:space="0" w:color="auto"/>
                        <w:left w:val="none" w:sz="0" w:space="0" w:color="auto"/>
                        <w:bottom w:val="none" w:sz="0" w:space="0" w:color="auto"/>
                        <w:right w:val="none" w:sz="0" w:space="0" w:color="auto"/>
                      </w:divBdr>
                      <w:divsChild>
                        <w:div w:id="1126779760">
                          <w:marLeft w:val="0"/>
                          <w:marRight w:val="0"/>
                          <w:marTop w:val="0"/>
                          <w:marBottom w:val="0"/>
                          <w:divBdr>
                            <w:top w:val="none" w:sz="0" w:space="0" w:color="auto"/>
                            <w:left w:val="none" w:sz="0" w:space="0" w:color="auto"/>
                            <w:bottom w:val="none" w:sz="0" w:space="0" w:color="auto"/>
                            <w:right w:val="none" w:sz="0" w:space="0" w:color="auto"/>
                          </w:divBdr>
                          <w:divsChild>
                            <w:div w:id="563175960">
                              <w:marLeft w:val="0"/>
                              <w:marRight w:val="0"/>
                              <w:marTop w:val="0"/>
                              <w:marBottom w:val="405"/>
                              <w:divBdr>
                                <w:top w:val="none" w:sz="0" w:space="0" w:color="auto"/>
                                <w:left w:val="none" w:sz="0" w:space="0" w:color="auto"/>
                                <w:bottom w:val="none" w:sz="0" w:space="0" w:color="auto"/>
                                <w:right w:val="none" w:sz="0" w:space="0" w:color="auto"/>
                              </w:divBdr>
                              <w:divsChild>
                                <w:div w:id="1385909107">
                                  <w:marLeft w:val="0"/>
                                  <w:marRight w:val="0"/>
                                  <w:marTop w:val="0"/>
                                  <w:marBottom w:val="0"/>
                                  <w:divBdr>
                                    <w:top w:val="none" w:sz="0" w:space="0" w:color="auto"/>
                                    <w:left w:val="none" w:sz="0" w:space="0" w:color="auto"/>
                                    <w:bottom w:val="none" w:sz="0" w:space="0" w:color="auto"/>
                                    <w:right w:val="none" w:sz="0" w:space="0" w:color="auto"/>
                                  </w:divBdr>
                                </w:div>
                              </w:divsChild>
                            </w:div>
                            <w:div w:id="602803816">
                              <w:marLeft w:val="0"/>
                              <w:marRight w:val="0"/>
                              <w:marTop w:val="0"/>
                              <w:marBottom w:val="0"/>
                              <w:divBdr>
                                <w:top w:val="none" w:sz="0" w:space="0" w:color="auto"/>
                                <w:left w:val="none" w:sz="0" w:space="0" w:color="auto"/>
                                <w:bottom w:val="none" w:sz="0" w:space="0" w:color="auto"/>
                                <w:right w:val="none" w:sz="0" w:space="0" w:color="auto"/>
                              </w:divBdr>
                              <w:divsChild>
                                <w:div w:id="280193392">
                                  <w:marLeft w:val="0"/>
                                  <w:marRight w:val="0"/>
                                  <w:marTop w:val="0"/>
                                  <w:marBottom w:val="0"/>
                                  <w:divBdr>
                                    <w:top w:val="none" w:sz="0" w:space="0" w:color="auto"/>
                                    <w:left w:val="none" w:sz="0" w:space="0" w:color="auto"/>
                                    <w:bottom w:val="none" w:sz="0" w:space="0" w:color="auto"/>
                                    <w:right w:val="none" w:sz="0" w:space="0" w:color="auto"/>
                                  </w:divBdr>
                                  <w:divsChild>
                                    <w:div w:id="595285235">
                                      <w:marLeft w:val="0"/>
                                      <w:marRight w:val="0"/>
                                      <w:marTop w:val="0"/>
                                      <w:marBottom w:val="0"/>
                                      <w:divBdr>
                                        <w:top w:val="none" w:sz="0" w:space="0" w:color="auto"/>
                                        <w:left w:val="none" w:sz="0" w:space="0" w:color="auto"/>
                                        <w:bottom w:val="none" w:sz="0" w:space="0" w:color="auto"/>
                                        <w:right w:val="none" w:sz="0" w:space="0" w:color="auto"/>
                                      </w:divBdr>
                                    </w:div>
                                    <w:div w:id="13404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786156">
      <w:bodyDiv w:val="1"/>
      <w:marLeft w:val="0"/>
      <w:marRight w:val="0"/>
      <w:marTop w:val="0"/>
      <w:marBottom w:val="0"/>
      <w:divBdr>
        <w:top w:val="none" w:sz="0" w:space="0" w:color="auto"/>
        <w:left w:val="none" w:sz="0" w:space="0" w:color="auto"/>
        <w:bottom w:val="none" w:sz="0" w:space="0" w:color="auto"/>
        <w:right w:val="none" w:sz="0" w:space="0" w:color="auto"/>
      </w:divBdr>
    </w:div>
    <w:div w:id="1025593412">
      <w:bodyDiv w:val="1"/>
      <w:marLeft w:val="0"/>
      <w:marRight w:val="0"/>
      <w:marTop w:val="0"/>
      <w:marBottom w:val="0"/>
      <w:divBdr>
        <w:top w:val="none" w:sz="0" w:space="0" w:color="auto"/>
        <w:left w:val="none" w:sz="0" w:space="0" w:color="auto"/>
        <w:bottom w:val="none" w:sz="0" w:space="0" w:color="auto"/>
        <w:right w:val="none" w:sz="0" w:space="0" w:color="auto"/>
      </w:divBdr>
    </w:div>
    <w:div w:id="1110590094">
      <w:bodyDiv w:val="1"/>
      <w:marLeft w:val="0"/>
      <w:marRight w:val="0"/>
      <w:marTop w:val="0"/>
      <w:marBottom w:val="0"/>
      <w:divBdr>
        <w:top w:val="none" w:sz="0" w:space="0" w:color="auto"/>
        <w:left w:val="none" w:sz="0" w:space="0" w:color="auto"/>
        <w:bottom w:val="none" w:sz="0" w:space="0" w:color="auto"/>
        <w:right w:val="none" w:sz="0" w:space="0" w:color="auto"/>
      </w:divBdr>
    </w:div>
    <w:div w:id="1347827587">
      <w:bodyDiv w:val="1"/>
      <w:marLeft w:val="0"/>
      <w:marRight w:val="0"/>
      <w:marTop w:val="0"/>
      <w:marBottom w:val="0"/>
      <w:divBdr>
        <w:top w:val="none" w:sz="0" w:space="0" w:color="auto"/>
        <w:left w:val="none" w:sz="0" w:space="0" w:color="auto"/>
        <w:bottom w:val="none" w:sz="0" w:space="0" w:color="auto"/>
        <w:right w:val="none" w:sz="0" w:space="0" w:color="auto"/>
      </w:divBdr>
    </w:div>
    <w:div w:id="1538546897">
      <w:bodyDiv w:val="1"/>
      <w:marLeft w:val="0"/>
      <w:marRight w:val="0"/>
      <w:marTop w:val="0"/>
      <w:marBottom w:val="0"/>
      <w:divBdr>
        <w:top w:val="none" w:sz="0" w:space="0" w:color="auto"/>
        <w:left w:val="none" w:sz="0" w:space="0" w:color="auto"/>
        <w:bottom w:val="none" w:sz="0" w:space="0" w:color="auto"/>
        <w:right w:val="none" w:sz="0" w:space="0" w:color="auto"/>
      </w:divBdr>
    </w:div>
    <w:div w:id="1557162636">
      <w:bodyDiv w:val="1"/>
      <w:marLeft w:val="0"/>
      <w:marRight w:val="0"/>
      <w:marTop w:val="0"/>
      <w:marBottom w:val="0"/>
      <w:divBdr>
        <w:top w:val="none" w:sz="0" w:space="0" w:color="auto"/>
        <w:left w:val="none" w:sz="0" w:space="0" w:color="auto"/>
        <w:bottom w:val="none" w:sz="0" w:space="0" w:color="auto"/>
        <w:right w:val="none" w:sz="0" w:space="0" w:color="auto"/>
      </w:divBdr>
    </w:div>
    <w:div w:id="1710565337">
      <w:bodyDiv w:val="1"/>
      <w:marLeft w:val="0"/>
      <w:marRight w:val="0"/>
      <w:marTop w:val="0"/>
      <w:marBottom w:val="0"/>
      <w:divBdr>
        <w:top w:val="none" w:sz="0" w:space="0" w:color="auto"/>
        <w:left w:val="none" w:sz="0" w:space="0" w:color="auto"/>
        <w:bottom w:val="none" w:sz="0" w:space="0" w:color="auto"/>
        <w:right w:val="none" w:sz="0" w:space="0" w:color="auto"/>
      </w:divBdr>
    </w:div>
    <w:div w:id="1756365639">
      <w:bodyDiv w:val="1"/>
      <w:marLeft w:val="0"/>
      <w:marRight w:val="0"/>
      <w:marTop w:val="0"/>
      <w:marBottom w:val="0"/>
      <w:divBdr>
        <w:top w:val="none" w:sz="0" w:space="0" w:color="auto"/>
        <w:left w:val="none" w:sz="0" w:space="0" w:color="auto"/>
        <w:bottom w:val="none" w:sz="0" w:space="0" w:color="auto"/>
        <w:right w:val="none" w:sz="0" w:space="0" w:color="auto"/>
      </w:divBdr>
    </w:div>
    <w:div w:id="1768430172">
      <w:bodyDiv w:val="1"/>
      <w:marLeft w:val="0"/>
      <w:marRight w:val="0"/>
      <w:marTop w:val="0"/>
      <w:marBottom w:val="0"/>
      <w:divBdr>
        <w:top w:val="none" w:sz="0" w:space="0" w:color="auto"/>
        <w:left w:val="none" w:sz="0" w:space="0" w:color="auto"/>
        <w:bottom w:val="none" w:sz="0" w:space="0" w:color="auto"/>
        <w:right w:val="none" w:sz="0" w:space="0" w:color="auto"/>
      </w:divBdr>
    </w:div>
    <w:div w:id="1783068867">
      <w:bodyDiv w:val="1"/>
      <w:marLeft w:val="0"/>
      <w:marRight w:val="0"/>
      <w:marTop w:val="0"/>
      <w:marBottom w:val="0"/>
      <w:divBdr>
        <w:top w:val="none" w:sz="0" w:space="0" w:color="auto"/>
        <w:left w:val="none" w:sz="0" w:space="0" w:color="auto"/>
        <w:bottom w:val="none" w:sz="0" w:space="0" w:color="auto"/>
        <w:right w:val="none" w:sz="0" w:space="0" w:color="auto"/>
      </w:divBdr>
    </w:div>
    <w:div w:id="1970740534">
      <w:bodyDiv w:val="1"/>
      <w:marLeft w:val="0"/>
      <w:marRight w:val="0"/>
      <w:marTop w:val="0"/>
      <w:marBottom w:val="0"/>
      <w:divBdr>
        <w:top w:val="none" w:sz="0" w:space="0" w:color="auto"/>
        <w:left w:val="none" w:sz="0" w:space="0" w:color="auto"/>
        <w:bottom w:val="none" w:sz="0" w:space="0" w:color="auto"/>
        <w:right w:val="none" w:sz="0" w:space="0" w:color="auto"/>
      </w:divBdr>
    </w:div>
    <w:div w:id="1970939263">
      <w:bodyDiv w:val="1"/>
      <w:marLeft w:val="0"/>
      <w:marRight w:val="0"/>
      <w:marTop w:val="0"/>
      <w:marBottom w:val="0"/>
      <w:divBdr>
        <w:top w:val="none" w:sz="0" w:space="0" w:color="auto"/>
        <w:left w:val="none" w:sz="0" w:space="0" w:color="auto"/>
        <w:bottom w:val="none" w:sz="0" w:space="0" w:color="auto"/>
        <w:right w:val="none" w:sz="0" w:space="0" w:color="auto"/>
      </w:divBdr>
    </w:div>
    <w:div w:id="1975132288">
      <w:bodyDiv w:val="1"/>
      <w:marLeft w:val="0"/>
      <w:marRight w:val="0"/>
      <w:marTop w:val="0"/>
      <w:marBottom w:val="0"/>
      <w:divBdr>
        <w:top w:val="none" w:sz="0" w:space="0" w:color="auto"/>
        <w:left w:val="none" w:sz="0" w:space="0" w:color="auto"/>
        <w:bottom w:val="none" w:sz="0" w:space="0" w:color="auto"/>
        <w:right w:val="none" w:sz="0" w:space="0" w:color="auto"/>
      </w:divBdr>
      <w:divsChild>
        <w:div w:id="1885677984">
          <w:marLeft w:val="0"/>
          <w:marRight w:val="0"/>
          <w:marTop w:val="0"/>
          <w:marBottom w:val="0"/>
          <w:divBdr>
            <w:top w:val="none" w:sz="0" w:space="0" w:color="auto"/>
            <w:left w:val="none" w:sz="0" w:space="0" w:color="auto"/>
            <w:bottom w:val="none" w:sz="0" w:space="0" w:color="auto"/>
            <w:right w:val="none" w:sz="0" w:space="0" w:color="auto"/>
          </w:divBdr>
          <w:divsChild>
            <w:div w:id="3216895">
              <w:marLeft w:val="0"/>
              <w:marRight w:val="0"/>
              <w:marTop w:val="0"/>
              <w:marBottom w:val="0"/>
              <w:divBdr>
                <w:top w:val="none" w:sz="0" w:space="0" w:color="auto"/>
                <w:left w:val="none" w:sz="0" w:space="0" w:color="auto"/>
                <w:bottom w:val="none" w:sz="0" w:space="0" w:color="auto"/>
                <w:right w:val="none" w:sz="0" w:space="0" w:color="auto"/>
              </w:divBdr>
              <w:divsChild>
                <w:div w:id="851645705">
                  <w:marLeft w:val="0"/>
                  <w:marRight w:val="0"/>
                  <w:marTop w:val="0"/>
                  <w:marBottom w:val="0"/>
                  <w:divBdr>
                    <w:top w:val="none" w:sz="0" w:space="0" w:color="auto"/>
                    <w:left w:val="none" w:sz="0" w:space="0" w:color="auto"/>
                    <w:bottom w:val="none" w:sz="0" w:space="0" w:color="auto"/>
                    <w:right w:val="none" w:sz="0" w:space="0" w:color="auto"/>
                  </w:divBdr>
                  <w:divsChild>
                    <w:div w:id="1284532803">
                      <w:marLeft w:val="0"/>
                      <w:marRight w:val="0"/>
                      <w:marTop w:val="0"/>
                      <w:marBottom w:val="0"/>
                      <w:divBdr>
                        <w:top w:val="none" w:sz="0" w:space="0" w:color="auto"/>
                        <w:left w:val="none" w:sz="0" w:space="0" w:color="auto"/>
                        <w:bottom w:val="none" w:sz="0" w:space="0" w:color="auto"/>
                        <w:right w:val="none" w:sz="0" w:space="0" w:color="auto"/>
                      </w:divBdr>
                      <w:divsChild>
                        <w:div w:id="1391810928">
                          <w:marLeft w:val="0"/>
                          <w:marRight w:val="0"/>
                          <w:marTop w:val="0"/>
                          <w:marBottom w:val="0"/>
                          <w:divBdr>
                            <w:top w:val="none" w:sz="0" w:space="0" w:color="auto"/>
                            <w:left w:val="none" w:sz="0" w:space="0" w:color="auto"/>
                            <w:bottom w:val="none" w:sz="0" w:space="0" w:color="auto"/>
                            <w:right w:val="none" w:sz="0" w:space="0" w:color="auto"/>
                          </w:divBdr>
                          <w:divsChild>
                            <w:div w:id="512762774">
                              <w:marLeft w:val="0"/>
                              <w:marRight w:val="0"/>
                              <w:marTop w:val="0"/>
                              <w:marBottom w:val="0"/>
                              <w:divBdr>
                                <w:top w:val="none" w:sz="0" w:space="0" w:color="auto"/>
                                <w:left w:val="none" w:sz="0" w:space="0" w:color="auto"/>
                                <w:bottom w:val="none" w:sz="0" w:space="0" w:color="auto"/>
                                <w:right w:val="none" w:sz="0" w:space="0" w:color="auto"/>
                              </w:divBdr>
                              <w:divsChild>
                                <w:div w:id="1230383144">
                                  <w:marLeft w:val="0"/>
                                  <w:marRight w:val="0"/>
                                  <w:marTop w:val="0"/>
                                  <w:marBottom w:val="0"/>
                                  <w:divBdr>
                                    <w:top w:val="none" w:sz="0" w:space="0" w:color="auto"/>
                                    <w:left w:val="none" w:sz="0" w:space="0" w:color="auto"/>
                                    <w:bottom w:val="none" w:sz="0" w:space="0" w:color="auto"/>
                                    <w:right w:val="none" w:sz="0" w:space="0" w:color="auto"/>
                                  </w:divBdr>
                                  <w:divsChild>
                                    <w:div w:id="146866945">
                                      <w:marLeft w:val="0"/>
                                      <w:marRight w:val="0"/>
                                      <w:marTop w:val="0"/>
                                      <w:marBottom w:val="0"/>
                                      <w:divBdr>
                                        <w:top w:val="none" w:sz="0" w:space="0" w:color="auto"/>
                                        <w:left w:val="none" w:sz="0" w:space="0" w:color="auto"/>
                                        <w:bottom w:val="none" w:sz="0" w:space="0" w:color="auto"/>
                                        <w:right w:val="none" w:sz="0" w:space="0" w:color="auto"/>
                                      </w:divBdr>
                                      <w:divsChild>
                                        <w:div w:id="389305520">
                                          <w:marLeft w:val="0"/>
                                          <w:marRight w:val="0"/>
                                          <w:marTop w:val="0"/>
                                          <w:marBottom w:val="0"/>
                                          <w:divBdr>
                                            <w:top w:val="none" w:sz="0" w:space="0" w:color="auto"/>
                                            <w:left w:val="none" w:sz="0" w:space="0" w:color="auto"/>
                                            <w:bottom w:val="none" w:sz="0" w:space="0" w:color="auto"/>
                                            <w:right w:val="none" w:sz="0" w:space="0" w:color="auto"/>
                                          </w:divBdr>
                                          <w:divsChild>
                                            <w:div w:id="875855625">
                                              <w:marLeft w:val="0"/>
                                              <w:marRight w:val="0"/>
                                              <w:marTop w:val="0"/>
                                              <w:marBottom w:val="0"/>
                                              <w:divBdr>
                                                <w:top w:val="none" w:sz="0" w:space="0" w:color="auto"/>
                                                <w:left w:val="none" w:sz="0" w:space="0" w:color="auto"/>
                                                <w:bottom w:val="none" w:sz="0" w:space="0" w:color="auto"/>
                                                <w:right w:val="none" w:sz="0" w:space="0" w:color="auto"/>
                                              </w:divBdr>
                                              <w:divsChild>
                                                <w:div w:id="1547720775">
                                                  <w:marLeft w:val="0"/>
                                                  <w:marRight w:val="0"/>
                                                  <w:marTop w:val="0"/>
                                                  <w:marBottom w:val="0"/>
                                                  <w:divBdr>
                                                    <w:top w:val="none" w:sz="0" w:space="0" w:color="auto"/>
                                                    <w:left w:val="none" w:sz="0" w:space="0" w:color="auto"/>
                                                    <w:bottom w:val="none" w:sz="0" w:space="0" w:color="auto"/>
                                                    <w:right w:val="none" w:sz="0" w:space="0" w:color="auto"/>
                                                  </w:divBdr>
                                                  <w:divsChild>
                                                    <w:div w:id="1350370600">
                                                      <w:marLeft w:val="0"/>
                                                      <w:marRight w:val="0"/>
                                                      <w:marTop w:val="0"/>
                                                      <w:marBottom w:val="0"/>
                                                      <w:divBdr>
                                                        <w:top w:val="none" w:sz="0" w:space="0" w:color="auto"/>
                                                        <w:left w:val="none" w:sz="0" w:space="0" w:color="auto"/>
                                                        <w:bottom w:val="none" w:sz="0" w:space="0" w:color="auto"/>
                                                        <w:right w:val="none" w:sz="0" w:space="0" w:color="auto"/>
                                                      </w:divBdr>
                                                      <w:divsChild>
                                                        <w:div w:id="13209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611214">
      <w:bodyDiv w:val="1"/>
      <w:marLeft w:val="0"/>
      <w:marRight w:val="0"/>
      <w:marTop w:val="0"/>
      <w:marBottom w:val="0"/>
      <w:divBdr>
        <w:top w:val="none" w:sz="0" w:space="0" w:color="auto"/>
        <w:left w:val="none" w:sz="0" w:space="0" w:color="auto"/>
        <w:bottom w:val="none" w:sz="0" w:space="0" w:color="auto"/>
        <w:right w:val="none" w:sz="0" w:space="0" w:color="auto"/>
      </w:divBdr>
    </w:div>
    <w:div w:id="2043284679">
      <w:bodyDiv w:val="1"/>
      <w:marLeft w:val="0"/>
      <w:marRight w:val="0"/>
      <w:marTop w:val="0"/>
      <w:marBottom w:val="0"/>
      <w:divBdr>
        <w:top w:val="none" w:sz="0" w:space="0" w:color="auto"/>
        <w:left w:val="none" w:sz="0" w:space="0" w:color="auto"/>
        <w:bottom w:val="none" w:sz="0" w:space="0" w:color="auto"/>
        <w:right w:val="none" w:sz="0" w:space="0" w:color="auto"/>
      </w:divBdr>
    </w:div>
    <w:div w:id="2067751082">
      <w:bodyDiv w:val="1"/>
      <w:marLeft w:val="0"/>
      <w:marRight w:val="0"/>
      <w:marTop w:val="0"/>
      <w:marBottom w:val="0"/>
      <w:divBdr>
        <w:top w:val="none" w:sz="0" w:space="0" w:color="auto"/>
        <w:left w:val="none" w:sz="0" w:space="0" w:color="auto"/>
        <w:bottom w:val="none" w:sz="0" w:space="0" w:color="auto"/>
        <w:right w:val="none" w:sz="0" w:space="0" w:color="auto"/>
      </w:divBdr>
    </w:div>
    <w:div w:id="2087022932">
      <w:bodyDiv w:val="1"/>
      <w:marLeft w:val="0"/>
      <w:marRight w:val="0"/>
      <w:marTop w:val="0"/>
      <w:marBottom w:val="0"/>
      <w:divBdr>
        <w:top w:val="none" w:sz="0" w:space="0" w:color="auto"/>
        <w:left w:val="none" w:sz="0" w:space="0" w:color="auto"/>
        <w:bottom w:val="none" w:sz="0" w:space="0" w:color="auto"/>
        <w:right w:val="none" w:sz="0" w:space="0" w:color="auto"/>
      </w:divBdr>
    </w:div>
    <w:div w:id="20995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submissions@foodstandards.gov.au" TargetMode="External"/><Relationship Id="rId26" Type="http://schemas.openxmlformats.org/officeDocument/2006/relationships/hyperlink" Target="https://admin-www.foodstandards.gov.au/code/applications/Pages/A1155.aspx" TargetMode="External"/><Relationship Id="rId39" Type="http://schemas.openxmlformats.org/officeDocument/2006/relationships/hyperlink" Target="https://www.fda.gov/food/generally-recognized-safe-gras/about-gras-notification-program" TargetMode="External"/><Relationship Id="rId21" Type="http://schemas.openxmlformats.org/officeDocument/2006/relationships/header" Target="header2.xml"/><Relationship Id="rId34" Type="http://schemas.openxmlformats.org/officeDocument/2006/relationships/hyperlink" Target="https://eur-lex.europa.eu/legal-content/EN/TXT/?qid=1558669116773&amp;uri=CELEX:32018R1023" TargetMode="External"/><Relationship Id="rId42" Type="http://schemas.openxmlformats.org/officeDocument/2006/relationships/image" Target="media/image2.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admin-www.foodstandards.gov.au/code/changes/submission/Pages/default.aspx" TargetMode="External"/><Relationship Id="rId20" Type="http://schemas.openxmlformats.org/officeDocument/2006/relationships/header" Target="header1.xml"/><Relationship Id="rId29" Type="http://schemas.openxmlformats.org/officeDocument/2006/relationships/hyperlink" Target="https://admin-www.foodstandards.gov.au/code/proposals/Pages/P1028.aspx" TargetMode="External"/><Relationship Id="rId41" Type="http://schemas.openxmlformats.org/officeDocument/2006/relationships/hyperlink" Target="https://www.accessdata.fda.gov/scripts/fdcc/?set=GRASNotices&amp;id=749&amp;sort=GRN_No&amp;order=DESC&amp;startrow=1&amp;type=basic&amp;search=749" TargetMode="External"/><Relationship Id="rId1" Type="http://schemas.openxmlformats.org/officeDocument/2006/relationships/customXml" Target="../customXml/item1.xml"/><Relationship Id="rId40" Type="http://schemas.openxmlformats.org/officeDocument/2006/relationships/hyperlink" Target="https://www.accessdata.fda.gov/scripts/fdcc/?set=GRASNotices&amp;id=735&amp;sort=GRN_No&amp;order=DESC&amp;startrow=1&amp;type=basic&amp;search=735" TargetMode="Externa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https://eur-lex.europa.eu/legal-content/en/TXT/?uri=CELEX:32017R2470" TargetMode="External"/><Relationship Id="rId37" Type="http://schemas.openxmlformats.org/officeDocument/2006/relationships/hyperlink" Target="https://www.accessdata.fda.gov/scripts/fdcc/?set=GRASNotices&amp;id=571&amp;sort=GRN_No&amp;order=DESC&amp;startrow=1&amp;type=basic&amp;search=571" TargetMode="External"/><Relationship Id="rId36" Type="http://schemas.openxmlformats.org/officeDocument/2006/relationships/hyperlink" Target="https://www.accessdata.fda.gov/scripts/fdcc/?set=GRASNotices&amp;id=546&amp;sort=GRN_No&amp;order=DESC&amp;startrow=1&amp;type=basic&amp;search=546" TargetMode="External"/><Relationship Id="rId15" Type="http://schemas.openxmlformats.org/officeDocument/2006/relationships/hyperlink" Target="https://admin-www.foodstandards.gov.au/code/changes/submission/Pages/default.aspx" TargetMode="External"/><Relationship Id="rId23" Type="http://schemas.openxmlformats.org/officeDocument/2006/relationships/footer" Target="footer2.xml"/><Relationship Id="rId28" Type="http://schemas.openxmlformats.org/officeDocument/2006/relationships/hyperlink" Target="https://admin-www.foodstandards.gov.au/code/applications/Pages/applicationa1055shor4991.aspx" TargetMode="External"/><Relationship Id="rId10" Type="http://schemas.openxmlformats.org/officeDocument/2006/relationships/settings" Target="settings.xml"/><Relationship Id="rId19" Type="http://schemas.openxmlformats.org/officeDocument/2006/relationships/hyperlink" Target="mailto:standards.management@foodstandards.gov.au" TargetMode="External"/><Relationship Id="rId31" Type="http://schemas.openxmlformats.org/officeDocument/2006/relationships/hyperlink" Target="https://www.dairyaustralia.com.au/industry/exports-and-trade/international-market-brief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hyperlink" Target="https://admin-www.foodstandards.gov.au/code/proposals/Pages/proposalp306addition3639.aspx" TargetMode="External"/><Relationship Id="rId30" Type="http://schemas.openxmlformats.org/officeDocument/2006/relationships/hyperlink" Target="https://admin-www.foodstandards.gov.au/code/proposals/Pages/P1024.aspx" TargetMode="External"/><Relationship Id="rId35" Type="http://schemas.openxmlformats.org/officeDocument/2006/relationships/hyperlink" Target="https://eur-lex.europa.eu/legal-content/EN/TXT/?qid=1558669454652&amp;uri=CELEX:32019R0388"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admin-www.foodstandards.gov.au/code/changes/Pages/Documents-for-public-comment.aspx" TargetMode="External"/><Relationship Id="rId25" Type="http://schemas.openxmlformats.org/officeDocument/2006/relationships/footer" Target="footer3.xml"/><Relationship Id="rId33" Type="http://schemas.openxmlformats.org/officeDocument/2006/relationships/hyperlink" Target="https://eur-lex.europa.eu/legal-content/EN/TXT/?uri=CELEX%3A32017D2201" TargetMode="External"/><Relationship Id="rId38" Type="http://schemas.openxmlformats.org/officeDocument/2006/relationships/hyperlink" Target="https://www.accessdata.fda.gov/scripts/fdcc/?set=GRASNotices&amp;id=650&amp;sort=GRN_No&amp;order=DESC&amp;startrow=1&amp;type=basic&amp;search=65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oodregulation.gov.au/internet/fr/publishing.nsf/Content/publication-Policy-Guideline-on-Infant-Formula-Products" TargetMode="External"/><Relationship Id="rId2" Type="http://schemas.openxmlformats.org/officeDocument/2006/relationships/hyperlink" Target="https://eur-lex.europa.eu/legal-content/EN/ALL/?uri=uriserv:OJ.L_.2013.181.01.0035.01.ENG" TargetMode="External"/><Relationship Id="rId1" Type="http://schemas.openxmlformats.org/officeDocument/2006/relationships/hyperlink" Target="http://www.fao.org/fao-who-codexalimentarius/home/en/" TargetMode="External"/><Relationship Id="rId5" Type="http://schemas.openxmlformats.org/officeDocument/2006/relationships/hyperlink" Target="http://foodregulation.gov.au/internet/fr/publishing.nsf/Content/publication-Policy-Guideline-on-Nutrition-Health-and-Related-Claims" TargetMode="External"/><Relationship Id="rId4" Type="http://schemas.openxmlformats.org/officeDocument/2006/relationships/hyperlink" Target="http://foodregulation.gov.au/internet/fr/publishing.nsf/Content/publication-Policy-Guideline-on-Intent-of-Part-2-9-of-the-Food-Standards-Code-Special-Purpose-F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16782579BD7F87419A0A49E38EEDE7A2" ma:contentTypeVersion="22" ma:contentTypeDescription="Files created by FSANZ including letters, draft documents and ideas for FSANZ business." ma:contentTypeScope="" ma:versionID="3b61c06d3f931fee63291762d6ba83f7">
  <xsd:schema xmlns:xsd="http://www.w3.org/2001/XMLSchema" xmlns:xs="http://www.w3.org/2001/XMLSchema" xmlns:p="http://schemas.microsoft.com/office/2006/metadata/properties" xmlns:ns3="ec50576e-4a27-4780-a1e1-e59563bc70b8" xmlns:ns4="7e329c68-5cbf-4e54-96e5-e53e71021bd2" targetNamespace="http://schemas.microsoft.com/office/2006/metadata/properties" ma:root="true" ma:fieldsID="d36306f50dec2f2a4bc4ca9c20fd0690" ns3:_="" ns4:_="">
    <xsd:import namespace="ec50576e-4a27-4780-a1e1-e59563bc70b8"/>
    <xsd:import namespace="7e329c68-5cbf-4e54-96e5-e53e71021bd2"/>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1dd242-5574-46eb-ad7a-c292bf7fa417}" ma:internalName="TaxCatchAll" ma:showField="CatchAllData"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1dd242-5574-46eb-ad7a-c292bf7fa417}" ma:internalName="TaxCatchAllLabel" ma:readOnly="true" ma:showField="CatchAllDataLabel" ma:web="7e329c68-5cbf-4e54-96e5-e53e71021bd2">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329c68-5cbf-4e54-96e5-e53e71021b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CE88-FC57-49CC-93BE-3473C29896FF}"/>
</file>

<file path=customXml/itemProps2.xml><?xml version="1.0" encoding="utf-8"?>
<ds:datastoreItem xmlns:ds="http://schemas.openxmlformats.org/officeDocument/2006/customXml" ds:itemID="{754039A9-D9DE-46DA-AA69-CB4CF0BBAF5E}"/>
</file>

<file path=customXml/itemProps3.xml><?xml version="1.0" encoding="utf-8"?>
<ds:datastoreItem xmlns:ds="http://schemas.openxmlformats.org/officeDocument/2006/customXml" ds:itemID="{51AFC2AA-5C30-4ACA-B0DD-0F4DE0B51688}"/>
</file>

<file path=customXml/itemProps4.xml><?xml version="1.0" encoding="utf-8"?>
<ds:datastoreItem xmlns:ds="http://schemas.openxmlformats.org/officeDocument/2006/customXml" ds:itemID="{1BF18DD8-0338-45BA-BD8B-AF844D7A4E96}"/>
</file>

<file path=customXml/itemProps5.xml><?xml version="1.0" encoding="utf-8"?>
<ds:datastoreItem xmlns:ds="http://schemas.openxmlformats.org/officeDocument/2006/customXml" ds:itemID="{176D845F-6171-4207-8583-442DF4F2074C}">
  <ds:schemaRefs>
    <ds:schemaRef ds:uri="http://schemas.microsoft.com/sharepoint/events"/>
  </ds:schemaRefs>
</ds:datastoreItem>
</file>

<file path=customXml/itemProps6.xml><?xml version="1.0" encoding="utf-8"?>
<ds:datastoreItem xmlns:ds="http://schemas.openxmlformats.org/officeDocument/2006/customXml" ds:itemID="{AFC04AF7-5A91-4388-A3B5-232C75E7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7e329c68-5cbf-4e54-96e5-e53e71021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6C59F82-7852-4AA0-9E10-47AAA62995C2}"/>
</file>

<file path=docProps/app.xml><?xml version="1.0" encoding="utf-8"?>
<Properties xmlns="http://schemas.openxmlformats.org/officeDocument/2006/extended-properties" xmlns:vt="http://schemas.openxmlformats.org/officeDocument/2006/docPropsVTypes">
  <Template>Normal</Template>
  <TotalTime>0</TotalTime>
  <Pages>55</Pages>
  <Words>23373</Words>
  <Characters>133231</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156292</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tritta</dc:creator>
  <cp:keywords/>
  <dc:description/>
  <cp:lastModifiedBy>CoughC</cp:lastModifiedBy>
  <cp:revision>2</cp:revision>
  <cp:lastPrinted>2019-06-24T00:58:00Z</cp:lastPrinted>
  <dcterms:created xsi:type="dcterms:W3CDTF">2019-08-08T04:40:00Z</dcterms:created>
  <dcterms:modified xsi:type="dcterms:W3CDTF">2019-08-08T04:40:00Z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a4cebc77-cb65-4899-88cd-b9f465d4ba0e</vt:lpwstr>
  </property>
  <property fmtid="{D5CDD505-2E9C-101B-9397-08002B2CF9AE}" pid="3" name="ContentTypeId">
    <vt:lpwstr>0x010100CB2FFA9FD6109347A9495CD5860AFAE6</vt:lpwstr>
  </property>
  <property fmtid="{D5CDD505-2E9C-101B-9397-08002B2CF9AE}" pid="4" name="DisposalClass">
    <vt:lpwstr/>
  </property>
  <property fmtid="{D5CDD505-2E9C-101B-9397-08002B2CF9AE}" pid="5" name="BCS_">
    <vt:lpwstr>7;#Evaluation|43bd8487-b9f6-4055-946c-a118d364275d</vt:lpwstr>
  </property>
  <property fmtid="{D5CDD505-2E9C-101B-9397-08002B2CF9AE}" pid="6" name="_dlc_DocIdItemGuid">
    <vt:lpwstr>1eb90b6c-d18b-4ce1-92d0-600c56a6f00e</vt:lpwstr>
  </property>
  <property fmtid="{D5CDD505-2E9C-101B-9397-08002B2CF9AE}" pid="7" name="bjSaver">
    <vt:lpwstr>/cQDgPhUVjy5uBtByF/cbSxr4MGiFRvz</vt:lpwstr>
  </property>
  <property fmtid="{D5CDD505-2E9C-101B-9397-08002B2CF9AE}" pid="8" name="RecordPoint_WorkflowType">
    <vt:lpwstr>ActiveSubmitStub</vt:lpwstr>
  </property>
  <property fmtid="{D5CDD505-2E9C-101B-9397-08002B2CF9AE}" pid="9" name="RecordPoint_ActiveItemListId">
    <vt:lpwstr>{fddf8b53-c3ea-46d5-a991-0de47619381a}</vt:lpwstr>
  </property>
  <property fmtid="{D5CDD505-2E9C-101B-9397-08002B2CF9AE}" pid="10" name="RecordPoint_ActiveItemUniqueId">
    <vt:lpwstr>{468f75db-c388-4309-8e12-ec980c251c50}</vt:lpwstr>
  </property>
  <property fmtid="{D5CDD505-2E9C-101B-9397-08002B2CF9AE}" pid="11" name="RecordPoint_ActiveItemWebId">
    <vt:lpwstr>{ce8aceb7-110d-4cd3-acd1-c9e45bc79768}</vt:lpwstr>
  </property>
  <property fmtid="{D5CDD505-2E9C-101B-9397-08002B2CF9AE}" pid="12" name="RecordPoint_ActiveItemSiteId">
    <vt:lpwstr>{dd95a578-5c6a-4f11-92f7-f95884d628d6}</vt:lpwstr>
  </property>
  <property fmtid="{D5CDD505-2E9C-101B-9397-08002B2CF9AE}" pid="13" name="RecordPoint_RecordNumberSubmitted">
    <vt:lpwstr>R0000115315</vt:lpwstr>
  </property>
  <property fmtid="{D5CDD505-2E9C-101B-9397-08002B2CF9AE}" pid="14" name="RecordPoint_SubmissionCompleted">
    <vt:lpwstr>2019-06-21T12:40:04.1000865+10:00</vt:lpwstr>
  </property>
  <property fmtid="{D5CDD505-2E9C-101B-9397-08002B2CF9AE}" pid="15" name="docIndexRef">
    <vt:lpwstr>346bafc5-1a00-4181-92c5-2f4757d13118</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20" name="bjDocumentLabelXML-0">
    <vt:lpwstr>ames.com/2008/01/sie/internal/label"&gt;&lt;element uid="66ddac19-06c4-4e63-b4dd-d8240d87a23f" value="" /&gt;&lt;/sisl&gt;</vt:lpwstr>
  </property>
  <property fmtid="{D5CDD505-2E9C-101B-9397-08002B2CF9AE}" pid="21" name="bjDocumentSecurityLabel">
    <vt:lpwstr>NO SECURITY CLASSIFICATION REQUIRED</vt:lpwstr>
  </property>
</Properties>
</file>