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E924" w14:textId="1E222113" w:rsidR="00E4283C" w:rsidRDefault="00E4283C" w:rsidP="00E4283C">
      <w:bookmarkStart w:id="0" w:name="_Toc338066662"/>
      <w:bookmarkStart w:id="1" w:name="_Toc350523514"/>
      <w:r>
        <w:rPr>
          <w:noProof/>
          <w:lang w:eastAsia="en-GB"/>
        </w:rPr>
        <w:drawing>
          <wp:inline distT="0" distB="0" distL="0" distR="0" wp14:anchorId="6A74BB31" wp14:editId="1E5B8A34">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4BD26271" w14:textId="77777777" w:rsidR="00E74C7D" w:rsidRDefault="00E74C7D" w:rsidP="00E74C7D"/>
    <w:p w14:paraId="61177133" w14:textId="77777777" w:rsidR="00E74C7D" w:rsidRDefault="00E74C7D" w:rsidP="00E74C7D">
      <w:pPr>
        <w:tabs>
          <w:tab w:val="left" w:pos="851"/>
        </w:tabs>
        <w:rPr>
          <w:b/>
          <w:sz w:val="28"/>
          <w:szCs w:val="28"/>
        </w:rPr>
      </w:pPr>
      <w:r>
        <w:rPr>
          <w:b/>
          <w:sz w:val="28"/>
          <w:szCs w:val="28"/>
        </w:rPr>
        <w:t>23 March 2017</w:t>
      </w:r>
    </w:p>
    <w:p w14:paraId="5B5E9DCC" w14:textId="77777777" w:rsidR="00E74C7D" w:rsidRDefault="00E74C7D" w:rsidP="00E74C7D">
      <w:pPr>
        <w:rPr>
          <w:b/>
          <w:sz w:val="28"/>
          <w:szCs w:val="28"/>
        </w:rPr>
      </w:pPr>
      <w:r>
        <w:rPr>
          <w:b/>
          <w:sz w:val="28"/>
          <w:szCs w:val="28"/>
        </w:rPr>
        <w:t>[08–17]</w:t>
      </w:r>
    </w:p>
    <w:p w14:paraId="57D88701" w14:textId="77777777" w:rsidR="00E74C7D" w:rsidRDefault="00E74C7D" w:rsidP="00E74C7D"/>
    <w:p w14:paraId="54EDA45E" w14:textId="479B3DC6" w:rsidR="00E4283C" w:rsidRDefault="00E4283C" w:rsidP="001C1A43">
      <w:pPr>
        <w:pStyle w:val="FSTitle"/>
        <w:rPr>
          <w:b/>
          <w:szCs w:val="32"/>
        </w:rPr>
      </w:pPr>
      <w:r w:rsidRPr="001C1A43">
        <w:rPr>
          <w:b/>
          <w:szCs w:val="32"/>
        </w:rPr>
        <w:t>Supporting document 1</w:t>
      </w:r>
    </w:p>
    <w:p w14:paraId="3BC783FD" w14:textId="5E540E5E" w:rsidR="00E4283C" w:rsidRPr="00910D97" w:rsidRDefault="00E4283C" w:rsidP="001C1A43">
      <w:pPr>
        <w:pStyle w:val="FSTitle"/>
        <w:rPr>
          <w:sz w:val="22"/>
          <w:szCs w:val="32"/>
        </w:rPr>
      </w:pPr>
    </w:p>
    <w:p w14:paraId="0BFB54F9" w14:textId="6888E2B2" w:rsidR="00910D97" w:rsidRPr="00CB4C94" w:rsidRDefault="00A37D60" w:rsidP="001C1A43">
      <w:pPr>
        <w:pStyle w:val="FSTitle"/>
        <w:rPr>
          <w:szCs w:val="32"/>
        </w:rPr>
      </w:pPr>
      <w:r w:rsidRPr="001C1A43">
        <w:rPr>
          <w:rFonts w:cs="Arial"/>
          <w:szCs w:val="32"/>
        </w:rPr>
        <w:t xml:space="preserve">Risk </w:t>
      </w:r>
      <w:r w:rsidR="005B48F3" w:rsidRPr="001C1A43">
        <w:rPr>
          <w:rFonts w:cs="Arial"/>
          <w:szCs w:val="32"/>
        </w:rPr>
        <w:t xml:space="preserve">assessment </w:t>
      </w:r>
      <w:r w:rsidR="00E74C7D">
        <w:rPr>
          <w:szCs w:val="32"/>
        </w:rPr>
        <w:t>(at Approval)</w:t>
      </w:r>
      <w:r w:rsidR="00E74C7D">
        <w:rPr>
          <w:szCs w:val="32"/>
        </w:rPr>
        <w:t xml:space="preserve"> </w:t>
      </w:r>
      <w:r w:rsidR="005B48F3" w:rsidRPr="00CB4C94">
        <w:rPr>
          <w:szCs w:val="32"/>
        </w:rPr>
        <w:t>–</w:t>
      </w:r>
      <w:r w:rsidR="00910D97" w:rsidRPr="00CB4C94">
        <w:rPr>
          <w:szCs w:val="32"/>
        </w:rPr>
        <w:t xml:space="preserve"> Application A1133</w:t>
      </w:r>
    </w:p>
    <w:p w14:paraId="0A156E47" w14:textId="77777777" w:rsidR="00910D97" w:rsidRPr="00910D97" w:rsidRDefault="00910D97" w:rsidP="001C1A43">
      <w:pPr>
        <w:pStyle w:val="FSTitle"/>
        <w:rPr>
          <w:b/>
          <w:sz w:val="22"/>
          <w:szCs w:val="32"/>
        </w:rPr>
      </w:pPr>
    </w:p>
    <w:p w14:paraId="1B3276E7" w14:textId="77F26E03" w:rsidR="00A37D60" w:rsidRPr="001C1A43" w:rsidRDefault="00910D97" w:rsidP="001C1A43">
      <w:pPr>
        <w:pStyle w:val="FSTitle"/>
        <w:rPr>
          <w:rFonts w:cs="Arial"/>
          <w:szCs w:val="32"/>
        </w:rPr>
      </w:pPr>
      <w:r>
        <w:rPr>
          <w:rFonts w:cs="Arial"/>
          <w:szCs w:val="32"/>
        </w:rPr>
        <w:t>M</w:t>
      </w:r>
      <w:r w:rsidR="00A37D60" w:rsidRPr="001C1A43">
        <w:rPr>
          <w:rFonts w:cs="Arial"/>
          <w:szCs w:val="32"/>
        </w:rPr>
        <w:t xml:space="preserve">aximum </w:t>
      </w:r>
      <w:r>
        <w:rPr>
          <w:rFonts w:cs="Arial"/>
          <w:szCs w:val="32"/>
        </w:rPr>
        <w:t>R</w:t>
      </w:r>
      <w:r w:rsidR="00A37D60" w:rsidRPr="001C1A43">
        <w:rPr>
          <w:rFonts w:cs="Arial"/>
          <w:szCs w:val="32"/>
        </w:rPr>
        <w:t xml:space="preserve">esidue </w:t>
      </w:r>
      <w:r>
        <w:rPr>
          <w:rFonts w:cs="Arial"/>
          <w:szCs w:val="32"/>
        </w:rPr>
        <w:t>L</w:t>
      </w:r>
      <w:r w:rsidR="00A37D60" w:rsidRPr="001C1A43">
        <w:rPr>
          <w:rFonts w:cs="Arial"/>
          <w:szCs w:val="32"/>
        </w:rPr>
        <w:t>imits</w:t>
      </w:r>
      <w:r w:rsidR="003B0439" w:rsidRPr="001C1A43">
        <w:rPr>
          <w:rFonts w:cs="Arial"/>
          <w:szCs w:val="32"/>
        </w:rPr>
        <w:t xml:space="preserve"> for </w:t>
      </w:r>
      <w:r>
        <w:rPr>
          <w:rFonts w:cs="Arial"/>
          <w:szCs w:val="32"/>
        </w:rPr>
        <w:t>A</w:t>
      </w:r>
      <w:r w:rsidR="003B0439" w:rsidRPr="001C1A43">
        <w:rPr>
          <w:rFonts w:cs="Arial"/>
          <w:szCs w:val="32"/>
        </w:rPr>
        <w:t xml:space="preserve">vilamycin in specific </w:t>
      </w:r>
      <w:r>
        <w:rPr>
          <w:rFonts w:cs="Arial"/>
          <w:szCs w:val="32"/>
        </w:rPr>
        <w:t>P</w:t>
      </w:r>
      <w:r w:rsidR="003B0439" w:rsidRPr="001C1A43">
        <w:rPr>
          <w:rFonts w:cs="Arial"/>
          <w:szCs w:val="32"/>
        </w:rPr>
        <w:t xml:space="preserve">ig </w:t>
      </w:r>
      <w:r>
        <w:rPr>
          <w:rFonts w:cs="Arial"/>
          <w:szCs w:val="32"/>
        </w:rPr>
        <w:t>C</w:t>
      </w:r>
      <w:r w:rsidR="001C1A43">
        <w:rPr>
          <w:rFonts w:cs="Arial"/>
          <w:szCs w:val="32"/>
        </w:rPr>
        <w:t>ommodities</w:t>
      </w:r>
    </w:p>
    <w:bookmarkEnd w:id="0"/>
    <w:bookmarkEnd w:id="1"/>
    <w:p w14:paraId="7E3D1A37" w14:textId="77777777" w:rsidR="003764F8" w:rsidRPr="00B37BF0" w:rsidRDefault="003764F8" w:rsidP="003B0439">
      <w:pPr>
        <w:pBdr>
          <w:bottom w:val="single" w:sz="12" w:space="0" w:color="auto"/>
        </w:pBdr>
        <w:spacing w:line="280" w:lineRule="exact"/>
        <w:rPr>
          <w:rFonts w:cs="Arial"/>
          <w:bCs/>
        </w:rPr>
      </w:pPr>
    </w:p>
    <w:p w14:paraId="0923BAD4" w14:textId="77777777" w:rsidR="003764F8" w:rsidRDefault="003764F8" w:rsidP="003764F8"/>
    <w:p w14:paraId="0A15C9E2" w14:textId="12C9D75B" w:rsidR="0042292F" w:rsidRDefault="001F7697" w:rsidP="001F7697">
      <w:pPr>
        <w:pStyle w:val="Heading1"/>
        <w:widowControl w:val="0"/>
        <w:rPr>
          <w:rFonts w:eastAsia="Times New Roman" w:cs="Times New Roman"/>
        </w:rPr>
      </w:pPr>
      <w:bookmarkStart w:id="2" w:name="_Toc286391001"/>
      <w:bookmarkStart w:id="3" w:name="_Toc300933414"/>
      <w:bookmarkStart w:id="4" w:name="_Toc453078193"/>
      <w:bookmarkStart w:id="5" w:name="_Toc472332815"/>
      <w:r w:rsidRPr="001F7697">
        <w:rPr>
          <w:rFonts w:eastAsia="Times New Roman" w:cs="Times New Roman"/>
        </w:rPr>
        <w:t>Executive summary</w:t>
      </w:r>
      <w:bookmarkEnd w:id="2"/>
      <w:bookmarkEnd w:id="3"/>
      <w:bookmarkEnd w:id="4"/>
      <w:bookmarkEnd w:id="5"/>
    </w:p>
    <w:p w14:paraId="6FB45C8B" w14:textId="6E917898" w:rsidR="00ED3411" w:rsidRDefault="00ED3411" w:rsidP="0042292F">
      <w:r>
        <w:t>To assess potential public health and safety implications of avilamycin residues in food, FSANZ estimated</w:t>
      </w:r>
      <w:r w:rsidRPr="00876CB1">
        <w:t xml:space="preserve"> the dietary exposure to chemical residues from potentially treate</w:t>
      </w:r>
      <w:r>
        <w:t>d foods in the</w:t>
      </w:r>
      <w:r w:rsidR="00926201">
        <w:t xml:space="preserve"> Australian</w:t>
      </w:r>
      <w:r>
        <w:t xml:space="preserve"> diet and compared</w:t>
      </w:r>
      <w:r w:rsidRPr="00876CB1">
        <w:t xml:space="preserve"> the dietary exposure with the relevant H</w:t>
      </w:r>
      <w:r>
        <w:t>ealth-</w:t>
      </w:r>
      <w:r w:rsidRPr="00876CB1">
        <w:t>B</w:t>
      </w:r>
      <w:r>
        <w:t xml:space="preserve">ased </w:t>
      </w:r>
      <w:r w:rsidRPr="00876CB1">
        <w:t>G</w:t>
      </w:r>
      <w:r>
        <w:t xml:space="preserve">uidance </w:t>
      </w:r>
      <w:r w:rsidRPr="00876CB1">
        <w:t>V</w:t>
      </w:r>
      <w:r>
        <w:t>alue</w:t>
      </w:r>
      <w:r w:rsidRPr="00876CB1">
        <w:t xml:space="preserve">, </w:t>
      </w:r>
      <w:r w:rsidRPr="008948D4">
        <w:t xml:space="preserve">the acceptable </w:t>
      </w:r>
      <w:r>
        <w:t>d</w:t>
      </w:r>
      <w:r w:rsidRPr="008948D4">
        <w:t xml:space="preserve">aily </w:t>
      </w:r>
      <w:r>
        <w:t>i</w:t>
      </w:r>
      <w:r w:rsidRPr="008948D4">
        <w:t>ntake (ADI)</w:t>
      </w:r>
      <w:r w:rsidR="00926201">
        <w:t>.</w:t>
      </w:r>
    </w:p>
    <w:p w14:paraId="44482D2C" w14:textId="77777777" w:rsidR="00ED3411" w:rsidRDefault="00ED3411" w:rsidP="0042292F"/>
    <w:p w14:paraId="28B4BDC2" w14:textId="7E7F5AD1" w:rsidR="00043C8C" w:rsidRDefault="0042292F" w:rsidP="0042292F">
      <w:r w:rsidRPr="0042292F">
        <w:t>Dietary exposure assessments undertaken for the Australian population indicate</w:t>
      </w:r>
      <w:r w:rsidR="00043C8C">
        <w:t>d</w:t>
      </w:r>
      <w:r w:rsidRPr="0042292F">
        <w:t xml:space="preserve"> that the </w:t>
      </w:r>
      <w:r w:rsidR="00926201">
        <w:t>approved maximum residue limits</w:t>
      </w:r>
      <w:r w:rsidRPr="0042292F">
        <w:t xml:space="preserve"> for avilamycin residues in specific pig commodities did not substantially increas</w:t>
      </w:r>
      <w:r w:rsidR="00312866">
        <w:t>e dietary exposure.</w:t>
      </w:r>
    </w:p>
    <w:p w14:paraId="1A4E9BCA" w14:textId="77777777" w:rsidR="00043C8C" w:rsidRDefault="00043C8C" w:rsidP="0042292F"/>
    <w:p w14:paraId="28BB328A" w14:textId="666DC657" w:rsidR="001F7697" w:rsidRDefault="0042292F" w:rsidP="0042292F">
      <w:pPr>
        <w:rPr>
          <w:bCs/>
          <w:lang w:bidi="en-US"/>
        </w:rPr>
      </w:pPr>
      <w:r w:rsidRPr="0042292F">
        <w:t xml:space="preserve">In addition, the microbiological assessment concluded that, based on the available data, including an avilamycin MRL of 0.2 mg/kg on selected pig products </w:t>
      </w:r>
      <w:r w:rsidR="00043C8C">
        <w:t>and 0.3 mg/kg for pig liver</w:t>
      </w:r>
      <w:r w:rsidR="00E43491">
        <w:t xml:space="preserve">, the </w:t>
      </w:r>
      <w:r w:rsidRPr="0042292F">
        <w:t>risk to consumers for the development of resistance to antimicrobials used in human medicine</w:t>
      </w:r>
      <w:r w:rsidR="00E43491">
        <w:t xml:space="preserve"> was negligible</w:t>
      </w:r>
      <w:r w:rsidRPr="0042292F">
        <w:t>.</w:t>
      </w:r>
    </w:p>
    <w:p w14:paraId="58164F29" w14:textId="77777777" w:rsidR="00E74C7D" w:rsidRDefault="00E74C7D" w:rsidP="00CB4C94">
      <w:pPr>
        <w:pStyle w:val="FSTitle"/>
        <w:tabs>
          <w:tab w:val="left" w:pos="3110"/>
          <w:tab w:val="center" w:pos="4535"/>
        </w:tabs>
        <w:jc w:val="center"/>
        <w:rPr>
          <w:rFonts w:cs="Arial"/>
          <w:sz w:val="28"/>
        </w:rPr>
        <w:sectPr w:rsidR="00E74C7D" w:rsidSect="00E74C7D">
          <w:footerReference w:type="default" r:id="rId15"/>
          <w:pgSz w:w="11906" w:h="16838"/>
          <w:pgMar w:top="1418" w:right="1418" w:bottom="1418" w:left="1418" w:header="709" w:footer="709" w:gutter="0"/>
          <w:pgNumType w:fmt="lowerRoman"/>
          <w:cols w:space="708"/>
          <w:docGrid w:linePitch="360"/>
        </w:sectPr>
      </w:pPr>
    </w:p>
    <w:p w14:paraId="6C520B9A" w14:textId="0A902CE0" w:rsidR="0070279E" w:rsidRPr="00CB4C94" w:rsidRDefault="0070279E" w:rsidP="00CB4C94">
      <w:pPr>
        <w:pStyle w:val="FSTitle"/>
        <w:tabs>
          <w:tab w:val="left" w:pos="3110"/>
          <w:tab w:val="center" w:pos="4535"/>
        </w:tabs>
        <w:jc w:val="center"/>
        <w:rPr>
          <w:rFonts w:cs="Arial"/>
          <w:sz w:val="28"/>
        </w:rPr>
      </w:pPr>
      <w:r w:rsidRPr="00CB4C94">
        <w:rPr>
          <w:rFonts w:cs="Arial"/>
          <w:sz w:val="28"/>
        </w:rPr>
        <w:lastRenderedPageBreak/>
        <w:t>Table of contents</w:t>
      </w:r>
    </w:p>
    <w:p w14:paraId="22940537" w14:textId="77777777" w:rsidR="0070279E" w:rsidRPr="00CB4C94" w:rsidRDefault="0070279E" w:rsidP="0070279E">
      <w:pPr>
        <w:rPr>
          <w:rFonts w:cs="Arial"/>
          <w:sz w:val="20"/>
          <w:szCs w:val="20"/>
        </w:rPr>
      </w:pPr>
    </w:p>
    <w:p w14:paraId="3B829D80" w14:textId="77777777" w:rsidR="00E46D10" w:rsidRDefault="00CB4C94">
      <w:pPr>
        <w:pStyle w:val="TOC1"/>
        <w:tabs>
          <w:tab w:val="right" w:leader="dot" w:pos="9060"/>
        </w:tabs>
        <w:rPr>
          <w:rFonts w:eastAsiaTheme="minorEastAsia" w:cstheme="minorBidi"/>
          <w:b w:val="0"/>
          <w:bCs w:val="0"/>
          <w:caps w:val="0"/>
          <w:noProof/>
          <w:sz w:val="22"/>
          <w:szCs w:val="22"/>
          <w:lang w:eastAsia="en-GB"/>
        </w:rPr>
      </w:pPr>
      <w:r>
        <w:rPr>
          <w:rFonts w:cs="Arial"/>
          <w:b w:val="0"/>
          <w:bCs w:val="0"/>
          <w:caps w:val="0"/>
        </w:rPr>
        <w:fldChar w:fldCharType="begin"/>
      </w:r>
      <w:r>
        <w:rPr>
          <w:rFonts w:cs="Arial"/>
          <w:b w:val="0"/>
          <w:bCs w:val="0"/>
          <w:caps w:val="0"/>
        </w:rPr>
        <w:instrText xml:space="preserve"> TOC \o "1-3" \h \z \u </w:instrText>
      </w:r>
      <w:r>
        <w:rPr>
          <w:rFonts w:cs="Arial"/>
          <w:b w:val="0"/>
          <w:bCs w:val="0"/>
          <w:caps w:val="0"/>
        </w:rPr>
        <w:fldChar w:fldCharType="separate"/>
      </w:r>
      <w:hyperlink w:anchor="_Toc472332815" w:history="1">
        <w:r w:rsidR="00E46D10" w:rsidRPr="00DD731C">
          <w:rPr>
            <w:rStyle w:val="Hyperlink"/>
            <w:noProof/>
          </w:rPr>
          <w:t>Executive summary</w:t>
        </w:r>
        <w:r w:rsidR="00E46D10">
          <w:rPr>
            <w:noProof/>
            <w:webHidden/>
          </w:rPr>
          <w:tab/>
        </w:r>
        <w:r w:rsidR="00E46D10">
          <w:rPr>
            <w:noProof/>
            <w:webHidden/>
          </w:rPr>
          <w:fldChar w:fldCharType="begin"/>
        </w:r>
        <w:r w:rsidR="00E46D10">
          <w:rPr>
            <w:noProof/>
            <w:webHidden/>
          </w:rPr>
          <w:instrText xml:space="preserve"> PAGEREF _Toc472332815 \h </w:instrText>
        </w:r>
        <w:r w:rsidR="00E46D10">
          <w:rPr>
            <w:noProof/>
            <w:webHidden/>
          </w:rPr>
        </w:r>
        <w:r w:rsidR="00E46D10">
          <w:rPr>
            <w:noProof/>
            <w:webHidden/>
          </w:rPr>
          <w:fldChar w:fldCharType="separate"/>
        </w:r>
        <w:r w:rsidR="00E46D10">
          <w:rPr>
            <w:noProof/>
            <w:webHidden/>
          </w:rPr>
          <w:t>1</w:t>
        </w:r>
        <w:r w:rsidR="00E46D10">
          <w:rPr>
            <w:noProof/>
            <w:webHidden/>
          </w:rPr>
          <w:fldChar w:fldCharType="end"/>
        </w:r>
      </w:hyperlink>
    </w:p>
    <w:p w14:paraId="1CE11C48" w14:textId="77777777" w:rsidR="00E46D10" w:rsidRDefault="00275516">
      <w:pPr>
        <w:pStyle w:val="TOC1"/>
        <w:tabs>
          <w:tab w:val="left" w:pos="440"/>
          <w:tab w:val="right" w:leader="dot" w:pos="9060"/>
        </w:tabs>
        <w:rPr>
          <w:rFonts w:eastAsiaTheme="minorEastAsia" w:cstheme="minorBidi"/>
          <w:b w:val="0"/>
          <w:bCs w:val="0"/>
          <w:caps w:val="0"/>
          <w:noProof/>
          <w:sz w:val="22"/>
          <w:szCs w:val="22"/>
          <w:lang w:eastAsia="en-GB"/>
        </w:rPr>
      </w:pPr>
      <w:hyperlink w:anchor="_Toc472332816" w:history="1">
        <w:r w:rsidR="00E46D10" w:rsidRPr="00DD731C">
          <w:rPr>
            <w:rStyle w:val="Hyperlink"/>
            <w:noProof/>
          </w:rPr>
          <w:t>1</w:t>
        </w:r>
        <w:r w:rsidR="00E46D10">
          <w:rPr>
            <w:rFonts w:eastAsiaTheme="minorEastAsia" w:cstheme="minorBidi"/>
            <w:b w:val="0"/>
            <w:bCs w:val="0"/>
            <w:caps w:val="0"/>
            <w:noProof/>
            <w:sz w:val="22"/>
            <w:szCs w:val="22"/>
            <w:lang w:eastAsia="en-GB"/>
          </w:rPr>
          <w:tab/>
        </w:r>
        <w:r w:rsidR="00E46D10" w:rsidRPr="00DD731C">
          <w:rPr>
            <w:rStyle w:val="Hyperlink"/>
            <w:noProof/>
          </w:rPr>
          <w:t>Dietary Exposure Assessment</w:t>
        </w:r>
        <w:r w:rsidR="00E46D10">
          <w:rPr>
            <w:noProof/>
            <w:webHidden/>
          </w:rPr>
          <w:tab/>
        </w:r>
        <w:r w:rsidR="00E46D10">
          <w:rPr>
            <w:noProof/>
            <w:webHidden/>
          </w:rPr>
          <w:fldChar w:fldCharType="begin"/>
        </w:r>
        <w:r w:rsidR="00E46D10">
          <w:rPr>
            <w:noProof/>
            <w:webHidden/>
          </w:rPr>
          <w:instrText xml:space="preserve"> PAGEREF _Toc472332816 \h </w:instrText>
        </w:r>
        <w:r w:rsidR="00E46D10">
          <w:rPr>
            <w:noProof/>
            <w:webHidden/>
          </w:rPr>
        </w:r>
        <w:r w:rsidR="00E46D10">
          <w:rPr>
            <w:noProof/>
            <w:webHidden/>
          </w:rPr>
          <w:fldChar w:fldCharType="separate"/>
        </w:r>
        <w:r w:rsidR="00E46D10">
          <w:rPr>
            <w:noProof/>
            <w:webHidden/>
          </w:rPr>
          <w:t>3</w:t>
        </w:r>
        <w:r w:rsidR="00E46D10">
          <w:rPr>
            <w:noProof/>
            <w:webHidden/>
          </w:rPr>
          <w:fldChar w:fldCharType="end"/>
        </w:r>
      </w:hyperlink>
    </w:p>
    <w:p w14:paraId="0306B566"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17" w:history="1">
        <w:r w:rsidR="00E46D10" w:rsidRPr="00DD731C">
          <w:rPr>
            <w:rStyle w:val="Hyperlink"/>
            <w:noProof/>
          </w:rPr>
          <w:t>1.1</w:t>
        </w:r>
        <w:r w:rsidR="00E46D10">
          <w:rPr>
            <w:rFonts w:eastAsiaTheme="minorEastAsia" w:cstheme="minorBidi"/>
            <w:smallCaps w:val="0"/>
            <w:noProof/>
            <w:sz w:val="22"/>
            <w:szCs w:val="22"/>
            <w:lang w:eastAsia="en-GB"/>
          </w:rPr>
          <w:tab/>
        </w:r>
        <w:r w:rsidR="00E46D10" w:rsidRPr="00DD731C">
          <w:rPr>
            <w:rStyle w:val="Hyperlink"/>
            <w:noProof/>
          </w:rPr>
          <w:t>Background</w:t>
        </w:r>
        <w:r w:rsidR="00E46D10">
          <w:rPr>
            <w:noProof/>
            <w:webHidden/>
          </w:rPr>
          <w:tab/>
        </w:r>
        <w:r w:rsidR="00E46D10">
          <w:rPr>
            <w:noProof/>
            <w:webHidden/>
          </w:rPr>
          <w:fldChar w:fldCharType="begin"/>
        </w:r>
        <w:r w:rsidR="00E46D10">
          <w:rPr>
            <w:noProof/>
            <w:webHidden/>
          </w:rPr>
          <w:instrText xml:space="preserve"> PAGEREF _Toc472332817 \h </w:instrText>
        </w:r>
        <w:r w:rsidR="00E46D10">
          <w:rPr>
            <w:noProof/>
            <w:webHidden/>
          </w:rPr>
        </w:r>
        <w:r w:rsidR="00E46D10">
          <w:rPr>
            <w:noProof/>
            <w:webHidden/>
          </w:rPr>
          <w:fldChar w:fldCharType="separate"/>
        </w:r>
        <w:r w:rsidR="00E46D10">
          <w:rPr>
            <w:noProof/>
            <w:webHidden/>
          </w:rPr>
          <w:t>3</w:t>
        </w:r>
        <w:r w:rsidR="00E46D10">
          <w:rPr>
            <w:noProof/>
            <w:webHidden/>
          </w:rPr>
          <w:fldChar w:fldCharType="end"/>
        </w:r>
      </w:hyperlink>
    </w:p>
    <w:p w14:paraId="3369C938"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18" w:history="1">
        <w:r w:rsidR="00E46D10" w:rsidRPr="00DD731C">
          <w:rPr>
            <w:rStyle w:val="Hyperlink"/>
            <w:noProof/>
          </w:rPr>
          <w:t>1.2</w:t>
        </w:r>
        <w:r w:rsidR="00E46D10">
          <w:rPr>
            <w:rFonts w:eastAsiaTheme="minorEastAsia" w:cstheme="minorBidi"/>
            <w:smallCaps w:val="0"/>
            <w:noProof/>
            <w:sz w:val="22"/>
            <w:szCs w:val="22"/>
            <w:lang w:eastAsia="en-GB"/>
          </w:rPr>
          <w:tab/>
        </w:r>
        <w:r w:rsidR="00E46D10" w:rsidRPr="00DD731C">
          <w:rPr>
            <w:rStyle w:val="Hyperlink"/>
            <w:noProof/>
          </w:rPr>
          <w:t>Food consumption data</w:t>
        </w:r>
        <w:r w:rsidR="00E46D10">
          <w:rPr>
            <w:noProof/>
            <w:webHidden/>
          </w:rPr>
          <w:tab/>
        </w:r>
        <w:r w:rsidR="00E46D10">
          <w:rPr>
            <w:noProof/>
            <w:webHidden/>
          </w:rPr>
          <w:fldChar w:fldCharType="begin"/>
        </w:r>
        <w:r w:rsidR="00E46D10">
          <w:rPr>
            <w:noProof/>
            <w:webHidden/>
          </w:rPr>
          <w:instrText xml:space="preserve"> PAGEREF _Toc472332818 \h </w:instrText>
        </w:r>
        <w:r w:rsidR="00E46D10">
          <w:rPr>
            <w:noProof/>
            <w:webHidden/>
          </w:rPr>
        </w:r>
        <w:r w:rsidR="00E46D10">
          <w:rPr>
            <w:noProof/>
            <w:webHidden/>
          </w:rPr>
          <w:fldChar w:fldCharType="separate"/>
        </w:r>
        <w:r w:rsidR="00E46D10">
          <w:rPr>
            <w:noProof/>
            <w:webHidden/>
          </w:rPr>
          <w:t>3</w:t>
        </w:r>
        <w:r w:rsidR="00E46D10">
          <w:rPr>
            <w:noProof/>
            <w:webHidden/>
          </w:rPr>
          <w:fldChar w:fldCharType="end"/>
        </w:r>
      </w:hyperlink>
    </w:p>
    <w:p w14:paraId="7C5947E7" w14:textId="77777777" w:rsidR="00E46D10" w:rsidRDefault="00275516">
      <w:pPr>
        <w:pStyle w:val="TOC3"/>
        <w:tabs>
          <w:tab w:val="left" w:pos="1100"/>
          <w:tab w:val="right" w:leader="dot" w:pos="9060"/>
        </w:tabs>
        <w:rPr>
          <w:rFonts w:eastAsiaTheme="minorEastAsia" w:cstheme="minorBidi"/>
          <w:i w:val="0"/>
          <w:iCs w:val="0"/>
          <w:noProof/>
          <w:sz w:val="22"/>
          <w:szCs w:val="22"/>
          <w:lang w:eastAsia="en-GB"/>
        </w:rPr>
      </w:pPr>
      <w:hyperlink w:anchor="_Toc472332819" w:history="1">
        <w:r w:rsidR="00E46D10" w:rsidRPr="00DD731C">
          <w:rPr>
            <w:rStyle w:val="Hyperlink"/>
            <w:noProof/>
          </w:rPr>
          <w:t>1.2.1</w:t>
        </w:r>
        <w:r w:rsidR="00E46D10">
          <w:rPr>
            <w:rFonts w:eastAsiaTheme="minorEastAsia" w:cstheme="minorBidi"/>
            <w:i w:val="0"/>
            <w:iCs w:val="0"/>
            <w:noProof/>
            <w:sz w:val="22"/>
            <w:szCs w:val="22"/>
            <w:lang w:eastAsia="en-GB"/>
          </w:rPr>
          <w:tab/>
        </w:r>
        <w:r w:rsidR="00E46D10" w:rsidRPr="00DD731C">
          <w:rPr>
            <w:rStyle w:val="Hyperlink"/>
            <w:noProof/>
          </w:rPr>
          <w:t>1995 National Nutrition Survey (NNS)</w:t>
        </w:r>
        <w:r w:rsidR="00E46D10">
          <w:rPr>
            <w:noProof/>
            <w:webHidden/>
          </w:rPr>
          <w:tab/>
        </w:r>
        <w:r w:rsidR="00E46D10">
          <w:rPr>
            <w:noProof/>
            <w:webHidden/>
          </w:rPr>
          <w:fldChar w:fldCharType="begin"/>
        </w:r>
        <w:r w:rsidR="00E46D10">
          <w:rPr>
            <w:noProof/>
            <w:webHidden/>
          </w:rPr>
          <w:instrText xml:space="preserve"> PAGEREF _Toc472332819 \h </w:instrText>
        </w:r>
        <w:r w:rsidR="00E46D10">
          <w:rPr>
            <w:noProof/>
            <w:webHidden/>
          </w:rPr>
        </w:r>
        <w:r w:rsidR="00E46D10">
          <w:rPr>
            <w:noProof/>
            <w:webHidden/>
          </w:rPr>
          <w:fldChar w:fldCharType="separate"/>
        </w:r>
        <w:r w:rsidR="00E46D10">
          <w:rPr>
            <w:noProof/>
            <w:webHidden/>
          </w:rPr>
          <w:t>3</w:t>
        </w:r>
        <w:r w:rsidR="00E46D10">
          <w:rPr>
            <w:noProof/>
            <w:webHidden/>
          </w:rPr>
          <w:fldChar w:fldCharType="end"/>
        </w:r>
      </w:hyperlink>
    </w:p>
    <w:p w14:paraId="0828629B" w14:textId="77777777" w:rsidR="00E46D10" w:rsidRDefault="00275516">
      <w:pPr>
        <w:pStyle w:val="TOC3"/>
        <w:tabs>
          <w:tab w:val="left" w:pos="1100"/>
          <w:tab w:val="right" w:leader="dot" w:pos="9060"/>
        </w:tabs>
        <w:rPr>
          <w:rFonts w:eastAsiaTheme="minorEastAsia" w:cstheme="minorBidi"/>
          <w:i w:val="0"/>
          <w:iCs w:val="0"/>
          <w:noProof/>
          <w:sz w:val="22"/>
          <w:szCs w:val="22"/>
          <w:lang w:eastAsia="en-GB"/>
        </w:rPr>
      </w:pPr>
      <w:hyperlink w:anchor="_Toc472332820" w:history="1">
        <w:r w:rsidR="00E46D10" w:rsidRPr="00DD731C">
          <w:rPr>
            <w:rStyle w:val="Hyperlink"/>
            <w:noProof/>
          </w:rPr>
          <w:t>1.2.2</w:t>
        </w:r>
        <w:r w:rsidR="00E46D10">
          <w:rPr>
            <w:rFonts w:eastAsiaTheme="minorEastAsia" w:cstheme="minorBidi"/>
            <w:i w:val="0"/>
            <w:iCs w:val="0"/>
            <w:noProof/>
            <w:sz w:val="22"/>
            <w:szCs w:val="22"/>
            <w:lang w:eastAsia="en-GB"/>
          </w:rPr>
          <w:tab/>
        </w:r>
        <w:r w:rsidR="00E46D10" w:rsidRPr="00DD731C">
          <w:rPr>
            <w:rStyle w:val="Hyperlink"/>
            <w:noProof/>
          </w:rPr>
          <w:t>2011</w:t>
        </w:r>
        <w:r w:rsidR="00E46D10" w:rsidRPr="00DD731C">
          <w:rPr>
            <w:rStyle w:val="Hyperlink"/>
            <w:noProof/>
          </w:rPr>
          <w:sym w:font="Symbol" w:char="F02D"/>
        </w:r>
        <w:r w:rsidR="00E46D10" w:rsidRPr="00DD731C">
          <w:rPr>
            <w:rStyle w:val="Hyperlink"/>
            <w:noProof/>
          </w:rPr>
          <w:t>12 National Nutrition and Physical Activity Survey (NNPAS)</w:t>
        </w:r>
        <w:r w:rsidR="00E46D10">
          <w:rPr>
            <w:noProof/>
            <w:webHidden/>
          </w:rPr>
          <w:tab/>
        </w:r>
        <w:r w:rsidR="00E46D10">
          <w:rPr>
            <w:noProof/>
            <w:webHidden/>
          </w:rPr>
          <w:fldChar w:fldCharType="begin"/>
        </w:r>
        <w:r w:rsidR="00E46D10">
          <w:rPr>
            <w:noProof/>
            <w:webHidden/>
          </w:rPr>
          <w:instrText xml:space="preserve"> PAGEREF _Toc472332820 \h </w:instrText>
        </w:r>
        <w:r w:rsidR="00E46D10">
          <w:rPr>
            <w:noProof/>
            <w:webHidden/>
          </w:rPr>
        </w:r>
        <w:r w:rsidR="00E46D10">
          <w:rPr>
            <w:noProof/>
            <w:webHidden/>
          </w:rPr>
          <w:fldChar w:fldCharType="separate"/>
        </w:r>
        <w:r w:rsidR="00E46D10">
          <w:rPr>
            <w:noProof/>
            <w:webHidden/>
          </w:rPr>
          <w:t>3</w:t>
        </w:r>
        <w:r w:rsidR="00E46D10">
          <w:rPr>
            <w:noProof/>
            <w:webHidden/>
          </w:rPr>
          <w:fldChar w:fldCharType="end"/>
        </w:r>
      </w:hyperlink>
    </w:p>
    <w:p w14:paraId="105B8730" w14:textId="77777777" w:rsidR="00E46D10" w:rsidRDefault="00275516">
      <w:pPr>
        <w:pStyle w:val="TOC3"/>
        <w:tabs>
          <w:tab w:val="left" w:pos="1100"/>
          <w:tab w:val="right" w:leader="dot" w:pos="9060"/>
        </w:tabs>
        <w:rPr>
          <w:rFonts w:eastAsiaTheme="minorEastAsia" w:cstheme="minorBidi"/>
          <w:i w:val="0"/>
          <w:iCs w:val="0"/>
          <w:noProof/>
          <w:sz w:val="22"/>
          <w:szCs w:val="22"/>
          <w:lang w:eastAsia="en-GB"/>
        </w:rPr>
      </w:pPr>
      <w:hyperlink w:anchor="_Toc472332821" w:history="1">
        <w:r w:rsidR="00E46D10" w:rsidRPr="00DD731C">
          <w:rPr>
            <w:rStyle w:val="Hyperlink"/>
            <w:noProof/>
          </w:rPr>
          <w:t>1.2.3</w:t>
        </w:r>
        <w:r w:rsidR="00E46D10">
          <w:rPr>
            <w:rFonts w:eastAsiaTheme="minorEastAsia" w:cstheme="minorBidi"/>
            <w:i w:val="0"/>
            <w:iCs w:val="0"/>
            <w:noProof/>
            <w:sz w:val="22"/>
            <w:szCs w:val="22"/>
            <w:lang w:eastAsia="en-GB"/>
          </w:rPr>
          <w:tab/>
        </w:r>
        <w:r w:rsidR="00E46D10" w:rsidRPr="00DD731C">
          <w:rPr>
            <w:rStyle w:val="Hyperlink"/>
            <w:noProof/>
          </w:rPr>
          <w:t>Data used in the dietary exposure assessment</w:t>
        </w:r>
        <w:r w:rsidR="00E46D10">
          <w:rPr>
            <w:noProof/>
            <w:webHidden/>
          </w:rPr>
          <w:tab/>
        </w:r>
        <w:r w:rsidR="00E46D10">
          <w:rPr>
            <w:noProof/>
            <w:webHidden/>
          </w:rPr>
          <w:fldChar w:fldCharType="begin"/>
        </w:r>
        <w:r w:rsidR="00E46D10">
          <w:rPr>
            <w:noProof/>
            <w:webHidden/>
          </w:rPr>
          <w:instrText xml:space="preserve"> PAGEREF _Toc472332821 \h </w:instrText>
        </w:r>
        <w:r w:rsidR="00E46D10">
          <w:rPr>
            <w:noProof/>
            <w:webHidden/>
          </w:rPr>
        </w:r>
        <w:r w:rsidR="00E46D10">
          <w:rPr>
            <w:noProof/>
            <w:webHidden/>
          </w:rPr>
          <w:fldChar w:fldCharType="separate"/>
        </w:r>
        <w:r w:rsidR="00E46D10">
          <w:rPr>
            <w:noProof/>
            <w:webHidden/>
          </w:rPr>
          <w:t>4</w:t>
        </w:r>
        <w:r w:rsidR="00E46D10">
          <w:rPr>
            <w:noProof/>
            <w:webHidden/>
          </w:rPr>
          <w:fldChar w:fldCharType="end"/>
        </w:r>
      </w:hyperlink>
    </w:p>
    <w:p w14:paraId="225DFCBA"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22" w:history="1">
        <w:r w:rsidR="00E46D10" w:rsidRPr="00DD731C">
          <w:rPr>
            <w:rStyle w:val="Hyperlink"/>
            <w:noProof/>
          </w:rPr>
          <w:t>1.3</w:t>
        </w:r>
        <w:r w:rsidR="00E46D10">
          <w:rPr>
            <w:rFonts w:eastAsiaTheme="minorEastAsia" w:cstheme="minorBidi"/>
            <w:smallCaps w:val="0"/>
            <w:noProof/>
            <w:sz w:val="22"/>
            <w:szCs w:val="22"/>
            <w:lang w:eastAsia="en-GB"/>
          </w:rPr>
          <w:tab/>
        </w:r>
        <w:r w:rsidR="00E46D10" w:rsidRPr="00DD731C">
          <w:rPr>
            <w:rStyle w:val="Hyperlink"/>
            <w:noProof/>
          </w:rPr>
          <w:t>Dietary Exposure estimates</w:t>
        </w:r>
        <w:r w:rsidR="00E46D10">
          <w:rPr>
            <w:noProof/>
            <w:webHidden/>
          </w:rPr>
          <w:tab/>
        </w:r>
        <w:r w:rsidR="00E46D10">
          <w:rPr>
            <w:noProof/>
            <w:webHidden/>
          </w:rPr>
          <w:fldChar w:fldCharType="begin"/>
        </w:r>
        <w:r w:rsidR="00E46D10">
          <w:rPr>
            <w:noProof/>
            <w:webHidden/>
          </w:rPr>
          <w:instrText xml:space="preserve"> PAGEREF _Toc472332822 \h </w:instrText>
        </w:r>
        <w:r w:rsidR="00E46D10">
          <w:rPr>
            <w:noProof/>
            <w:webHidden/>
          </w:rPr>
        </w:r>
        <w:r w:rsidR="00E46D10">
          <w:rPr>
            <w:noProof/>
            <w:webHidden/>
          </w:rPr>
          <w:fldChar w:fldCharType="separate"/>
        </w:r>
        <w:r w:rsidR="00E46D10">
          <w:rPr>
            <w:noProof/>
            <w:webHidden/>
          </w:rPr>
          <w:t>4</w:t>
        </w:r>
        <w:r w:rsidR="00E46D10">
          <w:rPr>
            <w:noProof/>
            <w:webHidden/>
          </w:rPr>
          <w:fldChar w:fldCharType="end"/>
        </w:r>
      </w:hyperlink>
    </w:p>
    <w:p w14:paraId="0AB53F92"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23" w:history="1">
        <w:r w:rsidR="00E46D10" w:rsidRPr="00DD731C">
          <w:rPr>
            <w:rStyle w:val="Hyperlink"/>
            <w:noProof/>
          </w:rPr>
          <w:t>1.4</w:t>
        </w:r>
        <w:r w:rsidR="00E46D10">
          <w:rPr>
            <w:rFonts w:eastAsiaTheme="minorEastAsia" w:cstheme="minorBidi"/>
            <w:smallCaps w:val="0"/>
            <w:noProof/>
            <w:sz w:val="22"/>
            <w:szCs w:val="22"/>
            <w:lang w:eastAsia="en-GB"/>
          </w:rPr>
          <w:tab/>
        </w:r>
        <w:r w:rsidR="00E46D10" w:rsidRPr="00DD731C">
          <w:rPr>
            <w:rStyle w:val="Hyperlink"/>
            <w:noProof/>
          </w:rPr>
          <w:t>Conclusion</w:t>
        </w:r>
        <w:r w:rsidR="00E46D10">
          <w:rPr>
            <w:noProof/>
            <w:webHidden/>
          </w:rPr>
          <w:tab/>
        </w:r>
        <w:r w:rsidR="00E46D10">
          <w:rPr>
            <w:noProof/>
            <w:webHidden/>
          </w:rPr>
          <w:fldChar w:fldCharType="begin"/>
        </w:r>
        <w:r w:rsidR="00E46D10">
          <w:rPr>
            <w:noProof/>
            <w:webHidden/>
          </w:rPr>
          <w:instrText xml:space="preserve"> PAGEREF _Toc472332823 \h </w:instrText>
        </w:r>
        <w:r w:rsidR="00E46D10">
          <w:rPr>
            <w:noProof/>
            <w:webHidden/>
          </w:rPr>
        </w:r>
        <w:r w:rsidR="00E46D10">
          <w:rPr>
            <w:noProof/>
            <w:webHidden/>
          </w:rPr>
          <w:fldChar w:fldCharType="separate"/>
        </w:r>
        <w:r w:rsidR="00E46D10">
          <w:rPr>
            <w:noProof/>
            <w:webHidden/>
          </w:rPr>
          <w:t>5</w:t>
        </w:r>
        <w:r w:rsidR="00E46D10">
          <w:rPr>
            <w:noProof/>
            <w:webHidden/>
          </w:rPr>
          <w:fldChar w:fldCharType="end"/>
        </w:r>
      </w:hyperlink>
    </w:p>
    <w:p w14:paraId="665468E7" w14:textId="77777777" w:rsidR="00E46D10" w:rsidRDefault="00275516">
      <w:pPr>
        <w:pStyle w:val="TOC1"/>
        <w:tabs>
          <w:tab w:val="left" w:pos="440"/>
          <w:tab w:val="right" w:leader="dot" w:pos="9060"/>
        </w:tabs>
        <w:rPr>
          <w:rFonts w:eastAsiaTheme="minorEastAsia" w:cstheme="minorBidi"/>
          <w:b w:val="0"/>
          <w:bCs w:val="0"/>
          <w:caps w:val="0"/>
          <w:noProof/>
          <w:sz w:val="22"/>
          <w:szCs w:val="22"/>
          <w:lang w:eastAsia="en-GB"/>
        </w:rPr>
      </w:pPr>
      <w:hyperlink w:anchor="_Toc472332824" w:history="1">
        <w:r w:rsidR="00E46D10" w:rsidRPr="00DD731C">
          <w:rPr>
            <w:rStyle w:val="Hyperlink"/>
            <w:noProof/>
          </w:rPr>
          <w:t>2</w:t>
        </w:r>
        <w:r w:rsidR="00E46D10">
          <w:rPr>
            <w:rFonts w:eastAsiaTheme="minorEastAsia" w:cstheme="minorBidi"/>
            <w:b w:val="0"/>
            <w:bCs w:val="0"/>
            <w:caps w:val="0"/>
            <w:noProof/>
            <w:sz w:val="22"/>
            <w:szCs w:val="22"/>
            <w:lang w:eastAsia="en-GB"/>
          </w:rPr>
          <w:tab/>
        </w:r>
        <w:r w:rsidR="00E46D10" w:rsidRPr="00DD731C">
          <w:rPr>
            <w:rStyle w:val="Hyperlink"/>
            <w:noProof/>
          </w:rPr>
          <w:t>Microbiological evaluation</w:t>
        </w:r>
        <w:r w:rsidR="00E46D10">
          <w:rPr>
            <w:noProof/>
            <w:webHidden/>
          </w:rPr>
          <w:tab/>
        </w:r>
        <w:r w:rsidR="00E46D10">
          <w:rPr>
            <w:noProof/>
            <w:webHidden/>
          </w:rPr>
          <w:fldChar w:fldCharType="begin"/>
        </w:r>
        <w:r w:rsidR="00E46D10">
          <w:rPr>
            <w:noProof/>
            <w:webHidden/>
          </w:rPr>
          <w:instrText xml:space="preserve"> PAGEREF _Toc472332824 \h </w:instrText>
        </w:r>
        <w:r w:rsidR="00E46D10">
          <w:rPr>
            <w:noProof/>
            <w:webHidden/>
          </w:rPr>
        </w:r>
        <w:r w:rsidR="00E46D10">
          <w:rPr>
            <w:noProof/>
            <w:webHidden/>
          </w:rPr>
          <w:fldChar w:fldCharType="separate"/>
        </w:r>
        <w:r w:rsidR="00E46D10">
          <w:rPr>
            <w:noProof/>
            <w:webHidden/>
          </w:rPr>
          <w:t>5</w:t>
        </w:r>
        <w:r w:rsidR="00E46D10">
          <w:rPr>
            <w:noProof/>
            <w:webHidden/>
          </w:rPr>
          <w:fldChar w:fldCharType="end"/>
        </w:r>
      </w:hyperlink>
    </w:p>
    <w:p w14:paraId="4F494DD8"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25" w:history="1">
        <w:r w:rsidR="00E46D10" w:rsidRPr="00DD731C">
          <w:rPr>
            <w:rStyle w:val="Hyperlink"/>
            <w:noProof/>
          </w:rPr>
          <w:t>2.1</w:t>
        </w:r>
        <w:r w:rsidR="00E46D10">
          <w:rPr>
            <w:rFonts w:eastAsiaTheme="minorEastAsia" w:cstheme="minorBidi"/>
            <w:smallCaps w:val="0"/>
            <w:noProof/>
            <w:sz w:val="22"/>
            <w:szCs w:val="22"/>
            <w:lang w:eastAsia="en-GB"/>
          </w:rPr>
          <w:tab/>
        </w:r>
        <w:r w:rsidR="00E46D10" w:rsidRPr="00DD731C">
          <w:rPr>
            <w:rStyle w:val="Hyperlink"/>
            <w:noProof/>
          </w:rPr>
          <w:t>Activity against human gastrointestinal microflora</w:t>
        </w:r>
        <w:r w:rsidR="00E46D10">
          <w:rPr>
            <w:noProof/>
            <w:webHidden/>
          </w:rPr>
          <w:tab/>
        </w:r>
        <w:r w:rsidR="00E46D10">
          <w:rPr>
            <w:noProof/>
            <w:webHidden/>
          </w:rPr>
          <w:fldChar w:fldCharType="begin"/>
        </w:r>
        <w:r w:rsidR="00E46D10">
          <w:rPr>
            <w:noProof/>
            <w:webHidden/>
          </w:rPr>
          <w:instrText xml:space="preserve"> PAGEREF _Toc472332825 \h </w:instrText>
        </w:r>
        <w:r w:rsidR="00E46D10">
          <w:rPr>
            <w:noProof/>
            <w:webHidden/>
          </w:rPr>
        </w:r>
        <w:r w:rsidR="00E46D10">
          <w:rPr>
            <w:noProof/>
            <w:webHidden/>
          </w:rPr>
          <w:fldChar w:fldCharType="separate"/>
        </w:r>
        <w:r w:rsidR="00E46D10">
          <w:rPr>
            <w:noProof/>
            <w:webHidden/>
          </w:rPr>
          <w:t>5</w:t>
        </w:r>
        <w:r w:rsidR="00E46D10">
          <w:rPr>
            <w:noProof/>
            <w:webHidden/>
          </w:rPr>
          <w:fldChar w:fldCharType="end"/>
        </w:r>
      </w:hyperlink>
    </w:p>
    <w:p w14:paraId="4A3C2ED6"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26" w:history="1">
        <w:r w:rsidR="00E46D10" w:rsidRPr="00DD731C">
          <w:rPr>
            <w:rStyle w:val="Hyperlink"/>
            <w:noProof/>
          </w:rPr>
          <w:t>2.2</w:t>
        </w:r>
        <w:r w:rsidR="00E46D10">
          <w:rPr>
            <w:rFonts w:eastAsiaTheme="minorEastAsia" w:cstheme="minorBidi"/>
            <w:smallCaps w:val="0"/>
            <w:noProof/>
            <w:sz w:val="22"/>
            <w:szCs w:val="22"/>
            <w:lang w:eastAsia="en-GB"/>
          </w:rPr>
          <w:tab/>
        </w:r>
        <w:r w:rsidR="00E46D10" w:rsidRPr="00DD731C">
          <w:rPr>
            <w:rStyle w:val="Hyperlink"/>
            <w:noProof/>
          </w:rPr>
          <w:t>Microbiological activity of residues in edible pork</w:t>
        </w:r>
        <w:r w:rsidR="00E46D10">
          <w:rPr>
            <w:noProof/>
            <w:webHidden/>
          </w:rPr>
          <w:tab/>
        </w:r>
        <w:r w:rsidR="00E46D10">
          <w:rPr>
            <w:noProof/>
            <w:webHidden/>
          </w:rPr>
          <w:fldChar w:fldCharType="begin"/>
        </w:r>
        <w:r w:rsidR="00E46D10">
          <w:rPr>
            <w:noProof/>
            <w:webHidden/>
          </w:rPr>
          <w:instrText xml:space="preserve"> PAGEREF _Toc472332826 \h </w:instrText>
        </w:r>
        <w:r w:rsidR="00E46D10">
          <w:rPr>
            <w:noProof/>
            <w:webHidden/>
          </w:rPr>
        </w:r>
        <w:r w:rsidR="00E46D10">
          <w:rPr>
            <w:noProof/>
            <w:webHidden/>
          </w:rPr>
          <w:fldChar w:fldCharType="separate"/>
        </w:r>
        <w:r w:rsidR="00E46D10">
          <w:rPr>
            <w:noProof/>
            <w:webHidden/>
          </w:rPr>
          <w:t>5</w:t>
        </w:r>
        <w:r w:rsidR="00E46D10">
          <w:rPr>
            <w:noProof/>
            <w:webHidden/>
          </w:rPr>
          <w:fldChar w:fldCharType="end"/>
        </w:r>
      </w:hyperlink>
    </w:p>
    <w:p w14:paraId="01DD99A5"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27" w:history="1">
        <w:r w:rsidR="00E46D10" w:rsidRPr="00DD731C">
          <w:rPr>
            <w:rStyle w:val="Hyperlink"/>
            <w:noProof/>
          </w:rPr>
          <w:t>2.3</w:t>
        </w:r>
        <w:r w:rsidR="00E46D10">
          <w:rPr>
            <w:rFonts w:eastAsiaTheme="minorEastAsia" w:cstheme="minorBidi"/>
            <w:smallCaps w:val="0"/>
            <w:noProof/>
            <w:sz w:val="22"/>
            <w:szCs w:val="22"/>
            <w:lang w:eastAsia="en-GB"/>
          </w:rPr>
          <w:tab/>
        </w:r>
        <w:r w:rsidR="00E46D10" w:rsidRPr="00DD731C">
          <w:rPr>
            <w:rStyle w:val="Hyperlink"/>
            <w:noProof/>
          </w:rPr>
          <w:t>Antimicrobial resistance</w:t>
        </w:r>
        <w:r w:rsidR="00E46D10">
          <w:rPr>
            <w:noProof/>
            <w:webHidden/>
          </w:rPr>
          <w:tab/>
        </w:r>
        <w:r w:rsidR="00E46D10">
          <w:rPr>
            <w:noProof/>
            <w:webHidden/>
          </w:rPr>
          <w:fldChar w:fldCharType="begin"/>
        </w:r>
        <w:r w:rsidR="00E46D10">
          <w:rPr>
            <w:noProof/>
            <w:webHidden/>
          </w:rPr>
          <w:instrText xml:space="preserve"> PAGEREF _Toc472332827 \h </w:instrText>
        </w:r>
        <w:r w:rsidR="00E46D10">
          <w:rPr>
            <w:noProof/>
            <w:webHidden/>
          </w:rPr>
        </w:r>
        <w:r w:rsidR="00E46D10">
          <w:rPr>
            <w:noProof/>
            <w:webHidden/>
          </w:rPr>
          <w:fldChar w:fldCharType="separate"/>
        </w:r>
        <w:r w:rsidR="00E46D10">
          <w:rPr>
            <w:noProof/>
            <w:webHidden/>
          </w:rPr>
          <w:t>5</w:t>
        </w:r>
        <w:r w:rsidR="00E46D10">
          <w:rPr>
            <w:noProof/>
            <w:webHidden/>
          </w:rPr>
          <w:fldChar w:fldCharType="end"/>
        </w:r>
      </w:hyperlink>
    </w:p>
    <w:p w14:paraId="2D5BF083" w14:textId="77777777" w:rsidR="00E46D10" w:rsidRDefault="00275516">
      <w:pPr>
        <w:pStyle w:val="TOC2"/>
        <w:tabs>
          <w:tab w:val="left" w:pos="880"/>
          <w:tab w:val="right" w:leader="dot" w:pos="9060"/>
        </w:tabs>
        <w:rPr>
          <w:rFonts w:eastAsiaTheme="minorEastAsia" w:cstheme="minorBidi"/>
          <w:smallCaps w:val="0"/>
          <w:noProof/>
          <w:sz w:val="22"/>
          <w:szCs w:val="22"/>
          <w:lang w:eastAsia="en-GB"/>
        </w:rPr>
      </w:pPr>
      <w:hyperlink w:anchor="_Toc472332828" w:history="1">
        <w:r w:rsidR="00E46D10" w:rsidRPr="00DD731C">
          <w:rPr>
            <w:rStyle w:val="Hyperlink"/>
            <w:noProof/>
          </w:rPr>
          <w:t>2.4</w:t>
        </w:r>
        <w:r w:rsidR="00E46D10">
          <w:rPr>
            <w:rFonts w:eastAsiaTheme="minorEastAsia" w:cstheme="minorBidi"/>
            <w:smallCaps w:val="0"/>
            <w:noProof/>
            <w:sz w:val="22"/>
            <w:szCs w:val="22"/>
            <w:lang w:eastAsia="en-GB"/>
          </w:rPr>
          <w:tab/>
        </w:r>
        <w:r w:rsidR="00E46D10" w:rsidRPr="00DD731C">
          <w:rPr>
            <w:rStyle w:val="Hyperlink"/>
            <w:noProof/>
          </w:rPr>
          <w:t>Conclusion</w:t>
        </w:r>
        <w:r w:rsidR="00E46D10">
          <w:rPr>
            <w:noProof/>
            <w:webHidden/>
          </w:rPr>
          <w:tab/>
        </w:r>
        <w:r w:rsidR="00E46D10">
          <w:rPr>
            <w:noProof/>
            <w:webHidden/>
          </w:rPr>
          <w:fldChar w:fldCharType="begin"/>
        </w:r>
        <w:r w:rsidR="00E46D10">
          <w:rPr>
            <w:noProof/>
            <w:webHidden/>
          </w:rPr>
          <w:instrText xml:space="preserve"> PAGEREF _Toc472332828 \h </w:instrText>
        </w:r>
        <w:r w:rsidR="00E46D10">
          <w:rPr>
            <w:noProof/>
            <w:webHidden/>
          </w:rPr>
        </w:r>
        <w:r w:rsidR="00E46D10">
          <w:rPr>
            <w:noProof/>
            <w:webHidden/>
          </w:rPr>
          <w:fldChar w:fldCharType="separate"/>
        </w:r>
        <w:r w:rsidR="00E46D10">
          <w:rPr>
            <w:noProof/>
            <w:webHidden/>
          </w:rPr>
          <w:t>7</w:t>
        </w:r>
        <w:r w:rsidR="00E46D10">
          <w:rPr>
            <w:noProof/>
            <w:webHidden/>
          </w:rPr>
          <w:fldChar w:fldCharType="end"/>
        </w:r>
      </w:hyperlink>
    </w:p>
    <w:p w14:paraId="3B269374" w14:textId="77777777" w:rsidR="00E46D10" w:rsidRDefault="00275516">
      <w:pPr>
        <w:pStyle w:val="TOC1"/>
        <w:tabs>
          <w:tab w:val="left" w:pos="440"/>
          <w:tab w:val="right" w:leader="dot" w:pos="9060"/>
        </w:tabs>
        <w:rPr>
          <w:rFonts w:eastAsiaTheme="minorEastAsia" w:cstheme="minorBidi"/>
          <w:b w:val="0"/>
          <w:bCs w:val="0"/>
          <w:caps w:val="0"/>
          <w:noProof/>
          <w:sz w:val="22"/>
          <w:szCs w:val="22"/>
          <w:lang w:eastAsia="en-GB"/>
        </w:rPr>
      </w:pPr>
      <w:hyperlink w:anchor="_Toc472332829" w:history="1">
        <w:r w:rsidR="00E46D10" w:rsidRPr="00DD731C">
          <w:rPr>
            <w:rStyle w:val="Hyperlink"/>
            <w:noProof/>
          </w:rPr>
          <w:t>3</w:t>
        </w:r>
        <w:r w:rsidR="00E46D10">
          <w:rPr>
            <w:rFonts w:eastAsiaTheme="minorEastAsia" w:cstheme="minorBidi"/>
            <w:b w:val="0"/>
            <w:bCs w:val="0"/>
            <w:caps w:val="0"/>
            <w:noProof/>
            <w:sz w:val="22"/>
            <w:szCs w:val="22"/>
            <w:lang w:eastAsia="en-GB"/>
          </w:rPr>
          <w:tab/>
        </w:r>
        <w:r w:rsidR="00E46D10" w:rsidRPr="00DD731C">
          <w:rPr>
            <w:rStyle w:val="Hyperlink"/>
            <w:noProof/>
          </w:rPr>
          <w:t>References</w:t>
        </w:r>
        <w:r w:rsidR="00E46D10">
          <w:rPr>
            <w:noProof/>
            <w:webHidden/>
          </w:rPr>
          <w:tab/>
        </w:r>
        <w:r w:rsidR="00E46D10">
          <w:rPr>
            <w:noProof/>
            <w:webHidden/>
          </w:rPr>
          <w:fldChar w:fldCharType="begin"/>
        </w:r>
        <w:r w:rsidR="00E46D10">
          <w:rPr>
            <w:noProof/>
            <w:webHidden/>
          </w:rPr>
          <w:instrText xml:space="preserve"> PAGEREF _Toc472332829 \h </w:instrText>
        </w:r>
        <w:r w:rsidR="00E46D10">
          <w:rPr>
            <w:noProof/>
            <w:webHidden/>
          </w:rPr>
        </w:r>
        <w:r w:rsidR="00E46D10">
          <w:rPr>
            <w:noProof/>
            <w:webHidden/>
          </w:rPr>
          <w:fldChar w:fldCharType="separate"/>
        </w:r>
        <w:r w:rsidR="00E46D10">
          <w:rPr>
            <w:noProof/>
            <w:webHidden/>
          </w:rPr>
          <w:t>7</w:t>
        </w:r>
        <w:r w:rsidR="00E46D10">
          <w:rPr>
            <w:noProof/>
            <w:webHidden/>
          </w:rPr>
          <w:fldChar w:fldCharType="end"/>
        </w:r>
      </w:hyperlink>
    </w:p>
    <w:p w14:paraId="1E0084B4" w14:textId="0A79B35B" w:rsidR="0070279E" w:rsidRPr="001C0D98" w:rsidRDefault="00CB4C94" w:rsidP="0070279E">
      <w:pPr>
        <w:pStyle w:val="FSTitle"/>
        <w:rPr>
          <w:rFonts w:cs="Arial"/>
          <w:sz w:val="22"/>
          <w:szCs w:val="22"/>
        </w:rPr>
      </w:pPr>
      <w:r>
        <w:rPr>
          <w:rFonts w:asciiTheme="minorHAnsi" w:hAnsiTheme="minorHAnsi" w:cs="Arial"/>
          <w:b/>
          <w:bCs w:val="0"/>
          <w:caps/>
          <w:sz w:val="20"/>
          <w:szCs w:val="20"/>
          <w:lang w:bidi="ar-SA"/>
        </w:rPr>
        <w:fldChar w:fldCharType="end"/>
      </w:r>
    </w:p>
    <w:p w14:paraId="4BB26020" w14:textId="77777777" w:rsidR="000765DD" w:rsidRPr="001C0D98" w:rsidRDefault="000765DD">
      <w:pPr>
        <w:rPr>
          <w:rFonts w:eastAsiaTheme="majorEastAsia" w:cs="Arial"/>
          <w:b/>
          <w:bCs/>
          <w:szCs w:val="22"/>
        </w:rPr>
      </w:pPr>
      <w:r w:rsidRPr="001C0D98">
        <w:rPr>
          <w:rFonts w:cs="Arial"/>
          <w:szCs w:val="22"/>
        </w:rPr>
        <w:br w:type="page"/>
      </w:r>
    </w:p>
    <w:p w14:paraId="2046CCC7" w14:textId="2EEFD0E3" w:rsidR="00A37D60" w:rsidRPr="003B0439" w:rsidRDefault="00910D97" w:rsidP="00910D97">
      <w:pPr>
        <w:pStyle w:val="Heading1"/>
        <w:rPr>
          <w:i/>
        </w:rPr>
      </w:pPr>
      <w:bookmarkStart w:id="6" w:name="_Toc472332816"/>
      <w:r>
        <w:lastRenderedPageBreak/>
        <w:t>1</w:t>
      </w:r>
      <w:r>
        <w:tab/>
      </w:r>
      <w:r w:rsidR="00A37D60" w:rsidRPr="003B0439">
        <w:t>Dietary Exposure Assessment</w:t>
      </w:r>
      <w:bookmarkEnd w:id="6"/>
    </w:p>
    <w:p w14:paraId="366671EA" w14:textId="492C861A" w:rsidR="0036568B" w:rsidRPr="00340B47" w:rsidRDefault="00B47ADF" w:rsidP="00910D97">
      <w:pPr>
        <w:pStyle w:val="Heading2"/>
      </w:pPr>
      <w:bookmarkStart w:id="7" w:name="_Toc472332817"/>
      <w:r w:rsidRPr="00340B47">
        <w:t>1.1</w:t>
      </w:r>
      <w:r w:rsidRPr="00340B47">
        <w:tab/>
      </w:r>
      <w:r w:rsidR="0036568B" w:rsidRPr="00340B47">
        <w:t>Background</w:t>
      </w:r>
      <w:bookmarkEnd w:id="7"/>
    </w:p>
    <w:p w14:paraId="4CF436E5" w14:textId="202B449F" w:rsidR="00732B95" w:rsidRDefault="00732B95" w:rsidP="00A37D60">
      <w:pPr>
        <w:pStyle w:val="Default"/>
        <w:rPr>
          <w:sz w:val="22"/>
          <w:szCs w:val="22"/>
        </w:rPr>
      </w:pPr>
      <w:r>
        <w:rPr>
          <w:sz w:val="22"/>
          <w:szCs w:val="22"/>
        </w:rPr>
        <w:t xml:space="preserve">FSANZ conducts and reviews dietary exposure assessments (DEAs) for maximum residue limits (MRLs) using the best available scientific data and internationally recognised risk assessment methodologies. Variations to MRLs in </w:t>
      </w:r>
      <w:r w:rsidR="00376799" w:rsidRPr="00027E4B">
        <w:rPr>
          <w:i/>
          <w:sz w:val="22"/>
          <w:szCs w:val="22"/>
        </w:rPr>
        <w:t>Australia New Zealand Food Standards Code</w:t>
      </w:r>
      <w:r w:rsidR="00376799">
        <w:rPr>
          <w:sz w:val="22"/>
          <w:szCs w:val="22"/>
        </w:rPr>
        <w:t xml:space="preserve"> (</w:t>
      </w:r>
      <w:r>
        <w:rPr>
          <w:sz w:val="22"/>
          <w:szCs w:val="22"/>
        </w:rPr>
        <w:t>the Code</w:t>
      </w:r>
      <w:r w:rsidR="00376799">
        <w:rPr>
          <w:sz w:val="22"/>
          <w:szCs w:val="22"/>
        </w:rPr>
        <w:t>)</w:t>
      </w:r>
      <w:r>
        <w:rPr>
          <w:sz w:val="22"/>
          <w:szCs w:val="22"/>
        </w:rPr>
        <w:t xml:space="preserve"> will not be supported where estimated dietary exposures to the residues of a chemical indicate a potential public health and safety risk for the popu</w:t>
      </w:r>
      <w:r w:rsidR="00B47ADF">
        <w:rPr>
          <w:sz w:val="22"/>
          <w:szCs w:val="22"/>
        </w:rPr>
        <w:t>lation or population sub group.</w:t>
      </w:r>
    </w:p>
    <w:p w14:paraId="4A0D2ACF" w14:textId="77777777" w:rsidR="00884088" w:rsidRDefault="00884088" w:rsidP="00732B95">
      <w:pPr>
        <w:pStyle w:val="Default"/>
        <w:rPr>
          <w:sz w:val="22"/>
          <w:szCs w:val="22"/>
        </w:rPr>
      </w:pPr>
    </w:p>
    <w:p w14:paraId="4FEAC37C" w14:textId="57B309BB" w:rsidR="00732B95" w:rsidRDefault="00732B95" w:rsidP="00732B95">
      <w:pPr>
        <w:pStyle w:val="Default"/>
        <w:rPr>
          <w:sz w:val="22"/>
          <w:szCs w:val="22"/>
        </w:rPr>
      </w:pPr>
      <w:r>
        <w:rPr>
          <w:sz w:val="22"/>
          <w:szCs w:val="22"/>
        </w:rPr>
        <w:t>The steps unde</w:t>
      </w:r>
      <w:r w:rsidR="00B47ADF">
        <w:rPr>
          <w:sz w:val="22"/>
          <w:szCs w:val="22"/>
        </w:rPr>
        <w:t>rtaken in conducting a DEA are:</w:t>
      </w:r>
    </w:p>
    <w:p w14:paraId="2C195EB2" w14:textId="77777777" w:rsidR="00910D97" w:rsidRDefault="00910D97" w:rsidP="00732B95">
      <w:pPr>
        <w:pStyle w:val="Default"/>
        <w:rPr>
          <w:sz w:val="22"/>
          <w:szCs w:val="22"/>
        </w:rPr>
      </w:pPr>
    </w:p>
    <w:p w14:paraId="7C5A5325" w14:textId="17FB08B9" w:rsidR="00732B95" w:rsidRPr="00910D97" w:rsidRDefault="00732B95" w:rsidP="00910D97">
      <w:pPr>
        <w:pStyle w:val="FSBullet1"/>
      </w:pPr>
      <w:r w:rsidRPr="00884088">
        <w:t>determinin</w:t>
      </w:r>
      <w:r w:rsidRPr="00910D97">
        <w:t xml:space="preserve">g the residues of </w:t>
      </w:r>
      <w:r w:rsidR="00B47ADF" w:rsidRPr="00910D97">
        <w:t>a chemical in foods of interest</w:t>
      </w:r>
    </w:p>
    <w:p w14:paraId="3034B03F" w14:textId="196295E0" w:rsidR="00732B95" w:rsidRPr="00910D97" w:rsidRDefault="00732B95" w:rsidP="00910D97">
      <w:pPr>
        <w:pStyle w:val="FSBullet1"/>
      </w:pPr>
      <w:r w:rsidRPr="00910D97">
        <w:t>calculating dietary exposure to a chemical from relevant foods, using residue data and food consumption data from Austra</w:t>
      </w:r>
      <w:r w:rsidR="00B47ADF" w:rsidRPr="00910D97">
        <w:t>lian national nutrition surveys</w:t>
      </w:r>
      <w:r w:rsidR="00C62E1E" w:rsidRPr="00910D97">
        <w:t xml:space="preserve"> (NNS)</w:t>
      </w:r>
    </w:p>
    <w:p w14:paraId="705A39D3" w14:textId="1EB9E4CD" w:rsidR="00732B95" w:rsidRDefault="00732B95" w:rsidP="00910D97">
      <w:pPr>
        <w:pStyle w:val="FSBullet1"/>
      </w:pPr>
      <w:r w:rsidRPr="00910D97">
        <w:t>completi</w:t>
      </w:r>
      <w:r w:rsidRPr="00884088">
        <w:t xml:space="preserve">ng a risk characterisation where estimated dietary exposures are compared to the relevant </w:t>
      </w:r>
      <w:r w:rsidR="0068349D">
        <w:t>health based guidance value (</w:t>
      </w:r>
      <w:r w:rsidRPr="00884088">
        <w:t>HBGV</w:t>
      </w:r>
      <w:r w:rsidR="0068349D">
        <w:t>)</w:t>
      </w:r>
    </w:p>
    <w:p w14:paraId="4FA0A973" w14:textId="77777777" w:rsidR="002C5669" w:rsidRPr="002C5669" w:rsidRDefault="002C5669" w:rsidP="002C5669"/>
    <w:p w14:paraId="3AF477B2" w14:textId="432A2B35" w:rsidR="002C5669" w:rsidRPr="00910D97" w:rsidRDefault="002C5669" w:rsidP="002C5669">
      <w:pPr>
        <w:rPr>
          <w:rStyle w:val="Hyperlink"/>
          <w:color w:val="auto"/>
          <w:szCs w:val="22"/>
          <w:u w:val="none"/>
        </w:rPr>
      </w:pPr>
      <w:r w:rsidRPr="007355E7">
        <w:rPr>
          <w:rFonts w:cs="Arial"/>
          <w:szCs w:val="22"/>
        </w:rPr>
        <w:t>Further information on</w:t>
      </w:r>
      <w:r>
        <w:rPr>
          <w:rFonts w:cs="Arial"/>
          <w:szCs w:val="22"/>
        </w:rPr>
        <w:t xml:space="preserve"> how FSANZ conducts</w:t>
      </w:r>
      <w:r w:rsidRPr="007355E7">
        <w:rPr>
          <w:rFonts w:cs="Arial"/>
          <w:szCs w:val="22"/>
        </w:rPr>
        <w:t xml:space="preserve"> </w:t>
      </w:r>
      <w:r>
        <w:rPr>
          <w:rFonts w:cs="Arial"/>
          <w:szCs w:val="22"/>
        </w:rPr>
        <w:t xml:space="preserve">DEAs </w:t>
      </w:r>
      <w:r w:rsidRPr="007355E7">
        <w:rPr>
          <w:rFonts w:cs="Arial"/>
          <w:szCs w:val="22"/>
        </w:rPr>
        <w:t xml:space="preserve">is available </w:t>
      </w:r>
      <w:r w:rsidR="00910D97">
        <w:rPr>
          <w:rFonts w:cs="Arial"/>
          <w:szCs w:val="22"/>
        </w:rPr>
        <w:t xml:space="preserve">on the </w:t>
      </w:r>
      <w:hyperlink r:id="rId16" w:history="1">
        <w:r w:rsidR="00910D97">
          <w:rPr>
            <w:rStyle w:val="Hyperlink"/>
          </w:rPr>
          <w:t>FSANZ website</w:t>
        </w:r>
      </w:hyperlink>
      <w:r w:rsidR="00910D97" w:rsidRPr="00910D97">
        <w:rPr>
          <w:rStyle w:val="FootnoteReference"/>
        </w:rPr>
        <w:footnoteReference w:id="2"/>
      </w:r>
      <w:r w:rsidR="00910D97" w:rsidRPr="00910D97">
        <w:rPr>
          <w:rStyle w:val="Hyperlink"/>
          <w:u w:val="none"/>
        </w:rPr>
        <w:t>.</w:t>
      </w:r>
    </w:p>
    <w:p w14:paraId="4C378961" w14:textId="5CBAECC4" w:rsidR="006177A6" w:rsidRDefault="006177A6" w:rsidP="00910D97">
      <w:pPr>
        <w:pStyle w:val="Heading2"/>
      </w:pPr>
      <w:bookmarkStart w:id="8" w:name="_Toc472332818"/>
      <w:r w:rsidRPr="00B47ADF">
        <w:t>1.</w:t>
      </w:r>
      <w:r w:rsidR="009E0592">
        <w:t>2</w:t>
      </w:r>
      <w:r w:rsidRPr="00B47ADF">
        <w:tab/>
      </w:r>
      <w:r>
        <w:t>Food c</w:t>
      </w:r>
      <w:r w:rsidRPr="00B47ADF">
        <w:t>onsumption data</w:t>
      </w:r>
      <w:bookmarkEnd w:id="8"/>
    </w:p>
    <w:p w14:paraId="2031FC63" w14:textId="792DF85B" w:rsidR="00B76E43" w:rsidRPr="0054564D" w:rsidRDefault="00910D97" w:rsidP="00910D97">
      <w:pPr>
        <w:pStyle w:val="Heading3"/>
      </w:pPr>
      <w:bookmarkStart w:id="9" w:name="_Toc472332819"/>
      <w:r>
        <w:t>1.2.1</w:t>
      </w:r>
      <w:r>
        <w:tab/>
      </w:r>
      <w:r w:rsidR="00B76E43" w:rsidRPr="0054564D">
        <w:t>1995 National Nutrition Survey (NNS)</w:t>
      </w:r>
      <w:bookmarkEnd w:id="9"/>
    </w:p>
    <w:p w14:paraId="38AC29F9" w14:textId="77777777" w:rsidR="00B76E43" w:rsidRPr="00B76E43" w:rsidRDefault="00B76E43" w:rsidP="00B76E43">
      <w:pPr>
        <w:rPr>
          <w:rFonts w:cs="Arial"/>
          <w:szCs w:val="22"/>
          <w:lang w:eastAsia="en-AU"/>
        </w:rPr>
      </w:pPr>
      <w:r w:rsidRPr="00B76E43">
        <w:rPr>
          <w:rFonts w:cs="Arial"/>
          <w:szCs w:val="22"/>
          <w:lang w:eastAsia="en-AU"/>
        </w:rPr>
        <w:t>The 1995 NNS provides comprehensive information on dietary patterns of a sample of 13,858 Australians aged from 2 years and above. The survey used a 24-hour recall method for all respondents, with 10% of respondents also completing a second 24-hour recall on a second, non-consecutive day. Food frequency data are available for a subset of the national sample (respondents aged 12 years and above) as are responses to a series of short dietary questions about food habits. These data are used unweighted.</w:t>
      </w:r>
    </w:p>
    <w:p w14:paraId="3FD2FE4A" w14:textId="33197D21" w:rsidR="00B76E43" w:rsidRPr="00B76E43" w:rsidRDefault="00910D97" w:rsidP="0054564D">
      <w:pPr>
        <w:pStyle w:val="Heading3"/>
      </w:pPr>
      <w:bookmarkStart w:id="10" w:name="_Toc472332820"/>
      <w:r>
        <w:t>1.2.2</w:t>
      </w:r>
      <w:r>
        <w:tab/>
      </w:r>
      <w:r w:rsidR="00B76E43" w:rsidRPr="00B76E43">
        <w:t>2011</w:t>
      </w:r>
      <w:r>
        <w:sym w:font="Symbol" w:char="F02D"/>
      </w:r>
      <w:r w:rsidR="00B76E43" w:rsidRPr="00B76E43">
        <w:t>12 National Nutrition and Physical Activity Survey (NNPAS)</w:t>
      </w:r>
      <w:bookmarkEnd w:id="10"/>
    </w:p>
    <w:p w14:paraId="5454BE25" w14:textId="49069B71" w:rsidR="003F627C" w:rsidRDefault="003F627C" w:rsidP="00B76E43">
      <w:pPr>
        <w:rPr>
          <w:rFonts w:cs="Arial"/>
          <w:szCs w:val="22"/>
          <w:lang w:eastAsia="en-AU"/>
        </w:rPr>
      </w:pPr>
      <w:r w:rsidRPr="003F627C">
        <w:rPr>
          <w:rFonts w:cs="Arial"/>
          <w:szCs w:val="22"/>
          <w:lang w:eastAsia="en-AU"/>
        </w:rPr>
        <w:t xml:space="preserve">Mean food consumption data used to </w:t>
      </w:r>
      <w:r>
        <w:rPr>
          <w:rFonts w:cs="Arial"/>
          <w:szCs w:val="22"/>
          <w:lang w:eastAsia="en-AU"/>
        </w:rPr>
        <w:t>estimate exposure</w:t>
      </w:r>
      <w:r w:rsidRPr="003F627C">
        <w:rPr>
          <w:rFonts w:cs="Arial"/>
          <w:szCs w:val="22"/>
          <w:lang w:eastAsia="en-AU"/>
        </w:rPr>
        <w:t xml:space="preserve"> were derived from the 2011</w:t>
      </w:r>
      <w:r w:rsidR="00910D97">
        <w:rPr>
          <w:rFonts w:cs="Arial"/>
          <w:szCs w:val="22"/>
          <w:lang w:eastAsia="en-AU"/>
        </w:rPr>
        <w:sym w:font="Symbol" w:char="F02D"/>
      </w:r>
      <w:r w:rsidRPr="003F627C">
        <w:rPr>
          <w:rFonts w:cs="Arial"/>
          <w:szCs w:val="22"/>
          <w:lang w:eastAsia="en-AU"/>
        </w:rPr>
        <w:t>12 National Nutrition and Physical Activity Survey (NNPAS) which surveyed 12,153 respondents aged 2 years and above. 7735 (64%) individuals were surveyed for 2 non-consecutive days making it possible to derive average consumption amounts. The two day average exposure was derived based on consumption data from the respondents with two days of data (applying a different set of sample weights to make this survey sub-sample rep</w:t>
      </w:r>
      <w:r w:rsidR="00865413">
        <w:rPr>
          <w:rFonts w:cs="Arial"/>
          <w:szCs w:val="22"/>
          <w:lang w:eastAsia="en-AU"/>
        </w:rPr>
        <w:t>resentative of the population).</w:t>
      </w:r>
    </w:p>
    <w:p w14:paraId="0BEC79C9" w14:textId="77777777" w:rsidR="003F627C" w:rsidRDefault="003F627C" w:rsidP="00B76E43">
      <w:pPr>
        <w:rPr>
          <w:rFonts w:cs="Arial"/>
          <w:szCs w:val="22"/>
          <w:lang w:eastAsia="en-AU"/>
        </w:rPr>
      </w:pPr>
    </w:p>
    <w:p w14:paraId="2875009D" w14:textId="02DAE110" w:rsidR="003F627C" w:rsidRDefault="003F627C" w:rsidP="003F627C">
      <w:pPr>
        <w:rPr>
          <w:rFonts w:cs="Arial"/>
          <w:szCs w:val="22"/>
          <w:lang w:eastAsia="en-AU"/>
        </w:rPr>
      </w:pPr>
      <w:r w:rsidRPr="003F627C">
        <w:rPr>
          <w:rFonts w:eastAsiaTheme="majorEastAsia"/>
        </w:rPr>
        <w:t xml:space="preserve">Consumption amounts were for </w:t>
      </w:r>
      <w:r>
        <w:rPr>
          <w:rFonts w:eastAsiaTheme="majorEastAsia"/>
        </w:rPr>
        <w:t>all respondents</w:t>
      </w:r>
      <w:r w:rsidRPr="003F627C">
        <w:rPr>
          <w:rFonts w:eastAsiaTheme="majorEastAsia"/>
        </w:rPr>
        <w:t xml:space="preserve"> that were surveyed over 2 non-consecutive days. Consumption was averaged over the two days.</w:t>
      </w:r>
      <w:r w:rsidRPr="003F627C">
        <w:rPr>
          <w:rFonts w:cs="Arial"/>
          <w:szCs w:val="22"/>
          <w:lang w:eastAsia="en-AU"/>
        </w:rPr>
        <w:t xml:space="preserve"> The</w:t>
      </w:r>
      <w:r w:rsidR="001F59CD">
        <w:rPr>
          <w:rFonts w:cs="Arial"/>
          <w:szCs w:val="22"/>
          <w:lang w:eastAsia="en-AU"/>
        </w:rPr>
        <w:t xml:space="preserve"> use of</w:t>
      </w:r>
      <w:r w:rsidRPr="003F627C">
        <w:rPr>
          <w:rFonts w:cs="Arial"/>
          <w:szCs w:val="22"/>
          <w:lang w:eastAsia="en-AU"/>
        </w:rPr>
        <w:t xml:space="preserve"> two day average </w:t>
      </w:r>
      <w:r w:rsidR="001F59CD">
        <w:rPr>
          <w:rFonts w:cs="Arial"/>
          <w:szCs w:val="22"/>
          <w:lang w:eastAsia="en-AU"/>
        </w:rPr>
        <w:t>food consumption</w:t>
      </w:r>
      <w:r w:rsidR="001F59CD" w:rsidRPr="003F627C">
        <w:rPr>
          <w:rFonts w:cs="Arial"/>
          <w:szCs w:val="22"/>
          <w:lang w:eastAsia="en-AU"/>
        </w:rPr>
        <w:t xml:space="preserve"> </w:t>
      </w:r>
      <w:r w:rsidR="00A0292C">
        <w:rPr>
          <w:rFonts w:cs="Arial"/>
          <w:szCs w:val="22"/>
          <w:lang w:eastAsia="en-AU"/>
        </w:rPr>
        <w:t xml:space="preserve">amounts </w:t>
      </w:r>
      <w:r w:rsidR="00A0292C" w:rsidRPr="003F627C">
        <w:rPr>
          <w:rFonts w:cs="Arial"/>
          <w:szCs w:val="22"/>
          <w:lang w:eastAsia="en-AU"/>
        </w:rPr>
        <w:t>better reflect</w:t>
      </w:r>
      <w:r w:rsidRPr="003F627C">
        <w:rPr>
          <w:rFonts w:cs="Arial"/>
          <w:szCs w:val="22"/>
          <w:lang w:eastAsia="en-AU"/>
        </w:rPr>
        <w:t xml:space="preserve"> longer term estimates of </w:t>
      </w:r>
      <w:r w:rsidR="001F59CD">
        <w:rPr>
          <w:rFonts w:cs="Arial"/>
          <w:szCs w:val="22"/>
          <w:lang w:eastAsia="en-AU"/>
        </w:rPr>
        <w:t>food consumption</w:t>
      </w:r>
      <w:r w:rsidRPr="003F627C">
        <w:rPr>
          <w:rFonts w:cs="Arial"/>
          <w:szCs w:val="22"/>
          <w:lang w:eastAsia="en-AU"/>
        </w:rPr>
        <w:t xml:space="preserve"> and therefore </w:t>
      </w:r>
      <w:r w:rsidR="001F59CD">
        <w:rPr>
          <w:rFonts w:cs="Arial"/>
          <w:szCs w:val="22"/>
          <w:lang w:eastAsia="en-AU"/>
        </w:rPr>
        <w:t>provide</w:t>
      </w:r>
      <w:r w:rsidR="001F59CD" w:rsidRPr="003F627C">
        <w:rPr>
          <w:rFonts w:cs="Arial"/>
          <w:szCs w:val="22"/>
          <w:lang w:eastAsia="en-AU"/>
        </w:rPr>
        <w:t xml:space="preserve"> </w:t>
      </w:r>
      <w:r w:rsidRPr="003F627C">
        <w:rPr>
          <w:rFonts w:cs="Arial"/>
          <w:szCs w:val="22"/>
          <w:lang w:eastAsia="en-AU"/>
        </w:rPr>
        <w:t xml:space="preserve">a </w:t>
      </w:r>
      <w:r w:rsidR="00E43491">
        <w:rPr>
          <w:rFonts w:cs="Arial"/>
          <w:szCs w:val="22"/>
          <w:lang w:eastAsia="en-AU"/>
        </w:rPr>
        <w:t>more realistic</w:t>
      </w:r>
      <w:r w:rsidR="00E43491" w:rsidRPr="003F627C">
        <w:rPr>
          <w:rFonts w:cs="Arial"/>
          <w:szCs w:val="22"/>
          <w:lang w:eastAsia="en-AU"/>
        </w:rPr>
        <w:t xml:space="preserve"> </w:t>
      </w:r>
      <w:r w:rsidRPr="003F627C">
        <w:rPr>
          <w:rFonts w:cs="Arial"/>
          <w:szCs w:val="22"/>
          <w:lang w:eastAsia="en-AU"/>
        </w:rPr>
        <w:t>estimate of chronic dietary exposure.</w:t>
      </w:r>
    </w:p>
    <w:p w14:paraId="75CD128D" w14:textId="77777777" w:rsidR="003F627C" w:rsidRDefault="003F627C" w:rsidP="003F627C">
      <w:pPr>
        <w:rPr>
          <w:rFonts w:cs="Arial"/>
          <w:szCs w:val="22"/>
          <w:lang w:eastAsia="en-AU"/>
        </w:rPr>
      </w:pPr>
    </w:p>
    <w:p w14:paraId="29EFF66A" w14:textId="20AAE8E8" w:rsidR="003F627C" w:rsidRDefault="003F627C" w:rsidP="003F627C">
      <w:pPr>
        <w:rPr>
          <w:rFonts w:cs="Arial"/>
          <w:szCs w:val="22"/>
          <w:lang w:eastAsia="en-AU"/>
        </w:rPr>
      </w:pPr>
      <w:r w:rsidRPr="00B76E43">
        <w:rPr>
          <w:rFonts w:cs="Arial"/>
          <w:szCs w:val="22"/>
          <w:lang w:eastAsia="en-AU"/>
        </w:rPr>
        <w:t>Consumption data included commodities reported as consumed on their own (e.g. pork chop, glass of milk, boiled egg) and when used in a mixed foo</w:t>
      </w:r>
      <w:r w:rsidR="00865413">
        <w:rPr>
          <w:rFonts w:cs="Arial"/>
          <w:szCs w:val="22"/>
          <w:lang w:eastAsia="en-AU"/>
        </w:rPr>
        <w:t>d (e.g. pork stir fry, quiche).</w:t>
      </w:r>
    </w:p>
    <w:p w14:paraId="3E09790D" w14:textId="5DFFA040" w:rsidR="00CB4C94" w:rsidRDefault="00CB4C94" w:rsidP="003F627C">
      <w:pPr>
        <w:rPr>
          <w:rFonts w:eastAsiaTheme="majorEastAsia"/>
        </w:rPr>
      </w:pPr>
      <w:r>
        <w:rPr>
          <w:rFonts w:eastAsiaTheme="majorEastAsia"/>
        </w:rPr>
        <w:br w:type="page"/>
      </w:r>
    </w:p>
    <w:p w14:paraId="5A0C456D" w14:textId="5ACDB35C" w:rsidR="00B76E43" w:rsidRDefault="00910D97" w:rsidP="0054564D">
      <w:pPr>
        <w:pStyle w:val="Heading3"/>
      </w:pPr>
      <w:bookmarkStart w:id="11" w:name="_Toc472332821"/>
      <w:r>
        <w:lastRenderedPageBreak/>
        <w:t>1.2.3</w:t>
      </w:r>
      <w:r>
        <w:tab/>
      </w:r>
      <w:r w:rsidR="00B76E43">
        <w:t xml:space="preserve">Data used in the </w:t>
      </w:r>
      <w:r w:rsidR="002C5669">
        <w:t xml:space="preserve">dietary exposure </w:t>
      </w:r>
      <w:r w:rsidR="00B76E43">
        <w:t>assessment</w:t>
      </w:r>
      <w:bookmarkEnd w:id="11"/>
    </w:p>
    <w:p w14:paraId="099E3797" w14:textId="24177289" w:rsidR="006177A6" w:rsidRDefault="006177A6" w:rsidP="006177A6">
      <w:pPr>
        <w:rPr>
          <w:rFonts w:cs="Arial"/>
          <w:szCs w:val="22"/>
        </w:rPr>
      </w:pPr>
      <w:r>
        <w:rPr>
          <w:rFonts w:cs="Arial"/>
          <w:szCs w:val="22"/>
        </w:rPr>
        <w:t xml:space="preserve">Previous estimates of </w:t>
      </w:r>
      <w:r w:rsidR="002C5669">
        <w:rPr>
          <w:rFonts w:cs="Arial"/>
          <w:szCs w:val="22"/>
        </w:rPr>
        <w:t xml:space="preserve">dietary </w:t>
      </w:r>
      <w:r>
        <w:rPr>
          <w:rFonts w:cs="Arial"/>
          <w:szCs w:val="22"/>
        </w:rPr>
        <w:t xml:space="preserve">exposure to avilamycin have used consumption data from the </w:t>
      </w:r>
      <w:r w:rsidR="009E0592">
        <w:rPr>
          <w:rFonts w:cs="Arial"/>
          <w:szCs w:val="22"/>
        </w:rPr>
        <w:t xml:space="preserve">1995 </w:t>
      </w:r>
      <w:hyperlink r:id="rId17" w:history="1">
        <w:r w:rsidR="00910D97">
          <w:rPr>
            <w:rStyle w:val="Hyperlink"/>
          </w:rPr>
          <w:t>NNS</w:t>
        </w:r>
      </w:hyperlink>
      <w:r w:rsidR="009E0592">
        <w:rPr>
          <w:rStyle w:val="FootnoteReference"/>
          <w:rFonts w:cs="Arial"/>
          <w:szCs w:val="22"/>
        </w:rPr>
        <w:footnoteReference w:id="3"/>
      </w:r>
      <w:r>
        <w:rPr>
          <w:rFonts w:cs="Arial"/>
          <w:szCs w:val="22"/>
        </w:rPr>
        <w:t>. In the 1995 NNS, p</w:t>
      </w:r>
      <w:r w:rsidRPr="007355E7">
        <w:rPr>
          <w:rFonts w:cs="Arial"/>
          <w:szCs w:val="22"/>
        </w:rPr>
        <w:t xml:space="preserve">ig liver and pig kidney were not reported to have been consumed. Offal consumption reported as </w:t>
      </w:r>
      <w:r w:rsidR="00910D97">
        <w:rPr>
          <w:rFonts w:cs="Arial"/>
          <w:szCs w:val="22"/>
        </w:rPr>
        <w:t>‘</w:t>
      </w:r>
      <w:r w:rsidRPr="007355E7">
        <w:rPr>
          <w:rFonts w:cs="Arial"/>
          <w:szCs w:val="22"/>
        </w:rPr>
        <w:t>not specified as to type</w:t>
      </w:r>
      <w:r w:rsidR="00910D97">
        <w:rPr>
          <w:rFonts w:cs="Arial"/>
          <w:szCs w:val="22"/>
        </w:rPr>
        <w:t>’</w:t>
      </w:r>
      <w:r w:rsidRPr="007355E7">
        <w:rPr>
          <w:rFonts w:cs="Arial"/>
          <w:szCs w:val="22"/>
        </w:rPr>
        <w:t xml:space="preserve"> was assigned to </w:t>
      </w:r>
      <w:r>
        <w:rPr>
          <w:rFonts w:cs="Arial"/>
          <w:szCs w:val="22"/>
        </w:rPr>
        <w:t xml:space="preserve">both </w:t>
      </w:r>
      <w:r w:rsidRPr="007355E7">
        <w:rPr>
          <w:rFonts w:cs="Arial"/>
          <w:szCs w:val="22"/>
        </w:rPr>
        <w:t xml:space="preserve">pig liver and kidney and used </w:t>
      </w:r>
      <w:r>
        <w:rPr>
          <w:rFonts w:cs="Arial"/>
          <w:szCs w:val="22"/>
        </w:rPr>
        <w:t xml:space="preserve">to determine consumption </w:t>
      </w:r>
      <w:r w:rsidRPr="007355E7">
        <w:rPr>
          <w:rFonts w:cs="Arial"/>
          <w:szCs w:val="22"/>
        </w:rPr>
        <w:t xml:space="preserve">in the </w:t>
      </w:r>
      <w:r>
        <w:rPr>
          <w:rFonts w:cs="Arial"/>
          <w:szCs w:val="22"/>
        </w:rPr>
        <w:t>DEA.</w:t>
      </w:r>
    </w:p>
    <w:p w14:paraId="15C75E2B" w14:textId="77777777" w:rsidR="006177A6" w:rsidRDefault="006177A6" w:rsidP="006177A6">
      <w:pPr>
        <w:rPr>
          <w:rFonts w:cs="Arial"/>
          <w:szCs w:val="22"/>
        </w:rPr>
      </w:pPr>
    </w:p>
    <w:p w14:paraId="1C7467F2" w14:textId="338EDECE" w:rsidR="006177A6" w:rsidRDefault="006177A6" w:rsidP="006177A6">
      <w:pPr>
        <w:rPr>
          <w:rFonts w:cs="Arial"/>
          <w:szCs w:val="22"/>
        </w:rPr>
      </w:pPr>
      <w:r>
        <w:rPr>
          <w:rFonts w:cs="Arial"/>
          <w:szCs w:val="22"/>
        </w:rPr>
        <w:t xml:space="preserve">Data from the </w:t>
      </w:r>
      <w:hyperlink r:id="rId18" w:history="1">
        <w:r w:rsidR="00910D97">
          <w:rPr>
            <w:rStyle w:val="Hyperlink"/>
          </w:rPr>
          <w:t>NNPAS</w:t>
        </w:r>
      </w:hyperlink>
      <w:r w:rsidR="009E0592" w:rsidRPr="004B093B">
        <w:rPr>
          <w:rStyle w:val="FootnoteReference"/>
          <w:rFonts w:cs="Arial"/>
          <w:szCs w:val="22"/>
        </w:rPr>
        <w:footnoteReference w:id="4"/>
      </w:r>
      <w:r>
        <w:rPr>
          <w:rFonts w:cs="Arial"/>
          <w:szCs w:val="22"/>
        </w:rPr>
        <w:t xml:space="preserve"> has more recently become available to FSANZ for use in </w:t>
      </w:r>
      <w:r w:rsidR="002C5669">
        <w:rPr>
          <w:rFonts w:cs="Arial"/>
          <w:szCs w:val="22"/>
        </w:rPr>
        <w:t xml:space="preserve">dietary </w:t>
      </w:r>
      <w:r w:rsidR="00CC29C7">
        <w:rPr>
          <w:rFonts w:cs="Arial"/>
          <w:szCs w:val="22"/>
        </w:rPr>
        <w:t>exposure estimates</w:t>
      </w:r>
      <w:r>
        <w:rPr>
          <w:rFonts w:cs="Arial"/>
          <w:szCs w:val="22"/>
        </w:rPr>
        <w:t xml:space="preserve">. </w:t>
      </w:r>
      <w:r w:rsidRPr="007355E7">
        <w:rPr>
          <w:rFonts w:cs="Arial"/>
          <w:szCs w:val="22"/>
        </w:rPr>
        <w:t xml:space="preserve">Pig liver and pig kidney were </w:t>
      </w:r>
      <w:r>
        <w:rPr>
          <w:rFonts w:cs="Arial"/>
          <w:szCs w:val="22"/>
        </w:rPr>
        <w:t xml:space="preserve">also </w:t>
      </w:r>
      <w:r w:rsidRPr="007355E7">
        <w:rPr>
          <w:rFonts w:cs="Arial"/>
          <w:szCs w:val="22"/>
        </w:rPr>
        <w:t xml:space="preserve">not reported to have been consumed </w:t>
      </w:r>
      <w:r>
        <w:rPr>
          <w:rFonts w:cs="Arial"/>
          <w:szCs w:val="22"/>
        </w:rPr>
        <w:t xml:space="preserve">in this survey. Consequently, </w:t>
      </w:r>
      <w:r w:rsidRPr="007355E7">
        <w:rPr>
          <w:rFonts w:cs="Arial"/>
          <w:szCs w:val="22"/>
        </w:rPr>
        <w:t xml:space="preserve">cattle liver and kidney were used to represent pig liver </w:t>
      </w:r>
      <w:r w:rsidR="00541EBB">
        <w:rPr>
          <w:rFonts w:cs="Arial"/>
          <w:szCs w:val="22"/>
        </w:rPr>
        <w:t xml:space="preserve">and kidney </w:t>
      </w:r>
      <w:r w:rsidRPr="007355E7">
        <w:rPr>
          <w:rFonts w:cs="Arial"/>
          <w:szCs w:val="22"/>
        </w:rPr>
        <w:t xml:space="preserve">consumption for the </w:t>
      </w:r>
      <w:r>
        <w:rPr>
          <w:rFonts w:cs="Arial"/>
          <w:szCs w:val="22"/>
        </w:rPr>
        <w:t>DEA</w:t>
      </w:r>
      <w:r w:rsidRPr="007355E7">
        <w:rPr>
          <w:rFonts w:cs="Arial"/>
          <w:szCs w:val="22"/>
        </w:rPr>
        <w:t>.</w:t>
      </w:r>
      <w:r w:rsidR="0005044C">
        <w:rPr>
          <w:rFonts w:cs="Arial"/>
          <w:szCs w:val="22"/>
        </w:rPr>
        <w:t xml:space="preserve"> </w:t>
      </w:r>
      <w:r w:rsidR="00541EBB">
        <w:rPr>
          <w:rFonts w:cs="Arial"/>
          <w:szCs w:val="22"/>
        </w:rPr>
        <w:t>T</w:t>
      </w:r>
      <w:r w:rsidR="0005044C">
        <w:rPr>
          <w:rFonts w:cs="Arial"/>
          <w:szCs w:val="22"/>
        </w:rPr>
        <w:t>he 2</w:t>
      </w:r>
      <w:r w:rsidR="00910D97">
        <w:rPr>
          <w:rFonts w:cs="Arial"/>
          <w:szCs w:val="22"/>
        </w:rPr>
        <w:t>-</w:t>
      </w:r>
      <w:r w:rsidR="0005044C">
        <w:rPr>
          <w:rFonts w:cs="Arial"/>
          <w:szCs w:val="22"/>
        </w:rPr>
        <w:t xml:space="preserve">day average </w:t>
      </w:r>
      <w:r w:rsidR="00541EBB">
        <w:rPr>
          <w:rFonts w:cs="Arial"/>
          <w:szCs w:val="22"/>
        </w:rPr>
        <w:t>consumption for these</w:t>
      </w:r>
      <w:r w:rsidR="0005044C">
        <w:rPr>
          <w:rFonts w:cs="Arial"/>
          <w:szCs w:val="22"/>
        </w:rPr>
        <w:t xml:space="preserve"> was</w:t>
      </w:r>
      <w:r w:rsidR="00CC29C7">
        <w:rPr>
          <w:rFonts w:cs="Arial"/>
          <w:szCs w:val="22"/>
          <w:vertAlign w:val="superscript"/>
        </w:rPr>
        <w:t xml:space="preserve"> </w:t>
      </w:r>
      <w:r w:rsidR="00CC29C7">
        <w:rPr>
          <w:rFonts w:cs="Arial"/>
          <w:szCs w:val="22"/>
        </w:rPr>
        <w:t xml:space="preserve">0.004 </w:t>
      </w:r>
      <w:r w:rsidR="0005044C">
        <w:rPr>
          <w:rFonts w:cs="Arial"/>
          <w:szCs w:val="22"/>
        </w:rPr>
        <w:t xml:space="preserve">and </w:t>
      </w:r>
      <w:r w:rsidR="00CC29C7">
        <w:rPr>
          <w:rFonts w:cs="Arial"/>
          <w:szCs w:val="22"/>
        </w:rPr>
        <w:t>0.00005</w:t>
      </w:r>
      <w:r w:rsidR="0005044C">
        <w:rPr>
          <w:rFonts w:cs="Arial"/>
          <w:szCs w:val="22"/>
        </w:rPr>
        <w:t xml:space="preserve"> g</w:t>
      </w:r>
      <w:r w:rsidR="00541EBB">
        <w:rPr>
          <w:rFonts w:cs="Arial"/>
          <w:szCs w:val="22"/>
        </w:rPr>
        <w:t xml:space="preserve">rams per </w:t>
      </w:r>
      <w:r w:rsidR="0005044C">
        <w:rPr>
          <w:rFonts w:cs="Arial"/>
          <w:szCs w:val="22"/>
        </w:rPr>
        <w:t>k</w:t>
      </w:r>
      <w:r w:rsidR="00541EBB">
        <w:rPr>
          <w:rFonts w:cs="Arial"/>
          <w:szCs w:val="22"/>
        </w:rPr>
        <w:t>ilogram</w:t>
      </w:r>
      <w:r w:rsidR="0005044C">
        <w:rPr>
          <w:rFonts w:cs="Arial"/>
          <w:szCs w:val="22"/>
        </w:rPr>
        <w:t xml:space="preserve"> body weight per day</w:t>
      </w:r>
      <w:r w:rsidR="00541EBB">
        <w:rPr>
          <w:rFonts w:cs="Arial"/>
          <w:szCs w:val="22"/>
        </w:rPr>
        <w:t xml:space="preserve"> (g/kg bw/d) </w:t>
      </w:r>
      <w:r w:rsidR="00865413">
        <w:rPr>
          <w:rFonts w:cs="Arial"/>
          <w:szCs w:val="22"/>
        </w:rPr>
        <w:t>respectively.</w:t>
      </w:r>
    </w:p>
    <w:p w14:paraId="38C47DF7" w14:textId="77777777" w:rsidR="006177A6" w:rsidRDefault="006177A6" w:rsidP="006177A6">
      <w:pPr>
        <w:rPr>
          <w:rFonts w:cs="Arial"/>
          <w:szCs w:val="22"/>
        </w:rPr>
      </w:pPr>
    </w:p>
    <w:p w14:paraId="65213868" w14:textId="78AA3922" w:rsidR="006177A6" w:rsidRPr="007355E7" w:rsidRDefault="006177A6" w:rsidP="006177A6">
      <w:pPr>
        <w:rPr>
          <w:rFonts w:cs="Arial"/>
          <w:szCs w:val="22"/>
        </w:rPr>
      </w:pPr>
      <w:r>
        <w:rPr>
          <w:rFonts w:cs="Arial"/>
          <w:szCs w:val="22"/>
        </w:rPr>
        <w:t>For both the 1995 NNS and 2011</w:t>
      </w:r>
      <w:r w:rsidR="00910D97">
        <w:rPr>
          <w:rFonts w:cs="Arial"/>
          <w:szCs w:val="22"/>
        </w:rPr>
        <w:sym w:font="Symbol" w:char="F02D"/>
      </w:r>
      <w:r>
        <w:rPr>
          <w:rFonts w:cs="Arial"/>
          <w:szCs w:val="22"/>
        </w:rPr>
        <w:t xml:space="preserve">12 NNPAS surveys, consumption included where a food was reported as consumed (for example, fried liver) or where it was consumed as part of a mixed food or recipe (for example, liverwurst). </w:t>
      </w:r>
      <w:r w:rsidRPr="007355E7">
        <w:rPr>
          <w:rFonts w:cs="Arial"/>
          <w:szCs w:val="22"/>
        </w:rPr>
        <w:t xml:space="preserve">For both </w:t>
      </w:r>
      <w:r>
        <w:rPr>
          <w:rFonts w:cs="Arial"/>
          <w:szCs w:val="22"/>
        </w:rPr>
        <w:t>surveys, assumptions about pig offal consumption</w:t>
      </w:r>
      <w:r w:rsidRPr="007355E7">
        <w:rPr>
          <w:rFonts w:cs="Arial"/>
          <w:szCs w:val="22"/>
        </w:rPr>
        <w:t xml:space="preserve"> represent a likely over-estimation of consumption and a ‘worse-case’ scenario for estimating the dietary exposure to avilamycin.</w:t>
      </w:r>
    </w:p>
    <w:p w14:paraId="58A904A7" w14:textId="111213E0" w:rsidR="0036568B" w:rsidRPr="00B47ADF" w:rsidRDefault="00B47ADF" w:rsidP="00910D97">
      <w:pPr>
        <w:pStyle w:val="Heading2"/>
      </w:pPr>
      <w:bookmarkStart w:id="12" w:name="_Toc472332822"/>
      <w:r w:rsidRPr="00B47ADF">
        <w:t>1.</w:t>
      </w:r>
      <w:r w:rsidR="009E0592">
        <w:t>3</w:t>
      </w:r>
      <w:r w:rsidRPr="00B47ADF">
        <w:tab/>
      </w:r>
      <w:r w:rsidR="002C5669">
        <w:t>Dietary Exposure</w:t>
      </w:r>
      <w:r w:rsidR="00C62E1E">
        <w:t xml:space="preserve"> </w:t>
      </w:r>
      <w:r w:rsidR="002C5669">
        <w:t>estimates</w:t>
      </w:r>
      <w:bookmarkEnd w:id="12"/>
    </w:p>
    <w:p w14:paraId="15C7F4A0" w14:textId="7147604E" w:rsidR="0068349D" w:rsidRDefault="0068349D" w:rsidP="000B7271">
      <w:pPr>
        <w:rPr>
          <w:rFonts w:cs="Arial"/>
        </w:rPr>
      </w:pPr>
      <w:r w:rsidRPr="007355E7">
        <w:rPr>
          <w:rFonts w:cs="Arial"/>
          <w:szCs w:val="22"/>
        </w:rPr>
        <w:t xml:space="preserve">Only a chronic estimate of dietary exposure, the </w:t>
      </w:r>
      <w:r w:rsidRPr="007355E7">
        <w:rPr>
          <w:rFonts w:cs="Arial"/>
          <w:color w:val="000000"/>
          <w:szCs w:val="22"/>
          <w:lang w:bidi="en-US"/>
        </w:rPr>
        <w:t xml:space="preserve">National Estimated Daily Intake (NEDI) </w:t>
      </w:r>
      <w:r w:rsidRPr="007355E7">
        <w:rPr>
          <w:rFonts w:cs="Arial"/>
          <w:szCs w:val="22"/>
        </w:rPr>
        <w:t xml:space="preserve">was conducted for avilamycin. </w:t>
      </w:r>
      <w:r w:rsidR="000B7271">
        <w:rPr>
          <w:rFonts w:cs="Arial"/>
        </w:rPr>
        <w:t xml:space="preserve">The </w:t>
      </w:r>
      <w:r w:rsidR="00D53046">
        <w:rPr>
          <w:rFonts w:cs="Arial"/>
        </w:rPr>
        <w:t xml:space="preserve">Australian </w:t>
      </w:r>
      <w:r w:rsidR="000B7271" w:rsidRPr="00732B95">
        <w:rPr>
          <w:rFonts w:cs="Arial"/>
        </w:rPr>
        <w:t>Office of Chemical Safety (OCS)</w:t>
      </w:r>
      <w:r w:rsidR="000B7271">
        <w:rPr>
          <w:rFonts w:cs="Arial"/>
        </w:rPr>
        <w:t xml:space="preserve"> established an </w:t>
      </w:r>
      <w:r w:rsidR="000B7271" w:rsidRPr="00732B95">
        <w:rPr>
          <w:rFonts w:cs="Arial"/>
        </w:rPr>
        <w:t xml:space="preserve">acceptable daily intake (ADI) </w:t>
      </w:r>
      <w:r w:rsidR="000B7271">
        <w:rPr>
          <w:rFonts w:cs="Arial"/>
        </w:rPr>
        <w:t>of</w:t>
      </w:r>
      <w:r w:rsidR="000B7271" w:rsidRPr="00732B95">
        <w:rPr>
          <w:rFonts w:cs="Arial"/>
        </w:rPr>
        <w:t xml:space="preserve"> 1</w:t>
      </w:r>
      <w:r w:rsidR="00D53046">
        <w:rPr>
          <w:rFonts w:cs="Arial"/>
        </w:rPr>
        <w:t> </w:t>
      </w:r>
      <w:r w:rsidR="00DE48F5">
        <w:rPr>
          <w:rFonts w:cs="Arial"/>
        </w:rPr>
        <w:t xml:space="preserve">milligram per kilogram body weight </w:t>
      </w:r>
      <w:r w:rsidR="00D53046">
        <w:rPr>
          <w:rFonts w:cs="Arial"/>
        </w:rPr>
        <w:t xml:space="preserve">per day </w:t>
      </w:r>
      <w:r w:rsidR="00DE48F5">
        <w:rPr>
          <w:rFonts w:cs="Arial"/>
        </w:rPr>
        <w:t>(</w:t>
      </w:r>
      <w:r w:rsidR="000B7271" w:rsidRPr="00732B95">
        <w:rPr>
          <w:rFonts w:cs="Arial"/>
        </w:rPr>
        <w:t>mg/kg bw</w:t>
      </w:r>
      <w:r w:rsidR="00D53046">
        <w:rPr>
          <w:rFonts w:cs="Arial"/>
        </w:rPr>
        <w:t>/day</w:t>
      </w:r>
      <w:r w:rsidR="00DE48F5">
        <w:rPr>
          <w:rFonts w:cs="Arial"/>
        </w:rPr>
        <w:t>)</w:t>
      </w:r>
      <w:r w:rsidR="000B7271">
        <w:rPr>
          <w:rFonts w:cs="Arial"/>
        </w:rPr>
        <w:t xml:space="preserve"> (1997)</w:t>
      </w:r>
      <w:r w:rsidR="001C0D98">
        <w:rPr>
          <w:rFonts w:cs="Arial"/>
        </w:rPr>
        <w:t xml:space="preserve"> and </w:t>
      </w:r>
      <w:r>
        <w:rPr>
          <w:rFonts w:cs="Arial"/>
        </w:rPr>
        <w:t>is</w:t>
      </w:r>
      <w:r w:rsidR="00D53046">
        <w:rPr>
          <w:rFonts w:cs="Arial"/>
        </w:rPr>
        <w:t xml:space="preserve"> the relevant </w:t>
      </w:r>
      <w:r w:rsidR="001C76B1" w:rsidRPr="00732B95">
        <w:rPr>
          <w:rFonts w:cs="Arial"/>
        </w:rPr>
        <w:t>HBGV</w:t>
      </w:r>
      <w:r>
        <w:rPr>
          <w:rFonts w:cs="Arial"/>
        </w:rPr>
        <w:t xml:space="preserve"> </w:t>
      </w:r>
      <w:r w:rsidR="00D53046">
        <w:rPr>
          <w:rFonts w:cs="Arial"/>
        </w:rPr>
        <w:t>to be used in th</w:t>
      </w:r>
      <w:r>
        <w:rPr>
          <w:rFonts w:cs="Arial"/>
        </w:rPr>
        <w:t>e NEDI.</w:t>
      </w:r>
    </w:p>
    <w:p w14:paraId="30BCD64C" w14:textId="77777777" w:rsidR="0068349D" w:rsidRDefault="0068349D" w:rsidP="000B7271">
      <w:pPr>
        <w:rPr>
          <w:rFonts w:cs="Arial"/>
        </w:rPr>
      </w:pPr>
    </w:p>
    <w:p w14:paraId="16A72D68" w14:textId="24B7F35E" w:rsidR="0068349D" w:rsidRDefault="0068349D" w:rsidP="000B7271">
      <w:pPr>
        <w:rPr>
          <w:rFonts w:cs="Arial"/>
          <w:szCs w:val="22"/>
        </w:rPr>
      </w:pPr>
      <w:r w:rsidRPr="007355E7">
        <w:rPr>
          <w:rFonts w:cs="Arial"/>
          <w:szCs w:val="22"/>
        </w:rPr>
        <w:t xml:space="preserve">A National Estimated Short Term Intake (NESTI) </w:t>
      </w:r>
      <w:r>
        <w:rPr>
          <w:rFonts w:cs="Arial"/>
          <w:szCs w:val="22"/>
        </w:rPr>
        <w:t>assessment was</w:t>
      </w:r>
      <w:r w:rsidRPr="007355E7">
        <w:rPr>
          <w:rFonts w:cs="Arial"/>
          <w:szCs w:val="22"/>
        </w:rPr>
        <w:t xml:space="preserve"> not required </w:t>
      </w:r>
      <w:r>
        <w:rPr>
          <w:rFonts w:cs="Arial"/>
          <w:szCs w:val="22"/>
        </w:rPr>
        <w:t xml:space="preserve">for avilamycin </w:t>
      </w:r>
      <w:r w:rsidRPr="007355E7">
        <w:rPr>
          <w:rFonts w:cs="Arial"/>
          <w:szCs w:val="22"/>
        </w:rPr>
        <w:t>as no relevant acute</w:t>
      </w:r>
      <w:r w:rsidR="004B093B">
        <w:rPr>
          <w:rFonts w:cs="Arial"/>
          <w:szCs w:val="22"/>
        </w:rPr>
        <w:t xml:space="preserve"> HBGV</w:t>
      </w:r>
      <w:r w:rsidRPr="007355E7">
        <w:rPr>
          <w:rFonts w:cs="Arial"/>
          <w:szCs w:val="22"/>
        </w:rPr>
        <w:t xml:space="preserve"> has been established by the OCS</w:t>
      </w:r>
      <w:r w:rsidR="00716B45" w:rsidRPr="00114FBB">
        <w:rPr>
          <w:rFonts w:cs="Arial"/>
          <w:szCs w:val="22"/>
        </w:rPr>
        <w:t xml:space="preserve"> or the Joint FAO/WHO Expert Committee on Food Additives </w:t>
      </w:r>
      <w:r w:rsidR="00114FBB" w:rsidRPr="00114FBB">
        <w:rPr>
          <w:rFonts w:cs="Arial"/>
          <w:szCs w:val="22"/>
        </w:rPr>
        <w:t>(</w:t>
      </w:r>
      <w:r w:rsidR="00716B45" w:rsidRPr="00114FBB">
        <w:rPr>
          <w:rFonts w:cs="Arial"/>
          <w:szCs w:val="22"/>
        </w:rPr>
        <w:t>JECFA</w:t>
      </w:r>
      <w:r w:rsidR="00114FBB" w:rsidRPr="00114FBB">
        <w:rPr>
          <w:rFonts w:cs="Arial"/>
          <w:szCs w:val="22"/>
        </w:rPr>
        <w:t>)</w:t>
      </w:r>
      <w:r w:rsidR="00C62E1E">
        <w:rPr>
          <w:rFonts w:cs="Arial"/>
          <w:szCs w:val="22"/>
        </w:rPr>
        <w:t>.</w:t>
      </w:r>
    </w:p>
    <w:p w14:paraId="4C1C0455" w14:textId="77777777" w:rsidR="00125D45" w:rsidRDefault="00125D45" w:rsidP="000B7271">
      <w:pPr>
        <w:rPr>
          <w:rFonts w:cs="Arial"/>
        </w:rPr>
      </w:pPr>
    </w:p>
    <w:p w14:paraId="6FCE1862" w14:textId="18AB010A" w:rsidR="00595763" w:rsidRDefault="00595763" w:rsidP="00595763">
      <w:pPr>
        <w:rPr>
          <w:rFonts w:cs="Arial"/>
          <w:szCs w:val="22"/>
        </w:rPr>
      </w:pPr>
      <w:r w:rsidRPr="007355E7">
        <w:rPr>
          <w:rFonts w:cs="Arial"/>
          <w:szCs w:val="22"/>
        </w:rPr>
        <w:t xml:space="preserve">The </w:t>
      </w:r>
      <w:r>
        <w:rPr>
          <w:rFonts w:cs="Arial"/>
          <w:szCs w:val="22"/>
        </w:rPr>
        <w:t>NEDI</w:t>
      </w:r>
      <w:r w:rsidRPr="007355E7">
        <w:rPr>
          <w:rFonts w:cs="Arial"/>
          <w:szCs w:val="22"/>
        </w:rPr>
        <w:t xml:space="preserve"> </w:t>
      </w:r>
      <w:r>
        <w:rPr>
          <w:rFonts w:cs="Arial"/>
          <w:szCs w:val="22"/>
        </w:rPr>
        <w:t>was calculated</w:t>
      </w:r>
      <w:r w:rsidRPr="007355E7">
        <w:rPr>
          <w:rFonts w:cs="Arial"/>
          <w:szCs w:val="22"/>
        </w:rPr>
        <w:t xml:space="preserve"> encompassing all current </w:t>
      </w:r>
      <w:r w:rsidR="007078EF">
        <w:rPr>
          <w:rFonts w:cs="Arial"/>
          <w:szCs w:val="22"/>
        </w:rPr>
        <w:t xml:space="preserve">(poultry) </w:t>
      </w:r>
      <w:r w:rsidRPr="007355E7">
        <w:rPr>
          <w:rFonts w:cs="Arial"/>
          <w:szCs w:val="22"/>
        </w:rPr>
        <w:t>permissions for avilamycin in Schedule 20 of the Code</w:t>
      </w:r>
      <w:r>
        <w:rPr>
          <w:rFonts w:cs="Arial"/>
          <w:szCs w:val="22"/>
        </w:rPr>
        <w:t xml:space="preserve"> and </w:t>
      </w:r>
      <w:r w:rsidRPr="007355E7">
        <w:rPr>
          <w:rFonts w:cs="Arial"/>
          <w:szCs w:val="22"/>
        </w:rPr>
        <w:t xml:space="preserve">proposed commodity </w:t>
      </w:r>
      <w:r>
        <w:rPr>
          <w:rFonts w:cs="Arial"/>
          <w:szCs w:val="22"/>
        </w:rPr>
        <w:t>MRLs in this</w:t>
      </w:r>
      <w:r w:rsidRPr="007355E7">
        <w:rPr>
          <w:rFonts w:cs="Arial"/>
          <w:szCs w:val="22"/>
        </w:rPr>
        <w:t xml:space="preserve"> Application and </w:t>
      </w:r>
      <w:r>
        <w:rPr>
          <w:rFonts w:cs="Arial"/>
          <w:szCs w:val="22"/>
        </w:rPr>
        <w:t xml:space="preserve">using </w:t>
      </w:r>
      <w:r w:rsidRPr="007355E7">
        <w:rPr>
          <w:rFonts w:cs="Arial"/>
          <w:szCs w:val="22"/>
        </w:rPr>
        <w:t xml:space="preserve">the mean dietary consumption data derived from the relevant </w:t>
      </w:r>
      <w:r w:rsidR="00C62E1E">
        <w:rPr>
          <w:rFonts w:cs="Arial"/>
          <w:szCs w:val="22"/>
        </w:rPr>
        <w:t>NNS</w:t>
      </w:r>
      <w:r w:rsidRPr="004B093B">
        <w:rPr>
          <w:rFonts w:cs="Arial"/>
          <w:szCs w:val="22"/>
        </w:rPr>
        <w:t>.</w:t>
      </w:r>
    </w:p>
    <w:p w14:paraId="59A37BB8" w14:textId="77777777" w:rsidR="00595763" w:rsidRDefault="00595763" w:rsidP="000B7271">
      <w:pPr>
        <w:rPr>
          <w:rFonts w:cs="Arial"/>
        </w:rPr>
      </w:pPr>
    </w:p>
    <w:p w14:paraId="6F660F2A" w14:textId="60617A8C" w:rsidR="001C76B1" w:rsidRPr="00732B95" w:rsidRDefault="00DE48F5" w:rsidP="000B7271">
      <w:pPr>
        <w:rPr>
          <w:rFonts w:cs="Arial"/>
        </w:rPr>
      </w:pPr>
      <w:r>
        <w:rPr>
          <w:rFonts w:cs="Arial"/>
        </w:rPr>
        <w:t>The dietary exposure estimate as a percentage of the ADI is provided in Table 1.</w:t>
      </w:r>
    </w:p>
    <w:p w14:paraId="4A6CE8C6" w14:textId="5A8254EA" w:rsidR="00DE48F5" w:rsidRDefault="00DE48F5" w:rsidP="00DE48F5">
      <w:pPr>
        <w:pStyle w:val="FSTableHeading"/>
        <w:jc w:val="left"/>
      </w:pPr>
    </w:p>
    <w:p w14:paraId="0A1816D2" w14:textId="77777777" w:rsidR="00E74C7D" w:rsidRDefault="00E74C7D" w:rsidP="00910D97">
      <w:pPr>
        <w:rPr>
          <w:b/>
        </w:rPr>
      </w:pPr>
      <w:r>
        <w:rPr>
          <w:b/>
        </w:rPr>
        <w:br w:type="page"/>
      </w:r>
    </w:p>
    <w:p w14:paraId="1139813E" w14:textId="5E65FFED" w:rsidR="00DE48F5" w:rsidRPr="00910D97" w:rsidRDefault="00DE48F5" w:rsidP="00910D97">
      <w:pPr>
        <w:rPr>
          <w:b/>
        </w:rPr>
      </w:pPr>
      <w:r w:rsidRPr="00910D97">
        <w:rPr>
          <w:b/>
        </w:rPr>
        <w:lastRenderedPageBreak/>
        <w:t>Table 1:</w:t>
      </w:r>
      <w:r w:rsidR="00910D97">
        <w:rPr>
          <w:b/>
        </w:rPr>
        <w:t xml:space="preserve"> </w:t>
      </w:r>
      <w:r w:rsidRPr="00910D97">
        <w:rPr>
          <w:b/>
        </w:rPr>
        <w:t>Dietary exposure estimate for proposed MRLs</w:t>
      </w:r>
      <w:r w:rsidR="00D53046" w:rsidRPr="00910D97">
        <w:rPr>
          <w:b/>
        </w:rPr>
        <w:t xml:space="preserve"> for Avilamycin</w:t>
      </w:r>
    </w:p>
    <w:p w14:paraId="1D3AAB8C" w14:textId="77777777" w:rsidR="00910D97" w:rsidRPr="00910D97" w:rsidRDefault="00910D97" w:rsidP="00910D97">
      <w:pPr>
        <w:rPr>
          <w:b/>
        </w:rPr>
      </w:pPr>
    </w:p>
    <w:tbl>
      <w:tblPr>
        <w:tblStyle w:val="LightList-Accent1"/>
        <w:tblW w:w="0" w:type="auto"/>
        <w:tblLayout w:type="fixed"/>
        <w:tblLook w:val="04A0" w:firstRow="1" w:lastRow="0" w:firstColumn="1" w:lastColumn="0" w:noHBand="0" w:noVBand="1"/>
        <w:tblCaption w:val=" Table 1: Dietary exposure estimate for proposed MRLs for Avilamycin"/>
        <w:tblDescription w:val="Provides information on pig commodities and diestary exposure estimates using the 1995 NNS and 2011-12 NPAS"/>
      </w:tblPr>
      <w:tblGrid>
        <w:gridCol w:w="1316"/>
        <w:gridCol w:w="820"/>
        <w:gridCol w:w="1156"/>
        <w:gridCol w:w="941"/>
        <w:gridCol w:w="1120"/>
        <w:gridCol w:w="1701"/>
        <w:gridCol w:w="1134"/>
        <w:gridCol w:w="1098"/>
      </w:tblGrid>
      <w:tr w:rsidR="007D70F6" w:rsidRPr="00B244DD" w14:paraId="6F660F31" w14:textId="77777777" w:rsidTr="007D70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6" w:type="dxa"/>
          </w:tcPr>
          <w:p w14:paraId="6F660F2D" w14:textId="0C48334D" w:rsidR="009572CA" w:rsidRPr="00376799" w:rsidRDefault="009572CA" w:rsidP="00376799">
            <w:pPr>
              <w:widowControl w:val="0"/>
              <w:rPr>
                <w:rFonts w:cs="Arial"/>
                <w:sz w:val="20"/>
                <w:szCs w:val="20"/>
                <w:lang w:eastAsia="en-AU" w:bidi="en-US"/>
              </w:rPr>
            </w:pPr>
            <w:r w:rsidRPr="00376799">
              <w:rPr>
                <w:rFonts w:cs="Arial"/>
                <w:sz w:val="20"/>
                <w:szCs w:val="20"/>
                <w:lang w:eastAsia="en-AU" w:bidi="en-US"/>
              </w:rPr>
              <w:t>Commodity</w:t>
            </w:r>
          </w:p>
        </w:tc>
        <w:tc>
          <w:tcPr>
            <w:tcW w:w="820" w:type="dxa"/>
          </w:tcPr>
          <w:p w14:paraId="6301508C" w14:textId="6C246DDF" w:rsidR="009572CA" w:rsidRPr="00376799" w:rsidRDefault="009572CA" w:rsidP="00376799">
            <w:pPr>
              <w:widowControl w:val="0"/>
              <w:jc w:val="center"/>
              <w:cnfStyle w:val="100000000000" w:firstRow="1" w:lastRow="0" w:firstColumn="0" w:lastColumn="0" w:oddVBand="0" w:evenVBand="0" w:oddHBand="0" w:evenHBand="0" w:firstRowFirstColumn="0" w:firstRowLastColumn="0" w:lastRowFirstColumn="0" w:lastRowLastColumn="0"/>
              <w:rPr>
                <w:rFonts w:cs="Arial"/>
                <w:sz w:val="20"/>
                <w:szCs w:val="20"/>
                <w:lang w:eastAsia="en-AU" w:bidi="en-US"/>
              </w:rPr>
            </w:pPr>
            <w:r>
              <w:rPr>
                <w:rFonts w:cs="Arial"/>
                <w:sz w:val="20"/>
                <w:szCs w:val="20"/>
                <w:lang w:eastAsia="en-AU" w:bidi="en-US"/>
              </w:rPr>
              <w:t>Pre- A1133 MRL</w:t>
            </w:r>
          </w:p>
        </w:tc>
        <w:tc>
          <w:tcPr>
            <w:tcW w:w="1156" w:type="dxa"/>
          </w:tcPr>
          <w:p w14:paraId="6F660F2E" w14:textId="250138E2" w:rsidR="009572CA" w:rsidRPr="00376799" w:rsidRDefault="009572CA" w:rsidP="007D70F6">
            <w:pPr>
              <w:widowControl w:val="0"/>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eastAsia="en-AU" w:bidi="en-US"/>
              </w:rPr>
            </w:pPr>
            <w:r>
              <w:rPr>
                <w:rFonts w:cs="Arial"/>
                <w:sz w:val="20"/>
                <w:szCs w:val="20"/>
                <w:lang w:eastAsia="en-AU" w:bidi="en-US"/>
              </w:rPr>
              <w:t>Proposed Post- A1133</w:t>
            </w:r>
            <w:r w:rsidR="007D70F6">
              <w:rPr>
                <w:rFonts w:cs="Arial"/>
                <w:sz w:val="20"/>
                <w:szCs w:val="20"/>
                <w:lang w:eastAsia="en-AU" w:bidi="en-US"/>
              </w:rPr>
              <w:t xml:space="preserve"> </w:t>
            </w:r>
            <w:r w:rsidRPr="00376799">
              <w:rPr>
                <w:rFonts w:cs="Arial"/>
                <w:sz w:val="20"/>
                <w:szCs w:val="20"/>
                <w:lang w:eastAsia="en-AU" w:bidi="en-US"/>
              </w:rPr>
              <w:t>MRL (mg/kg)</w:t>
            </w:r>
          </w:p>
        </w:tc>
        <w:tc>
          <w:tcPr>
            <w:tcW w:w="941" w:type="dxa"/>
          </w:tcPr>
          <w:p w14:paraId="6DDA3912" w14:textId="249B2F14" w:rsidR="009572CA" w:rsidRPr="00376799" w:rsidRDefault="009572CA" w:rsidP="00376799">
            <w:pPr>
              <w:widowControl w:val="0"/>
              <w:jc w:val="center"/>
              <w:cnfStyle w:val="100000000000" w:firstRow="1" w:lastRow="0" w:firstColumn="0" w:lastColumn="0" w:oddVBand="0" w:evenVBand="0" w:oddHBand="0" w:evenHBand="0" w:firstRowFirstColumn="0" w:firstRowLastColumn="0" w:lastRowFirstColumn="0" w:lastRowLastColumn="0"/>
              <w:rPr>
                <w:rFonts w:cs="Arial"/>
                <w:sz w:val="20"/>
                <w:szCs w:val="20"/>
                <w:lang w:eastAsia="en-AU" w:bidi="en-US"/>
              </w:rPr>
            </w:pPr>
            <w:r>
              <w:rPr>
                <w:rFonts w:cs="Arial"/>
                <w:sz w:val="20"/>
                <w:szCs w:val="20"/>
                <w:lang w:eastAsia="en-AU" w:bidi="en-US"/>
              </w:rPr>
              <w:t>MRL change in the Code</w:t>
            </w:r>
          </w:p>
        </w:tc>
        <w:tc>
          <w:tcPr>
            <w:tcW w:w="1120" w:type="dxa"/>
          </w:tcPr>
          <w:p w14:paraId="0A7E458B" w14:textId="1E807FB1" w:rsidR="009572CA" w:rsidRPr="00376799" w:rsidRDefault="009572CA" w:rsidP="00376799">
            <w:pPr>
              <w:widowControl w:val="0"/>
              <w:jc w:val="center"/>
              <w:cnfStyle w:val="100000000000" w:firstRow="1" w:lastRow="0" w:firstColumn="0" w:lastColumn="0" w:oddVBand="0" w:evenVBand="0" w:oddHBand="0" w:evenHBand="0" w:firstRowFirstColumn="0" w:firstRowLastColumn="0" w:lastRowFirstColumn="0" w:lastRowLastColumn="0"/>
              <w:rPr>
                <w:rFonts w:cs="Arial"/>
                <w:sz w:val="20"/>
                <w:szCs w:val="20"/>
                <w:lang w:eastAsia="en-AU" w:bidi="en-US"/>
              </w:rPr>
            </w:pPr>
            <w:r>
              <w:rPr>
                <w:rFonts w:cs="Arial"/>
                <w:sz w:val="20"/>
                <w:szCs w:val="20"/>
                <w:lang w:eastAsia="en-AU" w:bidi="en-US"/>
              </w:rPr>
              <w:t>Origin of requested MRL</w:t>
            </w:r>
          </w:p>
        </w:tc>
        <w:tc>
          <w:tcPr>
            <w:tcW w:w="1701" w:type="dxa"/>
          </w:tcPr>
          <w:p w14:paraId="19B73E7F" w14:textId="21874CBF" w:rsidR="009572CA" w:rsidRDefault="009454DD" w:rsidP="009572CA">
            <w:pPr>
              <w:widowControl w:val="0"/>
              <w:jc w:val="center"/>
              <w:cnfStyle w:val="100000000000" w:firstRow="1" w:lastRow="0" w:firstColumn="0" w:lastColumn="0" w:oddVBand="0" w:evenVBand="0" w:oddHBand="0" w:evenHBand="0" w:firstRowFirstColumn="0" w:firstRowLastColumn="0" w:lastRowFirstColumn="0" w:lastRowLastColumn="0"/>
              <w:rPr>
                <w:rFonts w:cs="Arial"/>
                <w:sz w:val="20"/>
                <w:szCs w:val="20"/>
                <w:lang w:eastAsia="en-AU" w:bidi="en-US"/>
              </w:rPr>
            </w:pPr>
            <w:r>
              <w:rPr>
                <w:rFonts w:cs="Arial"/>
                <w:sz w:val="20"/>
                <w:szCs w:val="20"/>
                <w:lang w:eastAsia="en-AU" w:bidi="en-US"/>
              </w:rPr>
              <w:t>2011-</w:t>
            </w:r>
            <w:r w:rsidR="0081199E">
              <w:rPr>
                <w:rFonts w:cs="Arial"/>
                <w:sz w:val="20"/>
                <w:szCs w:val="20"/>
                <w:lang w:eastAsia="en-AU" w:bidi="en-US"/>
              </w:rPr>
              <w:t xml:space="preserve"> 12</w:t>
            </w:r>
            <w:r>
              <w:rPr>
                <w:rFonts w:cs="Arial"/>
                <w:sz w:val="20"/>
                <w:szCs w:val="20"/>
                <w:lang w:eastAsia="en-AU" w:bidi="en-US"/>
              </w:rPr>
              <w:t xml:space="preserve"> </w:t>
            </w:r>
            <w:r w:rsidR="0081199E">
              <w:rPr>
                <w:rFonts w:cs="Arial"/>
                <w:sz w:val="20"/>
                <w:szCs w:val="20"/>
                <w:lang w:eastAsia="en-AU" w:bidi="en-US"/>
              </w:rPr>
              <w:t>c</w:t>
            </w:r>
            <w:r w:rsidR="009572CA" w:rsidRPr="009572CA">
              <w:rPr>
                <w:rFonts w:cs="Arial"/>
                <w:sz w:val="20"/>
                <w:szCs w:val="20"/>
                <w:lang w:eastAsia="en-AU" w:bidi="en-US"/>
              </w:rPr>
              <w:t xml:space="preserve">onsumption </w:t>
            </w:r>
            <w:r w:rsidR="009572CA">
              <w:rPr>
                <w:rFonts w:cs="Arial"/>
                <w:sz w:val="20"/>
                <w:szCs w:val="20"/>
                <w:lang w:eastAsia="en-AU" w:bidi="en-US"/>
              </w:rPr>
              <w:t>a</w:t>
            </w:r>
            <w:r w:rsidR="009572CA" w:rsidRPr="009572CA">
              <w:rPr>
                <w:rFonts w:cs="Arial"/>
                <w:sz w:val="20"/>
                <w:szCs w:val="20"/>
                <w:lang w:eastAsia="en-AU" w:bidi="en-US"/>
              </w:rPr>
              <w:t>mount</w:t>
            </w:r>
          </w:p>
          <w:p w14:paraId="4488DB66" w14:textId="220BD192" w:rsidR="009572CA" w:rsidRPr="00376799" w:rsidRDefault="00541EBB" w:rsidP="00541EBB">
            <w:pPr>
              <w:widowControl w:val="0"/>
              <w:jc w:val="center"/>
              <w:cnfStyle w:val="100000000000" w:firstRow="1" w:lastRow="0" w:firstColumn="0" w:lastColumn="0" w:oddVBand="0" w:evenVBand="0" w:oddHBand="0" w:evenHBand="0" w:firstRowFirstColumn="0" w:firstRowLastColumn="0" w:lastRowFirstColumn="0" w:lastRowLastColumn="0"/>
              <w:rPr>
                <w:rFonts w:cs="Arial"/>
                <w:sz w:val="20"/>
                <w:szCs w:val="20"/>
                <w:lang w:eastAsia="en-AU" w:bidi="en-US"/>
              </w:rPr>
            </w:pPr>
            <w:r>
              <w:rPr>
                <w:rFonts w:cs="Arial"/>
                <w:szCs w:val="22"/>
              </w:rPr>
              <w:t>(g/kg bw/d)</w:t>
            </w:r>
          </w:p>
        </w:tc>
        <w:tc>
          <w:tcPr>
            <w:tcW w:w="1134" w:type="dxa"/>
          </w:tcPr>
          <w:p w14:paraId="6F660F2F" w14:textId="683B8986" w:rsidR="009572CA" w:rsidRPr="00376799" w:rsidRDefault="007D70F6" w:rsidP="007D70F6">
            <w:pPr>
              <w:widowControl w:val="0"/>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eastAsia="en-AU" w:bidi="en-US"/>
              </w:rPr>
            </w:pPr>
            <w:r>
              <w:rPr>
                <w:rFonts w:cs="Arial"/>
                <w:sz w:val="20"/>
                <w:szCs w:val="20"/>
                <w:lang w:eastAsia="en-AU" w:bidi="en-US"/>
              </w:rPr>
              <w:t>NEDI</w:t>
            </w:r>
            <w:r w:rsidR="009572CA" w:rsidRPr="00376799">
              <w:rPr>
                <w:rFonts w:cs="Arial"/>
                <w:sz w:val="20"/>
                <w:szCs w:val="20"/>
                <w:lang w:eastAsia="en-AU" w:bidi="en-US"/>
              </w:rPr>
              <w:t>* 1995 NNS</w:t>
            </w:r>
            <w:r w:rsidR="009572CA" w:rsidRPr="00376799">
              <w:rPr>
                <w:rFonts w:cs="Arial"/>
                <w:sz w:val="20"/>
                <w:szCs w:val="20"/>
                <w:vertAlign w:val="superscript"/>
                <w:lang w:bidi="en-US"/>
              </w:rPr>
              <w:t>†</w:t>
            </w:r>
            <w:r w:rsidR="009572CA" w:rsidRPr="00376799">
              <w:rPr>
                <w:rFonts w:cs="Arial"/>
                <w:sz w:val="20"/>
                <w:szCs w:val="20"/>
                <w:lang w:eastAsia="en-AU" w:bidi="en-US"/>
              </w:rPr>
              <w:t xml:space="preserve"> </w:t>
            </w:r>
          </w:p>
        </w:tc>
        <w:tc>
          <w:tcPr>
            <w:tcW w:w="1098" w:type="dxa"/>
          </w:tcPr>
          <w:p w14:paraId="6F660F30" w14:textId="4F17C86C" w:rsidR="009572CA" w:rsidRPr="00376799" w:rsidRDefault="007D70F6" w:rsidP="007D70F6">
            <w:pPr>
              <w:widowControl w:val="0"/>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eastAsia="en-AU" w:bidi="en-US"/>
              </w:rPr>
            </w:pPr>
            <w:r>
              <w:rPr>
                <w:rFonts w:cs="Arial"/>
                <w:sz w:val="20"/>
                <w:szCs w:val="20"/>
                <w:lang w:eastAsia="en-AU" w:bidi="en-US"/>
              </w:rPr>
              <w:t>NEDI</w:t>
            </w:r>
            <w:r w:rsidR="009572CA" w:rsidRPr="00376799">
              <w:rPr>
                <w:rFonts w:cs="Arial"/>
                <w:sz w:val="20"/>
                <w:szCs w:val="20"/>
                <w:lang w:eastAsia="en-AU" w:bidi="en-US"/>
              </w:rPr>
              <w:t>* 2011-12 NNPAS</w:t>
            </w:r>
            <w:r w:rsidR="009572CA" w:rsidRPr="00376799">
              <w:rPr>
                <w:rFonts w:cs="Arial"/>
                <w:sz w:val="20"/>
                <w:szCs w:val="20"/>
                <w:vertAlign w:val="superscript"/>
                <w:lang w:bidi="en-US"/>
              </w:rPr>
              <w:t>††</w:t>
            </w:r>
            <w:r w:rsidR="009572CA" w:rsidRPr="00376799">
              <w:rPr>
                <w:rFonts w:cs="Arial"/>
                <w:sz w:val="20"/>
                <w:szCs w:val="20"/>
                <w:lang w:eastAsia="en-AU" w:bidi="en-US"/>
              </w:rPr>
              <w:t xml:space="preserve"> </w:t>
            </w:r>
          </w:p>
        </w:tc>
      </w:tr>
      <w:tr w:rsidR="009572CA" w:rsidRPr="00B244DD" w14:paraId="6F660F3E" w14:textId="77777777" w:rsidTr="007D70F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6" w:type="dxa"/>
          </w:tcPr>
          <w:p w14:paraId="6F660F32" w14:textId="4F104076" w:rsidR="009572CA" w:rsidRPr="00376799" w:rsidRDefault="009572CA" w:rsidP="00E74C7D">
            <w:pPr>
              <w:spacing w:before="60" w:after="60"/>
              <w:rPr>
                <w:rFonts w:cs="Arial"/>
                <w:color w:val="000000"/>
                <w:sz w:val="20"/>
                <w:szCs w:val="20"/>
              </w:rPr>
            </w:pPr>
            <w:r w:rsidRPr="00376799">
              <w:rPr>
                <w:rFonts w:cs="Arial"/>
                <w:color w:val="000000"/>
                <w:sz w:val="20"/>
                <w:szCs w:val="20"/>
              </w:rPr>
              <w:t>Pig meat</w:t>
            </w:r>
          </w:p>
          <w:p w14:paraId="6F660F33" w14:textId="410DA753" w:rsidR="009572CA" w:rsidRPr="00376799" w:rsidRDefault="009572CA" w:rsidP="00E74C7D">
            <w:pPr>
              <w:spacing w:before="60" w:after="60"/>
              <w:rPr>
                <w:rFonts w:cs="Arial"/>
                <w:color w:val="000000"/>
                <w:sz w:val="20"/>
                <w:szCs w:val="20"/>
              </w:rPr>
            </w:pPr>
            <w:r w:rsidRPr="00376799">
              <w:rPr>
                <w:rFonts w:cs="Arial"/>
                <w:color w:val="000000"/>
                <w:sz w:val="20"/>
                <w:szCs w:val="20"/>
              </w:rPr>
              <w:t>Pig fat/skin</w:t>
            </w:r>
          </w:p>
          <w:p w14:paraId="6F660F34" w14:textId="6DFD943F" w:rsidR="009572CA" w:rsidRPr="00376799" w:rsidRDefault="009572CA" w:rsidP="00E74C7D">
            <w:pPr>
              <w:spacing w:before="60" w:after="60"/>
              <w:rPr>
                <w:rFonts w:cs="Arial"/>
                <w:color w:val="000000"/>
                <w:sz w:val="20"/>
                <w:szCs w:val="20"/>
              </w:rPr>
            </w:pPr>
            <w:r w:rsidRPr="00376799">
              <w:rPr>
                <w:rFonts w:cs="Arial"/>
                <w:color w:val="000000"/>
                <w:sz w:val="20"/>
                <w:szCs w:val="20"/>
              </w:rPr>
              <w:t>Pig kidney</w:t>
            </w:r>
          </w:p>
          <w:p w14:paraId="6F660F35" w14:textId="7EAAFA94" w:rsidR="009572CA" w:rsidRPr="00376799" w:rsidRDefault="009572CA" w:rsidP="00E74C7D">
            <w:pPr>
              <w:spacing w:before="60" w:after="60"/>
              <w:rPr>
                <w:rFonts w:cs="Arial"/>
                <w:color w:val="000000"/>
                <w:sz w:val="20"/>
                <w:szCs w:val="20"/>
              </w:rPr>
            </w:pPr>
            <w:r w:rsidRPr="00376799">
              <w:rPr>
                <w:rFonts w:cs="Arial"/>
                <w:color w:val="000000"/>
                <w:sz w:val="20"/>
                <w:szCs w:val="20"/>
              </w:rPr>
              <w:t>Pig liver</w:t>
            </w:r>
          </w:p>
        </w:tc>
        <w:tc>
          <w:tcPr>
            <w:tcW w:w="820" w:type="dxa"/>
          </w:tcPr>
          <w:p w14:paraId="4E593BFC" w14:textId="77777777"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en-AU" w:bidi="en-US"/>
              </w:rPr>
            </w:pPr>
            <w:r>
              <w:rPr>
                <w:rFonts w:cs="Arial"/>
                <w:sz w:val="20"/>
                <w:szCs w:val="20"/>
                <w:lang w:eastAsia="en-AU" w:bidi="en-US"/>
              </w:rPr>
              <w:t>n/a</w:t>
            </w:r>
          </w:p>
          <w:p w14:paraId="3F02BD57" w14:textId="77777777"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en-AU" w:bidi="en-US"/>
              </w:rPr>
            </w:pPr>
            <w:r>
              <w:rPr>
                <w:rFonts w:cs="Arial"/>
                <w:sz w:val="20"/>
                <w:szCs w:val="20"/>
                <w:lang w:eastAsia="en-AU" w:bidi="en-US"/>
              </w:rPr>
              <w:t>n/a</w:t>
            </w:r>
          </w:p>
          <w:p w14:paraId="01F2FB37" w14:textId="77777777"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en-AU" w:bidi="en-US"/>
              </w:rPr>
            </w:pPr>
            <w:r>
              <w:rPr>
                <w:rFonts w:cs="Arial"/>
                <w:sz w:val="20"/>
                <w:szCs w:val="20"/>
                <w:lang w:eastAsia="en-AU" w:bidi="en-US"/>
              </w:rPr>
              <w:t>n/a</w:t>
            </w:r>
          </w:p>
          <w:p w14:paraId="56FB65A5" w14:textId="50F8E45D"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en-AU" w:bidi="en-US"/>
              </w:rPr>
            </w:pPr>
            <w:r>
              <w:rPr>
                <w:rFonts w:cs="Arial"/>
                <w:sz w:val="20"/>
                <w:szCs w:val="20"/>
                <w:lang w:eastAsia="en-AU" w:bidi="en-US"/>
              </w:rPr>
              <w:t>n/a</w:t>
            </w:r>
          </w:p>
        </w:tc>
        <w:tc>
          <w:tcPr>
            <w:tcW w:w="1156" w:type="dxa"/>
          </w:tcPr>
          <w:p w14:paraId="6F660F36" w14:textId="065E269F"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en-AU" w:bidi="en-US"/>
              </w:rPr>
            </w:pPr>
            <w:r>
              <w:rPr>
                <w:rFonts w:cs="Arial"/>
                <w:sz w:val="20"/>
                <w:szCs w:val="20"/>
                <w:lang w:eastAsia="en-AU" w:bidi="en-US"/>
              </w:rPr>
              <w:t>0.2</w:t>
            </w:r>
          </w:p>
          <w:p w14:paraId="6F660F37" w14:textId="64FC63C6"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en-AU" w:bidi="en-US"/>
              </w:rPr>
            </w:pPr>
            <w:r>
              <w:rPr>
                <w:rFonts w:cs="Arial"/>
                <w:sz w:val="20"/>
                <w:szCs w:val="20"/>
                <w:lang w:eastAsia="en-AU" w:bidi="en-US"/>
              </w:rPr>
              <w:t>0.2</w:t>
            </w:r>
          </w:p>
          <w:p w14:paraId="6F660F38" w14:textId="418C94BE"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en-AU" w:bidi="en-US"/>
              </w:rPr>
            </w:pPr>
            <w:r>
              <w:rPr>
                <w:rFonts w:cs="Arial"/>
                <w:sz w:val="20"/>
                <w:szCs w:val="20"/>
                <w:lang w:eastAsia="en-AU" w:bidi="en-US"/>
              </w:rPr>
              <w:t>0.2</w:t>
            </w:r>
          </w:p>
          <w:p w14:paraId="6F660F39" w14:textId="49330BD9"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lang w:eastAsia="en-AU" w:bidi="en-US"/>
              </w:rPr>
            </w:pPr>
            <w:r>
              <w:rPr>
                <w:rFonts w:cs="Arial"/>
                <w:sz w:val="20"/>
                <w:szCs w:val="20"/>
                <w:lang w:eastAsia="en-AU" w:bidi="en-US"/>
              </w:rPr>
              <w:t xml:space="preserve">0.3 </w:t>
            </w:r>
          </w:p>
        </w:tc>
        <w:tc>
          <w:tcPr>
            <w:tcW w:w="941" w:type="dxa"/>
          </w:tcPr>
          <w:p w14:paraId="577201FC" w14:textId="7927DE6D"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New</w:t>
            </w:r>
          </w:p>
          <w:p w14:paraId="7D733421" w14:textId="4613C189"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New</w:t>
            </w:r>
          </w:p>
          <w:p w14:paraId="77711701" w14:textId="6838D386"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New</w:t>
            </w:r>
          </w:p>
          <w:p w14:paraId="05F99C5C" w14:textId="0D3115D3"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New</w:t>
            </w:r>
          </w:p>
        </w:tc>
        <w:tc>
          <w:tcPr>
            <w:tcW w:w="1120" w:type="dxa"/>
          </w:tcPr>
          <w:p w14:paraId="46BCB943" w14:textId="77777777"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Codex</w:t>
            </w:r>
          </w:p>
          <w:p w14:paraId="4F4F385C" w14:textId="77777777"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Codex</w:t>
            </w:r>
          </w:p>
          <w:p w14:paraId="71250F26" w14:textId="77777777"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Codex</w:t>
            </w:r>
          </w:p>
          <w:p w14:paraId="6FFF8A36" w14:textId="1722757F"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Codex</w:t>
            </w:r>
          </w:p>
        </w:tc>
        <w:tc>
          <w:tcPr>
            <w:tcW w:w="1701" w:type="dxa"/>
          </w:tcPr>
          <w:p w14:paraId="497DE0DA" w14:textId="77777777"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sidRPr="009572CA">
              <w:rPr>
                <w:rFonts w:cs="Arial"/>
                <w:sz w:val="20"/>
                <w:szCs w:val="20"/>
                <w:lang w:bidi="en-US"/>
              </w:rPr>
              <w:t>0.422</w:t>
            </w:r>
          </w:p>
          <w:p w14:paraId="7E5BEE3D" w14:textId="05DF0D2D" w:rsidR="009572CA"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Pr>
                <w:rFonts w:cs="Arial"/>
                <w:sz w:val="20"/>
                <w:szCs w:val="20"/>
                <w:lang w:bidi="en-US"/>
              </w:rPr>
              <w:t>0.046</w:t>
            </w:r>
          </w:p>
          <w:p w14:paraId="1D7B4589" w14:textId="3161EB3D" w:rsidR="009572CA" w:rsidRPr="007D70F6" w:rsidRDefault="007D70F6"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20"/>
                <w:szCs w:val="20"/>
                <w:lang w:bidi="en-US"/>
              </w:rPr>
            </w:pPr>
            <w:r w:rsidRPr="007D70F6">
              <w:rPr>
                <w:rFonts w:cs="Arial"/>
                <w:sz w:val="20"/>
                <w:szCs w:val="20"/>
                <w:lang w:bidi="en-US"/>
              </w:rPr>
              <w:t>0.004 (cattle)</w:t>
            </w:r>
          </w:p>
          <w:p w14:paraId="16D72B9A" w14:textId="3AF0005B" w:rsidR="009572CA" w:rsidRPr="009572CA" w:rsidRDefault="007D70F6"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8"/>
                <w:szCs w:val="18"/>
                <w:lang w:bidi="en-US"/>
              </w:rPr>
            </w:pPr>
            <w:r w:rsidRPr="007D70F6">
              <w:rPr>
                <w:rFonts w:cs="Arial"/>
                <w:sz w:val="20"/>
                <w:szCs w:val="20"/>
                <w:lang w:bidi="en-US"/>
              </w:rPr>
              <w:t>0.00005 (cattle)</w:t>
            </w:r>
          </w:p>
        </w:tc>
        <w:tc>
          <w:tcPr>
            <w:tcW w:w="1134" w:type="dxa"/>
          </w:tcPr>
          <w:p w14:paraId="6F660F3B" w14:textId="2F3844E9"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lang w:eastAsia="en-AU" w:bidi="en-US"/>
              </w:rPr>
            </w:pPr>
            <w:r>
              <w:rPr>
                <w:rFonts w:cs="Arial"/>
                <w:sz w:val="20"/>
                <w:szCs w:val="20"/>
                <w:lang w:bidi="en-US"/>
              </w:rPr>
              <w:t>&lt;</w:t>
            </w:r>
            <w:r w:rsidRPr="00376799">
              <w:rPr>
                <w:rFonts w:cs="Arial"/>
                <w:sz w:val="20"/>
                <w:szCs w:val="20"/>
                <w:lang w:bidi="en-US"/>
              </w:rPr>
              <w:t>0.0</w:t>
            </w:r>
            <w:r>
              <w:rPr>
                <w:rFonts w:cs="Arial"/>
                <w:sz w:val="20"/>
                <w:szCs w:val="20"/>
                <w:lang w:bidi="en-US"/>
              </w:rPr>
              <w:t>1</w:t>
            </w:r>
            <w:r w:rsidRPr="00376799">
              <w:rPr>
                <w:rFonts w:cs="Arial"/>
                <w:sz w:val="20"/>
                <w:szCs w:val="20"/>
                <w:lang w:bidi="en-US"/>
              </w:rPr>
              <w:t>% of the ADI</w:t>
            </w:r>
          </w:p>
        </w:tc>
        <w:tc>
          <w:tcPr>
            <w:tcW w:w="1098" w:type="dxa"/>
          </w:tcPr>
          <w:p w14:paraId="6F660F3D" w14:textId="1CB85FAF" w:rsidR="009572CA" w:rsidRPr="00376799" w:rsidRDefault="009572CA" w:rsidP="00E74C7D">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cs="Arial"/>
                <w:b/>
                <w:sz w:val="20"/>
                <w:szCs w:val="20"/>
                <w:lang w:eastAsia="en-AU" w:bidi="en-US"/>
              </w:rPr>
            </w:pPr>
            <w:r w:rsidRPr="00376799">
              <w:rPr>
                <w:rFonts w:cs="Arial"/>
                <w:sz w:val="20"/>
                <w:szCs w:val="20"/>
                <w:lang w:bidi="en-US"/>
              </w:rPr>
              <w:t>0.01% of the ADI</w:t>
            </w:r>
          </w:p>
        </w:tc>
      </w:tr>
    </w:tbl>
    <w:p w14:paraId="6F660F3F" w14:textId="27CFA514" w:rsidR="001C76B1" w:rsidRPr="00E74C7D" w:rsidRDefault="00E91A31" w:rsidP="003A01FB">
      <w:pPr>
        <w:rPr>
          <w:rFonts w:cs="Arial"/>
          <w:color w:val="000000"/>
          <w:sz w:val="18"/>
          <w:szCs w:val="14"/>
          <w:lang w:bidi="en-US"/>
        </w:rPr>
      </w:pPr>
      <w:r w:rsidRPr="00E74C7D">
        <w:rPr>
          <w:rFonts w:cs="Arial"/>
          <w:sz w:val="18"/>
          <w:szCs w:val="14"/>
        </w:rPr>
        <w:t xml:space="preserve">* </w:t>
      </w:r>
      <w:r w:rsidRPr="00E74C7D">
        <w:rPr>
          <w:rFonts w:cs="Arial"/>
          <w:color w:val="000000"/>
          <w:sz w:val="18"/>
          <w:szCs w:val="14"/>
          <w:lang w:bidi="en-US"/>
        </w:rPr>
        <w:t>The NEDI represents an estimate of chronic dietary exposure from the whole diet for the general population aged 2 years and over, expressed in this table as a proportion of the ADI.</w:t>
      </w:r>
    </w:p>
    <w:p w14:paraId="7C16F207" w14:textId="77777777" w:rsidR="00492F9B" w:rsidRPr="00E74C7D" w:rsidRDefault="001C76B1" w:rsidP="00492F9B">
      <w:pPr>
        <w:widowControl w:val="0"/>
        <w:rPr>
          <w:rFonts w:cs="Arial"/>
          <w:sz w:val="18"/>
          <w:szCs w:val="14"/>
          <w:vertAlign w:val="superscript"/>
          <w:lang w:bidi="en-US"/>
        </w:rPr>
      </w:pPr>
      <w:r w:rsidRPr="00E74C7D">
        <w:rPr>
          <w:rFonts w:cs="Arial"/>
          <w:sz w:val="18"/>
          <w:szCs w:val="14"/>
          <w:vertAlign w:val="superscript"/>
          <w:lang w:bidi="en-US"/>
        </w:rPr>
        <w:t>†</w:t>
      </w:r>
      <w:r w:rsidR="00915821" w:rsidRPr="00E74C7D">
        <w:rPr>
          <w:rFonts w:cs="Arial"/>
          <w:color w:val="000000"/>
          <w:sz w:val="18"/>
          <w:szCs w:val="14"/>
          <w:lang w:bidi="en-US"/>
        </w:rPr>
        <w:t xml:space="preserve"> </w:t>
      </w:r>
      <w:r w:rsidR="002A21D3" w:rsidRPr="00E74C7D">
        <w:rPr>
          <w:rFonts w:cs="Arial"/>
          <w:color w:val="000000"/>
          <w:sz w:val="18"/>
          <w:szCs w:val="14"/>
          <w:lang w:bidi="en-US"/>
        </w:rPr>
        <w:t>Food consumption data were derived from the 1995 NNS</w:t>
      </w:r>
      <w:r w:rsidR="00AB007E" w:rsidRPr="00E74C7D">
        <w:rPr>
          <w:rFonts w:cs="Arial"/>
          <w:color w:val="000000"/>
          <w:sz w:val="18"/>
          <w:szCs w:val="14"/>
          <w:lang w:bidi="en-US"/>
        </w:rPr>
        <w:t xml:space="preserve">, </w:t>
      </w:r>
      <w:r w:rsidR="00732B95" w:rsidRPr="00E74C7D">
        <w:rPr>
          <w:rFonts w:cs="Arial"/>
          <w:color w:val="000000"/>
          <w:sz w:val="18"/>
          <w:szCs w:val="14"/>
          <w:lang w:bidi="en-US"/>
        </w:rPr>
        <w:t xml:space="preserve">for all survey respondents </w:t>
      </w:r>
      <w:r w:rsidR="00AB007E" w:rsidRPr="00E74C7D">
        <w:rPr>
          <w:rFonts w:cs="Arial"/>
          <w:color w:val="000000"/>
          <w:sz w:val="18"/>
          <w:szCs w:val="14"/>
          <w:lang w:bidi="en-US"/>
        </w:rPr>
        <w:t>using food consumption data from Day 1 only.</w:t>
      </w:r>
      <w:r w:rsidR="002A21D3" w:rsidRPr="00E74C7D">
        <w:rPr>
          <w:rFonts w:cs="Arial"/>
          <w:color w:val="000000"/>
          <w:sz w:val="18"/>
          <w:szCs w:val="14"/>
          <w:lang w:bidi="en-US"/>
        </w:rPr>
        <w:t xml:space="preserve"> The design of </w:t>
      </w:r>
      <w:r w:rsidR="00A55B02" w:rsidRPr="00E74C7D">
        <w:rPr>
          <w:rFonts w:cs="Arial"/>
          <w:color w:val="000000"/>
          <w:sz w:val="18"/>
          <w:szCs w:val="14"/>
          <w:lang w:bidi="en-US"/>
        </w:rPr>
        <w:t>this</w:t>
      </w:r>
      <w:r w:rsidR="002A21D3" w:rsidRPr="00E74C7D">
        <w:rPr>
          <w:rFonts w:cs="Arial"/>
          <w:color w:val="000000"/>
          <w:sz w:val="18"/>
          <w:szCs w:val="14"/>
          <w:lang w:bidi="en-US"/>
        </w:rPr>
        <w:t xml:space="preserve"> survey and key attributes of each are set out in </w:t>
      </w:r>
      <w:r w:rsidR="006177A6" w:rsidRPr="00E74C7D">
        <w:rPr>
          <w:rFonts w:cs="Arial"/>
          <w:color w:val="000000"/>
          <w:sz w:val="18"/>
          <w:szCs w:val="14"/>
          <w:lang w:bidi="en-US"/>
        </w:rPr>
        <w:t>Section 1.</w:t>
      </w:r>
      <w:r w:rsidR="009572CA" w:rsidRPr="00E74C7D">
        <w:rPr>
          <w:rFonts w:cs="Arial"/>
          <w:color w:val="000000"/>
          <w:sz w:val="18"/>
          <w:szCs w:val="14"/>
          <w:lang w:bidi="en-US"/>
        </w:rPr>
        <w:t>2</w:t>
      </w:r>
      <w:r w:rsidR="002A21D3" w:rsidRPr="00E74C7D">
        <w:rPr>
          <w:rFonts w:cs="Arial"/>
          <w:color w:val="000000"/>
          <w:sz w:val="18"/>
          <w:szCs w:val="14"/>
          <w:lang w:bidi="en-US"/>
        </w:rPr>
        <w:t>.</w:t>
      </w:r>
      <w:r w:rsidR="00492F9B" w:rsidRPr="00E74C7D">
        <w:rPr>
          <w:rFonts w:cs="Arial"/>
          <w:sz w:val="18"/>
          <w:szCs w:val="14"/>
          <w:vertAlign w:val="superscript"/>
          <w:lang w:bidi="en-US"/>
        </w:rPr>
        <w:t xml:space="preserve"> </w:t>
      </w:r>
    </w:p>
    <w:p w14:paraId="77516D59" w14:textId="174FF793" w:rsidR="00492F9B" w:rsidRPr="00E74C7D" w:rsidRDefault="00492F9B" w:rsidP="00E74C7D">
      <w:pPr>
        <w:widowControl w:val="0"/>
        <w:ind w:right="-286"/>
        <w:rPr>
          <w:rFonts w:cs="Arial"/>
          <w:color w:val="000000"/>
          <w:sz w:val="18"/>
          <w:szCs w:val="14"/>
          <w:lang w:bidi="en-US"/>
        </w:rPr>
      </w:pPr>
      <w:r w:rsidRPr="00E74C7D">
        <w:rPr>
          <w:rFonts w:cs="Arial"/>
          <w:sz w:val="18"/>
          <w:szCs w:val="14"/>
          <w:vertAlign w:val="superscript"/>
          <w:lang w:bidi="en-US"/>
        </w:rPr>
        <w:t xml:space="preserve">†† </w:t>
      </w:r>
      <w:r w:rsidRPr="00E74C7D">
        <w:rPr>
          <w:rFonts w:cs="Arial"/>
          <w:color w:val="000000"/>
          <w:sz w:val="18"/>
          <w:szCs w:val="14"/>
          <w:lang w:bidi="en-US"/>
        </w:rPr>
        <w:t>Food consumption data were derived from the 2011-12 NNPAS for all survey respondents using food consumption data from 2 non-consecutive days. The design of this survey and key attributes are set out in section 1.2.</w:t>
      </w:r>
    </w:p>
    <w:p w14:paraId="759B908B" w14:textId="5D6A2FA9" w:rsidR="00A55B02" w:rsidRPr="009E0592" w:rsidRDefault="009E0592" w:rsidP="00910D97">
      <w:pPr>
        <w:pStyle w:val="Heading2"/>
      </w:pPr>
      <w:bookmarkStart w:id="13" w:name="_Toc472332823"/>
      <w:bookmarkStart w:id="14" w:name="_Toc448848095"/>
      <w:r w:rsidRPr="00B47ADF">
        <w:t>1.</w:t>
      </w:r>
      <w:r>
        <w:t>4</w:t>
      </w:r>
      <w:r w:rsidRPr="00B47ADF">
        <w:tab/>
      </w:r>
      <w:r>
        <w:t>Conclusion</w:t>
      </w:r>
      <w:bookmarkEnd w:id="13"/>
    </w:p>
    <w:p w14:paraId="6204793D" w14:textId="1E6F7CCF" w:rsidR="002C5669" w:rsidRDefault="00AA7593">
      <w:r w:rsidRPr="007355E7">
        <w:rPr>
          <w:rFonts w:cs="Arial"/>
          <w:szCs w:val="22"/>
        </w:rPr>
        <w:t>The NEDI for avilamycin</w:t>
      </w:r>
      <w:r w:rsidR="009E0592">
        <w:rPr>
          <w:rFonts w:cs="Arial"/>
          <w:szCs w:val="22"/>
        </w:rPr>
        <w:t xml:space="preserve">, </w:t>
      </w:r>
      <w:r w:rsidR="001415BA">
        <w:rPr>
          <w:rFonts w:cs="Arial"/>
          <w:szCs w:val="22"/>
        </w:rPr>
        <w:t xml:space="preserve">taking into account all currently permitted </w:t>
      </w:r>
      <w:r w:rsidR="009E0592">
        <w:rPr>
          <w:rFonts w:cs="Arial"/>
          <w:szCs w:val="22"/>
        </w:rPr>
        <w:t xml:space="preserve">and </w:t>
      </w:r>
      <w:r w:rsidR="007D70F6">
        <w:rPr>
          <w:rFonts w:cs="Arial"/>
          <w:szCs w:val="22"/>
        </w:rPr>
        <w:t xml:space="preserve">newly </w:t>
      </w:r>
      <w:r w:rsidR="009E0592">
        <w:rPr>
          <w:rFonts w:cs="Arial"/>
          <w:szCs w:val="22"/>
        </w:rPr>
        <w:t>requested MRLs,</w:t>
      </w:r>
      <w:r w:rsidRPr="007355E7">
        <w:rPr>
          <w:rFonts w:cs="Arial"/>
          <w:szCs w:val="22"/>
        </w:rPr>
        <w:t xml:space="preserve"> is </w:t>
      </w:r>
      <w:r w:rsidR="004D69DE" w:rsidRPr="007D70F6">
        <w:t>&lt;</w:t>
      </w:r>
      <w:r w:rsidRPr="007D70F6">
        <w:t xml:space="preserve">1% of the </w:t>
      </w:r>
      <w:r w:rsidR="004D69DE" w:rsidRPr="007D70F6">
        <w:t>ADI</w:t>
      </w:r>
      <w:r w:rsidRPr="007D70F6">
        <w:t>.</w:t>
      </w:r>
    </w:p>
    <w:p w14:paraId="438FAAE4" w14:textId="77777777" w:rsidR="002C5669" w:rsidRDefault="002C5669"/>
    <w:p w14:paraId="0B2204C7" w14:textId="77777777" w:rsidR="00020BB2" w:rsidRDefault="007D70F6">
      <w:r>
        <w:t>The</w:t>
      </w:r>
      <w:r w:rsidR="007225EC" w:rsidRPr="007D70F6">
        <w:t xml:space="preserve"> </w:t>
      </w:r>
      <w:r w:rsidR="009E2457" w:rsidRPr="007D70F6">
        <w:t xml:space="preserve">inclusion </w:t>
      </w:r>
      <w:r w:rsidR="007225EC" w:rsidRPr="007D70F6">
        <w:t xml:space="preserve">of MRLs for avilamycin </w:t>
      </w:r>
      <w:r w:rsidR="00304BE7" w:rsidRPr="007D70F6">
        <w:t>(</w:t>
      </w:r>
      <w:r w:rsidR="002071BF" w:rsidRPr="007D70F6">
        <w:t xml:space="preserve">with the proposed residue definition: </w:t>
      </w:r>
      <w:r w:rsidR="00304BE7" w:rsidRPr="007D70F6">
        <w:t xml:space="preserve">measured as </w:t>
      </w:r>
      <w:r w:rsidR="00A0292C">
        <w:t>d</w:t>
      </w:r>
      <w:r w:rsidR="00304BE7" w:rsidRPr="007D70F6">
        <w:t xml:space="preserve">ichloroisoeverninic acid) </w:t>
      </w:r>
      <w:r w:rsidR="007225EC" w:rsidRPr="007D70F6">
        <w:t xml:space="preserve">at </w:t>
      </w:r>
      <w:r w:rsidR="009E2457" w:rsidRPr="007D70F6">
        <w:t xml:space="preserve">0.2 mg/kg for pig fat/skin, pig kidney and pig meat </w:t>
      </w:r>
      <w:r w:rsidR="007225EC" w:rsidRPr="007D70F6">
        <w:t xml:space="preserve">and </w:t>
      </w:r>
    </w:p>
    <w:p w14:paraId="258B920C" w14:textId="331E07DB" w:rsidR="00AA7593" w:rsidRDefault="009E2457">
      <w:r w:rsidRPr="007D70F6">
        <w:t>0.3 mg/kg for pig liver</w:t>
      </w:r>
      <w:r w:rsidR="007225EC" w:rsidRPr="007D70F6">
        <w:t xml:space="preserve"> </w:t>
      </w:r>
      <w:r w:rsidR="007D70F6">
        <w:t>did not substantially increase dietary exposure</w:t>
      </w:r>
      <w:r w:rsidR="002C5669">
        <w:t>.</w:t>
      </w:r>
    </w:p>
    <w:p w14:paraId="02E5F992" w14:textId="77777777" w:rsidR="00910D97" w:rsidRPr="007D70F6" w:rsidRDefault="00910D97"/>
    <w:p w14:paraId="56779674" w14:textId="638B946E" w:rsidR="003B0439" w:rsidRPr="003B0439" w:rsidRDefault="00910D97" w:rsidP="00910D97">
      <w:pPr>
        <w:pStyle w:val="Heading1"/>
      </w:pPr>
      <w:bookmarkStart w:id="15" w:name="_Toc472332824"/>
      <w:bookmarkStart w:id="16" w:name="_Toc457826213"/>
      <w:r>
        <w:t>2</w:t>
      </w:r>
      <w:r>
        <w:tab/>
      </w:r>
      <w:r w:rsidR="003B0439" w:rsidRPr="003B0439">
        <w:t>Microbiological evaluation</w:t>
      </w:r>
      <w:bookmarkEnd w:id="15"/>
    </w:p>
    <w:p w14:paraId="0947E739" w14:textId="44B005C3" w:rsidR="003B0439" w:rsidRPr="00A9531E" w:rsidRDefault="000402AD" w:rsidP="00910D97">
      <w:pPr>
        <w:pStyle w:val="Heading2"/>
      </w:pPr>
      <w:bookmarkStart w:id="17" w:name="_Toc472332825"/>
      <w:r>
        <w:t>2.1</w:t>
      </w:r>
      <w:r>
        <w:tab/>
      </w:r>
      <w:r w:rsidR="003B0439" w:rsidRPr="00A9531E">
        <w:t>Activity against human gastrointestinal microflora</w:t>
      </w:r>
      <w:bookmarkEnd w:id="17"/>
    </w:p>
    <w:p w14:paraId="267E20CB" w14:textId="751DBCA4" w:rsidR="003B0439" w:rsidRPr="00CA543D" w:rsidRDefault="003B0439" w:rsidP="003B0439">
      <w:pPr>
        <w:rPr>
          <w:rFonts w:cs="Arial"/>
          <w:szCs w:val="22"/>
        </w:rPr>
      </w:pPr>
      <w:r w:rsidRPr="00CA543D">
        <w:rPr>
          <w:rFonts w:cs="Arial"/>
          <w:szCs w:val="22"/>
        </w:rPr>
        <w:t xml:space="preserve">Avilamycin is an orthosomycin antibiotic that inhibits bacterial protein synthesis by binding to the 50S ribosomal subunit (Treede et al 2003). Avilamycin is highly active against numerous gram-positive bacteria that are a normal component of the gastrointestinal microflora, including </w:t>
      </w:r>
      <w:r w:rsidRPr="00CA543D">
        <w:rPr>
          <w:rFonts w:cs="Arial"/>
          <w:i/>
          <w:szCs w:val="22"/>
        </w:rPr>
        <w:t>Enterococcus</w:t>
      </w:r>
      <w:r w:rsidRPr="00CA543D">
        <w:rPr>
          <w:rFonts w:cs="Arial"/>
          <w:szCs w:val="22"/>
        </w:rPr>
        <w:t xml:space="preserve">, </w:t>
      </w:r>
      <w:r w:rsidRPr="00CA543D">
        <w:rPr>
          <w:rFonts w:cs="Arial"/>
          <w:i/>
          <w:szCs w:val="22"/>
        </w:rPr>
        <w:t>Peptostreptococcus</w:t>
      </w:r>
      <w:r w:rsidRPr="00CA543D">
        <w:rPr>
          <w:rFonts w:cs="Arial"/>
          <w:szCs w:val="22"/>
        </w:rPr>
        <w:t xml:space="preserve">, </w:t>
      </w:r>
      <w:r w:rsidRPr="00CA543D">
        <w:rPr>
          <w:rFonts w:cs="Arial"/>
          <w:i/>
          <w:szCs w:val="22"/>
        </w:rPr>
        <w:t>Eubacterium</w:t>
      </w:r>
      <w:r w:rsidRPr="00CA543D">
        <w:rPr>
          <w:rFonts w:cs="Arial"/>
          <w:szCs w:val="22"/>
        </w:rPr>
        <w:t xml:space="preserve"> and </w:t>
      </w:r>
      <w:r w:rsidRPr="00CA543D">
        <w:rPr>
          <w:rFonts w:cs="Arial"/>
          <w:i/>
          <w:szCs w:val="22"/>
        </w:rPr>
        <w:t>Clostridium</w:t>
      </w:r>
      <w:r w:rsidRPr="00CA543D">
        <w:rPr>
          <w:rFonts w:cs="Arial"/>
          <w:szCs w:val="22"/>
        </w:rPr>
        <w:t xml:space="preserve"> spp., and less active against </w:t>
      </w:r>
      <w:r w:rsidRPr="00CA543D">
        <w:rPr>
          <w:rFonts w:cs="Arial"/>
          <w:i/>
          <w:szCs w:val="22"/>
        </w:rPr>
        <w:t>Lactobacillus</w:t>
      </w:r>
      <w:r w:rsidRPr="00CA543D">
        <w:rPr>
          <w:rFonts w:cs="Arial"/>
          <w:szCs w:val="22"/>
        </w:rPr>
        <w:t xml:space="preserve">, </w:t>
      </w:r>
      <w:r w:rsidRPr="00CA543D">
        <w:rPr>
          <w:rFonts w:cs="Arial"/>
          <w:i/>
          <w:szCs w:val="22"/>
        </w:rPr>
        <w:t>Bifidobacterium</w:t>
      </w:r>
      <w:r w:rsidRPr="00CA543D">
        <w:rPr>
          <w:rFonts w:cs="Arial"/>
          <w:szCs w:val="22"/>
        </w:rPr>
        <w:t xml:space="preserve"> and </w:t>
      </w:r>
      <w:r w:rsidRPr="00CA543D">
        <w:rPr>
          <w:rFonts w:cs="Arial"/>
          <w:i/>
          <w:szCs w:val="22"/>
        </w:rPr>
        <w:t>Bacteroides</w:t>
      </w:r>
      <w:r w:rsidRPr="00CA543D">
        <w:rPr>
          <w:rFonts w:cs="Arial"/>
          <w:szCs w:val="22"/>
        </w:rPr>
        <w:t xml:space="preserve"> (JECFA 2009). Avilamycin is highly active </w:t>
      </w:r>
      <w:r w:rsidRPr="00CA543D">
        <w:rPr>
          <w:rFonts w:cs="Arial"/>
          <w:i/>
          <w:szCs w:val="22"/>
        </w:rPr>
        <w:t>in vitro</w:t>
      </w:r>
      <w:r w:rsidRPr="00CA543D">
        <w:rPr>
          <w:rFonts w:cs="Arial"/>
          <w:szCs w:val="22"/>
        </w:rPr>
        <w:t xml:space="preserve"> against clinical isolates of </w:t>
      </w:r>
      <w:r w:rsidRPr="00CA543D">
        <w:rPr>
          <w:rFonts w:cs="Arial"/>
          <w:i/>
          <w:szCs w:val="22"/>
        </w:rPr>
        <w:t>C. difficile</w:t>
      </w:r>
      <w:r w:rsidRPr="00CA543D">
        <w:rPr>
          <w:rFonts w:cs="Arial"/>
          <w:szCs w:val="22"/>
        </w:rPr>
        <w:t xml:space="preserve"> (Aarestrup and Tvede 2011). Avilamycin is inactive against the gram-negative </w:t>
      </w:r>
      <w:r w:rsidRPr="00CA543D">
        <w:rPr>
          <w:rFonts w:cs="Arial"/>
          <w:i/>
          <w:szCs w:val="22"/>
        </w:rPr>
        <w:t xml:space="preserve">Escherichia coli </w:t>
      </w:r>
      <w:r w:rsidRPr="00CA543D">
        <w:rPr>
          <w:rFonts w:cs="Arial"/>
          <w:szCs w:val="22"/>
        </w:rPr>
        <w:t>(</w:t>
      </w:r>
      <w:r w:rsidR="004A5526">
        <w:rPr>
          <w:rFonts w:cs="Arial"/>
          <w:szCs w:val="22"/>
        </w:rPr>
        <w:t>Delsol et al 2005; JECFA 2009).</w:t>
      </w:r>
    </w:p>
    <w:p w14:paraId="198D4206" w14:textId="24A7EC7A" w:rsidR="003B0439" w:rsidRPr="00A9531E" w:rsidRDefault="000402AD" w:rsidP="00910D97">
      <w:pPr>
        <w:pStyle w:val="Heading2"/>
      </w:pPr>
      <w:bookmarkStart w:id="18" w:name="_Toc472332826"/>
      <w:r>
        <w:t>2.2</w:t>
      </w:r>
      <w:r>
        <w:tab/>
      </w:r>
      <w:r w:rsidR="003B0439" w:rsidRPr="00A9531E">
        <w:t>Microbiological activity of residues in edible pork</w:t>
      </w:r>
      <w:bookmarkEnd w:id="18"/>
    </w:p>
    <w:p w14:paraId="5B2AAACF" w14:textId="2BC34A62" w:rsidR="00E74C7D" w:rsidRDefault="003B0439" w:rsidP="003B0439">
      <w:pPr>
        <w:rPr>
          <w:rFonts w:cs="Arial"/>
          <w:szCs w:val="22"/>
        </w:rPr>
      </w:pPr>
      <w:r w:rsidRPr="00CA543D">
        <w:rPr>
          <w:rFonts w:cs="Arial"/>
          <w:szCs w:val="22"/>
        </w:rPr>
        <w:t xml:space="preserve">Avilamycin is poorly absorbed and is extensively metabolised in the gastrointestinal (GI) tract of pigs and poultry. Studies in pigs and poultry indicate that the majority of avilamycin consumed in feed is excreted in </w:t>
      </w:r>
      <w:r w:rsidR="00CA543D" w:rsidRPr="00CA543D">
        <w:rPr>
          <w:rFonts w:cs="Arial"/>
          <w:szCs w:val="22"/>
        </w:rPr>
        <w:t>faeces</w:t>
      </w:r>
      <w:r w:rsidRPr="00CA543D">
        <w:rPr>
          <w:rFonts w:cs="Arial"/>
          <w:szCs w:val="22"/>
        </w:rPr>
        <w:t xml:space="preserve"> and a small proportion (&lt;10% in pigs) is in the parent form (JECFA 2009). Several residue studies indicate that meat, skin, kidney and fat tissue of pigs and poultry, contain little or no avilamycin residues and low levels of residue may be detected in liver. The residues detected in edible tissues of poultry and pigs are not microbiologically active as determined by bioautographic methods. Furthermore, avilamycin residues are rapidly and irreversibly bound to faecal material (JECFA 2009). Taken together, it is highly unlikely for avilamycin residues in edible pork products to have a disruptive effect on the colonisation barrier of consumers or selec</w:t>
      </w:r>
      <w:r w:rsidR="001C0D98">
        <w:rPr>
          <w:rFonts w:cs="Arial"/>
          <w:szCs w:val="22"/>
        </w:rPr>
        <w:t>t for antimicrobial resistance.</w:t>
      </w:r>
      <w:r w:rsidR="00E74C7D">
        <w:rPr>
          <w:rFonts w:cs="Arial"/>
          <w:szCs w:val="22"/>
        </w:rPr>
        <w:br w:type="page"/>
      </w:r>
    </w:p>
    <w:p w14:paraId="669B53FE" w14:textId="4F4C4BC8" w:rsidR="003B0439" w:rsidRPr="00A9531E" w:rsidRDefault="000402AD" w:rsidP="00910D97">
      <w:pPr>
        <w:pStyle w:val="Heading2"/>
      </w:pPr>
      <w:bookmarkStart w:id="19" w:name="_Toc472332827"/>
      <w:r>
        <w:lastRenderedPageBreak/>
        <w:t>2.3</w:t>
      </w:r>
      <w:r>
        <w:tab/>
      </w:r>
      <w:r w:rsidR="003B0439" w:rsidRPr="00A9531E">
        <w:t>Antimicrobial resistance</w:t>
      </w:r>
      <w:bookmarkEnd w:id="19"/>
    </w:p>
    <w:p w14:paraId="6FF22C89" w14:textId="77777777" w:rsidR="003B0439" w:rsidRPr="00CA543D" w:rsidRDefault="003B0439" w:rsidP="003B0439">
      <w:pPr>
        <w:rPr>
          <w:rFonts w:cs="Arial"/>
          <w:szCs w:val="22"/>
        </w:rPr>
      </w:pPr>
      <w:r w:rsidRPr="00CA543D">
        <w:rPr>
          <w:rFonts w:cs="Arial"/>
          <w:szCs w:val="22"/>
        </w:rPr>
        <w:t xml:space="preserve">Avilamycin is structurally closely related to evernimicin, and has a similar binding site in the 50S ribosomal subunit (Adrian et al 2000a; Adrian et al 2000b; Aarestrup and Jensen 2000; McNicholas et al 2000; Mann et al., 2001; Treede et al 2003). Cross-resistance between avilamycin and evernimicin has been demonstrated for poultry, pig and human isolates of </w:t>
      </w:r>
      <w:r w:rsidRPr="00CA543D">
        <w:rPr>
          <w:rFonts w:cs="Arial"/>
          <w:i/>
          <w:szCs w:val="22"/>
        </w:rPr>
        <w:t>Enterococcus</w:t>
      </w:r>
      <w:r w:rsidRPr="00CA543D">
        <w:rPr>
          <w:rFonts w:cs="Arial"/>
          <w:szCs w:val="22"/>
        </w:rPr>
        <w:t xml:space="preserve"> (Aarestrup 1998; Aarestrup and McNicholas 2002), although high level resistance to evernimicin has been demonstrated for only a small proportion of avilamycin resistant strains (Aarestrup and McNicholas 2002). Evernimicin was developed for, but not introduced into human medicine due to toxicity issues (JECFA 2009).</w:t>
      </w:r>
    </w:p>
    <w:p w14:paraId="38A367E0" w14:textId="77777777" w:rsidR="003B0439" w:rsidRPr="00CA543D" w:rsidRDefault="003B0439" w:rsidP="003B0439">
      <w:pPr>
        <w:rPr>
          <w:rFonts w:cs="Arial"/>
          <w:szCs w:val="22"/>
        </w:rPr>
      </w:pPr>
    </w:p>
    <w:p w14:paraId="1A09687F" w14:textId="77777777" w:rsidR="001F3156" w:rsidRDefault="003B0439" w:rsidP="003B0439">
      <w:pPr>
        <w:rPr>
          <w:rFonts w:cs="Arial"/>
          <w:szCs w:val="22"/>
        </w:rPr>
      </w:pPr>
      <w:r w:rsidRPr="00CA543D">
        <w:rPr>
          <w:rFonts w:cs="Arial"/>
          <w:szCs w:val="22"/>
        </w:rPr>
        <w:t>Resistance to both avilamycin and evernimicin is mediated by either point mutations in the L16 50S subunit ribosomal protein or methyltransferases acting on the 50S subunit ribosomal RNA (Aarestrup and Jensen 2000; Mann e</w:t>
      </w:r>
      <w:r w:rsidR="00D27EBE">
        <w:rPr>
          <w:rFonts w:cs="Arial"/>
          <w:szCs w:val="22"/>
        </w:rPr>
        <w:t>t al., 2001; Treede et al. 2003</w:t>
      </w:r>
      <w:r w:rsidRPr="00CA543D">
        <w:rPr>
          <w:rFonts w:cs="Arial"/>
          <w:szCs w:val="22"/>
        </w:rPr>
        <w:t xml:space="preserve">), but only one has been associated with horizontal gene transfer. A methyltransferase (EmtA) was identified in a strain of </w:t>
      </w:r>
      <w:r w:rsidRPr="00CA543D">
        <w:rPr>
          <w:rFonts w:cs="Arial"/>
          <w:i/>
          <w:szCs w:val="22"/>
        </w:rPr>
        <w:t>E. faecium</w:t>
      </w:r>
      <w:r w:rsidRPr="00CA543D">
        <w:rPr>
          <w:rFonts w:cs="Arial"/>
          <w:szCs w:val="22"/>
        </w:rPr>
        <w:t xml:space="preserve"> and specifically modifies helix 89 of 23S rRNA (Mann et al., 2001) and confers high level cross-resistance to both avilamycin and evernimicin (Aarestrup and McNicholas 2002). </w:t>
      </w:r>
    </w:p>
    <w:p w14:paraId="1594E65A" w14:textId="77777777" w:rsidR="00E74C7D" w:rsidRDefault="00E74C7D" w:rsidP="003B0439">
      <w:pPr>
        <w:rPr>
          <w:rFonts w:cs="Arial"/>
          <w:szCs w:val="22"/>
        </w:rPr>
      </w:pPr>
    </w:p>
    <w:p w14:paraId="6FD4C9A0" w14:textId="75FA7D3E" w:rsidR="003B0439" w:rsidRPr="00CA543D" w:rsidRDefault="003B0439" w:rsidP="003B0439">
      <w:pPr>
        <w:rPr>
          <w:rFonts w:cs="Arial"/>
          <w:szCs w:val="22"/>
        </w:rPr>
      </w:pPr>
      <w:r w:rsidRPr="00CA543D">
        <w:rPr>
          <w:rFonts w:cs="Arial"/>
          <w:szCs w:val="22"/>
        </w:rPr>
        <w:t xml:space="preserve">The rRNA methyltransferase encoded </w:t>
      </w:r>
      <w:r w:rsidRPr="00CA543D">
        <w:rPr>
          <w:rFonts w:cs="Arial"/>
          <w:i/>
          <w:szCs w:val="22"/>
        </w:rPr>
        <w:t>emtA</w:t>
      </w:r>
      <w:r w:rsidRPr="00CA543D">
        <w:rPr>
          <w:rFonts w:cs="Arial"/>
          <w:szCs w:val="22"/>
        </w:rPr>
        <w:t xml:space="preserve"> gene is located on a plasmid-borne transposable element (Mann et al., 2001) and has been detected in </w:t>
      </w:r>
      <w:r w:rsidRPr="00CA543D">
        <w:rPr>
          <w:rFonts w:cs="Arial"/>
          <w:i/>
          <w:szCs w:val="22"/>
        </w:rPr>
        <w:t>Enterococcus</w:t>
      </w:r>
      <w:r w:rsidRPr="00CA543D">
        <w:rPr>
          <w:rFonts w:cs="Arial"/>
          <w:szCs w:val="22"/>
        </w:rPr>
        <w:t xml:space="preserve"> isolates from broiler chickens, pigs and humans (Aarestrup and McNicholas 2002; Delsol et al 2005). Horizontal gene transfer of the </w:t>
      </w:r>
      <w:r w:rsidRPr="00CA543D">
        <w:rPr>
          <w:rFonts w:cs="Arial"/>
          <w:i/>
          <w:szCs w:val="22"/>
        </w:rPr>
        <w:t>emtA</w:t>
      </w:r>
      <w:r w:rsidRPr="00CA543D">
        <w:rPr>
          <w:rFonts w:cs="Arial"/>
          <w:szCs w:val="22"/>
        </w:rPr>
        <w:t xml:space="preserve"> gene has been documented in laboratory studies of poultry and human isolates, whereby resistance was transferred </w:t>
      </w:r>
      <w:r w:rsidRPr="00CA543D">
        <w:rPr>
          <w:rFonts w:cs="Arial"/>
          <w:i/>
          <w:szCs w:val="22"/>
        </w:rPr>
        <w:t>in vitro</w:t>
      </w:r>
      <w:r w:rsidRPr="00CA543D">
        <w:rPr>
          <w:rFonts w:cs="Arial"/>
          <w:szCs w:val="22"/>
        </w:rPr>
        <w:t xml:space="preserve"> to previously susceptible </w:t>
      </w:r>
      <w:r w:rsidRPr="00CA543D">
        <w:rPr>
          <w:rFonts w:cs="Arial"/>
          <w:i/>
          <w:szCs w:val="22"/>
        </w:rPr>
        <w:t>E. faecium</w:t>
      </w:r>
      <w:r w:rsidRPr="00CA543D">
        <w:rPr>
          <w:rFonts w:cs="Arial"/>
          <w:szCs w:val="22"/>
        </w:rPr>
        <w:t xml:space="preserve"> isolates (Aarestrup and McNicholas 2002). The study of Aarestrup and McNicholas (2002) found no co-transfer of resistance determinants to bacitracin, chloramphenicol, erythromycin, gentamicin, kanamycin, penicillin, streptomycin, quinupristindalfopristin, tetracycline, and vancomycin with plasmids containing </w:t>
      </w:r>
      <w:r w:rsidRPr="00CA543D">
        <w:rPr>
          <w:rFonts w:cs="Arial"/>
          <w:i/>
          <w:szCs w:val="22"/>
        </w:rPr>
        <w:t>emtA</w:t>
      </w:r>
      <w:r w:rsidRPr="00CA543D">
        <w:rPr>
          <w:rFonts w:cs="Arial"/>
          <w:szCs w:val="22"/>
        </w:rPr>
        <w:t>. No data could be identified that shows avilamycin resistance determinants are co-located on mobile genetic elements (MGE) associated with resistance to antib</w:t>
      </w:r>
      <w:r w:rsidR="001C0D98">
        <w:rPr>
          <w:rFonts w:cs="Arial"/>
          <w:szCs w:val="22"/>
        </w:rPr>
        <w:t>iotics important for human use.</w:t>
      </w:r>
    </w:p>
    <w:p w14:paraId="5147E361" w14:textId="77777777" w:rsidR="003B0439" w:rsidRPr="00CA543D" w:rsidRDefault="003B0439" w:rsidP="003B0439">
      <w:pPr>
        <w:rPr>
          <w:rFonts w:cs="Arial"/>
          <w:szCs w:val="22"/>
        </w:rPr>
      </w:pPr>
    </w:p>
    <w:p w14:paraId="4DEADB6D" w14:textId="3C6634F7" w:rsidR="003B0439" w:rsidRPr="00CA543D" w:rsidRDefault="003B0439" w:rsidP="003B0439">
      <w:pPr>
        <w:rPr>
          <w:rFonts w:cs="Arial"/>
          <w:szCs w:val="22"/>
        </w:rPr>
      </w:pPr>
      <w:r w:rsidRPr="00CA543D">
        <w:rPr>
          <w:rFonts w:cs="Arial"/>
          <w:szCs w:val="22"/>
        </w:rPr>
        <w:t xml:space="preserve">Inclusion of avilamycin in feed selects for avilamycin resistance in the native enterococci population of pigs (Delsol et al 2005). In the Delsol et al. (2005) study, treatment and control pigs were inoculated with </w:t>
      </w:r>
      <w:r w:rsidRPr="00CA543D">
        <w:rPr>
          <w:rFonts w:cs="Arial"/>
          <w:i/>
          <w:szCs w:val="22"/>
        </w:rPr>
        <w:t>Salmonella</w:t>
      </w:r>
      <w:r w:rsidRPr="00CA543D">
        <w:rPr>
          <w:rFonts w:cs="Arial"/>
          <w:szCs w:val="22"/>
        </w:rPr>
        <w:t xml:space="preserve"> Typhimurium DT104 and the treatment group fed </w:t>
      </w:r>
      <w:r w:rsidRPr="00CA543D">
        <w:rPr>
          <w:rFonts w:cs="Arial"/>
          <w:i/>
          <w:szCs w:val="22"/>
        </w:rPr>
        <w:t>ad libitum</w:t>
      </w:r>
      <w:r w:rsidRPr="00CA543D">
        <w:rPr>
          <w:rFonts w:cs="Arial"/>
          <w:szCs w:val="22"/>
        </w:rPr>
        <w:t xml:space="preserve"> with feed supplemented with avilamycin at 100 mg/kg; the control group was fed the same feed mix without avilamycin. Avilamycin resistant </w:t>
      </w:r>
      <w:r w:rsidRPr="00CA543D">
        <w:rPr>
          <w:rFonts w:cs="Arial"/>
          <w:i/>
          <w:szCs w:val="22"/>
        </w:rPr>
        <w:t>Enterococci</w:t>
      </w:r>
      <w:r w:rsidRPr="00CA543D">
        <w:rPr>
          <w:rFonts w:cs="Arial"/>
          <w:szCs w:val="22"/>
        </w:rPr>
        <w:t xml:space="preserve"> isolates were first detected in the treatment group 33 days after treatment commenced and all isolates were resistant after 82 days of treatment. No resistant </w:t>
      </w:r>
      <w:r w:rsidRPr="00CA543D">
        <w:rPr>
          <w:rFonts w:cs="Arial"/>
          <w:i/>
          <w:szCs w:val="22"/>
        </w:rPr>
        <w:t>Enterococci</w:t>
      </w:r>
      <w:r w:rsidRPr="00CA543D">
        <w:rPr>
          <w:rFonts w:cs="Arial"/>
          <w:szCs w:val="22"/>
        </w:rPr>
        <w:t xml:space="preserve"> were detected in the control pigs. In all isolates with high level resistance to avilamycin (MIC≥32 mg/L), the </w:t>
      </w:r>
      <w:r w:rsidRPr="00CA543D">
        <w:rPr>
          <w:rFonts w:cs="Arial"/>
          <w:i/>
          <w:szCs w:val="22"/>
        </w:rPr>
        <w:t>emtA</w:t>
      </w:r>
      <w:r w:rsidRPr="00CA543D">
        <w:rPr>
          <w:rFonts w:cs="Arial"/>
          <w:szCs w:val="22"/>
        </w:rPr>
        <w:t xml:space="preserve"> gene was detected. No avilamycin resistant </w:t>
      </w:r>
      <w:r w:rsidRPr="00CA543D">
        <w:rPr>
          <w:rFonts w:cs="Arial"/>
          <w:i/>
          <w:szCs w:val="22"/>
        </w:rPr>
        <w:t xml:space="preserve">Enterococci </w:t>
      </w:r>
      <w:r w:rsidRPr="00CA543D">
        <w:rPr>
          <w:rFonts w:cs="Arial"/>
          <w:szCs w:val="22"/>
        </w:rPr>
        <w:t xml:space="preserve">isolates were detected in the treatment pigs 2 weeks after ceasing the treatment, indicating transient resistance and an inability of the resistant isolates to outcompete susceptible isolates in the absence of selection pressure (Delsol et al 2005). No changes in the </w:t>
      </w:r>
      <w:r w:rsidRPr="00CA543D">
        <w:rPr>
          <w:rFonts w:cs="Arial"/>
          <w:i/>
          <w:szCs w:val="22"/>
        </w:rPr>
        <w:t xml:space="preserve">Salmonella </w:t>
      </w:r>
      <w:r w:rsidRPr="00CA543D">
        <w:rPr>
          <w:rFonts w:cs="Arial"/>
          <w:szCs w:val="22"/>
        </w:rPr>
        <w:t xml:space="preserve">and </w:t>
      </w:r>
      <w:r w:rsidRPr="00CA543D">
        <w:rPr>
          <w:rFonts w:cs="Arial"/>
          <w:i/>
          <w:szCs w:val="22"/>
        </w:rPr>
        <w:t>Campylobacter</w:t>
      </w:r>
      <w:r w:rsidRPr="00CA543D">
        <w:rPr>
          <w:rFonts w:cs="Arial"/>
          <w:szCs w:val="22"/>
        </w:rPr>
        <w:t xml:space="preserve"> populations of the treatment and control groups were det</w:t>
      </w:r>
      <w:r w:rsidR="001C0D98">
        <w:rPr>
          <w:rFonts w:cs="Arial"/>
          <w:szCs w:val="22"/>
        </w:rPr>
        <w:t>ected during or post-treatment.</w:t>
      </w:r>
    </w:p>
    <w:p w14:paraId="45F0C09C" w14:textId="77777777" w:rsidR="003B0439" w:rsidRPr="00CA543D" w:rsidRDefault="003B0439" w:rsidP="003B0439">
      <w:pPr>
        <w:rPr>
          <w:rFonts w:cs="Arial"/>
          <w:szCs w:val="22"/>
        </w:rPr>
      </w:pPr>
    </w:p>
    <w:p w14:paraId="0F25AA92" w14:textId="77777777" w:rsidR="00E74C7D" w:rsidRDefault="003B0439" w:rsidP="003B0439">
      <w:pPr>
        <w:rPr>
          <w:rFonts w:cs="Arial"/>
          <w:szCs w:val="22"/>
        </w:rPr>
      </w:pPr>
      <w:r w:rsidRPr="00CA543D">
        <w:rPr>
          <w:rFonts w:cs="Arial"/>
          <w:szCs w:val="22"/>
        </w:rPr>
        <w:t xml:space="preserve">All </w:t>
      </w:r>
      <w:r w:rsidRPr="00CA543D">
        <w:rPr>
          <w:rFonts w:cs="Arial"/>
          <w:i/>
          <w:szCs w:val="22"/>
        </w:rPr>
        <w:t>E. coli</w:t>
      </w:r>
      <w:r w:rsidRPr="00CA543D">
        <w:rPr>
          <w:rFonts w:cs="Arial"/>
          <w:szCs w:val="22"/>
        </w:rPr>
        <w:t xml:space="preserve"> isolates in the Delsol et al. (2005) study were intrinsically resistant to avilamycin. However, avilamycin indirectly effected the enteric </w:t>
      </w:r>
      <w:r w:rsidRPr="00CA543D">
        <w:rPr>
          <w:rFonts w:cs="Arial"/>
          <w:i/>
          <w:szCs w:val="22"/>
        </w:rPr>
        <w:t xml:space="preserve">E. coli </w:t>
      </w:r>
      <w:r w:rsidRPr="00CA543D">
        <w:rPr>
          <w:rFonts w:cs="Arial"/>
          <w:szCs w:val="22"/>
        </w:rPr>
        <w:t xml:space="preserve">population whereby the </w:t>
      </w:r>
      <w:r w:rsidRPr="00CA543D">
        <w:rPr>
          <w:rFonts w:cs="Arial"/>
          <w:i/>
          <w:szCs w:val="22"/>
        </w:rPr>
        <w:t>tetB</w:t>
      </w:r>
      <w:r w:rsidRPr="00CA543D">
        <w:rPr>
          <w:rFonts w:cs="Arial"/>
          <w:szCs w:val="22"/>
        </w:rPr>
        <w:t xml:space="preserve"> gene, which encodes for an efflux pump with high affinity for tetracycline, was dominant in tetracycline resistant </w:t>
      </w:r>
      <w:r w:rsidRPr="00CA543D">
        <w:rPr>
          <w:rFonts w:cs="Arial"/>
          <w:i/>
          <w:szCs w:val="22"/>
        </w:rPr>
        <w:t>E. coli</w:t>
      </w:r>
      <w:r w:rsidRPr="00CA543D">
        <w:rPr>
          <w:rFonts w:cs="Arial"/>
          <w:szCs w:val="22"/>
        </w:rPr>
        <w:t xml:space="preserve"> isolates both during and post-treatment (Delsol et al 2005). This was not seen in the untreated control pigs, where the </w:t>
      </w:r>
      <w:r w:rsidRPr="00CA543D">
        <w:rPr>
          <w:rFonts w:cs="Arial"/>
          <w:i/>
          <w:szCs w:val="22"/>
        </w:rPr>
        <w:t>tetA</w:t>
      </w:r>
      <w:r w:rsidRPr="00CA543D">
        <w:rPr>
          <w:rFonts w:cs="Arial"/>
          <w:szCs w:val="22"/>
        </w:rPr>
        <w:t xml:space="preserve"> resistance gene dominated the resistant population (Delsol et al 2005). Furthermore the proportion of highly resistant tetracycline resistant </w:t>
      </w:r>
      <w:r w:rsidRPr="00CA543D">
        <w:rPr>
          <w:rFonts w:cs="Arial"/>
          <w:i/>
          <w:szCs w:val="22"/>
        </w:rPr>
        <w:t>E. coli</w:t>
      </w:r>
      <w:r w:rsidRPr="00CA543D">
        <w:rPr>
          <w:rFonts w:cs="Arial"/>
          <w:szCs w:val="22"/>
        </w:rPr>
        <w:t xml:space="preserve"> in the avilamycin treatment group was 76% of isolates after 62 days. At no time point during the 4 month trial did the proportion of tetracycline resistant </w:t>
      </w:r>
      <w:r w:rsidRPr="00CA543D">
        <w:rPr>
          <w:rFonts w:cs="Arial"/>
          <w:i/>
          <w:szCs w:val="22"/>
        </w:rPr>
        <w:t>E. coli</w:t>
      </w:r>
      <w:r w:rsidRPr="00CA543D">
        <w:rPr>
          <w:rFonts w:cs="Arial"/>
          <w:szCs w:val="22"/>
        </w:rPr>
        <w:t xml:space="preserve"> isolates in the control group of pigs exceed 20%. </w:t>
      </w:r>
      <w:r w:rsidR="00E74C7D">
        <w:rPr>
          <w:rFonts w:cs="Arial"/>
          <w:szCs w:val="22"/>
        </w:rPr>
        <w:br w:type="page"/>
      </w:r>
    </w:p>
    <w:p w14:paraId="4019FC9C" w14:textId="0E1D251E" w:rsidR="003B0439" w:rsidRPr="00CA543D" w:rsidRDefault="003B0439" w:rsidP="003B0439">
      <w:pPr>
        <w:rPr>
          <w:rFonts w:cs="Arial"/>
          <w:szCs w:val="22"/>
        </w:rPr>
      </w:pPr>
      <w:r w:rsidRPr="00CA543D">
        <w:rPr>
          <w:rFonts w:cs="Arial"/>
          <w:szCs w:val="22"/>
        </w:rPr>
        <w:lastRenderedPageBreak/>
        <w:t xml:space="preserve">This increase in resistance to tetracycline was determined to be due to a dominant </w:t>
      </w:r>
      <w:r w:rsidRPr="00CA543D">
        <w:rPr>
          <w:rFonts w:cs="Arial"/>
          <w:i/>
          <w:szCs w:val="22"/>
        </w:rPr>
        <w:t xml:space="preserve">E. coli </w:t>
      </w:r>
      <w:r w:rsidRPr="00CA543D">
        <w:rPr>
          <w:rFonts w:cs="Arial"/>
          <w:szCs w:val="22"/>
        </w:rPr>
        <w:t xml:space="preserve">clone in the treatment group containing the </w:t>
      </w:r>
      <w:r w:rsidRPr="00CA543D">
        <w:rPr>
          <w:rFonts w:cs="Arial"/>
          <w:i/>
          <w:szCs w:val="22"/>
        </w:rPr>
        <w:t>tetB</w:t>
      </w:r>
      <w:r w:rsidRPr="00CA543D">
        <w:rPr>
          <w:rFonts w:cs="Arial"/>
          <w:szCs w:val="22"/>
        </w:rPr>
        <w:t xml:space="preserve"> gene (Delsol et al 2005). The mechanism of clonal selection for </w:t>
      </w:r>
      <w:r w:rsidRPr="00CA543D">
        <w:rPr>
          <w:rFonts w:cs="Arial"/>
          <w:i/>
          <w:szCs w:val="22"/>
        </w:rPr>
        <w:t>tetB</w:t>
      </w:r>
      <w:r w:rsidRPr="00CA543D">
        <w:rPr>
          <w:rFonts w:cs="Arial"/>
          <w:szCs w:val="22"/>
        </w:rPr>
        <w:t xml:space="preserve"> in the enteric </w:t>
      </w:r>
      <w:r w:rsidRPr="00CA543D">
        <w:rPr>
          <w:rFonts w:cs="Arial"/>
          <w:i/>
          <w:szCs w:val="22"/>
        </w:rPr>
        <w:t>E. coli</w:t>
      </w:r>
      <w:r w:rsidRPr="00CA543D">
        <w:rPr>
          <w:rFonts w:cs="Arial"/>
          <w:szCs w:val="22"/>
        </w:rPr>
        <w:t xml:space="preserve"> population was not determined. There were no changes in the </w:t>
      </w:r>
      <w:r w:rsidRPr="00CA543D">
        <w:rPr>
          <w:rFonts w:cs="Arial"/>
          <w:i/>
          <w:szCs w:val="22"/>
        </w:rPr>
        <w:t>E. coli</w:t>
      </w:r>
      <w:r w:rsidRPr="00CA543D">
        <w:rPr>
          <w:rFonts w:cs="Arial"/>
          <w:szCs w:val="22"/>
        </w:rPr>
        <w:t xml:space="preserve"> population for susceptibility to avilamycin, nalidixic acid, chloramphenicol, erythromycin, trimethoprim, ampicillin, and cyclohexane before, during and post-treatment (Delsol et al 2005).</w:t>
      </w:r>
    </w:p>
    <w:p w14:paraId="3FFCC1A4" w14:textId="77777777" w:rsidR="003B0439" w:rsidRPr="00CA543D" w:rsidRDefault="003B0439" w:rsidP="003B0439">
      <w:pPr>
        <w:rPr>
          <w:rFonts w:cs="Arial"/>
          <w:szCs w:val="22"/>
        </w:rPr>
      </w:pPr>
    </w:p>
    <w:p w14:paraId="5E9D89AB" w14:textId="77777777" w:rsidR="003B0439" w:rsidRPr="00CA543D" w:rsidRDefault="003B0439" w:rsidP="003B0439">
      <w:pPr>
        <w:rPr>
          <w:rFonts w:cs="Arial"/>
          <w:szCs w:val="22"/>
        </w:rPr>
      </w:pPr>
      <w:r w:rsidRPr="00CA543D">
        <w:rPr>
          <w:rFonts w:cs="Arial"/>
          <w:szCs w:val="22"/>
        </w:rPr>
        <w:t>Tetracycline is used in human medicine in Australia and is designated as being of low importance due to the number of alternative agents in different classes available to treat most infections even if antibacterial resistance develops (ASTAG 2015).</w:t>
      </w:r>
    </w:p>
    <w:p w14:paraId="5CB73DD6" w14:textId="77777777" w:rsidR="003B0439" w:rsidRPr="00CA543D" w:rsidRDefault="003B0439" w:rsidP="003B0439">
      <w:pPr>
        <w:rPr>
          <w:rFonts w:cs="Arial"/>
          <w:szCs w:val="22"/>
        </w:rPr>
      </w:pPr>
    </w:p>
    <w:p w14:paraId="7CCC16FA" w14:textId="73DBFE15" w:rsidR="003B0439" w:rsidRPr="00CA543D" w:rsidRDefault="003B0439" w:rsidP="003B0439">
      <w:pPr>
        <w:rPr>
          <w:rFonts w:cs="Arial"/>
          <w:szCs w:val="22"/>
        </w:rPr>
      </w:pPr>
      <w:r w:rsidRPr="00CA543D">
        <w:rPr>
          <w:rFonts w:cs="Arial"/>
          <w:szCs w:val="22"/>
        </w:rPr>
        <w:t xml:space="preserve">The use of avilamycin in pig and poultry feed has not been associated with clonal selection of </w:t>
      </w:r>
      <w:r w:rsidRPr="00CA543D">
        <w:rPr>
          <w:rFonts w:cs="Arial"/>
          <w:i/>
          <w:szCs w:val="22"/>
        </w:rPr>
        <w:t xml:space="preserve">Enterococci isolates </w:t>
      </w:r>
      <w:r w:rsidRPr="00CA543D">
        <w:rPr>
          <w:rFonts w:cs="Arial"/>
          <w:szCs w:val="22"/>
        </w:rPr>
        <w:t xml:space="preserve">resistant to antibiotics used in human medicine. In a study of antibiotic resistant </w:t>
      </w:r>
      <w:r w:rsidRPr="00CA543D">
        <w:rPr>
          <w:rFonts w:cs="Arial"/>
          <w:i/>
          <w:szCs w:val="22"/>
        </w:rPr>
        <w:t>Enterococci</w:t>
      </w:r>
      <w:r w:rsidRPr="00CA543D">
        <w:rPr>
          <w:rFonts w:cs="Arial"/>
          <w:szCs w:val="22"/>
        </w:rPr>
        <w:t xml:space="preserve"> in New Zealand broilers, where </w:t>
      </w:r>
      <w:r w:rsidR="00910D97" w:rsidRPr="00CA543D">
        <w:rPr>
          <w:rFonts w:cs="Arial"/>
          <w:szCs w:val="22"/>
        </w:rPr>
        <w:t>avilamycin</w:t>
      </w:r>
      <w:r w:rsidRPr="00CA543D">
        <w:rPr>
          <w:rFonts w:cs="Arial"/>
          <w:szCs w:val="22"/>
        </w:rPr>
        <w:t xml:space="preserve"> was used by producers as a growth promoter, the proportion of avilamycin resistant isolates was similar in vancomycin resistant and susceptible </w:t>
      </w:r>
      <w:r w:rsidRPr="00CA543D">
        <w:rPr>
          <w:rFonts w:cs="Arial"/>
          <w:i/>
          <w:szCs w:val="22"/>
        </w:rPr>
        <w:t>Enterococci</w:t>
      </w:r>
      <w:r w:rsidRPr="00CA543D">
        <w:rPr>
          <w:rFonts w:cs="Arial"/>
          <w:szCs w:val="22"/>
        </w:rPr>
        <w:t xml:space="preserve"> populations, indicating that avilamycin was not selecting for vancomycin resistance (Manson et al 2004). These data together with data that shows </w:t>
      </w:r>
      <w:r w:rsidRPr="00CA543D">
        <w:rPr>
          <w:rFonts w:cs="Arial"/>
          <w:i/>
          <w:szCs w:val="22"/>
        </w:rPr>
        <w:t>emtA</w:t>
      </w:r>
      <w:r w:rsidRPr="00CA543D">
        <w:rPr>
          <w:rFonts w:cs="Arial"/>
          <w:szCs w:val="22"/>
        </w:rPr>
        <w:t xml:space="preserve"> is not co-transferred with other resistance determinants (Aarestrup and McNicholas 2002), indicates it is unlikely that pigs exposed to avilamycin</w:t>
      </w:r>
      <w:r w:rsidR="00154676">
        <w:rPr>
          <w:rFonts w:cs="Arial"/>
          <w:szCs w:val="22"/>
        </w:rPr>
        <w:t>, compared to pigs not exposed,</w:t>
      </w:r>
      <w:r w:rsidRPr="00CA543D">
        <w:rPr>
          <w:rFonts w:cs="Arial"/>
          <w:szCs w:val="22"/>
        </w:rPr>
        <w:t xml:space="preserve"> will be more likely to harbour </w:t>
      </w:r>
      <w:r w:rsidRPr="00CA543D">
        <w:rPr>
          <w:rFonts w:cs="Arial"/>
          <w:i/>
          <w:szCs w:val="22"/>
        </w:rPr>
        <w:t xml:space="preserve">Enterococci </w:t>
      </w:r>
      <w:r w:rsidRPr="00CA543D">
        <w:rPr>
          <w:rFonts w:cs="Arial"/>
          <w:szCs w:val="22"/>
        </w:rPr>
        <w:t>containing resistance determinants for clinically important antibiotics.</w:t>
      </w:r>
    </w:p>
    <w:p w14:paraId="0A3AF35E" w14:textId="57050E61" w:rsidR="003B0439" w:rsidRPr="00A9531E" w:rsidRDefault="000402AD" w:rsidP="00910D97">
      <w:pPr>
        <w:pStyle w:val="Heading2"/>
      </w:pPr>
      <w:bookmarkStart w:id="20" w:name="_Toc472332828"/>
      <w:r>
        <w:t>2.4</w:t>
      </w:r>
      <w:r>
        <w:tab/>
      </w:r>
      <w:r w:rsidR="003B0439" w:rsidRPr="00A9531E">
        <w:t>Conclusion</w:t>
      </w:r>
      <w:bookmarkEnd w:id="20"/>
    </w:p>
    <w:p w14:paraId="12971100" w14:textId="043BB46A" w:rsidR="003B0439" w:rsidRDefault="003B0439" w:rsidP="003B0439">
      <w:pPr>
        <w:rPr>
          <w:rFonts w:cs="Arial"/>
          <w:szCs w:val="22"/>
        </w:rPr>
      </w:pPr>
      <w:r w:rsidRPr="00CA543D">
        <w:rPr>
          <w:rFonts w:cs="Arial"/>
          <w:szCs w:val="22"/>
        </w:rPr>
        <w:t>The available data indicates that it is highly unlikely for avilamycin residues in edible pork products to have a disruptive effect on the colonisation barrier of consumers or select for antimicrobial resistance. Neither avilamycin nor evernimicin are used in</w:t>
      </w:r>
      <w:r w:rsidRPr="00A9531E">
        <w:rPr>
          <w:rFonts w:cs="Arial"/>
        </w:rPr>
        <w:t xml:space="preserve"> </w:t>
      </w:r>
      <w:r w:rsidRPr="00CA543D">
        <w:rPr>
          <w:rFonts w:cs="Arial"/>
          <w:szCs w:val="22"/>
        </w:rPr>
        <w:t xml:space="preserve">human medicine and no cross-resistance or co-resistance to other antibiotics used in veterinary or human medicine </w:t>
      </w:r>
      <w:proofErr w:type="gramStart"/>
      <w:r w:rsidRPr="00CA543D">
        <w:rPr>
          <w:rFonts w:cs="Arial"/>
          <w:szCs w:val="22"/>
        </w:rPr>
        <w:t>have</w:t>
      </w:r>
      <w:proofErr w:type="gramEnd"/>
      <w:r w:rsidRPr="00CA543D">
        <w:rPr>
          <w:rFonts w:cs="Arial"/>
          <w:szCs w:val="22"/>
        </w:rPr>
        <w:t xml:space="preserve"> been identified. FSANZ concludes that an avilamycin MRL of 0.2 mg/kg on selected pork products and 0.3 mg/kg for pig liver present</w:t>
      </w:r>
      <w:r w:rsidR="00977846">
        <w:rPr>
          <w:rFonts w:cs="Arial"/>
          <w:szCs w:val="22"/>
        </w:rPr>
        <w:t>s</w:t>
      </w:r>
      <w:r w:rsidRPr="00CA543D">
        <w:rPr>
          <w:rFonts w:cs="Arial"/>
          <w:szCs w:val="22"/>
        </w:rPr>
        <w:t xml:space="preserve"> </w:t>
      </w:r>
      <w:r w:rsidR="00977846">
        <w:rPr>
          <w:rFonts w:cs="Arial"/>
          <w:szCs w:val="22"/>
        </w:rPr>
        <w:t>negligible</w:t>
      </w:r>
      <w:r w:rsidR="00977846" w:rsidRPr="00CA543D">
        <w:rPr>
          <w:rFonts w:cs="Arial"/>
          <w:szCs w:val="22"/>
        </w:rPr>
        <w:t xml:space="preserve"> </w:t>
      </w:r>
      <w:r w:rsidRPr="00CA543D">
        <w:rPr>
          <w:rFonts w:cs="Arial"/>
          <w:szCs w:val="22"/>
        </w:rPr>
        <w:t xml:space="preserve">risk to consumers for the development of resistance to antimicrobials </w:t>
      </w:r>
      <w:r w:rsidR="004A5526">
        <w:rPr>
          <w:rFonts w:cs="Arial"/>
          <w:szCs w:val="22"/>
        </w:rPr>
        <w:t>used in human medicine.</w:t>
      </w:r>
      <w:r w:rsidR="00FB20FA">
        <w:rPr>
          <w:rFonts w:cs="Arial"/>
          <w:szCs w:val="22"/>
        </w:rPr>
        <w:t xml:space="preserve"> </w:t>
      </w:r>
      <w:r w:rsidR="00FB20FA" w:rsidRPr="00FB20FA">
        <w:rPr>
          <w:rFonts w:cs="Arial"/>
          <w:szCs w:val="22"/>
        </w:rPr>
        <w:t>The microbiological risk assessment was provided to the Australian Strategic and Technical Advisory Group on Antimicrobial Resistance (ASTAG) for expert review. ASTAG</w:t>
      </w:r>
      <w:r w:rsidR="00537ED7">
        <w:rPr>
          <w:rFonts w:cs="Arial"/>
          <w:szCs w:val="22"/>
        </w:rPr>
        <w:t>,</w:t>
      </w:r>
      <w:r w:rsidR="00FB20FA" w:rsidRPr="00FB20FA">
        <w:rPr>
          <w:rFonts w:cs="Arial"/>
          <w:szCs w:val="22"/>
        </w:rPr>
        <w:t xml:space="preserve"> together with the Department of Health and the Department of Agriculture and Water Resources, agreed with FSANZ</w:t>
      </w:r>
      <w:r w:rsidR="00F30449">
        <w:rPr>
          <w:rFonts w:cs="Arial"/>
          <w:szCs w:val="22"/>
        </w:rPr>
        <w:t>’</w:t>
      </w:r>
      <w:r w:rsidR="00FB20FA" w:rsidRPr="00FB20FA">
        <w:rPr>
          <w:rFonts w:cs="Arial"/>
          <w:szCs w:val="22"/>
        </w:rPr>
        <w:t>s conclusion.</w:t>
      </w:r>
    </w:p>
    <w:p w14:paraId="1089A051" w14:textId="77777777" w:rsidR="00910D97" w:rsidRPr="00CA543D" w:rsidRDefault="00910D97" w:rsidP="003B0439">
      <w:pPr>
        <w:rPr>
          <w:rFonts w:cs="Arial"/>
          <w:szCs w:val="22"/>
        </w:rPr>
      </w:pPr>
    </w:p>
    <w:p w14:paraId="2476CBF4" w14:textId="63C412D4" w:rsidR="003B0439" w:rsidRPr="00A9531E" w:rsidRDefault="002C5669" w:rsidP="002C5669">
      <w:pPr>
        <w:pStyle w:val="Heading1"/>
      </w:pPr>
      <w:bookmarkStart w:id="21" w:name="_Toc472332829"/>
      <w:r>
        <w:t>3</w:t>
      </w:r>
      <w:r w:rsidR="00910D97">
        <w:tab/>
      </w:r>
      <w:r w:rsidR="003B0439" w:rsidRPr="00A9531E">
        <w:t>References</w:t>
      </w:r>
      <w:bookmarkEnd w:id="21"/>
    </w:p>
    <w:p w14:paraId="54F4F664" w14:textId="77777777" w:rsidR="00294633" w:rsidRPr="00910D97" w:rsidRDefault="00294633" w:rsidP="00294633">
      <w:pPr>
        <w:rPr>
          <w:rFonts w:cs="Arial"/>
          <w:sz w:val="20"/>
          <w:szCs w:val="22"/>
        </w:rPr>
      </w:pPr>
      <w:r w:rsidRPr="00910D97">
        <w:rPr>
          <w:rFonts w:cs="Arial"/>
          <w:sz w:val="20"/>
          <w:szCs w:val="22"/>
        </w:rPr>
        <w:t>Aarestrup FM and Jensen LB (2000) Presence of variations in ribosomal protein L16 corresponding to susceptibility of enterococci to oligosaccharides (Avilamycin and evernimicin). Antimicrob Agents Chemother 44(12):3425-7.</w:t>
      </w:r>
    </w:p>
    <w:p w14:paraId="549D336B" w14:textId="77777777" w:rsidR="00294633" w:rsidRPr="00910D97" w:rsidRDefault="00294633" w:rsidP="00294633">
      <w:pPr>
        <w:rPr>
          <w:rFonts w:cs="Arial"/>
          <w:sz w:val="20"/>
          <w:szCs w:val="22"/>
        </w:rPr>
      </w:pPr>
    </w:p>
    <w:p w14:paraId="2DCA6896" w14:textId="77777777" w:rsidR="00294633" w:rsidRPr="00910D97" w:rsidRDefault="00294633" w:rsidP="00294633">
      <w:pPr>
        <w:rPr>
          <w:rFonts w:cs="Arial"/>
          <w:sz w:val="20"/>
          <w:szCs w:val="22"/>
        </w:rPr>
      </w:pPr>
      <w:proofErr w:type="gramStart"/>
      <w:r w:rsidRPr="00910D97">
        <w:rPr>
          <w:rFonts w:cs="Arial"/>
          <w:sz w:val="20"/>
          <w:szCs w:val="22"/>
        </w:rPr>
        <w:t>Aarestrup FM and McNicholas PM (2002) Incidence of high-level evernimicin resistance in Enterococcus faecium among food animals and humans.</w:t>
      </w:r>
      <w:proofErr w:type="gramEnd"/>
      <w:r w:rsidRPr="00910D97">
        <w:rPr>
          <w:rFonts w:cs="Arial"/>
          <w:sz w:val="20"/>
          <w:szCs w:val="22"/>
        </w:rPr>
        <w:t xml:space="preserve"> Antimicrob Agents Chemother 46(9):3088-90.</w:t>
      </w:r>
    </w:p>
    <w:p w14:paraId="491B1EBB" w14:textId="77777777" w:rsidR="00294633" w:rsidRPr="00910D97" w:rsidRDefault="00294633" w:rsidP="00294633">
      <w:pPr>
        <w:rPr>
          <w:rFonts w:cs="Arial"/>
          <w:sz w:val="20"/>
          <w:szCs w:val="22"/>
        </w:rPr>
      </w:pPr>
    </w:p>
    <w:p w14:paraId="2D3EE17E" w14:textId="590E3164" w:rsidR="00294633" w:rsidRDefault="00294633" w:rsidP="00294633">
      <w:pPr>
        <w:rPr>
          <w:rFonts w:cs="Arial"/>
          <w:sz w:val="20"/>
          <w:szCs w:val="22"/>
        </w:rPr>
      </w:pPr>
      <w:r w:rsidRPr="00910D97">
        <w:rPr>
          <w:rFonts w:cs="Arial"/>
          <w:sz w:val="20"/>
          <w:szCs w:val="22"/>
        </w:rPr>
        <w:t>Aarestrup FM and Tvede M (2011) Susceptibility of Clostridium difficile toward antimicrobial agents used as feed additives for food animals. Microb Drug Resist 17(1):125-7</w:t>
      </w:r>
      <w:r>
        <w:rPr>
          <w:rFonts w:cs="Arial"/>
          <w:sz w:val="20"/>
          <w:szCs w:val="22"/>
        </w:rPr>
        <w:t>.</w:t>
      </w:r>
    </w:p>
    <w:p w14:paraId="78290769" w14:textId="77777777" w:rsidR="00294633" w:rsidRDefault="00294633" w:rsidP="00294633">
      <w:pPr>
        <w:rPr>
          <w:rFonts w:cs="Arial"/>
          <w:sz w:val="20"/>
          <w:szCs w:val="22"/>
        </w:rPr>
      </w:pPr>
    </w:p>
    <w:p w14:paraId="7C7B1FBC" w14:textId="605D58EB" w:rsidR="003B0439" w:rsidRPr="00910D97" w:rsidRDefault="003B0439" w:rsidP="00294633">
      <w:pPr>
        <w:rPr>
          <w:rFonts w:cs="Arial"/>
          <w:sz w:val="20"/>
          <w:szCs w:val="22"/>
        </w:rPr>
      </w:pPr>
      <w:r w:rsidRPr="00910D97">
        <w:rPr>
          <w:rFonts w:cs="Arial"/>
          <w:sz w:val="20"/>
          <w:szCs w:val="22"/>
        </w:rPr>
        <w:t>Adrian PV, Mendrick C, Loebenberg D, McNicholas P, Shaw KJ, Klugman KP, Hare RS, Black TA (2000a) Evernimicin (SCH27899) inhibits a novel ribosome target site: analysis of 23S ribosomal DNA mutants. Antimicrob Agents Chemother 44(11):3101-6.</w:t>
      </w:r>
    </w:p>
    <w:p w14:paraId="1A7D762C" w14:textId="77777777" w:rsidR="003B0439" w:rsidRPr="00910D97" w:rsidRDefault="003B0439" w:rsidP="003B0439">
      <w:pPr>
        <w:rPr>
          <w:rFonts w:cs="Arial"/>
          <w:sz w:val="20"/>
          <w:szCs w:val="22"/>
        </w:rPr>
      </w:pPr>
    </w:p>
    <w:p w14:paraId="5A2B27A9" w14:textId="3B1B137F" w:rsidR="00E74C7D" w:rsidRDefault="003B0439" w:rsidP="003B0439">
      <w:pPr>
        <w:rPr>
          <w:rFonts w:cs="Arial"/>
          <w:sz w:val="20"/>
          <w:szCs w:val="22"/>
        </w:rPr>
      </w:pPr>
      <w:r w:rsidRPr="00910D97">
        <w:rPr>
          <w:rFonts w:cs="Arial"/>
          <w:sz w:val="20"/>
          <w:szCs w:val="22"/>
        </w:rPr>
        <w:t>Adrian PV, Zhao W, Black TA, Shaw KJ, Hare RS, Klugman KP (2000b) Mutations in ribosomal protein L16 conferring reduced susceptibility to evernimicin (SCH27899): implications for mechanism of action. Antimicrob Agents Chemother 44(3):732-8.</w:t>
      </w:r>
      <w:r w:rsidR="00E74C7D">
        <w:rPr>
          <w:rFonts w:cs="Arial"/>
          <w:sz w:val="20"/>
          <w:szCs w:val="22"/>
        </w:rPr>
        <w:br w:type="page"/>
      </w:r>
    </w:p>
    <w:p w14:paraId="32BEAF62" w14:textId="6E754252" w:rsidR="00294633" w:rsidRDefault="00294633" w:rsidP="00294633">
      <w:pPr>
        <w:rPr>
          <w:rFonts w:cs="Arial"/>
          <w:sz w:val="20"/>
          <w:szCs w:val="22"/>
        </w:rPr>
      </w:pPr>
      <w:bookmarkStart w:id="22" w:name="_GoBack"/>
      <w:bookmarkEnd w:id="22"/>
      <w:proofErr w:type="gramStart"/>
      <w:r w:rsidRPr="00910D97">
        <w:rPr>
          <w:rFonts w:cs="Arial"/>
          <w:sz w:val="20"/>
          <w:szCs w:val="22"/>
        </w:rPr>
        <w:lastRenderedPageBreak/>
        <w:t>ASTAG (2015) Importance Ratings and Summary of Antibacterial Uses in Humans in Australia, Version 1.1.</w:t>
      </w:r>
      <w:proofErr w:type="gramEnd"/>
      <w:r w:rsidRPr="00910D97">
        <w:rPr>
          <w:rFonts w:cs="Arial"/>
          <w:sz w:val="20"/>
          <w:szCs w:val="22"/>
        </w:rPr>
        <w:t xml:space="preserve"> </w:t>
      </w:r>
      <w:proofErr w:type="gramStart"/>
      <w:r w:rsidRPr="00910D97">
        <w:rPr>
          <w:rFonts w:cs="Arial"/>
          <w:sz w:val="20"/>
          <w:szCs w:val="22"/>
        </w:rPr>
        <w:t>Australian Strategic and Technical Advisory Group on AMR (ASTAG).</w:t>
      </w:r>
      <w:proofErr w:type="gramEnd"/>
      <w:r w:rsidRPr="00910D97">
        <w:rPr>
          <w:rFonts w:cs="Arial"/>
          <w:sz w:val="20"/>
          <w:szCs w:val="22"/>
        </w:rPr>
        <w:t xml:space="preserve"> </w:t>
      </w:r>
      <w:proofErr w:type="gramStart"/>
      <w:r w:rsidRPr="00910D97">
        <w:rPr>
          <w:rFonts w:cs="Arial"/>
          <w:sz w:val="20"/>
          <w:szCs w:val="22"/>
        </w:rPr>
        <w:t>Commonwealth of Australia, Department of Health, Canberra.</w:t>
      </w:r>
      <w:proofErr w:type="gramEnd"/>
    </w:p>
    <w:p w14:paraId="0ADA2976" w14:textId="77777777" w:rsidR="00294633" w:rsidRPr="00910D97" w:rsidRDefault="00294633" w:rsidP="00294633">
      <w:pPr>
        <w:rPr>
          <w:rFonts w:cs="Arial"/>
          <w:sz w:val="20"/>
          <w:szCs w:val="22"/>
        </w:rPr>
      </w:pPr>
    </w:p>
    <w:p w14:paraId="797BDC7C" w14:textId="77777777" w:rsidR="003B0439" w:rsidRPr="00910D97" w:rsidRDefault="003B0439" w:rsidP="003B0439">
      <w:pPr>
        <w:rPr>
          <w:rFonts w:cs="Arial"/>
          <w:sz w:val="20"/>
          <w:szCs w:val="22"/>
        </w:rPr>
      </w:pPr>
      <w:r w:rsidRPr="00910D97">
        <w:rPr>
          <w:rFonts w:cs="Arial"/>
          <w:sz w:val="20"/>
          <w:szCs w:val="22"/>
        </w:rPr>
        <w:t>Delsol AA, Randall L, Cooles S, Woodward MJ, Sunderland J, Roe JM (2005) Effect of the growth promoter avilamycin on emergence and persistence of antimicrobial resistance in enteric bacteria in the pig. J Appl Microbiol 98(3):564-71.</w:t>
      </w:r>
    </w:p>
    <w:p w14:paraId="1FC677E3" w14:textId="77777777" w:rsidR="003B0439" w:rsidRPr="00910D97" w:rsidRDefault="003B0439" w:rsidP="003B0439">
      <w:pPr>
        <w:rPr>
          <w:rFonts w:cs="Arial"/>
          <w:sz w:val="20"/>
          <w:szCs w:val="22"/>
        </w:rPr>
      </w:pPr>
    </w:p>
    <w:p w14:paraId="1BF1F617" w14:textId="77777777" w:rsidR="003B0439" w:rsidRPr="00910D97" w:rsidRDefault="003B0439" w:rsidP="003B0439">
      <w:pPr>
        <w:rPr>
          <w:rFonts w:cs="Arial"/>
          <w:sz w:val="20"/>
          <w:szCs w:val="22"/>
        </w:rPr>
      </w:pPr>
      <w:proofErr w:type="gramStart"/>
      <w:r w:rsidRPr="00910D97">
        <w:rPr>
          <w:rFonts w:cs="Arial"/>
          <w:sz w:val="20"/>
          <w:szCs w:val="22"/>
        </w:rPr>
        <w:t>JECFA (2009) Avilamycin.</w:t>
      </w:r>
      <w:proofErr w:type="gramEnd"/>
      <w:r w:rsidRPr="00910D97">
        <w:rPr>
          <w:rFonts w:cs="Arial"/>
          <w:sz w:val="20"/>
          <w:szCs w:val="22"/>
        </w:rPr>
        <w:t xml:space="preserve"> </w:t>
      </w:r>
      <w:proofErr w:type="gramStart"/>
      <w:r w:rsidRPr="00910D97">
        <w:rPr>
          <w:rFonts w:cs="Arial"/>
          <w:sz w:val="20"/>
          <w:szCs w:val="22"/>
        </w:rPr>
        <w:t>In. Toxicological evaluation of certain veterinary drug residues in food.</w:t>
      </w:r>
      <w:proofErr w:type="gramEnd"/>
      <w:r w:rsidRPr="00910D97">
        <w:rPr>
          <w:rFonts w:cs="Arial"/>
          <w:sz w:val="20"/>
          <w:szCs w:val="22"/>
        </w:rPr>
        <w:t xml:space="preserve"> </w:t>
      </w:r>
      <w:proofErr w:type="gramStart"/>
      <w:r w:rsidRPr="00910D97">
        <w:rPr>
          <w:rFonts w:cs="Arial"/>
          <w:sz w:val="20"/>
          <w:szCs w:val="22"/>
        </w:rPr>
        <w:t>Joint FAO/WHO Expert Committee on Food Additives (JECFA).</w:t>
      </w:r>
      <w:proofErr w:type="gramEnd"/>
      <w:r w:rsidRPr="00910D97">
        <w:rPr>
          <w:rFonts w:cs="Arial"/>
          <w:sz w:val="20"/>
          <w:szCs w:val="22"/>
        </w:rPr>
        <w:t xml:space="preserve"> </w:t>
      </w:r>
      <w:proofErr w:type="gramStart"/>
      <w:r w:rsidRPr="00910D97">
        <w:rPr>
          <w:rFonts w:cs="Arial"/>
          <w:sz w:val="20"/>
          <w:szCs w:val="22"/>
        </w:rPr>
        <w:t>World Food Additives Series 61.</w:t>
      </w:r>
      <w:proofErr w:type="gramEnd"/>
      <w:r w:rsidRPr="00910D97">
        <w:rPr>
          <w:rFonts w:cs="Arial"/>
          <w:sz w:val="20"/>
          <w:szCs w:val="22"/>
        </w:rPr>
        <w:t xml:space="preserve"> World Health Organisation, Geneva.</w:t>
      </w:r>
    </w:p>
    <w:p w14:paraId="2C7A93CB" w14:textId="77777777" w:rsidR="003B0439" w:rsidRPr="00910D97" w:rsidRDefault="003B0439" w:rsidP="003B0439">
      <w:pPr>
        <w:rPr>
          <w:rFonts w:cs="Arial"/>
          <w:sz w:val="20"/>
          <w:szCs w:val="22"/>
        </w:rPr>
      </w:pPr>
    </w:p>
    <w:p w14:paraId="75849880" w14:textId="77777777" w:rsidR="003B0439" w:rsidRPr="00910D97" w:rsidRDefault="003B0439" w:rsidP="003B0439">
      <w:pPr>
        <w:rPr>
          <w:rFonts w:cs="Arial"/>
          <w:sz w:val="20"/>
          <w:szCs w:val="22"/>
        </w:rPr>
      </w:pPr>
      <w:r w:rsidRPr="00910D97">
        <w:rPr>
          <w:rFonts w:cs="Arial"/>
          <w:sz w:val="20"/>
          <w:szCs w:val="22"/>
        </w:rPr>
        <w:t>Mann PA, Xiong L, Mankin AS, Chau AS, Mendrick CA, Najarian DJ, Cramer CA, Loebenberg D, Coates E, Murgolo NJ, Aarestrup FM, Goering RV, Black TA, Hare RS, McNicholas PM (2001) EmtA, a rRNA methyltransferase conferring high-level evernimicin resistance. Mol Microbiol 41(6):1349-56.</w:t>
      </w:r>
    </w:p>
    <w:p w14:paraId="7ADB6AD2" w14:textId="77777777" w:rsidR="003B0439" w:rsidRPr="00910D97" w:rsidRDefault="003B0439" w:rsidP="003B0439">
      <w:pPr>
        <w:rPr>
          <w:rFonts w:cs="Arial"/>
          <w:sz w:val="20"/>
          <w:szCs w:val="22"/>
        </w:rPr>
      </w:pPr>
    </w:p>
    <w:p w14:paraId="4E9DF1F3" w14:textId="77777777" w:rsidR="003B0439" w:rsidRPr="00910D97" w:rsidRDefault="003B0439" w:rsidP="003B0439">
      <w:pPr>
        <w:rPr>
          <w:rFonts w:cs="Arial"/>
          <w:sz w:val="20"/>
          <w:szCs w:val="22"/>
        </w:rPr>
      </w:pPr>
      <w:proofErr w:type="gramStart"/>
      <w:r w:rsidRPr="00910D97">
        <w:rPr>
          <w:rFonts w:cs="Arial"/>
          <w:sz w:val="20"/>
          <w:szCs w:val="22"/>
        </w:rPr>
        <w:t>Manson JM, Smith JM, Cook GM (2004) Persistence of vancomycin-resistant enterococci in New Zealand broilers after discontinuation of avoparcin use.</w:t>
      </w:r>
      <w:proofErr w:type="gramEnd"/>
      <w:r w:rsidRPr="00910D97">
        <w:rPr>
          <w:rFonts w:cs="Arial"/>
          <w:sz w:val="20"/>
          <w:szCs w:val="22"/>
        </w:rPr>
        <w:t xml:space="preserve"> Appl Environ Microbiol 70(10):5764-8.</w:t>
      </w:r>
    </w:p>
    <w:p w14:paraId="1C57D444" w14:textId="77777777" w:rsidR="003B0439" w:rsidRPr="00910D97" w:rsidRDefault="003B0439" w:rsidP="003B0439">
      <w:pPr>
        <w:rPr>
          <w:rFonts w:cs="Arial"/>
          <w:sz w:val="20"/>
          <w:szCs w:val="22"/>
        </w:rPr>
      </w:pPr>
    </w:p>
    <w:p w14:paraId="7076F823" w14:textId="77777777" w:rsidR="003B0439" w:rsidRDefault="003B0439" w:rsidP="003B0439">
      <w:pPr>
        <w:rPr>
          <w:rFonts w:cs="Arial"/>
          <w:sz w:val="20"/>
          <w:szCs w:val="22"/>
        </w:rPr>
      </w:pPr>
      <w:r w:rsidRPr="00910D97">
        <w:rPr>
          <w:rFonts w:cs="Arial"/>
          <w:sz w:val="20"/>
          <w:szCs w:val="22"/>
        </w:rPr>
        <w:t>McNicholas PM, Najarian DJ, Mann PA, Hesk D, Hare RS, Shaw KJ, Black TA (2000) Evernimicin binds exclusively to the 50S ribosomal subunit and inhibits translation in cell-free systems derived from both gram-positive and gram-negative bacteria. Antimicrob Agents Chemother 44(5):1121-6.</w:t>
      </w:r>
    </w:p>
    <w:p w14:paraId="7DABC60F" w14:textId="77777777" w:rsidR="002E741A" w:rsidRPr="00910D97" w:rsidRDefault="002E741A" w:rsidP="003B0439">
      <w:pPr>
        <w:rPr>
          <w:rFonts w:cs="Arial"/>
          <w:sz w:val="20"/>
          <w:szCs w:val="22"/>
        </w:rPr>
      </w:pPr>
    </w:p>
    <w:p w14:paraId="56E4DC28" w14:textId="34B68371" w:rsidR="003B0439" w:rsidRPr="00910D97" w:rsidRDefault="003B0439">
      <w:pPr>
        <w:rPr>
          <w:rFonts w:eastAsiaTheme="majorEastAsia" w:cs="Arial"/>
          <w:b/>
          <w:bCs/>
          <w:sz w:val="20"/>
          <w:szCs w:val="22"/>
        </w:rPr>
      </w:pPr>
      <w:r w:rsidRPr="00910D97">
        <w:rPr>
          <w:rFonts w:cs="Arial"/>
          <w:sz w:val="20"/>
          <w:szCs w:val="22"/>
        </w:rPr>
        <w:t>Treede I, Jakobsen L, Kirpekar F, Vester B, Weitnauer G, Bechthold A, Douthwaite S (2003) The avilamycin resistance determinants AviRa and AviRb methylate 23S rRNA at the guanosine 2535 base and the uridine 2479 ribose. Mol Microbiol 49(2):309-18.</w:t>
      </w:r>
      <w:bookmarkEnd w:id="14"/>
      <w:bookmarkEnd w:id="16"/>
    </w:p>
    <w:sectPr w:rsidR="003B0439" w:rsidRPr="00910D97" w:rsidSect="00E74C7D">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2E801" w14:textId="77777777" w:rsidR="004F77AA" w:rsidRDefault="004F77AA" w:rsidP="00E4283C">
      <w:r>
        <w:separator/>
      </w:r>
    </w:p>
  </w:endnote>
  <w:endnote w:type="continuationSeparator" w:id="0">
    <w:p w14:paraId="2E8DB403" w14:textId="77777777" w:rsidR="004F77AA" w:rsidRDefault="004F77AA" w:rsidP="00E4283C">
      <w:r>
        <w:continuationSeparator/>
      </w:r>
    </w:p>
  </w:endnote>
  <w:endnote w:type="continuationNotice" w:id="1">
    <w:p w14:paraId="5B125E92" w14:textId="77777777" w:rsidR="004F77AA" w:rsidRDefault="004F7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531797"/>
      <w:docPartObj>
        <w:docPartGallery w:val="Page Numbers (Bottom of Page)"/>
        <w:docPartUnique/>
      </w:docPartObj>
    </w:sdtPr>
    <w:sdtEndPr>
      <w:rPr>
        <w:rFonts w:cs="Arial"/>
        <w:noProof/>
      </w:rPr>
    </w:sdtEndPr>
    <w:sdtContent>
      <w:p w14:paraId="6B7EEC4F" w14:textId="4895B3B3" w:rsidR="001F6D76" w:rsidRDefault="001F6D76" w:rsidP="00910D97">
        <w:pPr>
          <w:pStyle w:val="Footer"/>
          <w:jc w:val="center"/>
        </w:pPr>
        <w:r w:rsidRPr="00595763">
          <w:rPr>
            <w:rFonts w:cs="Arial"/>
          </w:rPr>
          <w:fldChar w:fldCharType="begin"/>
        </w:r>
        <w:r w:rsidRPr="00595763">
          <w:rPr>
            <w:rFonts w:cs="Arial"/>
          </w:rPr>
          <w:instrText xml:space="preserve"> PAGE   \* MERGEFORMAT </w:instrText>
        </w:r>
        <w:r w:rsidRPr="00595763">
          <w:rPr>
            <w:rFonts w:cs="Arial"/>
          </w:rPr>
          <w:fldChar w:fldCharType="separate"/>
        </w:r>
        <w:r w:rsidR="00275516">
          <w:rPr>
            <w:rFonts w:cs="Arial"/>
            <w:noProof/>
          </w:rPr>
          <w:t>7</w:t>
        </w:r>
        <w:r w:rsidRPr="00595763">
          <w:rPr>
            <w:rFonts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6AF64" w14:textId="77777777" w:rsidR="004F77AA" w:rsidRDefault="004F77AA" w:rsidP="00E4283C">
      <w:r>
        <w:separator/>
      </w:r>
    </w:p>
  </w:footnote>
  <w:footnote w:type="continuationSeparator" w:id="0">
    <w:p w14:paraId="710B1A78" w14:textId="77777777" w:rsidR="004F77AA" w:rsidRDefault="004F77AA" w:rsidP="00E4283C">
      <w:r>
        <w:continuationSeparator/>
      </w:r>
    </w:p>
  </w:footnote>
  <w:footnote w:type="continuationNotice" w:id="1">
    <w:p w14:paraId="66AF52D7" w14:textId="77777777" w:rsidR="004F77AA" w:rsidRDefault="004F77AA"/>
  </w:footnote>
  <w:footnote w:id="2">
    <w:p w14:paraId="3A529E76" w14:textId="624F82C9" w:rsidR="001F6D76" w:rsidRPr="00910D97" w:rsidRDefault="001F6D76">
      <w:pPr>
        <w:pStyle w:val="FootnoteText"/>
        <w:rPr>
          <w:lang w:val="en-AU"/>
        </w:rPr>
      </w:pPr>
      <w:r>
        <w:rPr>
          <w:rStyle w:val="FootnoteReference"/>
        </w:rPr>
        <w:footnoteRef/>
      </w:r>
      <w:r>
        <w:t xml:space="preserve"> </w:t>
      </w:r>
      <w:hyperlink r:id="rId1" w:history="1">
        <w:r w:rsidRPr="00777BF6">
          <w:rPr>
            <w:rStyle w:val="Hyperlink"/>
          </w:rPr>
          <w:t>http://www.foodstandards.gov.au/science/exposure/Pages/dietaryexposureandin4438.aspx</w:t>
        </w:r>
      </w:hyperlink>
    </w:p>
  </w:footnote>
  <w:footnote w:id="3">
    <w:p w14:paraId="713F92D7" w14:textId="77777777" w:rsidR="001F6D76" w:rsidRPr="001F3156" w:rsidRDefault="001F6D76" w:rsidP="009E0592">
      <w:pPr>
        <w:pStyle w:val="FootnoteText"/>
        <w:rPr>
          <w:sz w:val="16"/>
          <w:szCs w:val="16"/>
          <w:lang w:val="en-AU"/>
        </w:rPr>
      </w:pPr>
      <w:r>
        <w:rPr>
          <w:rStyle w:val="FootnoteReference"/>
        </w:rPr>
        <w:footnoteRef/>
      </w:r>
      <w:r>
        <w:t xml:space="preserve"> </w:t>
      </w:r>
      <w:r w:rsidRPr="001F3156">
        <w:rPr>
          <w:rFonts w:cs="Arial"/>
          <w:color w:val="000000"/>
          <w:sz w:val="16"/>
          <w:szCs w:val="16"/>
          <w:lang w:bidi="en-US"/>
        </w:rPr>
        <w:t xml:space="preserve">1995 Australian National Nutrition Survey (1995 NNS): </w:t>
      </w:r>
      <w:hyperlink r:id="rId2" w:history="1">
        <w:r w:rsidRPr="001F3156">
          <w:rPr>
            <w:rStyle w:val="Hyperlink"/>
            <w:sz w:val="16"/>
            <w:szCs w:val="16"/>
          </w:rPr>
          <w:t>http://www.foodstandards.gov.au/science/exposure/pages/foodconsumptiondatau4440.aspx</w:t>
        </w:r>
      </w:hyperlink>
      <w:r w:rsidRPr="001F3156">
        <w:rPr>
          <w:rFonts w:cs="Arial"/>
          <w:color w:val="000000"/>
          <w:sz w:val="16"/>
          <w:szCs w:val="16"/>
          <w:lang w:bidi="en-US"/>
        </w:rPr>
        <w:t xml:space="preserve"> (accessed 3/2/2016)</w:t>
      </w:r>
    </w:p>
  </w:footnote>
  <w:footnote w:id="4">
    <w:p w14:paraId="52576F0E" w14:textId="77777777" w:rsidR="001F6D76" w:rsidRPr="001F3156" w:rsidRDefault="001F6D76" w:rsidP="009E0592">
      <w:pPr>
        <w:pStyle w:val="FootnoteText"/>
        <w:rPr>
          <w:sz w:val="16"/>
          <w:szCs w:val="16"/>
          <w:lang w:val="en-AU"/>
        </w:rPr>
      </w:pPr>
      <w:r w:rsidRPr="001F3156">
        <w:rPr>
          <w:rStyle w:val="FootnoteReference"/>
          <w:sz w:val="16"/>
          <w:szCs w:val="16"/>
        </w:rPr>
        <w:footnoteRef/>
      </w:r>
      <w:r w:rsidRPr="001F3156">
        <w:rPr>
          <w:sz w:val="16"/>
          <w:szCs w:val="16"/>
        </w:rPr>
        <w:t xml:space="preserve"> </w:t>
      </w:r>
      <w:r w:rsidRPr="001F3156">
        <w:rPr>
          <w:rFonts w:cs="Arial"/>
          <w:color w:val="000000"/>
          <w:sz w:val="16"/>
          <w:szCs w:val="16"/>
          <w:lang w:bidi="en-US"/>
        </w:rPr>
        <w:t xml:space="preserve">2011-12 National Nutrition and Physical Activity Survey (NNPAS): </w:t>
      </w:r>
      <w:hyperlink r:id="rId3" w:history="1">
        <w:r w:rsidRPr="001F3156">
          <w:rPr>
            <w:rStyle w:val="Hyperlink"/>
            <w:sz w:val="16"/>
            <w:szCs w:val="16"/>
          </w:rPr>
          <w:t>http://www.foodstandards.gov.au/science/exposure/pages/foodconsumptiondatau4440.aspx</w:t>
        </w:r>
      </w:hyperlink>
      <w:r w:rsidRPr="001F3156">
        <w:rPr>
          <w:rFonts w:cs="Arial"/>
          <w:color w:val="000000"/>
          <w:sz w:val="16"/>
          <w:szCs w:val="16"/>
          <w:lang w:bidi="en-US"/>
        </w:rPr>
        <w:t xml:space="preserve"> (accessed 3/2/2016)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4AD"/>
    <w:multiLevelType w:val="hybridMultilevel"/>
    <w:tmpl w:val="1B6C8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155C9C"/>
    <w:multiLevelType w:val="hybridMultilevel"/>
    <w:tmpl w:val="28F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35717E44"/>
    <w:multiLevelType w:val="hybridMultilevel"/>
    <w:tmpl w:val="F80A1A98"/>
    <w:lvl w:ilvl="0" w:tplc="403209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BD110C"/>
    <w:multiLevelType w:val="hybridMultilevel"/>
    <w:tmpl w:val="79CCE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7A67EBE"/>
    <w:multiLevelType w:val="hybridMultilevel"/>
    <w:tmpl w:val="55BA2FCC"/>
    <w:lvl w:ilvl="0" w:tplc="17C8C9B8">
      <w:start w:val="1"/>
      <w:numFmt w:val="decimal"/>
      <w:lvlText w:val="%1."/>
      <w:lvlJc w:val="left"/>
      <w:pPr>
        <w:ind w:left="1215" w:hanging="855"/>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8"/>
  </w:num>
  <w:num w:numId="9">
    <w:abstractNumId w:val="5"/>
  </w:num>
  <w:num w:numId="10">
    <w:abstractNumId w:val="7"/>
  </w:num>
  <w:num w:numId="11">
    <w:abstractNumId w:val="8"/>
  </w:num>
  <w:num w:numId="12">
    <w:abstractNumId w:val="5"/>
  </w:num>
  <w:num w:numId="13">
    <w:abstractNumId w:val="7"/>
  </w:num>
  <w:num w:numId="14">
    <w:abstractNumId w:val="1"/>
  </w:num>
  <w:num w:numId="15">
    <w:abstractNumId w:val="3"/>
  </w:num>
  <w:num w:numId="16">
    <w:abstractNumId w:val="0"/>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oNotTrackFormatting/>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B1"/>
    <w:rsid w:val="0000542C"/>
    <w:rsid w:val="00020BB2"/>
    <w:rsid w:val="00027E4B"/>
    <w:rsid w:val="000402AD"/>
    <w:rsid w:val="00041643"/>
    <w:rsid w:val="00043C8C"/>
    <w:rsid w:val="0005044C"/>
    <w:rsid w:val="00055063"/>
    <w:rsid w:val="000622E7"/>
    <w:rsid w:val="00066854"/>
    <w:rsid w:val="00066D85"/>
    <w:rsid w:val="000765DD"/>
    <w:rsid w:val="00093AB3"/>
    <w:rsid w:val="000A38F8"/>
    <w:rsid w:val="000B7271"/>
    <w:rsid w:val="000F2196"/>
    <w:rsid w:val="00114FBB"/>
    <w:rsid w:val="00125D45"/>
    <w:rsid w:val="001415BA"/>
    <w:rsid w:val="00154676"/>
    <w:rsid w:val="0016363C"/>
    <w:rsid w:val="00164248"/>
    <w:rsid w:val="001734EA"/>
    <w:rsid w:val="0017407C"/>
    <w:rsid w:val="00184403"/>
    <w:rsid w:val="00191770"/>
    <w:rsid w:val="001A60F2"/>
    <w:rsid w:val="001B689C"/>
    <w:rsid w:val="001C0D98"/>
    <w:rsid w:val="001C1A43"/>
    <w:rsid w:val="001C5126"/>
    <w:rsid w:val="001C76B1"/>
    <w:rsid w:val="001E696B"/>
    <w:rsid w:val="001F3024"/>
    <w:rsid w:val="001F3156"/>
    <w:rsid w:val="001F59CD"/>
    <w:rsid w:val="001F6D76"/>
    <w:rsid w:val="001F7697"/>
    <w:rsid w:val="00206BAC"/>
    <w:rsid w:val="002071BF"/>
    <w:rsid w:val="002145EC"/>
    <w:rsid w:val="00220EC9"/>
    <w:rsid w:val="002232B1"/>
    <w:rsid w:val="00234AF6"/>
    <w:rsid w:val="00234C31"/>
    <w:rsid w:val="00275516"/>
    <w:rsid w:val="00280EA6"/>
    <w:rsid w:val="0028474D"/>
    <w:rsid w:val="00294633"/>
    <w:rsid w:val="002A21D3"/>
    <w:rsid w:val="002C5669"/>
    <w:rsid w:val="002D587B"/>
    <w:rsid w:val="002E741A"/>
    <w:rsid w:val="00304BE7"/>
    <w:rsid w:val="00312866"/>
    <w:rsid w:val="0033021F"/>
    <w:rsid w:val="00340B47"/>
    <w:rsid w:val="00341D25"/>
    <w:rsid w:val="00361A88"/>
    <w:rsid w:val="0036568B"/>
    <w:rsid w:val="003764F8"/>
    <w:rsid w:val="00376799"/>
    <w:rsid w:val="003968D7"/>
    <w:rsid w:val="003A01FB"/>
    <w:rsid w:val="003A1A11"/>
    <w:rsid w:val="003B0439"/>
    <w:rsid w:val="003D4164"/>
    <w:rsid w:val="003E4B94"/>
    <w:rsid w:val="003E66A0"/>
    <w:rsid w:val="003E7B7B"/>
    <w:rsid w:val="003F627C"/>
    <w:rsid w:val="00404702"/>
    <w:rsid w:val="00410346"/>
    <w:rsid w:val="00414E87"/>
    <w:rsid w:val="0042292F"/>
    <w:rsid w:val="00441D77"/>
    <w:rsid w:val="00443F05"/>
    <w:rsid w:val="00445C81"/>
    <w:rsid w:val="00463BE3"/>
    <w:rsid w:val="00464E33"/>
    <w:rsid w:val="00465319"/>
    <w:rsid w:val="0047573D"/>
    <w:rsid w:val="00486619"/>
    <w:rsid w:val="00492F9B"/>
    <w:rsid w:val="004969E0"/>
    <w:rsid w:val="004A5526"/>
    <w:rsid w:val="004B093B"/>
    <w:rsid w:val="004D3868"/>
    <w:rsid w:val="004D69DE"/>
    <w:rsid w:val="004E2108"/>
    <w:rsid w:val="004E45F2"/>
    <w:rsid w:val="004E6694"/>
    <w:rsid w:val="004F77AA"/>
    <w:rsid w:val="0050292E"/>
    <w:rsid w:val="00514A42"/>
    <w:rsid w:val="00524911"/>
    <w:rsid w:val="00537ED7"/>
    <w:rsid w:val="0054036E"/>
    <w:rsid w:val="00541EBB"/>
    <w:rsid w:val="0054564D"/>
    <w:rsid w:val="0055402D"/>
    <w:rsid w:val="00565412"/>
    <w:rsid w:val="005831DE"/>
    <w:rsid w:val="005847E1"/>
    <w:rsid w:val="00595763"/>
    <w:rsid w:val="005B48F3"/>
    <w:rsid w:val="005B578D"/>
    <w:rsid w:val="005B69C5"/>
    <w:rsid w:val="005C1996"/>
    <w:rsid w:val="006177A6"/>
    <w:rsid w:val="0063187D"/>
    <w:rsid w:val="00644D54"/>
    <w:rsid w:val="00646C47"/>
    <w:rsid w:val="0068349D"/>
    <w:rsid w:val="0069116C"/>
    <w:rsid w:val="00691AA6"/>
    <w:rsid w:val="00692643"/>
    <w:rsid w:val="00692A7A"/>
    <w:rsid w:val="006B6900"/>
    <w:rsid w:val="006C2DF0"/>
    <w:rsid w:val="006C781B"/>
    <w:rsid w:val="006D473E"/>
    <w:rsid w:val="0070279E"/>
    <w:rsid w:val="00703665"/>
    <w:rsid w:val="00703F80"/>
    <w:rsid w:val="0070626C"/>
    <w:rsid w:val="00707152"/>
    <w:rsid w:val="007078EF"/>
    <w:rsid w:val="00714144"/>
    <w:rsid w:val="00716B45"/>
    <w:rsid w:val="007201F8"/>
    <w:rsid w:val="007225EC"/>
    <w:rsid w:val="00732B95"/>
    <w:rsid w:val="007355E7"/>
    <w:rsid w:val="0074253E"/>
    <w:rsid w:val="007562F1"/>
    <w:rsid w:val="00777B02"/>
    <w:rsid w:val="00777BF6"/>
    <w:rsid w:val="00793DE6"/>
    <w:rsid w:val="007A6FD2"/>
    <w:rsid w:val="007D70F6"/>
    <w:rsid w:val="007F6456"/>
    <w:rsid w:val="00801D1F"/>
    <w:rsid w:val="00810AD5"/>
    <w:rsid w:val="0081199E"/>
    <w:rsid w:val="0081339F"/>
    <w:rsid w:val="00830393"/>
    <w:rsid w:val="00833D5A"/>
    <w:rsid w:val="008411C2"/>
    <w:rsid w:val="00860EE7"/>
    <w:rsid w:val="00865413"/>
    <w:rsid w:val="00877A81"/>
    <w:rsid w:val="00884088"/>
    <w:rsid w:val="008931F6"/>
    <w:rsid w:val="008E2339"/>
    <w:rsid w:val="008E7269"/>
    <w:rsid w:val="00910D97"/>
    <w:rsid w:val="00914CF3"/>
    <w:rsid w:val="00915821"/>
    <w:rsid w:val="00926201"/>
    <w:rsid w:val="00935023"/>
    <w:rsid w:val="0093762A"/>
    <w:rsid w:val="00945208"/>
    <w:rsid w:val="009454DD"/>
    <w:rsid w:val="009572CA"/>
    <w:rsid w:val="00977846"/>
    <w:rsid w:val="009806A5"/>
    <w:rsid w:val="009E0592"/>
    <w:rsid w:val="009E2457"/>
    <w:rsid w:val="009E265A"/>
    <w:rsid w:val="009F03FF"/>
    <w:rsid w:val="009F4ABE"/>
    <w:rsid w:val="00A0292C"/>
    <w:rsid w:val="00A1241A"/>
    <w:rsid w:val="00A25B29"/>
    <w:rsid w:val="00A2659B"/>
    <w:rsid w:val="00A26F82"/>
    <w:rsid w:val="00A37D60"/>
    <w:rsid w:val="00A55B02"/>
    <w:rsid w:val="00A70B17"/>
    <w:rsid w:val="00A808E9"/>
    <w:rsid w:val="00A9531E"/>
    <w:rsid w:val="00AA7593"/>
    <w:rsid w:val="00AB007E"/>
    <w:rsid w:val="00AD33EE"/>
    <w:rsid w:val="00AE3D29"/>
    <w:rsid w:val="00B02849"/>
    <w:rsid w:val="00B22C63"/>
    <w:rsid w:val="00B244DD"/>
    <w:rsid w:val="00B476E0"/>
    <w:rsid w:val="00B47ADF"/>
    <w:rsid w:val="00B53154"/>
    <w:rsid w:val="00B53478"/>
    <w:rsid w:val="00B6569D"/>
    <w:rsid w:val="00B72074"/>
    <w:rsid w:val="00B76226"/>
    <w:rsid w:val="00B76E43"/>
    <w:rsid w:val="00BA1D0C"/>
    <w:rsid w:val="00BA5620"/>
    <w:rsid w:val="00BB5E52"/>
    <w:rsid w:val="00BC2133"/>
    <w:rsid w:val="00BC78A7"/>
    <w:rsid w:val="00BE4F3A"/>
    <w:rsid w:val="00C019A6"/>
    <w:rsid w:val="00C05098"/>
    <w:rsid w:val="00C22F5D"/>
    <w:rsid w:val="00C26676"/>
    <w:rsid w:val="00C572A2"/>
    <w:rsid w:val="00C603AD"/>
    <w:rsid w:val="00C62C43"/>
    <w:rsid w:val="00C62E1E"/>
    <w:rsid w:val="00C64018"/>
    <w:rsid w:val="00CA16E7"/>
    <w:rsid w:val="00CA543D"/>
    <w:rsid w:val="00CB4C94"/>
    <w:rsid w:val="00CB7403"/>
    <w:rsid w:val="00CC1F95"/>
    <w:rsid w:val="00CC29C7"/>
    <w:rsid w:val="00D16E12"/>
    <w:rsid w:val="00D27EBE"/>
    <w:rsid w:val="00D53046"/>
    <w:rsid w:val="00D5526B"/>
    <w:rsid w:val="00D56454"/>
    <w:rsid w:val="00D60027"/>
    <w:rsid w:val="00D66962"/>
    <w:rsid w:val="00D74C57"/>
    <w:rsid w:val="00D87D9C"/>
    <w:rsid w:val="00D90E70"/>
    <w:rsid w:val="00D92B3B"/>
    <w:rsid w:val="00D94C06"/>
    <w:rsid w:val="00DA7DED"/>
    <w:rsid w:val="00DC6935"/>
    <w:rsid w:val="00DE0E55"/>
    <w:rsid w:val="00DE48F5"/>
    <w:rsid w:val="00DF4A30"/>
    <w:rsid w:val="00E0050C"/>
    <w:rsid w:val="00E03520"/>
    <w:rsid w:val="00E049CF"/>
    <w:rsid w:val="00E2450C"/>
    <w:rsid w:val="00E340B5"/>
    <w:rsid w:val="00E4001E"/>
    <w:rsid w:val="00E4283C"/>
    <w:rsid w:val="00E43491"/>
    <w:rsid w:val="00E46D10"/>
    <w:rsid w:val="00E53ACA"/>
    <w:rsid w:val="00E74C7D"/>
    <w:rsid w:val="00E91A31"/>
    <w:rsid w:val="00E9409E"/>
    <w:rsid w:val="00EC348A"/>
    <w:rsid w:val="00EC65E9"/>
    <w:rsid w:val="00ED3411"/>
    <w:rsid w:val="00F17CBC"/>
    <w:rsid w:val="00F17CEA"/>
    <w:rsid w:val="00F2352D"/>
    <w:rsid w:val="00F26860"/>
    <w:rsid w:val="00F30449"/>
    <w:rsid w:val="00F4105E"/>
    <w:rsid w:val="00F616DA"/>
    <w:rsid w:val="00F76F95"/>
    <w:rsid w:val="00F9167A"/>
    <w:rsid w:val="00FA35B3"/>
    <w:rsid w:val="00FB1CA5"/>
    <w:rsid w:val="00FB20FA"/>
    <w:rsid w:val="00FD4B8D"/>
    <w:rsid w:val="00FE0FD7"/>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6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2" w:qFormat="1"/>
    <w:lsdException w:name="heading 3" w:locked="1" w:uiPriority="2" w:qFormat="1"/>
    <w:lsdException w:name="heading 4" w:locked="1" w:uiPriority="2" w:qFormat="1"/>
    <w:lsdException w:name="heading 5" w:locked="1" w:uiPriority="2"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qFormat="1"/>
    <w:lsdException w:name="annotation text" w:uiPriority="0"/>
    <w:lsdException w:name="header" w:locked="1" w:uiPriority="3" w:qFormat="1"/>
    <w:lsdException w:name="footer" w:locked="1" w:qFormat="1"/>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3F627C"/>
    <w:rPr>
      <w:rFonts w:eastAsia="Times New Roman" w:cs="Times New Roman"/>
      <w:szCs w:val="24"/>
      <w:lang w:val="en-GB"/>
    </w:rPr>
  </w:style>
  <w:style w:type="paragraph" w:styleId="Heading1">
    <w:name w:val="heading 1"/>
    <w:aliases w:val="FSHeading 1,Chapter heading"/>
    <w:basedOn w:val="Normal"/>
    <w:next w:val="Normal"/>
    <w:link w:val="Heading1Char"/>
    <w:uiPriority w:val="9"/>
    <w:qFormat/>
    <w:locked/>
    <w:rsid w:val="00910D97"/>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910D97"/>
    <w:pPr>
      <w:keepNext/>
      <w:spacing w:before="240" w:after="240"/>
      <w:ind w:left="851" w:hanging="851"/>
      <w:outlineLvl w:val="1"/>
    </w:pPr>
    <w:rPr>
      <w:rFonts w:eastAsiaTheme="majorEastAsia" w:cs="Arial"/>
      <w:b/>
      <w:bCs/>
      <w:sz w:val="28"/>
      <w:szCs w:val="22"/>
    </w:rPr>
  </w:style>
  <w:style w:type="paragraph" w:styleId="Heading3">
    <w:name w:val="heading 3"/>
    <w:aliases w:val="FSHeading 3,Subheading 1"/>
    <w:basedOn w:val="Normal"/>
    <w:next w:val="Normal"/>
    <w:link w:val="Heading3Char"/>
    <w:autoRedefine/>
    <w:uiPriority w:val="2"/>
    <w:unhideWhenUsed/>
    <w:qFormat/>
    <w:locked/>
    <w:rsid w:val="00910D97"/>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910D97"/>
    <w:pPr>
      <w:keepNext/>
      <w:spacing w:before="240" w:after="240"/>
      <w:ind w:left="851" w:hanging="851"/>
      <w:outlineLvl w:val="3"/>
    </w:pPr>
    <w:rPr>
      <w:rFonts w:eastAsiaTheme="majorEastAsia" w:cstheme="majorBidi"/>
      <w:b/>
      <w:bCs/>
      <w:i/>
      <w:iCs/>
      <w:szCs w:val="22"/>
    </w:rPr>
  </w:style>
  <w:style w:type="paragraph" w:styleId="Heading5">
    <w:name w:val="heading 5"/>
    <w:aliases w:val="FSHeading 5,Subheading 3"/>
    <w:basedOn w:val="Normal"/>
    <w:next w:val="Normal"/>
    <w:link w:val="Heading5Char"/>
    <w:uiPriority w:val="2"/>
    <w:unhideWhenUsed/>
    <w:qFormat/>
    <w:locked/>
    <w:rsid w:val="00910D97"/>
    <w:pPr>
      <w:keepNext/>
      <w:spacing w:before="240" w:after="240"/>
      <w:ind w:left="851" w:hanging="851"/>
      <w:outlineLvl w:val="4"/>
    </w:pPr>
    <w:rPr>
      <w:rFonts w:eastAsiaTheme="majorEastAsia" w:cstheme="majorBidi"/>
      <w:i/>
      <w:szCs w:val="22"/>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910D97"/>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910D97"/>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910D97"/>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910D97"/>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910D97"/>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table" w:styleId="TableGrid">
    <w:name w:val="Table Grid"/>
    <w:basedOn w:val="TableNormal"/>
    <w:uiPriority w:val="59"/>
    <w:rsid w:val="001C7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244DD"/>
    <w:rPr>
      <w:rFonts w:ascii="Arial" w:hAnsi="Arial"/>
      <w:color w:val="3333FF"/>
      <w:u w:val="single"/>
    </w:rPr>
  </w:style>
  <w:style w:type="character" w:styleId="FollowedHyperlink">
    <w:name w:val="FollowedHyperlink"/>
    <w:basedOn w:val="DefaultParagraphFont"/>
    <w:uiPriority w:val="99"/>
    <w:semiHidden/>
    <w:unhideWhenUsed/>
    <w:rsid w:val="00B244DD"/>
    <w:rPr>
      <w:color w:val="800080" w:themeColor="followedHyperlink"/>
      <w:u w:val="single"/>
    </w:rPr>
  </w:style>
  <w:style w:type="paragraph" w:styleId="BalloonText">
    <w:name w:val="Balloon Text"/>
    <w:basedOn w:val="Normal"/>
    <w:link w:val="BalloonTextChar"/>
    <w:uiPriority w:val="99"/>
    <w:semiHidden/>
    <w:unhideWhenUsed/>
    <w:rsid w:val="00E91A31"/>
    <w:rPr>
      <w:rFonts w:ascii="Tahoma" w:hAnsi="Tahoma" w:cs="Tahoma"/>
      <w:sz w:val="16"/>
      <w:szCs w:val="16"/>
    </w:rPr>
  </w:style>
  <w:style w:type="character" w:customStyle="1" w:styleId="BalloonTextChar">
    <w:name w:val="Balloon Text Char"/>
    <w:basedOn w:val="DefaultParagraphFont"/>
    <w:link w:val="BalloonText"/>
    <w:uiPriority w:val="99"/>
    <w:semiHidden/>
    <w:rsid w:val="00E91A31"/>
    <w:rPr>
      <w:rFonts w:ascii="Tahoma" w:eastAsia="Times New Roman" w:hAnsi="Tahoma" w:cs="Tahoma"/>
      <w:sz w:val="16"/>
      <w:szCs w:val="16"/>
      <w:lang w:val="en-GB"/>
    </w:rPr>
  </w:style>
  <w:style w:type="paragraph" w:customStyle="1" w:styleId="Default">
    <w:name w:val="Default"/>
    <w:rsid w:val="00F17CBC"/>
    <w:pPr>
      <w:autoSpaceDE w:val="0"/>
      <w:autoSpaceDN w:val="0"/>
      <w:adjustRightInd w:val="0"/>
    </w:pPr>
    <w:rPr>
      <w:color w:val="000000"/>
      <w:sz w:val="24"/>
      <w:szCs w:val="24"/>
      <w:lang w:val="en-GB"/>
    </w:rPr>
  </w:style>
  <w:style w:type="paragraph" w:customStyle="1" w:styleId="FSTitle">
    <w:name w:val="FS Title"/>
    <w:basedOn w:val="Normal"/>
    <w:qFormat/>
    <w:rsid w:val="00E4283C"/>
    <w:pPr>
      <w:widowControl w:val="0"/>
    </w:pPr>
    <w:rPr>
      <w:rFonts w:cs="Tahoma"/>
      <w:bCs/>
      <w:sz w:val="32"/>
      <w:lang w:bidi="en-US"/>
    </w:rPr>
  </w:style>
  <w:style w:type="character" w:styleId="CommentReference">
    <w:name w:val="annotation reference"/>
    <w:basedOn w:val="DefaultParagraphFont"/>
    <w:uiPriority w:val="99"/>
    <w:rsid w:val="00E4283C"/>
    <w:rPr>
      <w:sz w:val="16"/>
      <w:szCs w:val="16"/>
    </w:rPr>
  </w:style>
  <w:style w:type="paragraph" w:styleId="Title">
    <w:name w:val="Title"/>
    <w:basedOn w:val="Normal"/>
    <w:link w:val="TitleChar"/>
    <w:rsid w:val="00E4283C"/>
    <w:pPr>
      <w:jc w:val="center"/>
    </w:pPr>
    <w:rPr>
      <w:b/>
      <w:bCs/>
      <w:i/>
      <w:iCs/>
      <w:lang w:val="en-AU"/>
    </w:rPr>
  </w:style>
  <w:style w:type="character" w:customStyle="1" w:styleId="TitleChar">
    <w:name w:val="Title Char"/>
    <w:basedOn w:val="DefaultParagraphFont"/>
    <w:link w:val="Title"/>
    <w:rsid w:val="00E4283C"/>
    <w:rPr>
      <w:rFonts w:eastAsia="Times New Roman" w:cs="Times New Roman"/>
      <w:b/>
      <w:bCs/>
      <w:i/>
      <w:iCs/>
      <w:szCs w:val="24"/>
    </w:rPr>
  </w:style>
  <w:style w:type="paragraph" w:customStyle="1" w:styleId="FSTableHeading">
    <w:name w:val="FS Table Heading"/>
    <w:basedOn w:val="Normal"/>
    <w:qFormat/>
    <w:rsid w:val="00DE48F5"/>
    <w:pPr>
      <w:widowControl w:val="0"/>
      <w:jc w:val="center"/>
    </w:pPr>
    <w:rPr>
      <w:rFonts w:ascii="Arial Bold" w:hAnsi="Arial Bold" w:cs="Arial"/>
      <w:b/>
      <w:sz w:val="20"/>
      <w:szCs w:val="20"/>
      <w:lang w:bidi="en-US"/>
    </w:rPr>
  </w:style>
  <w:style w:type="paragraph" w:styleId="TOC2">
    <w:name w:val="toc 2"/>
    <w:basedOn w:val="Normal"/>
    <w:next w:val="Normal"/>
    <w:autoRedefine/>
    <w:uiPriority w:val="39"/>
    <w:unhideWhenUsed/>
    <w:rsid w:val="00A37D60"/>
    <w:pPr>
      <w:ind w:left="220"/>
    </w:pPr>
    <w:rPr>
      <w:rFonts w:asciiTheme="minorHAnsi" w:hAnsiTheme="minorHAnsi"/>
      <w:smallCaps/>
      <w:sz w:val="20"/>
      <w:szCs w:val="20"/>
    </w:rPr>
  </w:style>
  <w:style w:type="paragraph" w:styleId="TOC3">
    <w:name w:val="toc 3"/>
    <w:basedOn w:val="Normal"/>
    <w:next w:val="Normal"/>
    <w:autoRedefine/>
    <w:uiPriority w:val="39"/>
    <w:unhideWhenUsed/>
    <w:rsid w:val="00A37D60"/>
    <w:pPr>
      <w:ind w:left="440"/>
    </w:pPr>
    <w:rPr>
      <w:rFonts w:asciiTheme="minorHAnsi" w:hAnsiTheme="minorHAnsi"/>
      <w:i/>
      <w:iCs/>
      <w:sz w:val="20"/>
      <w:szCs w:val="20"/>
    </w:rPr>
  </w:style>
  <w:style w:type="paragraph" w:styleId="TOC1">
    <w:name w:val="toc 1"/>
    <w:basedOn w:val="Normal"/>
    <w:next w:val="Normal"/>
    <w:autoRedefine/>
    <w:uiPriority w:val="39"/>
    <w:unhideWhenUsed/>
    <w:rsid w:val="0070279E"/>
    <w:pPr>
      <w:spacing w:before="120" w:after="120"/>
    </w:pPr>
    <w:rPr>
      <w:rFonts w:asciiTheme="minorHAnsi" w:hAnsiTheme="minorHAnsi"/>
      <w:b/>
      <w:bCs/>
      <w:caps/>
      <w:sz w:val="20"/>
      <w:szCs w:val="20"/>
    </w:rPr>
  </w:style>
  <w:style w:type="paragraph" w:customStyle="1" w:styleId="FSCtMain">
    <w:name w:val="FSC_t_Main"/>
    <w:basedOn w:val="Normal"/>
    <w:locked/>
    <w:rsid w:val="0070279E"/>
    <w:pPr>
      <w:widowControl w:val="0"/>
      <w:tabs>
        <w:tab w:val="left" w:pos="1134"/>
      </w:tabs>
      <w:spacing w:before="120" w:after="120"/>
      <w:ind w:left="1701" w:hanging="1701"/>
    </w:pPr>
    <w:rPr>
      <w:rFonts w:cs="Arial"/>
      <w:iCs/>
      <w:sz w:val="20"/>
      <w:szCs w:val="22"/>
      <w:lang w:eastAsia="en-AU"/>
    </w:rPr>
  </w:style>
  <w:style w:type="paragraph" w:styleId="CommentText">
    <w:name w:val="annotation text"/>
    <w:basedOn w:val="Normal"/>
    <w:link w:val="CommentTextChar"/>
    <w:unhideWhenUsed/>
    <w:rsid w:val="0055402D"/>
    <w:rPr>
      <w:sz w:val="20"/>
      <w:szCs w:val="20"/>
    </w:rPr>
  </w:style>
  <w:style w:type="character" w:customStyle="1" w:styleId="CommentTextChar">
    <w:name w:val="Comment Text Char"/>
    <w:basedOn w:val="DefaultParagraphFont"/>
    <w:link w:val="CommentText"/>
    <w:rsid w:val="0055402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5402D"/>
    <w:rPr>
      <w:b/>
      <w:bCs/>
    </w:rPr>
  </w:style>
  <w:style w:type="character" w:customStyle="1" w:styleId="CommentSubjectChar">
    <w:name w:val="Comment Subject Char"/>
    <w:basedOn w:val="CommentTextChar"/>
    <w:link w:val="CommentSubject"/>
    <w:uiPriority w:val="99"/>
    <w:semiHidden/>
    <w:rsid w:val="0055402D"/>
    <w:rPr>
      <w:rFonts w:ascii="Times New Roman" w:eastAsia="Times New Roman" w:hAnsi="Times New Roman" w:cs="Times New Roman"/>
      <w:b/>
      <w:bCs/>
      <w:sz w:val="20"/>
      <w:szCs w:val="20"/>
      <w:lang w:val="en-GB"/>
    </w:rPr>
  </w:style>
  <w:style w:type="paragraph" w:styleId="Revision">
    <w:name w:val="Revision"/>
    <w:hidden/>
    <w:uiPriority w:val="99"/>
    <w:semiHidden/>
    <w:rsid w:val="00CA543D"/>
    <w:rPr>
      <w:rFonts w:ascii="Times New Roman" w:eastAsia="Times New Roman" w:hAnsi="Times New Roman" w:cs="Times New Roman"/>
      <w:sz w:val="24"/>
      <w:szCs w:val="24"/>
      <w:lang w:val="en-GB"/>
    </w:rPr>
  </w:style>
  <w:style w:type="table" w:styleId="LightList-Accent1">
    <w:name w:val="Light List Accent 1"/>
    <w:basedOn w:val="TableNormal"/>
    <w:uiPriority w:val="61"/>
    <w:rsid w:val="001C0D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4B093B"/>
    <w:rPr>
      <w:vertAlign w:val="superscript"/>
    </w:rPr>
  </w:style>
  <w:style w:type="paragraph" w:styleId="TOC4">
    <w:name w:val="toc 4"/>
    <w:basedOn w:val="Normal"/>
    <w:next w:val="Normal"/>
    <w:autoRedefine/>
    <w:uiPriority w:val="39"/>
    <w:unhideWhenUsed/>
    <w:rsid w:val="00CB4C94"/>
    <w:pPr>
      <w:ind w:left="660"/>
    </w:pPr>
    <w:rPr>
      <w:rFonts w:asciiTheme="minorHAnsi" w:hAnsiTheme="minorHAnsi"/>
      <w:sz w:val="18"/>
      <w:szCs w:val="18"/>
    </w:rPr>
  </w:style>
  <w:style w:type="paragraph" w:styleId="TOC5">
    <w:name w:val="toc 5"/>
    <w:basedOn w:val="Normal"/>
    <w:next w:val="Normal"/>
    <w:autoRedefine/>
    <w:uiPriority w:val="39"/>
    <w:unhideWhenUsed/>
    <w:rsid w:val="00CB4C94"/>
    <w:pPr>
      <w:ind w:left="880"/>
    </w:pPr>
    <w:rPr>
      <w:rFonts w:asciiTheme="minorHAnsi" w:hAnsiTheme="minorHAnsi"/>
      <w:sz w:val="18"/>
      <w:szCs w:val="18"/>
    </w:rPr>
  </w:style>
  <w:style w:type="paragraph" w:styleId="TOC6">
    <w:name w:val="toc 6"/>
    <w:basedOn w:val="Normal"/>
    <w:next w:val="Normal"/>
    <w:autoRedefine/>
    <w:uiPriority w:val="39"/>
    <w:unhideWhenUsed/>
    <w:rsid w:val="00CB4C94"/>
    <w:pPr>
      <w:ind w:left="1100"/>
    </w:pPr>
    <w:rPr>
      <w:rFonts w:asciiTheme="minorHAnsi" w:hAnsiTheme="minorHAnsi"/>
      <w:sz w:val="18"/>
      <w:szCs w:val="18"/>
    </w:rPr>
  </w:style>
  <w:style w:type="paragraph" w:styleId="TOC7">
    <w:name w:val="toc 7"/>
    <w:basedOn w:val="Normal"/>
    <w:next w:val="Normal"/>
    <w:autoRedefine/>
    <w:uiPriority w:val="39"/>
    <w:unhideWhenUsed/>
    <w:rsid w:val="00CB4C94"/>
    <w:pPr>
      <w:ind w:left="1320"/>
    </w:pPr>
    <w:rPr>
      <w:rFonts w:asciiTheme="minorHAnsi" w:hAnsiTheme="minorHAnsi"/>
      <w:sz w:val="18"/>
      <w:szCs w:val="18"/>
    </w:rPr>
  </w:style>
  <w:style w:type="paragraph" w:styleId="TOC8">
    <w:name w:val="toc 8"/>
    <w:basedOn w:val="Normal"/>
    <w:next w:val="Normal"/>
    <w:autoRedefine/>
    <w:uiPriority w:val="39"/>
    <w:unhideWhenUsed/>
    <w:rsid w:val="00CB4C94"/>
    <w:pPr>
      <w:ind w:left="1540"/>
    </w:pPr>
    <w:rPr>
      <w:rFonts w:asciiTheme="minorHAnsi" w:hAnsiTheme="minorHAnsi"/>
      <w:sz w:val="18"/>
      <w:szCs w:val="18"/>
    </w:rPr>
  </w:style>
  <w:style w:type="paragraph" w:styleId="TOC9">
    <w:name w:val="toc 9"/>
    <w:basedOn w:val="Normal"/>
    <w:next w:val="Normal"/>
    <w:autoRedefine/>
    <w:uiPriority w:val="39"/>
    <w:unhideWhenUsed/>
    <w:rsid w:val="00CB4C94"/>
    <w:pPr>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2" w:qFormat="1"/>
    <w:lsdException w:name="heading 3" w:locked="1" w:uiPriority="2" w:qFormat="1"/>
    <w:lsdException w:name="heading 4" w:locked="1" w:uiPriority="2" w:qFormat="1"/>
    <w:lsdException w:name="heading 5" w:locked="1" w:uiPriority="2"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qFormat="1"/>
    <w:lsdException w:name="annotation text" w:uiPriority="0"/>
    <w:lsdException w:name="header" w:locked="1" w:uiPriority="3" w:qFormat="1"/>
    <w:lsdException w:name="footer" w:locked="1" w:qFormat="1"/>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3F627C"/>
    <w:rPr>
      <w:rFonts w:eastAsia="Times New Roman" w:cs="Times New Roman"/>
      <w:szCs w:val="24"/>
      <w:lang w:val="en-GB"/>
    </w:rPr>
  </w:style>
  <w:style w:type="paragraph" w:styleId="Heading1">
    <w:name w:val="heading 1"/>
    <w:aliases w:val="FSHeading 1,Chapter heading"/>
    <w:basedOn w:val="Normal"/>
    <w:next w:val="Normal"/>
    <w:link w:val="Heading1Char"/>
    <w:uiPriority w:val="9"/>
    <w:qFormat/>
    <w:locked/>
    <w:rsid w:val="00910D97"/>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910D97"/>
    <w:pPr>
      <w:keepNext/>
      <w:spacing w:before="240" w:after="240"/>
      <w:ind w:left="851" w:hanging="851"/>
      <w:outlineLvl w:val="1"/>
    </w:pPr>
    <w:rPr>
      <w:rFonts w:eastAsiaTheme="majorEastAsia" w:cs="Arial"/>
      <w:b/>
      <w:bCs/>
      <w:sz w:val="28"/>
      <w:szCs w:val="22"/>
    </w:rPr>
  </w:style>
  <w:style w:type="paragraph" w:styleId="Heading3">
    <w:name w:val="heading 3"/>
    <w:aliases w:val="FSHeading 3,Subheading 1"/>
    <w:basedOn w:val="Normal"/>
    <w:next w:val="Normal"/>
    <w:link w:val="Heading3Char"/>
    <w:autoRedefine/>
    <w:uiPriority w:val="2"/>
    <w:unhideWhenUsed/>
    <w:qFormat/>
    <w:locked/>
    <w:rsid w:val="00910D97"/>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910D97"/>
    <w:pPr>
      <w:keepNext/>
      <w:spacing w:before="240" w:after="240"/>
      <w:ind w:left="851" w:hanging="851"/>
      <w:outlineLvl w:val="3"/>
    </w:pPr>
    <w:rPr>
      <w:rFonts w:eastAsiaTheme="majorEastAsia" w:cstheme="majorBidi"/>
      <w:b/>
      <w:bCs/>
      <w:i/>
      <w:iCs/>
      <w:szCs w:val="22"/>
    </w:rPr>
  </w:style>
  <w:style w:type="paragraph" w:styleId="Heading5">
    <w:name w:val="heading 5"/>
    <w:aliases w:val="FSHeading 5,Subheading 3"/>
    <w:basedOn w:val="Normal"/>
    <w:next w:val="Normal"/>
    <w:link w:val="Heading5Char"/>
    <w:uiPriority w:val="2"/>
    <w:unhideWhenUsed/>
    <w:qFormat/>
    <w:locked/>
    <w:rsid w:val="00910D97"/>
    <w:pPr>
      <w:keepNext/>
      <w:spacing w:before="240" w:after="240"/>
      <w:ind w:left="851" w:hanging="851"/>
      <w:outlineLvl w:val="4"/>
    </w:pPr>
    <w:rPr>
      <w:rFonts w:eastAsiaTheme="majorEastAsia" w:cstheme="majorBidi"/>
      <w:i/>
      <w:szCs w:val="22"/>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910D97"/>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910D97"/>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910D97"/>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910D97"/>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910D97"/>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table" w:styleId="TableGrid">
    <w:name w:val="Table Grid"/>
    <w:basedOn w:val="TableNormal"/>
    <w:uiPriority w:val="59"/>
    <w:rsid w:val="001C7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244DD"/>
    <w:rPr>
      <w:rFonts w:ascii="Arial" w:hAnsi="Arial"/>
      <w:color w:val="3333FF"/>
      <w:u w:val="single"/>
    </w:rPr>
  </w:style>
  <w:style w:type="character" w:styleId="FollowedHyperlink">
    <w:name w:val="FollowedHyperlink"/>
    <w:basedOn w:val="DefaultParagraphFont"/>
    <w:uiPriority w:val="99"/>
    <w:semiHidden/>
    <w:unhideWhenUsed/>
    <w:rsid w:val="00B244DD"/>
    <w:rPr>
      <w:color w:val="800080" w:themeColor="followedHyperlink"/>
      <w:u w:val="single"/>
    </w:rPr>
  </w:style>
  <w:style w:type="paragraph" w:styleId="BalloonText">
    <w:name w:val="Balloon Text"/>
    <w:basedOn w:val="Normal"/>
    <w:link w:val="BalloonTextChar"/>
    <w:uiPriority w:val="99"/>
    <w:semiHidden/>
    <w:unhideWhenUsed/>
    <w:rsid w:val="00E91A31"/>
    <w:rPr>
      <w:rFonts w:ascii="Tahoma" w:hAnsi="Tahoma" w:cs="Tahoma"/>
      <w:sz w:val="16"/>
      <w:szCs w:val="16"/>
    </w:rPr>
  </w:style>
  <w:style w:type="character" w:customStyle="1" w:styleId="BalloonTextChar">
    <w:name w:val="Balloon Text Char"/>
    <w:basedOn w:val="DefaultParagraphFont"/>
    <w:link w:val="BalloonText"/>
    <w:uiPriority w:val="99"/>
    <w:semiHidden/>
    <w:rsid w:val="00E91A31"/>
    <w:rPr>
      <w:rFonts w:ascii="Tahoma" w:eastAsia="Times New Roman" w:hAnsi="Tahoma" w:cs="Tahoma"/>
      <w:sz w:val="16"/>
      <w:szCs w:val="16"/>
      <w:lang w:val="en-GB"/>
    </w:rPr>
  </w:style>
  <w:style w:type="paragraph" w:customStyle="1" w:styleId="Default">
    <w:name w:val="Default"/>
    <w:rsid w:val="00F17CBC"/>
    <w:pPr>
      <w:autoSpaceDE w:val="0"/>
      <w:autoSpaceDN w:val="0"/>
      <w:adjustRightInd w:val="0"/>
    </w:pPr>
    <w:rPr>
      <w:color w:val="000000"/>
      <w:sz w:val="24"/>
      <w:szCs w:val="24"/>
      <w:lang w:val="en-GB"/>
    </w:rPr>
  </w:style>
  <w:style w:type="paragraph" w:customStyle="1" w:styleId="FSTitle">
    <w:name w:val="FS Title"/>
    <w:basedOn w:val="Normal"/>
    <w:qFormat/>
    <w:rsid w:val="00E4283C"/>
    <w:pPr>
      <w:widowControl w:val="0"/>
    </w:pPr>
    <w:rPr>
      <w:rFonts w:cs="Tahoma"/>
      <w:bCs/>
      <w:sz w:val="32"/>
      <w:lang w:bidi="en-US"/>
    </w:rPr>
  </w:style>
  <w:style w:type="character" w:styleId="CommentReference">
    <w:name w:val="annotation reference"/>
    <w:basedOn w:val="DefaultParagraphFont"/>
    <w:uiPriority w:val="99"/>
    <w:rsid w:val="00E4283C"/>
    <w:rPr>
      <w:sz w:val="16"/>
      <w:szCs w:val="16"/>
    </w:rPr>
  </w:style>
  <w:style w:type="paragraph" w:styleId="Title">
    <w:name w:val="Title"/>
    <w:basedOn w:val="Normal"/>
    <w:link w:val="TitleChar"/>
    <w:rsid w:val="00E4283C"/>
    <w:pPr>
      <w:jc w:val="center"/>
    </w:pPr>
    <w:rPr>
      <w:b/>
      <w:bCs/>
      <w:i/>
      <w:iCs/>
      <w:lang w:val="en-AU"/>
    </w:rPr>
  </w:style>
  <w:style w:type="character" w:customStyle="1" w:styleId="TitleChar">
    <w:name w:val="Title Char"/>
    <w:basedOn w:val="DefaultParagraphFont"/>
    <w:link w:val="Title"/>
    <w:rsid w:val="00E4283C"/>
    <w:rPr>
      <w:rFonts w:eastAsia="Times New Roman" w:cs="Times New Roman"/>
      <w:b/>
      <w:bCs/>
      <w:i/>
      <w:iCs/>
      <w:szCs w:val="24"/>
    </w:rPr>
  </w:style>
  <w:style w:type="paragraph" w:customStyle="1" w:styleId="FSTableHeading">
    <w:name w:val="FS Table Heading"/>
    <w:basedOn w:val="Normal"/>
    <w:qFormat/>
    <w:rsid w:val="00DE48F5"/>
    <w:pPr>
      <w:widowControl w:val="0"/>
      <w:jc w:val="center"/>
    </w:pPr>
    <w:rPr>
      <w:rFonts w:ascii="Arial Bold" w:hAnsi="Arial Bold" w:cs="Arial"/>
      <w:b/>
      <w:sz w:val="20"/>
      <w:szCs w:val="20"/>
      <w:lang w:bidi="en-US"/>
    </w:rPr>
  </w:style>
  <w:style w:type="paragraph" w:styleId="TOC2">
    <w:name w:val="toc 2"/>
    <w:basedOn w:val="Normal"/>
    <w:next w:val="Normal"/>
    <w:autoRedefine/>
    <w:uiPriority w:val="39"/>
    <w:unhideWhenUsed/>
    <w:rsid w:val="00A37D60"/>
    <w:pPr>
      <w:ind w:left="220"/>
    </w:pPr>
    <w:rPr>
      <w:rFonts w:asciiTheme="minorHAnsi" w:hAnsiTheme="minorHAnsi"/>
      <w:smallCaps/>
      <w:sz w:val="20"/>
      <w:szCs w:val="20"/>
    </w:rPr>
  </w:style>
  <w:style w:type="paragraph" w:styleId="TOC3">
    <w:name w:val="toc 3"/>
    <w:basedOn w:val="Normal"/>
    <w:next w:val="Normal"/>
    <w:autoRedefine/>
    <w:uiPriority w:val="39"/>
    <w:unhideWhenUsed/>
    <w:rsid w:val="00A37D60"/>
    <w:pPr>
      <w:ind w:left="440"/>
    </w:pPr>
    <w:rPr>
      <w:rFonts w:asciiTheme="minorHAnsi" w:hAnsiTheme="minorHAnsi"/>
      <w:i/>
      <w:iCs/>
      <w:sz w:val="20"/>
      <w:szCs w:val="20"/>
    </w:rPr>
  </w:style>
  <w:style w:type="paragraph" w:styleId="TOC1">
    <w:name w:val="toc 1"/>
    <w:basedOn w:val="Normal"/>
    <w:next w:val="Normal"/>
    <w:autoRedefine/>
    <w:uiPriority w:val="39"/>
    <w:unhideWhenUsed/>
    <w:rsid w:val="0070279E"/>
    <w:pPr>
      <w:spacing w:before="120" w:after="120"/>
    </w:pPr>
    <w:rPr>
      <w:rFonts w:asciiTheme="minorHAnsi" w:hAnsiTheme="minorHAnsi"/>
      <w:b/>
      <w:bCs/>
      <w:caps/>
      <w:sz w:val="20"/>
      <w:szCs w:val="20"/>
    </w:rPr>
  </w:style>
  <w:style w:type="paragraph" w:customStyle="1" w:styleId="FSCtMain">
    <w:name w:val="FSC_t_Main"/>
    <w:basedOn w:val="Normal"/>
    <w:locked/>
    <w:rsid w:val="0070279E"/>
    <w:pPr>
      <w:widowControl w:val="0"/>
      <w:tabs>
        <w:tab w:val="left" w:pos="1134"/>
      </w:tabs>
      <w:spacing w:before="120" w:after="120"/>
      <w:ind w:left="1701" w:hanging="1701"/>
    </w:pPr>
    <w:rPr>
      <w:rFonts w:cs="Arial"/>
      <w:iCs/>
      <w:sz w:val="20"/>
      <w:szCs w:val="22"/>
      <w:lang w:eastAsia="en-AU"/>
    </w:rPr>
  </w:style>
  <w:style w:type="paragraph" w:styleId="CommentText">
    <w:name w:val="annotation text"/>
    <w:basedOn w:val="Normal"/>
    <w:link w:val="CommentTextChar"/>
    <w:unhideWhenUsed/>
    <w:rsid w:val="0055402D"/>
    <w:rPr>
      <w:sz w:val="20"/>
      <w:szCs w:val="20"/>
    </w:rPr>
  </w:style>
  <w:style w:type="character" w:customStyle="1" w:styleId="CommentTextChar">
    <w:name w:val="Comment Text Char"/>
    <w:basedOn w:val="DefaultParagraphFont"/>
    <w:link w:val="CommentText"/>
    <w:rsid w:val="0055402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5402D"/>
    <w:rPr>
      <w:b/>
      <w:bCs/>
    </w:rPr>
  </w:style>
  <w:style w:type="character" w:customStyle="1" w:styleId="CommentSubjectChar">
    <w:name w:val="Comment Subject Char"/>
    <w:basedOn w:val="CommentTextChar"/>
    <w:link w:val="CommentSubject"/>
    <w:uiPriority w:val="99"/>
    <w:semiHidden/>
    <w:rsid w:val="0055402D"/>
    <w:rPr>
      <w:rFonts w:ascii="Times New Roman" w:eastAsia="Times New Roman" w:hAnsi="Times New Roman" w:cs="Times New Roman"/>
      <w:b/>
      <w:bCs/>
      <w:sz w:val="20"/>
      <w:szCs w:val="20"/>
      <w:lang w:val="en-GB"/>
    </w:rPr>
  </w:style>
  <w:style w:type="paragraph" w:styleId="Revision">
    <w:name w:val="Revision"/>
    <w:hidden/>
    <w:uiPriority w:val="99"/>
    <w:semiHidden/>
    <w:rsid w:val="00CA543D"/>
    <w:rPr>
      <w:rFonts w:ascii="Times New Roman" w:eastAsia="Times New Roman" w:hAnsi="Times New Roman" w:cs="Times New Roman"/>
      <w:sz w:val="24"/>
      <w:szCs w:val="24"/>
      <w:lang w:val="en-GB"/>
    </w:rPr>
  </w:style>
  <w:style w:type="table" w:styleId="LightList-Accent1">
    <w:name w:val="Light List Accent 1"/>
    <w:basedOn w:val="TableNormal"/>
    <w:uiPriority w:val="61"/>
    <w:rsid w:val="001C0D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4B093B"/>
    <w:rPr>
      <w:vertAlign w:val="superscript"/>
    </w:rPr>
  </w:style>
  <w:style w:type="paragraph" w:styleId="TOC4">
    <w:name w:val="toc 4"/>
    <w:basedOn w:val="Normal"/>
    <w:next w:val="Normal"/>
    <w:autoRedefine/>
    <w:uiPriority w:val="39"/>
    <w:unhideWhenUsed/>
    <w:rsid w:val="00CB4C94"/>
    <w:pPr>
      <w:ind w:left="660"/>
    </w:pPr>
    <w:rPr>
      <w:rFonts w:asciiTheme="minorHAnsi" w:hAnsiTheme="minorHAnsi"/>
      <w:sz w:val="18"/>
      <w:szCs w:val="18"/>
    </w:rPr>
  </w:style>
  <w:style w:type="paragraph" w:styleId="TOC5">
    <w:name w:val="toc 5"/>
    <w:basedOn w:val="Normal"/>
    <w:next w:val="Normal"/>
    <w:autoRedefine/>
    <w:uiPriority w:val="39"/>
    <w:unhideWhenUsed/>
    <w:rsid w:val="00CB4C94"/>
    <w:pPr>
      <w:ind w:left="880"/>
    </w:pPr>
    <w:rPr>
      <w:rFonts w:asciiTheme="minorHAnsi" w:hAnsiTheme="minorHAnsi"/>
      <w:sz w:val="18"/>
      <w:szCs w:val="18"/>
    </w:rPr>
  </w:style>
  <w:style w:type="paragraph" w:styleId="TOC6">
    <w:name w:val="toc 6"/>
    <w:basedOn w:val="Normal"/>
    <w:next w:val="Normal"/>
    <w:autoRedefine/>
    <w:uiPriority w:val="39"/>
    <w:unhideWhenUsed/>
    <w:rsid w:val="00CB4C94"/>
    <w:pPr>
      <w:ind w:left="1100"/>
    </w:pPr>
    <w:rPr>
      <w:rFonts w:asciiTheme="minorHAnsi" w:hAnsiTheme="minorHAnsi"/>
      <w:sz w:val="18"/>
      <w:szCs w:val="18"/>
    </w:rPr>
  </w:style>
  <w:style w:type="paragraph" w:styleId="TOC7">
    <w:name w:val="toc 7"/>
    <w:basedOn w:val="Normal"/>
    <w:next w:val="Normal"/>
    <w:autoRedefine/>
    <w:uiPriority w:val="39"/>
    <w:unhideWhenUsed/>
    <w:rsid w:val="00CB4C94"/>
    <w:pPr>
      <w:ind w:left="1320"/>
    </w:pPr>
    <w:rPr>
      <w:rFonts w:asciiTheme="minorHAnsi" w:hAnsiTheme="minorHAnsi"/>
      <w:sz w:val="18"/>
      <w:szCs w:val="18"/>
    </w:rPr>
  </w:style>
  <w:style w:type="paragraph" w:styleId="TOC8">
    <w:name w:val="toc 8"/>
    <w:basedOn w:val="Normal"/>
    <w:next w:val="Normal"/>
    <w:autoRedefine/>
    <w:uiPriority w:val="39"/>
    <w:unhideWhenUsed/>
    <w:rsid w:val="00CB4C94"/>
    <w:pPr>
      <w:ind w:left="1540"/>
    </w:pPr>
    <w:rPr>
      <w:rFonts w:asciiTheme="minorHAnsi" w:hAnsiTheme="minorHAnsi"/>
      <w:sz w:val="18"/>
      <w:szCs w:val="18"/>
    </w:rPr>
  </w:style>
  <w:style w:type="paragraph" w:styleId="TOC9">
    <w:name w:val="toc 9"/>
    <w:basedOn w:val="Normal"/>
    <w:next w:val="Normal"/>
    <w:autoRedefine/>
    <w:uiPriority w:val="39"/>
    <w:unhideWhenUsed/>
    <w:rsid w:val="00CB4C94"/>
    <w:pPr>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85933">
      <w:bodyDiv w:val="1"/>
      <w:marLeft w:val="0"/>
      <w:marRight w:val="0"/>
      <w:marTop w:val="0"/>
      <w:marBottom w:val="0"/>
      <w:divBdr>
        <w:top w:val="none" w:sz="0" w:space="0" w:color="auto"/>
        <w:left w:val="none" w:sz="0" w:space="0" w:color="auto"/>
        <w:bottom w:val="none" w:sz="0" w:space="0" w:color="auto"/>
        <w:right w:val="none" w:sz="0" w:space="0" w:color="auto"/>
      </w:divBdr>
    </w:div>
    <w:div w:id="784932479">
      <w:bodyDiv w:val="1"/>
      <w:marLeft w:val="0"/>
      <w:marRight w:val="0"/>
      <w:marTop w:val="0"/>
      <w:marBottom w:val="0"/>
      <w:divBdr>
        <w:top w:val="none" w:sz="0" w:space="0" w:color="auto"/>
        <w:left w:val="none" w:sz="0" w:space="0" w:color="auto"/>
        <w:bottom w:val="none" w:sz="0" w:space="0" w:color="auto"/>
        <w:right w:val="none" w:sz="0" w:space="0" w:color="auto"/>
      </w:divBdr>
    </w:div>
    <w:div w:id="831067341">
      <w:bodyDiv w:val="1"/>
      <w:marLeft w:val="0"/>
      <w:marRight w:val="0"/>
      <w:marTop w:val="0"/>
      <w:marBottom w:val="0"/>
      <w:divBdr>
        <w:top w:val="none" w:sz="0" w:space="0" w:color="auto"/>
        <w:left w:val="none" w:sz="0" w:space="0" w:color="auto"/>
        <w:bottom w:val="none" w:sz="0" w:space="0" w:color="auto"/>
        <w:right w:val="none" w:sz="0" w:space="0" w:color="auto"/>
      </w:divBdr>
    </w:div>
    <w:div w:id="1401906400">
      <w:bodyDiv w:val="1"/>
      <w:marLeft w:val="0"/>
      <w:marRight w:val="0"/>
      <w:marTop w:val="0"/>
      <w:marBottom w:val="0"/>
      <w:divBdr>
        <w:top w:val="none" w:sz="0" w:space="0" w:color="auto"/>
        <w:left w:val="none" w:sz="0" w:space="0" w:color="auto"/>
        <w:bottom w:val="none" w:sz="0" w:space="0" w:color="auto"/>
        <w:right w:val="none" w:sz="0" w:space="0" w:color="auto"/>
      </w:divBdr>
    </w:div>
    <w:div w:id="1544171086">
      <w:bodyDiv w:val="1"/>
      <w:marLeft w:val="0"/>
      <w:marRight w:val="0"/>
      <w:marTop w:val="0"/>
      <w:marBottom w:val="0"/>
      <w:divBdr>
        <w:top w:val="none" w:sz="0" w:space="0" w:color="auto"/>
        <w:left w:val="none" w:sz="0" w:space="0" w:color="auto"/>
        <w:bottom w:val="none" w:sz="0" w:space="0" w:color="auto"/>
        <w:right w:val="none" w:sz="0" w:space="0" w:color="auto"/>
      </w:divBdr>
    </w:div>
    <w:div w:id="1832867532">
      <w:bodyDiv w:val="1"/>
      <w:marLeft w:val="0"/>
      <w:marRight w:val="0"/>
      <w:marTop w:val="0"/>
      <w:marBottom w:val="0"/>
      <w:divBdr>
        <w:top w:val="none" w:sz="0" w:space="0" w:color="auto"/>
        <w:left w:val="none" w:sz="0" w:space="0" w:color="auto"/>
        <w:bottom w:val="none" w:sz="0" w:space="0" w:color="auto"/>
        <w:right w:val="none" w:sz="0" w:space="0" w:color="auto"/>
      </w:divBdr>
    </w:div>
    <w:div w:id="19626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oodstandards.gov.au/science/exposure/pages/foodconsumptiondatau4440.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oodstandards.gov.au/science/exposure/pages/foodconsumptiondatau4440.aspx" TargetMode="External"/><Relationship Id="rId2" Type="http://schemas.openxmlformats.org/officeDocument/2006/relationships/customXml" Target="../customXml/item2.xml"/><Relationship Id="rId16" Type="http://schemas.openxmlformats.org/officeDocument/2006/relationships/hyperlink" Target="http://www.foodstandards.gov.au/science/exposure/Pages/dietaryexposureandin4438.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14" Type="http://schemas.openxmlformats.org/officeDocument/2006/relationships/image" Target="media/image1.png"/><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foodstandards.gov.au/science/exposure/pages/foodconsumptiondatau4440.aspx" TargetMode="External"/><Relationship Id="rId2" Type="http://schemas.openxmlformats.org/officeDocument/2006/relationships/hyperlink" Target="http://www.foodstandards.gov.au/science/exposure/pages/foodconsumptiondatau4440.aspx" TargetMode="External"/><Relationship Id="rId1" Type="http://schemas.openxmlformats.org/officeDocument/2006/relationships/hyperlink" Target="http://www.foodstandards.gov.au/science/exposure/Pages/dietaryexposureandin44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EB28D-7334-40DF-82E9-3C90D0FFD7E1}"/>
</file>

<file path=customXml/itemProps2.xml><?xml version="1.0" encoding="utf-8"?>
<ds:datastoreItem xmlns:ds="http://schemas.openxmlformats.org/officeDocument/2006/customXml" ds:itemID="{4F2306AC-4078-48FF-8FDC-001F6526A848}"/>
</file>

<file path=customXml/itemProps3.xml><?xml version="1.0" encoding="utf-8"?>
<ds:datastoreItem xmlns:ds="http://schemas.openxmlformats.org/officeDocument/2006/customXml" ds:itemID="{2B3E43E1-2A0A-4DCD-8872-2AC1F429C637}"/>
</file>

<file path=customXml/itemProps4.xml><?xml version="1.0" encoding="utf-8"?>
<ds:datastoreItem xmlns:ds="http://schemas.openxmlformats.org/officeDocument/2006/customXml" ds:itemID="{0F59B301-8D60-48A0-8134-66F7DDFC9812}">
  <ds:schemaRefs>
    <ds:schemaRef ds:uri="http://schemas.microsoft.com/sharepoint/events"/>
  </ds:schemaRefs>
</ds:datastoreItem>
</file>

<file path=customXml/itemProps5.xml><?xml version="1.0" encoding="utf-8"?>
<ds:datastoreItem xmlns:ds="http://schemas.openxmlformats.org/officeDocument/2006/customXml" ds:itemID="{064EB28D-7334-40DF-82E9-3C90D0FFD7E1}">
  <ds:schemaRefs>
    <ds:schemaRef ds:uri="http://schemas.microsoft.com/sharepoint/v3/contenttype/forms"/>
  </ds:schemaRefs>
</ds:datastoreItem>
</file>

<file path=customXml/itemProps6.xml><?xml version="1.0" encoding="utf-8"?>
<ds:datastoreItem xmlns:ds="http://schemas.openxmlformats.org/officeDocument/2006/customXml" ds:itemID="{54E30D21-7C8D-49D1-B637-6FC48277428A}"/>
</file>

<file path=docProps/app.xml><?xml version="1.0" encoding="utf-8"?>
<Properties xmlns="http://schemas.openxmlformats.org/officeDocument/2006/extended-properties" xmlns:vt="http://schemas.openxmlformats.org/officeDocument/2006/docPropsVTypes">
  <Template>Normal.dotm</Template>
  <TotalTime>0</TotalTime>
  <Pages>8</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MRL Harmonisation Application A1133</vt:lpstr>
    </vt:vector>
  </TitlesOfParts>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MRL Harmonisation Application A1133</dc:title>
  <dc:creator/>
  <cp:keywords>MRL Application</cp:keywords>
  <cp:lastModifiedBy/>
  <cp:revision>1</cp:revision>
  <dcterms:created xsi:type="dcterms:W3CDTF">2017-03-16T01:55:00Z</dcterms:created>
  <dcterms:modified xsi:type="dcterms:W3CDTF">2017-03-17T02:54:00Z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0x010100CB2FFA9FD6109347A9495CD5860AFAE6</vt:lpwstr>
  </property>
  <property fmtid="{D5CDD505-2E9C-101B-9397-08002B2CF9AE}" pid="3" name="_dlc_DocIdItemGuid">
    <vt:lpwstr>a2e70111-77ca-4b01-913b-ac4a17c2c9da</vt:lpwstr>
  </property>
  <property fmtid="{D5CDD505-2E9C-101B-9397-08002B2CF9AE}" pid="4" name="BCS_">
    <vt:lpwstr>40;#FOOD STANDARDS:Evaluation|43bd8487-b9f6-4055-946c-a118d364275d</vt:lpwstr>
  </property>
  <property fmtid="{D5CDD505-2E9C-101B-9397-08002B2CF9AE}" pid="5" name="DisposalClass">
    <vt:lpwstr/>
  </property>
  <property fmtid="{D5CDD505-2E9C-101B-9397-08002B2CF9AE}" pid="6" name="SPPCopyMoveEvent">
    <vt:lpwstr>0</vt:lpwstr>
  </property>
</Properties>
</file>