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rawings/drawing1.xml" ContentType="application/vnd.openxmlformats-officedocument.drawingml.chartshapes+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theme/themeOverride1.xml" ContentType="application/vnd.openxmlformats-officedocument.themeOverride+xml"/>
  <Override PartName="/word/charts/chart1.xml" ContentType="application/vnd.openxmlformats-officedocument.drawingml.chart+xml"/>
  <Override PartName="/word/settings.xml" ContentType="application/vnd.openxmlformats-officedocument.wordprocessingml.settings+xml"/>
  <Override PartName="/word/stylesWithEffects.xml" ContentType="application/vnd.ms-word.stylesWithEffect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36DB2" w14:textId="24551C05" w:rsidR="00E203C2" w:rsidRDefault="00E203C2" w:rsidP="00A84A49">
      <w:bookmarkStart w:id="0" w:name="_GoBack"/>
      <w:bookmarkEnd w:id="0"/>
      <w:r>
        <w:rPr>
          <w:noProof/>
          <w:lang w:eastAsia="en-GB" w:bidi="ar-SA"/>
        </w:rPr>
        <w:drawing>
          <wp:inline distT="0" distB="0" distL="0" distR="0" wp14:anchorId="11E36E44" wp14:editId="7020A403">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11E36DB3" w14:textId="77777777" w:rsidR="00E203C2" w:rsidRDefault="00E203C2" w:rsidP="00E203C2"/>
    <w:p w14:paraId="11E36DB4" w14:textId="77777777" w:rsidR="00092CDA" w:rsidRPr="00366048" w:rsidRDefault="00092CDA" w:rsidP="00690206">
      <w:pPr>
        <w:pStyle w:val="FSTitle"/>
        <w:rPr>
          <w:b/>
          <w:color w:val="000000" w:themeColor="text1"/>
        </w:rPr>
      </w:pPr>
      <w:r w:rsidRPr="005B7A73">
        <w:rPr>
          <w:b/>
        </w:rPr>
        <w:t>S</w:t>
      </w:r>
      <w:r w:rsidR="00B12F1E" w:rsidRPr="005B7A73">
        <w:rPr>
          <w:b/>
        </w:rPr>
        <w:t xml:space="preserve">upporting </w:t>
      </w:r>
      <w:r w:rsidR="00B12F1E" w:rsidRPr="00366048">
        <w:rPr>
          <w:b/>
          <w:color w:val="000000" w:themeColor="text1"/>
        </w:rPr>
        <w:t>document</w:t>
      </w:r>
      <w:r w:rsidRPr="00366048">
        <w:rPr>
          <w:b/>
          <w:color w:val="000000" w:themeColor="text1"/>
        </w:rPr>
        <w:t xml:space="preserve"> </w:t>
      </w:r>
      <w:r w:rsidR="00ED5D43" w:rsidRPr="00366048">
        <w:rPr>
          <w:b/>
          <w:color w:val="000000" w:themeColor="text1"/>
        </w:rPr>
        <w:t>1</w:t>
      </w:r>
    </w:p>
    <w:p w14:paraId="11E36DB5" w14:textId="77777777" w:rsidR="00BA24E2" w:rsidRPr="00366048" w:rsidRDefault="00BA24E2" w:rsidP="00E203C2">
      <w:pPr>
        <w:rPr>
          <w:color w:val="000000" w:themeColor="text1"/>
        </w:rPr>
      </w:pPr>
    </w:p>
    <w:p w14:paraId="11E36DB6" w14:textId="61A70C73" w:rsidR="00D056F1" w:rsidRPr="00366048" w:rsidRDefault="00320839" w:rsidP="00690206">
      <w:pPr>
        <w:pStyle w:val="FSTitle"/>
        <w:rPr>
          <w:color w:val="000000" w:themeColor="text1"/>
        </w:rPr>
      </w:pPr>
      <w:r w:rsidRPr="00366048">
        <w:rPr>
          <w:color w:val="000000" w:themeColor="text1"/>
        </w:rPr>
        <w:t xml:space="preserve">Risk </w:t>
      </w:r>
      <w:r w:rsidR="00ED5D43" w:rsidRPr="00366048">
        <w:rPr>
          <w:color w:val="000000" w:themeColor="text1"/>
        </w:rPr>
        <w:t xml:space="preserve">and technical </w:t>
      </w:r>
      <w:r w:rsidRPr="00366048">
        <w:rPr>
          <w:color w:val="000000" w:themeColor="text1"/>
        </w:rPr>
        <w:t>assessment</w:t>
      </w:r>
      <w:r w:rsidR="006B5EBE" w:rsidRPr="00366048">
        <w:rPr>
          <w:color w:val="000000" w:themeColor="text1"/>
        </w:rPr>
        <w:t xml:space="preserve"> </w:t>
      </w:r>
      <w:r w:rsidR="00ED5D43" w:rsidRPr="00366048">
        <w:rPr>
          <w:color w:val="000000" w:themeColor="text1"/>
        </w:rPr>
        <w:t xml:space="preserve">report </w:t>
      </w:r>
      <w:r w:rsidR="006B5EBE" w:rsidRPr="00366048">
        <w:rPr>
          <w:color w:val="000000" w:themeColor="text1"/>
        </w:rPr>
        <w:t xml:space="preserve">– </w:t>
      </w:r>
      <w:r w:rsidR="00D056F1" w:rsidRPr="00366048">
        <w:rPr>
          <w:color w:val="000000" w:themeColor="text1"/>
        </w:rPr>
        <w:t>A</w:t>
      </w:r>
      <w:r w:rsidR="00ED5D43" w:rsidRPr="00366048">
        <w:rPr>
          <w:color w:val="000000" w:themeColor="text1"/>
        </w:rPr>
        <w:t>pplication A111</w:t>
      </w:r>
      <w:r w:rsidR="00CD6F45">
        <w:rPr>
          <w:color w:val="000000" w:themeColor="text1"/>
        </w:rPr>
        <w:t>3</w:t>
      </w:r>
    </w:p>
    <w:p w14:paraId="11E36DB7" w14:textId="77777777" w:rsidR="00E203C2" w:rsidRPr="00366048" w:rsidRDefault="00E203C2" w:rsidP="00690206">
      <w:pPr>
        <w:rPr>
          <w:color w:val="000000" w:themeColor="text1"/>
        </w:rPr>
      </w:pPr>
    </w:p>
    <w:p w14:paraId="11E36DB8" w14:textId="086A0D5F" w:rsidR="00D056F1" w:rsidRPr="00366048" w:rsidRDefault="005D651B" w:rsidP="00690206">
      <w:pPr>
        <w:pStyle w:val="FSTitle"/>
        <w:rPr>
          <w:color w:val="000000" w:themeColor="text1"/>
        </w:rPr>
      </w:pPr>
      <w:r>
        <w:rPr>
          <w:color w:val="000000" w:themeColor="text1"/>
        </w:rPr>
        <w:t>Extension of Use of P</w:t>
      </w:r>
      <w:r w:rsidR="00CD6F45">
        <w:rPr>
          <w:color w:val="000000" w:themeColor="text1"/>
        </w:rPr>
        <w:t>ropionates</w:t>
      </w:r>
      <w:r>
        <w:rPr>
          <w:color w:val="000000" w:themeColor="text1"/>
        </w:rPr>
        <w:t xml:space="preserve"> in Processed Meat</w:t>
      </w:r>
    </w:p>
    <w:p w14:paraId="11E36DB9" w14:textId="77777777" w:rsidR="00E203C2" w:rsidRPr="00366048" w:rsidRDefault="00E203C2" w:rsidP="00E203C2">
      <w:pPr>
        <w:pBdr>
          <w:bottom w:val="single" w:sz="12" w:space="1" w:color="auto"/>
        </w:pBdr>
        <w:spacing w:line="280" w:lineRule="exact"/>
        <w:rPr>
          <w:rFonts w:cs="Arial"/>
          <w:bCs/>
          <w:color w:val="000000" w:themeColor="text1"/>
        </w:rPr>
      </w:pPr>
    </w:p>
    <w:p w14:paraId="11E36DBA" w14:textId="77777777" w:rsidR="00E203C2" w:rsidRPr="00B37BF0" w:rsidRDefault="00E203C2" w:rsidP="00E203C2"/>
    <w:p w14:paraId="11E36DBB" w14:textId="77777777" w:rsidR="00092CDA" w:rsidRPr="00092CDA" w:rsidRDefault="00092CDA" w:rsidP="00352CF2">
      <w:pPr>
        <w:pStyle w:val="Heading1"/>
      </w:pPr>
      <w:bookmarkStart w:id="1" w:name="_Toc286391001"/>
      <w:bookmarkStart w:id="2" w:name="_Toc300933414"/>
      <w:bookmarkStart w:id="3" w:name="_Toc454451325"/>
      <w:r w:rsidRPr="00092CDA">
        <w:t xml:space="preserve">Executive </w:t>
      </w:r>
      <w:r w:rsidR="00B12F1E">
        <w:t>s</w:t>
      </w:r>
      <w:r w:rsidRPr="00092CDA">
        <w:t>ummary</w:t>
      </w:r>
      <w:bookmarkEnd w:id="1"/>
      <w:bookmarkEnd w:id="2"/>
      <w:bookmarkEnd w:id="3"/>
    </w:p>
    <w:p w14:paraId="720A9F66" w14:textId="0DA7BBF3" w:rsidR="00AA664C" w:rsidRDefault="00443A78" w:rsidP="00AA664C">
      <w:r w:rsidRPr="00443A78">
        <w:t xml:space="preserve">Food Standards Australia New Zealand (FSANZ) received an Application from </w:t>
      </w:r>
      <w:proofErr w:type="spellStart"/>
      <w:r w:rsidRPr="00443A78">
        <w:t>Axiome</w:t>
      </w:r>
      <w:proofErr w:type="spellEnd"/>
      <w:r w:rsidRPr="00443A78">
        <w:t xml:space="preserve"> Pty Ltd, on behalf of </w:t>
      </w:r>
      <w:proofErr w:type="spellStart"/>
      <w:r w:rsidRPr="00443A78">
        <w:t>Kemin</w:t>
      </w:r>
      <w:proofErr w:type="spellEnd"/>
      <w:r w:rsidRPr="00443A78">
        <w:t xml:space="preserve"> Industries (Asia) Pte Ltd, seeking approval to use propionates as anti-microbial preservat</w:t>
      </w:r>
      <w:r>
        <w:t xml:space="preserve">ives in processed </w:t>
      </w:r>
      <w:r w:rsidR="00A130D3">
        <w:t>meat, poultry and game</w:t>
      </w:r>
      <w:r w:rsidR="006E4466">
        <w:t xml:space="preserve">. </w:t>
      </w:r>
      <w:r w:rsidR="006620A8">
        <w:t xml:space="preserve">Use of the term </w:t>
      </w:r>
      <w:r w:rsidR="00DD62F3" w:rsidRPr="00DD62F3">
        <w:t xml:space="preserve">propionates </w:t>
      </w:r>
      <w:r w:rsidR="006620A8">
        <w:t xml:space="preserve">in this document </w:t>
      </w:r>
      <w:r w:rsidR="00DD62F3" w:rsidRPr="00DD62F3">
        <w:t>refer</w:t>
      </w:r>
      <w:r w:rsidR="00DD62F3">
        <w:t>s</w:t>
      </w:r>
      <w:r w:rsidR="00DD62F3" w:rsidRPr="00DD62F3">
        <w:t xml:space="preserve"> collectively to propionic acid (INS 280), sodium propionate (INS 281), potassium propionate (INS 282) and calcium propionate (INS 283). </w:t>
      </w:r>
      <w:r w:rsidR="00701BFF">
        <w:t>The justification for the A</w:t>
      </w:r>
      <w:r w:rsidR="00AA664C">
        <w:t xml:space="preserve">pplication is to have alternative anti-microbial preservatives to limit the growth of </w:t>
      </w:r>
      <w:r w:rsidR="00AA664C" w:rsidRPr="00701BFF">
        <w:rPr>
          <w:i/>
        </w:rPr>
        <w:t>L</w:t>
      </w:r>
      <w:r w:rsidR="00701BFF">
        <w:rPr>
          <w:i/>
        </w:rPr>
        <w:t>isteria</w:t>
      </w:r>
      <w:r w:rsidR="00AA664C" w:rsidRPr="00701BFF">
        <w:rPr>
          <w:i/>
        </w:rPr>
        <w:t xml:space="preserve"> monocytogenes</w:t>
      </w:r>
      <w:r w:rsidR="00701BFF">
        <w:t xml:space="preserve"> in processed </w:t>
      </w:r>
      <w:r w:rsidR="00A130D3">
        <w:t>meat, poultry and game</w:t>
      </w:r>
      <w:r w:rsidR="00701BFF">
        <w:t>.</w:t>
      </w:r>
    </w:p>
    <w:p w14:paraId="5E24E55D" w14:textId="77777777" w:rsidR="00AA664C" w:rsidRDefault="00AA664C" w:rsidP="00AA664C"/>
    <w:p w14:paraId="0F9A9E0E" w14:textId="708F8376" w:rsidR="00A574A6" w:rsidRDefault="00A574A6" w:rsidP="00A574A6">
      <w:r>
        <w:t>The Applicant seeks approval for the use of propionates, under the conditions of</w:t>
      </w:r>
      <w:r w:rsidRPr="004D22BE">
        <w:t xml:space="preserve"> good manufacturing practice (GMP)</w:t>
      </w:r>
      <w:r>
        <w:t xml:space="preserve">, in </w:t>
      </w:r>
      <w:r w:rsidR="000D6607">
        <w:t>the following food categories of</w:t>
      </w:r>
      <w:r>
        <w:t xml:space="preserve"> the </w:t>
      </w:r>
      <w:r w:rsidR="000D6607">
        <w:t>Australia New Zealand Food Standards Code (the Code)</w:t>
      </w:r>
      <w:r>
        <w:t>:</w:t>
      </w:r>
    </w:p>
    <w:p w14:paraId="3F816BD2" w14:textId="77777777" w:rsidR="00445A1C" w:rsidRDefault="00445A1C" w:rsidP="00A574A6"/>
    <w:p w14:paraId="39AE4465" w14:textId="72C3AA61" w:rsidR="00A574A6" w:rsidRDefault="00A574A6" w:rsidP="00445A1C">
      <w:pPr>
        <w:ind w:left="567" w:hanging="567"/>
      </w:pPr>
      <w:r>
        <w:t>(</w:t>
      </w:r>
      <w:proofErr w:type="spellStart"/>
      <w:r>
        <w:t>i</w:t>
      </w:r>
      <w:proofErr w:type="spellEnd"/>
      <w:r>
        <w:t xml:space="preserve">) </w:t>
      </w:r>
      <w:r w:rsidR="00445A1C">
        <w:tab/>
      </w:r>
      <w:r>
        <w:t>Processed meat, poultry and game products in whole cuts or pieces, and</w:t>
      </w:r>
    </w:p>
    <w:p w14:paraId="6D82B134" w14:textId="7DD505EB" w:rsidR="00A574A6" w:rsidRDefault="00A574A6" w:rsidP="00445A1C">
      <w:pPr>
        <w:ind w:left="567" w:hanging="567"/>
      </w:pPr>
      <w:r>
        <w:t>(</w:t>
      </w:r>
      <w:proofErr w:type="gramStart"/>
      <w:r>
        <w:t>ii</w:t>
      </w:r>
      <w:proofErr w:type="gramEnd"/>
      <w:r>
        <w:t xml:space="preserve">) </w:t>
      </w:r>
      <w:r w:rsidR="00445A1C">
        <w:tab/>
      </w:r>
      <w:r>
        <w:t xml:space="preserve">Processed </w:t>
      </w:r>
      <w:proofErr w:type="spellStart"/>
      <w:r>
        <w:t>comminuted</w:t>
      </w:r>
      <w:proofErr w:type="spellEnd"/>
      <w:r>
        <w:t xml:space="preserve"> meat, poultry and game products.</w:t>
      </w:r>
    </w:p>
    <w:p w14:paraId="49D501EA" w14:textId="77777777" w:rsidR="00A574A6" w:rsidRDefault="00A574A6" w:rsidP="00A574A6"/>
    <w:p w14:paraId="0BB748C0" w14:textId="0529A23D" w:rsidR="00A574A6" w:rsidRDefault="00A574A6" w:rsidP="00A574A6">
      <w:r>
        <w:t xml:space="preserve">Propionates are currently listed </w:t>
      </w:r>
      <w:r w:rsidR="005A7AAF">
        <w:t xml:space="preserve">for use under the conditions of GMP </w:t>
      </w:r>
      <w:r>
        <w:t>in these two food categories in the Codex General Standard for Food Additives (GSFA)</w:t>
      </w:r>
      <w:r w:rsidR="00C974A9">
        <w:t>.</w:t>
      </w:r>
    </w:p>
    <w:p w14:paraId="5219CC84" w14:textId="77777777" w:rsidR="00A574A6" w:rsidRDefault="00A574A6" w:rsidP="00AA664C"/>
    <w:p w14:paraId="27BC8ADE" w14:textId="10E23CC3" w:rsidR="00AA664C" w:rsidRDefault="00701BFF" w:rsidP="00AA664C">
      <w:r>
        <w:t xml:space="preserve">In the </w:t>
      </w:r>
      <w:r w:rsidR="000D6607">
        <w:t xml:space="preserve">Code, </w:t>
      </w:r>
      <w:r w:rsidR="00AA664C">
        <w:t>all four propionates are</w:t>
      </w:r>
      <w:r>
        <w:t xml:space="preserve"> currently</w:t>
      </w:r>
      <w:r w:rsidR="00AA664C">
        <w:t xml:space="preserve"> permitted to be ad</w:t>
      </w:r>
      <w:r>
        <w:t>ded to breads and bakery products</w:t>
      </w:r>
      <w:r w:rsidR="00773DF4">
        <w:t>,</w:t>
      </w:r>
      <w:r w:rsidR="00AA664C">
        <w:t xml:space="preserve"> and flour products</w:t>
      </w:r>
      <w:r w:rsidR="00C63A1C" w:rsidRPr="00C63A1C">
        <w:t xml:space="preserve"> </w:t>
      </w:r>
      <w:r w:rsidR="00C63A1C">
        <w:t>(</w:t>
      </w:r>
      <w:r w:rsidR="00C63A1C" w:rsidRPr="00C63A1C">
        <w:t>including noodles and pasta</w:t>
      </w:r>
      <w:r w:rsidR="00C63A1C">
        <w:t>)</w:t>
      </w:r>
      <w:r w:rsidR="00AA664C">
        <w:t xml:space="preserve">. </w:t>
      </w:r>
      <w:r w:rsidR="0022206D">
        <w:t xml:space="preserve">In addition, </w:t>
      </w:r>
      <w:r w:rsidR="000D6607">
        <w:t xml:space="preserve">propionic acid, </w:t>
      </w:r>
      <w:r w:rsidR="0022206D">
        <w:t>s</w:t>
      </w:r>
      <w:r w:rsidR="00AA664C">
        <w:t xml:space="preserve">odium </w:t>
      </w:r>
      <w:r w:rsidR="0022206D">
        <w:t xml:space="preserve">propionate </w:t>
      </w:r>
      <w:r w:rsidR="00AA664C">
        <w:t xml:space="preserve">and calcium propionate are permitted </w:t>
      </w:r>
      <w:r>
        <w:t xml:space="preserve">in a number of other </w:t>
      </w:r>
      <w:r w:rsidR="00773DF4">
        <w:t xml:space="preserve">foods </w:t>
      </w:r>
      <w:r>
        <w:t>categories</w:t>
      </w:r>
      <w:r w:rsidR="00BE07BA">
        <w:t>.</w:t>
      </w:r>
      <w:r w:rsidR="00AA664C">
        <w:t xml:space="preserve"> </w:t>
      </w:r>
    </w:p>
    <w:p w14:paraId="6C7D84FD" w14:textId="3674455A" w:rsidR="00BE07BA" w:rsidRDefault="00BE07BA" w:rsidP="00AA664C">
      <w:pPr>
        <w:rPr>
          <w:lang w:bidi="ar-SA"/>
        </w:rPr>
      </w:pPr>
    </w:p>
    <w:p w14:paraId="4D813987" w14:textId="2FAD91A7" w:rsidR="004731E9" w:rsidRDefault="004731E9" w:rsidP="00AA664C">
      <w:r w:rsidRPr="00F95532">
        <w:rPr>
          <w:lang w:bidi="ar-SA"/>
        </w:rPr>
        <w:t>Propionic acid is a normal intermediary m</w:t>
      </w:r>
      <w:r>
        <w:rPr>
          <w:lang w:bidi="ar-SA"/>
        </w:rPr>
        <w:t xml:space="preserve">etabolite in humans and </w:t>
      </w:r>
      <w:r w:rsidRPr="00F95532">
        <w:rPr>
          <w:lang w:bidi="ar-SA"/>
        </w:rPr>
        <w:t xml:space="preserve">is naturally present in a wide variety of foods. </w:t>
      </w:r>
      <w:r w:rsidRPr="008415B0">
        <w:rPr>
          <w:lang w:bidi="ar-SA"/>
        </w:rPr>
        <w:t xml:space="preserve">Propionic acid </w:t>
      </w:r>
      <w:r>
        <w:rPr>
          <w:lang w:bidi="ar-SA"/>
        </w:rPr>
        <w:t xml:space="preserve">and its sodium, calcium and potassium salts have a long history of use as food additives. Assessments by </w:t>
      </w:r>
      <w:r w:rsidR="002038B1">
        <w:rPr>
          <w:lang w:bidi="ar-SA"/>
        </w:rPr>
        <w:t>t</w:t>
      </w:r>
      <w:r w:rsidR="002038B1" w:rsidRPr="002038B1">
        <w:rPr>
          <w:lang w:bidi="ar-SA"/>
        </w:rPr>
        <w:t xml:space="preserve">he Joint FAO/WHO Expert Committee on Food Additives (JECFA) </w:t>
      </w:r>
      <w:r w:rsidR="002038B1">
        <w:rPr>
          <w:lang w:bidi="ar-SA"/>
        </w:rPr>
        <w:t xml:space="preserve">and the </w:t>
      </w:r>
      <w:r w:rsidR="002038B1" w:rsidRPr="002038B1">
        <w:rPr>
          <w:lang w:bidi="ar-SA"/>
        </w:rPr>
        <w:t xml:space="preserve">European Food Safety Authority (EFSA) </w:t>
      </w:r>
      <w:r>
        <w:rPr>
          <w:lang w:bidi="ar-SA"/>
        </w:rPr>
        <w:t>have concluded that</w:t>
      </w:r>
      <w:r w:rsidR="002038B1">
        <w:rPr>
          <w:lang w:bidi="ar-SA"/>
        </w:rPr>
        <w:t xml:space="preserve"> </w:t>
      </w:r>
      <w:r w:rsidRPr="008415B0">
        <w:rPr>
          <w:lang w:bidi="ar-SA"/>
        </w:rPr>
        <w:t>there is no evidence of systemic toxicity resulting from oral exposure to propionates</w:t>
      </w:r>
      <w:r w:rsidR="000D6607">
        <w:rPr>
          <w:lang w:bidi="ar-SA"/>
        </w:rPr>
        <w:t>. E</w:t>
      </w:r>
      <w:r w:rsidR="000C6118" w:rsidRPr="000C6118">
        <w:rPr>
          <w:lang w:bidi="ar-SA"/>
        </w:rPr>
        <w:t xml:space="preserve">stablishment of an ADI expressed in numerical form was </w:t>
      </w:r>
      <w:r w:rsidR="000D6607">
        <w:rPr>
          <w:lang w:bidi="ar-SA"/>
        </w:rPr>
        <w:t>therefore not deemed</w:t>
      </w:r>
      <w:r w:rsidR="000C6118" w:rsidRPr="000C6118">
        <w:rPr>
          <w:lang w:bidi="ar-SA"/>
        </w:rPr>
        <w:t xml:space="preserve"> necessary</w:t>
      </w:r>
      <w:r w:rsidR="000D6607">
        <w:rPr>
          <w:lang w:bidi="ar-SA"/>
        </w:rPr>
        <w:t xml:space="preserve"> by JECFA and EFSA</w:t>
      </w:r>
      <w:r w:rsidR="000C6118">
        <w:rPr>
          <w:lang w:bidi="ar-SA"/>
        </w:rPr>
        <w:t>.</w:t>
      </w:r>
      <w:r w:rsidR="00A35B12">
        <w:rPr>
          <w:lang w:bidi="ar-SA"/>
        </w:rPr>
        <w:t xml:space="preserve"> </w:t>
      </w:r>
      <w:r w:rsidR="00A35B12">
        <w:t>B</w:t>
      </w:r>
      <w:r w:rsidR="00A35B12" w:rsidRPr="004731E9">
        <w:t>ecause there is no evidence of systemic toxicity resulting from oral exposure to propionates</w:t>
      </w:r>
      <w:r w:rsidR="00A35B12">
        <w:t>,</w:t>
      </w:r>
      <w:r w:rsidR="00A35B12" w:rsidRPr="000C6118">
        <w:t xml:space="preserve"> </w:t>
      </w:r>
      <w:r w:rsidR="00A35B12">
        <w:t>a</w:t>
      </w:r>
      <w:r w:rsidRPr="004731E9">
        <w:t xml:space="preserve"> dietary exposure assessment was not conducted</w:t>
      </w:r>
      <w:r w:rsidR="00A35B12">
        <w:t xml:space="preserve"> for this Application.</w:t>
      </w:r>
    </w:p>
    <w:p w14:paraId="490D2F78" w14:textId="77777777" w:rsidR="00C974A9" w:rsidRDefault="00C974A9" w:rsidP="00AA664C"/>
    <w:p w14:paraId="5F77D5F5" w14:textId="24B8A0D4" w:rsidR="00AA664C" w:rsidRDefault="00BE07BA" w:rsidP="00AA664C">
      <w:r w:rsidRPr="00BE07BA">
        <w:t xml:space="preserve">Evidence submitted in support of this Application provides adequate assurance that propionates fulfil the stated technological function as </w:t>
      </w:r>
      <w:r w:rsidR="00E70125" w:rsidRPr="00E70125">
        <w:t xml:space="preserve">anti-microbial </w:t>
      </w:r>
      <w:r w:rsidRPr="00BE07BA">
        <w:t xml:space="preserve">food additives in processed </w:t>
      </w:r>
      <w:r w:rsidR="00A130D3">
        <w:t>meat, poultry and game</w:t>
      </w:r>
      <w:r w:rsidRPr="00BE07BA">
        <w:t>.</w:t>
      </w:r>
      <w:r>
        <w:t xml:space="preserve"> </w:t>
      </w:r>
      <w:r w:rsidRPr="00BE07BA">
        <w:t>Any additional dietary exposure to propionates resulting from their use as food additives in processed meat</w:t>
      </w:r>
      <w:r w:rsidR="00A130D3">
        <w:t>, poultry and game</w:t>
      </w:r>
      <w:r w:rsidRPr="00BE07BA">
        <w:t xml:space="preserve"> products presents no identifiable public health and safety concerns.</w:t>
      </w:r>
    </w:p>
    <w:p w14:paraId="46F8F280" w14:textId="0CC1A268" w:rsidR="00C37382" w:rsidRDefault="00C37382" w:rsidP="004731E9">
      <w:pPr>
        <w:pStyle w:val="FSBullet1"/>
        <w:numPr>
          <w:ilvl w:val="0"/>
          <w:numId w:val="0"/>
        </w:numPr>
        <w:ind w:left="567"/>
      </w:pPr>
    </w:p>
    <w:p w14:paraId="11E36DBE" w14:textId="77777777" w:rsidR="00092CDA" w:rsidRDefault="00092CDA" w:rsidP="00690206">
      <w:pPr>
        <w:sectPr w:rsidR="00092CDA" w:rsidSect="007D03EA">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418" w:header="709" w:footer="709" w:gutter="0"/>
          <w:pgNumType w:fmt="lowerRoman" w:start="1"/>
          <w:cols w:space="708"/>
          <w:docGrid w:linePitch="360"/>
        </w:sectPr>
      </w:pPr>
    </w:p>
    <w:p w14:paraId="11E36DBF" w14:textId="77777777" w:rsidR="00562917" w:rsidRPr="00352CF2" w:rsidRDefault="00562917" w:rsidP="00690206">
      <w:pPr>
        <w:jc w:val="center"/>
        <w:rPr>
          <w:b/>
          <w:sz w:val="28"/>
          <w:szCs w:val="28"/>
        </w:rPr>
      </w:pPr>
      <w:r w:rsidRPr="00352CF2">
        <w:rPr>
          <w:b/>
          <w:sz w:val="28"/>
          <w:szCs w:val="28"/>
        </w:rPr>
        <w:lastRenderedPageBreak/>
        <w:t xml:space="preserve">Table of </w:t>
      </w:r>
      <w:r w:rsidR="00A77BFA">
        <w:rPr>
          <w:b/>
          <w:sz w:val="28"/>
          <w:szCs w:val="28"/>
        </w:rPr>
        <w:t>c</w:t>
      </w:r>
      <w:r w:rsidRPr="00352CF2">
        <w:rPr>
          <w:b/>
          <w:sz w:val="28"/>
          <w:szCs w:val="28"/>
        </w:rPr>
        <w:t>ontents</w:t>
      </w:r>
    </w:p>
    <w:p w14:paraId="11E36DC0" w14:textId="77777777" w:rsidR="00562917" w:rsidRDefault="00562917" w:rsidP="00051ED9"/>
    <w:sdt>
      <w:sdtPr>
        <w:rPr>
          <w:rFonts w:eastAsia="Times New Roman" w:cs="Times New Roman"/>
          <w:b w:val="0"/>
          <w:bCs w:val="0"/>
          <w:sz w:val="22"/>
          <w:szCs w:val="24"/>
          <w:lang w:bidi="en-US"/>
        </w:rPr>
        <w:id w:val="-2080667687"/>
        <w:docPartObj>
          <w:docPartGallery w:val="Table of Contents"/>
          <w:docPartUnique/>
        </w:docPartObj>
      </w:sdtPr>
      <w:sdtEndPr>
        <w:rPr>
          <w:noProof/>
        </w:rPr>
      </w:sdtEndPr>
      <w:sdtContent>
        <w:p w14:paraId="11E36DC1" w14:textId="5567158B" w:rsidR="00C11A3D" w:rsidRDefault="00C11A3D">
          <w:pPr>
            <w:pStyle w:val="TOCHeading"/>
          </w:pPr>
        </w:p>
        <w:p w14:paraId="5FF495D1" w14:textId="77777777" w:rsidR="00CB77A1" w:rsidRDefault="00C11A3D">
          <w:pPr>
            <w:pStyle w:val="TOC1"/>
            <w:tabs>
              <w:tab w:val="right" w:leader="dot" w:pos="9463"/>
            </w:tabs>
            <w:rPr>
              <w:rFonts w:eastAsiaTheme="minorEastAsia" w:cstheme="minorBidi"/>
              <w:b w:val="0"/>
              <w:bCs w:val="0"/>
              <w:caps w:val="0"/>
              <w:noProof/>
              <w:sz w:val="22"/>
              <w:szCs w:val="22"/>
              <w:lang w:val="en-NZ" w:eastAsia="en-NZ" w:bidi="ar-SA"/>
            </w:rPr>
          </w:pPr>
          <w:r>
            <w:fldChar w:fldCharType="begin"/>
          </w:r>
          <w:r>
            <w:instrText xml:space="preserve"> TOC \o "1-3" \h \z \u </w:instrText>
          </w:r>
          <w:r>
            <w:fldChar w:fldCharType="separate"/>
          </w:r>
          <w:hyperlink w:anchor="_Toc454451325" w:history="1">
            <w:r w:rsidR="00CB77A1" w:rsidRPr="004376E7">
              <w:rPr>
                <w:rStyle w:val="Hyperlink"/>
                <w:noProof/>
              </w:rPr>
              <w:t>Executive summary</w:t>
            </w:r>
            <w:r w:rsidR="00CB77A1">
              <w:rPr>
                <w:noProof/>
                <w:webHidden/>
              </w:rPr>
              <w:tab/>
            </w:r>
            <w:r w:rsidR="00CB77A1">
              <w:rPr>
                <w:noProof/>
                <w:webHidden/>
              </w:rPr>
              <w:fldChar w:fldCharType="begin"/>
            </w:r>
            <w:r w:rsidR="00CB77A1">
              <w:rPr>
                <w:noProof/>
                <w:webHidden/>
              </w:rPr>
              <w:instrText xml:space="preserve"> PAGEREF _Toc454451325 \h </w:instrText>
            </w:r>
            <w:r w:rsidR="00CB77A1">
              <w:rPr>
                <w:noProof/>
                <w:webHidden/>
              </w:rPr>
            </w:r>
            <w:r w:rsidR="00CB77A1">
              <w:rPr>
                <w:noProof/>
                <w:webHidden/>
              </w:rPr>
              <w:fldChar w:fldCharType="separate"/>
            </w:r>
            <w:r w:rsidR="00970FAB">
              <w:rPr>
                <w:noProof/>
                <w:webHidden/>
              </w:rPr>
              <w:t>i</w:t>
            </w:r>
            <w:r w:rsidR="00CB77A1">
              <w:rPr>
                <w:noProof/>
                <w:webHidden/>
              </w:rPr>
              <w:fldChar w:fldCharType="end"/>
            </w:r>
          </w:hyperlink>
        </w:p>
        <w:p w14:paraId="45246365" w14:textId="77777777" w:rsidR="00CB77A1" w:rsidRDefault="00766D85">
          <w:pPr>
            <w:pStyle w:val="TOC1"/>
            <w:tabs>
              <w:tab w:val="left" w:pos="440"/>
              <w:tab w:val="right" w:leader="dot" w:pos="9463"/>
            </w:tabs>
            <w:rPr>
              <w:rFonts w:eastAsiaTheme="minorEastAsia" w:cstheme="minorBidi"/>
              <w:b w:val="0"/>
              <w:bCs w:val="0"/>
              <w:caps w:val="0"/>
              <w:noProof/>
              <w:sz w:val="22"/>
              <w:szCs w:val="22"/>
              <w:lang w:val="en-NZ" w:eastAsia="en-NZ" w:bidi="ar-SA"/>
            </w:rPr>
          </w:pPr>
          <w:hyperlink w:anchor="_Toc454451326" w:history="1">
            <w:r w:rsidR="00CB77A1" w:rsidRPr="004376E7">
              <w:rPr>
                <w:rStyle w:val="Hyperlink"/>
                <w:noProof/>
              </w:rPr>
              <w:t>1</w:t>
            </w:r>
            <w:r w:rsidR="00CB77A1">
              <w:rPr>
                <w:rFonts w:eastAsiaTheme="minorEastAsia" w:cstheme="minorBidi"/>
                <w:b w:val="0"/>
                <w:bCs w:val="0"/>
                <w:caps w:val="0"/>
                <w:noProof/>
                <w:sz w:val="22"/>
                <w:szCs w:val="22"/>
                <w:lang w:val="en-NZ" w:eastAsia="en-NZ" w:bidi="ar-SA"/>
              </w:rPr>
              <w:tab/>
            </w:r>
            <w:r w:rsidR="00CB77A1" w:rsidRPr="004376E7">
              <w:rPr>
                <w:rStyle w:val="Hyperlink"/>
                <w:noProof/>
              </w:rPr>
              <w:t>Introduction</w:t>
            </w:r>
            <w:r w:rsidR="00CB77A1">
              <w:rPr>
                <w:noProof/>
                <w:webHidden/>
              </w:rPr>
              <w:tab/>
            </w:r>
            <w:r w:rsidR="00CB77A1">
              <w:rPr>
                <w:noProof/>
                <w:webHidden/>
              </w:rPr>
              <w:fldChar w:fldCharType="begin"/>
            </w:r>
            <w:r w:rsidR="00CB77A1">
              <w:rPr>
                <w:noProof/>
                <w:webHidden/>
              </w:rPr>
              <w:instrText xml:space="preserve"> PAGEREF _Toc454451326 \h </w:instrText>
            </w:r>
            <w:r w:rsidR="00CB77A1">
              <w:rPr>
                <w:noProof/>
                <w:webHidden/>
              </w:rPr>
            </w:r>
            <w:r w:rsidR="00CB77A1">
              <w:rPr>
                <w:noProof/>
                <w:webHidden/>
              </w:rPr>
              <w:fldChar w:fldCharType="separate"/>
            </w:r>
            <w:r w:rsidR="00970FAB">
              <w:rPr>
                <w:noProof/>
                <w:webHidden/>
              </w:rPr>
              <w:t>2</w:t>
            </w:r>
            <w:r w:rsidR="00CB77A1">
              <w:rPr>
                <w:noProof/>
                <w:webHidden/>
              </w:rPr>
              <w:fldChar w:fldCharType="end"/>
            </w:r>
          </w:hyperlink>
        </w:p>
        <w:p w14:paraId="2005E5D2" w14:textId="77777777" w:rsidR="00CB77A1" w:rsidRDefault="00766D85">
          <w:pPr>
            <w:pStyle w:val="TOC2"/>
            <w:tabs>
              <w:tab w:val="left" w:pos="880"/>
              <w:tab w:val="right" w:leader="dot" w:pos="9463"/>
            </w:tabs>
            <w:rPr>
              <w:rFonts w:eastAsiaTheme="minorEastAsia" w:cstheme="minorBidi"/>
              <w:smallCaps w:val="0"/>
              <w:noProof/>
              <w:sz w:val="22"/>
              <w:szCs w:val="22"/>
              <w:lang w:val="en-NZ" w:eastAsia="en-NZ" w:bidi="ar-SA"/>
            </w:rPr>
          </w:pPr>
          <w:hyperlink w:anchor="_Toc454451327" w:history="1">
            <w:r w:rsidR="00CB77A1" w:rsidRPr="004376E7">
              <w:rPr>
                <w:rStyle w:val="Hyperlink"/>
                <w:noProof/>
              </w:rPr>
              <w:t>1.1</w:t>
            </w:r>
            <w:r w:rsidR="00CB77A1">
              <w:rPr>
                <w:rFonts w:eastAsiaTheme="minorEastAsia" w:cstheme="minorBidi"/>
                <w:smallCaps w:val="0"/>
                <w:noProof/>
                <w:sz w:val="22"/>
                <w:szCs w:val="22"/>
                <w:lang w:val="en-NZ" w:eastAsia="en-NZ" w:bidi="ar-SA"/>
              </w:rPr>
              <w:tab/>
            </w:r>
            <w:r w:rsidR="00CB77A1" w:rsidRPr="004376E7">
              <w:rPr>
                <w:rStyle w:val="Hyperlink"/>
                <w:noProof/>
              </w:rPr>
              <w:t>Objectives of the risk and technical assessment</w:t>
            </w:r>
            <w:r w:rsidR="00CB77A1">
              <w:rPr>
                <w:noProof/>
                <w:webHidden/>
              </w:rPr>
              <w:tab/>
            </w:r>
            <w:r w:rsidR="00CB77A1">
              <w:rPr>
                <w:noProof/>
                <w:webHidden/>
              </w:rPr>
              <w:fldChar w:fldCharType="begin"/>
            </w:r>
            <w:r w:rsidR="00CB77A1">
              <w:rPr>
                <w:noProof/>
                <w:webHidden/>
              </w:rPr>
              <w:instrText xml:space="preserve"> PAGEREF _Toc454451327 \h </w:instrText>
            </w:r>
            <w:r w:rsidR="00CB77A1">
              <w:rPr>
                <w:noProof/>
                <w:webHidden/>
              </w:rPr>
            </w:r>
            <w:r w:rsidR="00CB77A1">
              <w:rPr>
                <w:noProof/>
                <w:webHidden/>
              </w:rPr>
              <w:fldChar w:fldCharType="separate"/>
            </w:r>
            <w:r w:rsidR="00970FAB">
              <w:rPr>
                <w:noProof/>
                <w:webHidden/>
              </w:rPr>
              <w:t>2</w:t>
            </w:r>
            <w:r w:rsidR="00CB77A1">
              <w:rPr>
                <w:noProof/>
                <w:webHidden/>
              </w:rPr>
              <w:fldChar w:fldCharType="end"/>
            </w:r>
          </w:hyperlink>
        </w:p>
        <w:p w14:paraId="1D4E71BF" w14:textId="77777777" w:rsidR="00CB77A1" w:rsidRDefault="00766D85">
          <w:pPr>
            <w:pStyle w:val="TOC1"/>
            <w:tabs>
              <w:tab w:val="left" w:pos="440"/>
              <w:tab w:val="right" w:leader="dot" w:pos="9463"/>
            </w:tabs>
            <w:rPr>
              <w:rFonts w:eastAsiaTheme="minorEastAsia" w:cstheme="minorBidi"/>
              <w:b w:val="0"/>
              <w:bCs w:val="0"/>
              <w:caps w:val="0"/>
              <w:noProof/>
              <w:sz w:val="22"/>
              <w:szCs w:val="22"/>
              <w:lang w:val="en-NZ" w:eastAsia="en-NZ" w:bidi="ar-SA"/>
            </w:rPr>
          </w:pPr>
          <w:hyperlink w:anchor="_Toc454451328" w:history="1">
            <w:r w:rsidR="00CB77A1" w:rsidRPr="004376E7">
              <w:rPr>
                <w:rStyle w:val="Hyperlink"/>
                <w:noProof/>
              </w:rPr>
              <w:t>2</w:t>
            </w:r>
            <w:r w:rsidR="00CB77A1">
              <w:rPr>
                <w:rFonts w:eastAsiaTheme="minorEastAsia" w:cstheme="minorBidi"/>
                <w:b w:val="0"/>
                <w:bCs w:val="0"/>
                <w:caps w:val="0"/>
                <w:noProof/>
                <w:sz w:val="22"/>
                <w:szCs w:val="22"/>
                <w:lang w:val="en-NZ" w:eastAsia="en-NZ" w:bidi="ar-SA"/>
              </w:rPr>
              <w:tab/>
            </w:r>
            <w:r w:rsidR="00CB77A1" w:rsidRPr="004376E7">
              <w:rPr>
                <w:rStyle w:val="Hyperlink"/>
                <w:noProof/>
              </w:rPr>
              <w:t>Food technology assessment</w:t>
            </w:r>
            <w:r w:rsidR="00CB77A1">
              <w:rPr>
                <w:noProof/>
                <w:webHidden/>
              </w:rPr>
              <w:tab/>
            </w:r>
            <w:r w:rsidR="00CB77A1">
              <w:rPr>
                <w:noProof/>
                <w:webHidden/>
              </w:rPr>
              <w:fldChar w:fldCharType="begin"/>
            </w:r>
            <w:r w:rsidR="00CB77A1">
              <w:rPr>
                <w:noProof/>
                <w:webHidden/>
              </w:rPr>
              <w:instrText xml:space="preserve"> PAGEREF _Toc454451328 \h </w:instrText>
            </w:r>
            <w:r w:rsidR="00CB77A1">
              <w:rPr>
                <w:noProof/>
                <w:webHidden/>
              </w:rPr>
            </w:r>
            <w:r w:rsidR="00CB77A1">
              <w:rPr>
                <w:noProof/>
                <w:webHidden/>
              </w:rPr>
              <w:fldChar w:fldCharType="separate"/>
            </w:r>
            <w:r w:rsidR="00970FAB">
              <w:rPr>
                <w:noProof/>
                <w:webHidden/>
              </w:rPr>
              <w:t>2</w:t>
            </w:r>
            <w:r w:rsidR="00CB77A1">
              <w:rPr>
                <w:noProof/>
                <w:webHidden/>
              </w:rPr>
              <w:fldChar w:fldCharType="end"/>
            </w:r>
          </w:hyperlink>
        </w:p>
        <w:p w14:paraId="656E78A9" w14:textId="77777777" w:rsidR="00CB77A1" w:rsidRDefault="00766D85">
          <w:pPr>
            <w:pStyle w:val="TOC2"/>
            <w:tabs>
              <w:tab w:val="left" w:pos="880"/>
              <w:tab w:val="right" w:leader="dot" w:pos="9463"/>
            </w:tabs>
            <w:rPr>
              <w:rFonts w:eastAsiaTheme="minorEastAsia" w:cstheme="minorBidi"/>
              <w:smallCaps w:val="0"/>
              <w:noProof/>
              <w:sz w:val="22"/>
              <w:szCs w:val="22"/>
              <w:lang w:val="en-NZ" w:eastAsia="en-NZ" w:bidi="ar-SA"/>
            </w:rPr>
          </w:pPr>
          <w:hyperlink w:anchor="_Toc454451329" w:history="1">
            <w:r w:rsidR="00CB77A1" w:rsidRPr="004376E7">
              <w:rPr>
                <w:rStyle w:val="Hyperlink"/>
                <w:noProof/>
              </w:rPr>
              <w:t>2.1</w:t>
            </w:r>
            <w:r w:rsidR="00CB77A1">
              <w:rPr>
                <w:rFonts w:eastAsiaTheme="minorEastAsia" w:cstheme="minorBidi"/>
                <w:smallCaps w:val="0"/>
                <w:noProof/>
                <w:sz w:val="22"/>
                <w:szCs w:val="22"/>
                <w:lang w:val="en-NZ" w:eastAsia="en-NZ" w:bidi="ar-SA"/>
              </w:rPr>
              <w:tab/>
            </w:r>
            <w:r w:rsidR="00CB77A1" w:rsidRPr="004376E7">
              <w:rPr>
                <w:rStyle w:val="Hyperlink"/>
                <w:noProof/>
              </w:rPr>
              <w:t>Introduction and description of substance</w:t>
            </w:r>
            <w:r w:rsidR="00CB77A1">
              <w:rPr>
                <w:noProof/>
                <w:webHidden/>
              </w:rPr>
              <w:tab/>
            </w:r>
            <w:r w:rsidR="00CB77A1">
              <w:rPr>
                <w:noProof/>
                <w:webHidden/>
              </w:rPr>
              <w:fldChar w:fldCharType="begin"/>
            </w:r>
            <w:r w:rsidR="00CB77A1">
              <w:rPr>
                <w:noProof/>
                <w:webHidden/>
              </w:rPr>
              <w:instrText xml:space="preserve"> PAGEREF _Toc454451329 \h </w:instrText>
            </w:r>
            <w:r w:rsidR="00CB77A1">
              <w:rPr>
                <w:noProof/>
                <w:webHidden/>
              </w:rPr>
            </w:r>
            <w:r w:rsidR="00CB77A1">
              <w:rPr>
                <w:noProof/>
                <w:webHidden/>
              </w:rPr>
              <w:fldChar w:fldCharType="separate"/>
            </w:r>
            <w:r w:rsidR="00970FAB">
              <w:rPr>
                <w:noProof/>
                <w:webHidden/>
              </w:rPr>
              <w:t>2</w:t>
            </w:r>
            <w:r w:rsidR="00CB77A1">
              <w:rPr>
                <w:noProof/>
                <w:webHidden/>
              </w:rPr>
              <w:fldChar w:fldCharType="end"/>
            </w:r>
          </w:hyperlink>
        </w:p>
        <w:p w14:paraId="5A17E826" w14:textId="77777777" w:rsidR="00CB77A1" w:rsidRDefault="00766D85">
          <w:pPr>
            <w:pStyle w:val="TOC3"/>
            <w:tabs>
              <w:tab w:val="right" w:leader="dot" w:pos="9463"/>
            </w:tabs>
            <w:rPr>
              <w:rFonts w:eastAsiaTheme="minorEastAsia" w:cstheme="minorBidi"/>
              <w:i w:val="0"/>
              <w:iCs w:val="0"/>
              <w:noProof/>
              <w:sz w:val="22"/>
              <w:szCs w:val="22"/>
              <w:lang w:val="en-NZ" w:eastAsia="en-NZ" w:bidi="ar-SA"/>
            </w:rPr>
          </w:pPr>
          <w:hyperlink w:anchor="_Toc454451330" w:history="1">
            <w:r w:rsidR="00CB77A1" w:rsidRPr="004376E7">
              <w:rPr>
                <w:rStyle w:val="Hyperlink"/>
                <w:noProof/>
              </w:rPr>
              <w:t>2.1.1 Identity</w:t>
            </w:r>
            <w:r w:rsidR="00CB77A1">
              <w:rPr>
                <w:noProof/>
                <w:webHidden/>
              </w:rPr>
              <w:tab/>
            </w:r>
            <w:r w:rsidR="00CB77A1">
              <w:rPr>
                <w:noProof/>
                <w:webHidden/>
              </w:rPr>
              <w:fldChar w:fldCharType="begin"/>
            </w:r>
            <w:r w:rsidR="00CB77A1">
              <w:rPr>
                <w:noProof/>
                <w:webHidden/>
              </w:rPr>
              <w:instrText xml:space="preserve"> PAGEREF _Toc454451330 \h </w:instrText>
            </w:r>
            <w:r w:rsidR="00CB77A1">
              <w:rPr>
                <w:noProof/>
                <w:webHidden/>
              </w:rPr>
            </w:r>
            <w:r w:rsidR="00CB77A1">
              <w:rPr>
                <w:noProof/>
                <w:webHidden/>
              </w:rPr>
              <w:fldChar w:fldCharType="separate"/>
            </w:r>
            <w:r w:rsidR="00970FAB">
              <w:rPr>
                <w:noProof/>
                <w:webHidden/>
              </w:rPr>
              <w:t>3</w:t>
            </w:r>
            <w:r w:rsidR="00CB77A1">
              <w:rPr>
                <w:noProof/>
                <w:webHidden/>
              </w:rPr>
              <w:fldChar w:fldCharType="end"/>
            </w:r>
          </w:hyperlink>
        </w:p>
        <w:p w14:paraId="6231E433" w14:textId="77777777" w:rsidR="00CB77A1" w:rsidRDefault="00766D85">
          <w:pPr>
            <w:pStyle w:val="TOC3"/>
            <w:tabs>
              <w:tab w:val="right" w:leader="dot" w:pos="9463"/>
            </w:tabs>
            <w:rPr>
              <w:rFonts w:eastAsiaTheme="minorEastAsia" w:cstheme="minorBidi"/>
              <w:i w:val="0"/>
              <w:iCs w:val="0"/>
              <w:noProof/>
              <w:sz w:val="22"/>
              <w:szCs w:val="22"/>
              <w:lang w:val="en-NZ" w:eastAsia="en-NZ" w:bidi="ar-SA"/>
            </w:rPr>
          </w:pPr>
          <w:hyperlink w:anchor="_Toc454451331" w:history="1">
            <w:r w:rsidR="00CB77A1" w:rsidRPr="004376E7">
              <w:rPr>
                <w:rStyle w:val="Hyperlink"/>
                <w:noProof/>
              </w:rPr>
              <w:t>2.1.2 Technological purpose</w:t>
            </w:r>
            <w:r w:rsidR="00CB77A1">
              <w:rPr>
                <w:noProof/>
                <w:webHidden/>
              </w:rPr>
              <w:tab/>
            </w:r>
            <w:r w:rsidR="00CB77A1">
              <w:rPr>
                <w:noProof/>
                <w:webHidden/>
              </w:rPr>
              <w:fldChar w:fldCharType="begin"/>
            </w:r>
            <w:r w:rsidR="00CB77A1">
              <w:rPr>
                <w:noProof/>
                <w:webHidden/>
              </w:rPr>
              <w:instrText xml:space="preserve"> PAGEREF _Toc454451331 \h </w:instrText>
            </w:r>
            <w:r w:rsidR="00CB77A1">
              <w:rPr>
                <w:noProof/>
                <w:webHidden/>
              </w:rPr>
            </w:r>
            <w:r w:rsidR="00CB77A1">
              <w:rPr>
                <w:noProof/>
                <w:webHidden/>
              </w:rPr>
              <w:fldChar w:fldCharType="separate"/>
            </w:r>
            <w:r w:rsidR="00970FAB">
              <w:rPr>
                <w:noProof/>
                <w:webHidden/>
              </w:rPr>
              <w:t>3</w:t>
            </w:r>
            <w:r w:rsidR="00CB77A1">
              <w:rPr>
                <w:noProof/>
                <w:webHidden/>
              </w:rPr>
              <w:fldChar w:fldCharType="end"/>
            </w:r>
          </w:hyperlink>
        </w:p>
        <w:p w14:paraId="2F0C7609" w14:textId="77777777" w:rsidR="00CB77A1" w:rsidRDefault="00766D85">
          <w:pPr>
            <w:pStyle w:val="TOC3"/>
            <w:tabs>
              <w:tab w:val="right" w:leader="dot" w:pos="9463"/>
            </w:tabs>
            <w:rPr>
              <w:rFonts w:eastAsiaTheme="minorEastAsia" w:cstheme="minorBidi"/>
              <w:i w:val="0"/>
              <w:iCs w:val="0"/>
              <w:noProof/>
              <w:sz w:val="22"/>
              <w:szCs w:val="22"/>
              <w:lang w:val="en-NZ" w:eastAsia="en-NZ" w:bidi="ar-SA"/>
            </w:rPr>
          </w:pPr>
          <w:hyperlink w:anchor="_Toc454451332" w:history="1">
            <w:r w:rsidR="00CB77A1" w:rsidRPr="004376E7">
              <w:rPr>
                <w:rStyle w:val="Hyperlink"/>
                <w:noProof/>
              </w:rPr>
              <w:t>2.1.3 Technological justification</w:t>
            </w:r>
            <w:r w:rsidR="00CB77A1">
              <w:rPr>
                <w:noProof/>
                <w:webHidden/>
              </w:rPr>
              <w:tab/>
            </w:r>
            <w:r w:rsidR="00CB77A1">
              <w:rPr>
                <w:noProof/>
                <w:webHidden/>
              </w:rPr>
              <w:fldChar w:fldCharType="begin"/>
            </w:r>
            <w:r w:rsidR="00CB77A1">
              <w:rPr>
                <w:noProof/>
                <w:webHidden/>
              </w:rPr>
              <w:instrText xml:space="preserve"> PAGEREF _Toc454451332 \h </w:instrText>
            </w:r>
            <w:r w:rsidR="00CB77A1">
              <w:rPr>
                <w:noProof/>
                <w:webHidden/>
              </w:rPr>
            </w:r>
            <w:r w:rsidR="00CB77A1">
              <w:rPr>
                <w:noProof/>
                <w:webHidden/>
              </w:rPr>
              <w:fldChar w:fldCharType="separate"/>
            </w:r>
            <w:r w:rsidR="00970FAB">
              <w:rPr>
                <w:noProof/>
                <w:webHidden/>
              </w:rPr>
              <w:t>3</w:t>
            </w:r>
            <w:r w:rsidR="00CB77A1">
              <w:rPr>
                <w:noProof/>
                <w:webHidden/>
              </w:rPr>
              <w:fldChar w:fldCharType="end"/>
            </w:r>
          </w:hyperlink>
        </w:p>
        <w:p w14:paraId="0C18F444" w14:textId="77777777" w:rsidR="00CB77A1" w:rsidRDefault="00766D85">
          <w:pPr>
            <w:pStyle w:val="TOC2"/>
            <w:tabs>
              <w:tab w:val="left" w:pos="880"/>
              <w:tab w:val="right" w:leader="dot" w:pos="9463"/>
            </w:tabs>
            <w:rPr>
              <w:rFonts w:eastAsiaTheme="minorEastAsia" w:cstheme="minorBidi"/>
              <w:smallCaps w:val="0"/>
              <w:noProof/>
              <w:sz w:val="22"/>
              <w:szCs w:val="22"/>
              <w:lang w:val="en-NZ" w:eastAsia="en-NZ" w:bidi="ar-SA"/>
            </w:rPr>
          </w:pPr>
          <w:hyperlink w:anchor="_Toc454451333" w:history="1">
            <w:r w:rsidR="00CB77A1" w:rsidRPr="004376E7">
              <w:rPr>
                <w:rStyle w:val="Hyperlink"/>
                <w:noProof/>
              </w:rPr>
              <w:t>2.2</w:t>
            </w:r>
            <w:r w:rsidR="00CB77A1">
              <w:rPr>
                <w:rFonts w:eastAsiaTheme="minorEastAsia" w:cstheme="minorBidi"/>
                <w:smallCaps w:val="0"/>
                <w:noProof/>
                <w:sz w:val="22"/>
                <w:szCs w:val="22"/>
                <w:lang w:val="en-NZ" w:eastAsia="en-NZ" w:bidi="ar-SA"/>
              </w:rPr>
              <w:tab/>
            </w:r>
            <w:r w:rsidR="00CB77A1" w:rsidRPr="004376E7">
              <w:rPr>
                <w:rStyle w:val="Hyperlink"/>
                <w:noProof/>
              </w:rPr>
              <w:t>Chemical properties</w:t>
            </w:r>
            <w:r w:rsidR="00CB77A1">
              <w:rPr>
                <w:noProof/>
                <w:webHidden/>
              </w:rPr>
              <w:tab/>
            </w:r>
            <w:r w:rsidR="00CB77A1">
              <w:rPr>
                <w:noProof/>
                <w:webHidden/>
              </w:rPr>
              <w:fldChar w:fldCharType="begin"/>
            </w:r>
            <w:r w:rsidR="00CB77A1">
              <w:rPr>
                <w:noProof/>
                <w:webHidden/>
              </w:rPr>
              <w:instrText xml:space="preserve"> PAGEREF _Toc454451333 \h </w:instrText>
            </w:r>
            <w:r w:rsidR="00CB77A1">
              <w:rPr>
                <w:noProof/>
                <w:webHidden/>
              </w:rPr>
            </w:r>
            <w:r w:rsidR="00CB77A1">
              <w:rPr>
                <w:noProof/>
                <w:webHidden/>
              </w:rPr>
              <w:fldChar w:fldCharType="separate"/>
            </w:r>
            <w:r w:rsidR="00970FAB">
              <w:rPr>
                <w:noProof/>
                <w:webHidden/>
              </w:rPr>
              <w:t>5</w:t>
            </w:r>
            <w:r w:rsidR="00CB77A1">
              <w:rPr>
                <w:noProof/>
                <w:webHidden/>
              </w:rPr>
              <w:fldChar w:fldCharType="end"/>
            </w:r>
          </w:hyperlink>
        </w:p>
        <w:p w14:paraId="345F82A3" w14:textId="77777777" w:rsidR="00CB77A1" w:rsidRDefault="00766D85">
          <w:pPr>
            <w:pStyle w:val="TOC3"/>
            <w:tabs>
              <w:tab w:val="right" w:leader="dot" w:pos="9463"/>
            </w:tabs>
            <w:rPr>
              <w:rFonts w:eastAsiaTheme="minorEastAsia" w:cstheme="minorBidi"/>
              <w:i w:val="0"/>
              <w:iCs w:val="0"/>
              <w:noProof/>
              <w:sz w:val="22"/>
              <w:szCs w:val="22"/>
              <w:lang w:val="en-NZ" w:eastAsia="en-NZ" w:bidi="ar-SA"/>
            </w:rPr>
          </w:pPr>
          <w:hyperlink w:anchor="_Toc454451334" w:history="1">
            <w:r w:rsidR="00CB77A1" w:rsidRPr="004376E7">
              <w:rPr>
                <w:rStyle w:val="Hyperlink"/>
                <w:noProof/>
              </w:rPr>
              <w:t>2.2.1 Chemical names and structures</w:t>
            </w:r>
            <w:r w:rsidR="00CB77A1">
              <w:rPr>
                <w:noProof/>
                <w:webHidden/>
              </w:rPr>
              <w:tab/>
            </w:r>
            <w:r w:rsidR="00CB77A1">
              <w:rPr>
                <w:noProof/>
                <w:webHidden/>
              </w:rPr>
              <w:fldChar w:fldCharType="begin"/>
            </w:r>
            <w:r w:rsidR="00CB77A1">
              <w:rPr>
                <w:noProof/>
                <w:webHidden/>
              </w:rPr>
              <w:instrText xml:space="preserve"> PAGEREF _Toc454451334 \h </w:instrText>
            </w:r>
            <w:r w:rsidR="00CB77A1">
              <w:rPr>
                <w:noProof/>
                <w:webHidden/>
              </w:rPr>
            </w:r>
            <w:r w:rsidR="00CB77A1">
              <w:rPr>
                <w:noProof/>
                <w:webHidden/>
              </w:rPr>
              <w:fldChar w:fldCharType="separate"/>
            </w:r>
            <w:r w:rsidR="00970FAB">
              <w:rPr>
                <w:noProof/>
                <w:webHidden/>
              </w:rPr>
              <w:t>5</w:t>
            </w:r>
            <w:r w:rsidR="00CB77A1">
              <w:rPr>
                <w:noProof/>
                <w:webHidden/>
              </w:rPr>
              <w:fldChar w:fldCharType="end"/>
            </w:r>
          </w:hyperlink>
        </w:p>
        <w:p w14:paraId="4F2367F4" w14:textId="77777777" w:rsidR="00CB77A1" w:rsidRDefault="00766D85">
          <w:pPr>
            <w:pStyle w:val="TOC2"/>
            <w:tabs>
              <w:tab w:val="left" w:pos="880"/>
              <w:tab w:val="right" w:leader="dot" w:pos="9463"/>
            </w:tabs>
            <w:rPr>
              <w:rFonts w:eastAsiaTheme="minorEastAsia" w:cstheme="minorBidi"/>
              <w:smallCaps w:val="0"/>
              <w:noProof/>
              <w:sz w:val="22"/>
              <w:szCs w:val="22"/>
              <w:lang w:val="en-NZ" w:eastAsia="en-NZ" w:bidi="ar-SA"/>
            </w:rPr>
          </w:pPr>
          <w:hyperlink w:anchor="_Toc454451335" w:history="1">
            <w:r w:rsidR="00CB77A1" w:rsidRPr="004376E7">
              <w:rPr>
                <w:rStyle w:val="Hyperlink"/>
                <w:noProof/>
              </w:rPr>
              <w:t>2.3</w:t>
            </w:r>
            <w:r w:rsidR="00CB77A1">
              <w:rPr>
                <w:rFonts w:eastAsiaTheme="minorEastAsia" w:cstheme="minorBidi"/>
                <w:smallCaps w:val="0"/>
                <w:noProof/>
                <w:sz w:val="22"/>
                <w:szCs w:val="22"/>
                <w:lang w:val="en-NZ" w:eastAsia="en-NZ" w:bidi="ar-SA"/>
              </w:rPr>
              <w:tab/>
            </w:r>
            <w:r w:rsidR="00CB77A1" w:rsidRPr="004376E7">
              <w:rPr>
                <w:rStyle w:val="Hyperlink"/>
                <w:noProof/>
              </w:rPr>
              <w:t>Analytical method for detection</w:t>
            </w:r>
            <w:r w:rsidR="00CB77A1">
              <w:rPr>
                <w:noProof/>
                <w:webHidden/>
              </w:rPr>
              <w:tab/>
            </w:r>
            <w:r w:rsidR="00CB77A1">
              <w:rPr>
                <w:noProof/>
                <w:webHidden/>
              </w:rPr>
              <w:fldChar w:fldCharType="begin"/>
            </w:r>
            <w:r w:rsidR="00CB77A1">
              <w:rPr>
                <w:noProof/>
                <w:webHidden/>
              </w:rPr>
              <w:instrText xml:space="preserve"> PAGEREF _Toc454451335 \h </w:instrText>
            </w:r>
            <w:r w:rsidR="00CB77A1">
              <w:rPr>
                <w:noProof/>
                <w:webHidden/>
              </w:rPr>
            </w:r>
            <w:r w:rsidR="00CB77A1">
              <w:rPr>
                <w:noProof/>
                <w:webHidden/>
              </w:rPr>
              <w:fldChar w:fldCharType="separate"/>
            </w:r>
            <w:r w:rsidR="00970FAB">
              <w:rPr>
                <w:noProof/>
                <w:webHidden/>
              </w:rPr>
              <w:t>6</w:t>
            </w:r>
            <w:r w:rsidR="00CB77A1">
              <w:rPr>
                <w:noProof/>
                <w:webHidden/>
              </w:rPr>
              <w:fldChar w:fldCharType="end"/>
            </w:r>
          </w:hyperlink>
        </w:p>
        <w:p w14:paraId="1C57D316" w14:textId="77777777" w:rsidR="00CB77A1" w:rsidRDefault="00766D85">
          <w:pPr>
            <w:pStyle w:val="TOC2"/>
            <w:tabs>
              <w:tab w:val="left" w:pos="880"/>
              <w:tab w:val="right" w:leader="dot" w:pos="9463"/>
            </w:tabs>
            <w:rPr>
              <w:rFonts w:eastAsiaTheme="minorEastAsia" w:cstheme="minorBidi"/>
              <w:smallCaps w:val="0"/>
              <w:noProof/>
              <w:sz w:val="22"/>
              <w:szCs w:val="22"/>
              <w:lang w:val="en-NZ" w:eastAsia="en-NZ" w:bidi="ar-SA"/>
            </w:rPr>
          </w:pPr>
          <w:hyperlink w:anchor="_Toc454451336" w:history="1">
            <w:r w:rsidR="00CB77A1" w:rsidRPr="004376E7">
              <w:rPr>
                <w:rStyle w:val="Hyperlink"/>
                <w:noProof/>
              </w:rPr>
              <w:t>2.4</w:t>
            </w:r>
            <w:r w:rsidR="00CB77A1">
              <w:rPr>
                <w:rFonts w:eastAsiaTheme="minorEastAsia" w:cstheme="minorBidi"/>
                <w:smallCaps w:val="0"/>
                <w:noProof/>
                <w:sz w:val="22"/>
                <w:szCs w:val="22"/>
                <w:lang w:val="en-NZ" w:eastAsia="en-NZ" w:bidi="ar-SA"/>
              </w:rPr>
              <w:tab/>
            </w:r>
            <w:r w:rsidR="00CB77A1" w:rsidRPr="004376E7">
              <w:rPr>
                <w:rStyle w:val="Hyperlink"/>
                <w:noProof/>
              </w:rPr>
              <w:t>Manufacturing process</w:t>
            </w:r>
            <w:r w:rsidR="00CB77A1">
              <w:rPr>
                <w:noProof/>
                <w:webHidden/>
              </w:rPr>
              <w:tab/>
            </w:r>
            <w:r w:rsidR="00CB77A1">
              <w:rPr>
                <w:noProof/>
                <w:webHidden/>
              </w:rPr>
              <w:fldChar w:fldCharType="begin"/>
            </w:r>
            <w:r w:rsidR="00CB77A1">
              <w:rPr>
                <w:noProof/>
                <w:webHidden/>
              </w:rPr>
              <w:instrText xml:space="preserve"> PAGEREF _Toc454451336 \h </w:instrText>
            </w:r>
            <w:r w:rsidR="00CB77A1">
              <w:rPr>
                <w:noProof/>
                <w:webHidden/>
              </w:rPr>
            </w:r>
            <w:r w:rsidR="00CB77A1">
              <w:rPr>
                <w:noProof/>
                <w:webHidden/>
              </w:rPr>
              <w:fldChar w:fldCharType="separate"/>
            </w:r>
            <w:r w:rsidR="00970FAB">
              <w:rPr>
                <w:noProof/>
                <w:webHidden/>
              </w:rPr>
              <w:t>7</w:t>
            </w:r>
            <w:r w:rsidR="00CB77A1">
              <w:rPr>
                <w:noProof/>
                <w:webHidden/>
              </w:rPr>
              <w:fldChar w:fldCharType="end"/>
            </w:r>
          </w:hyperlink>
        </w:p>
        <w:p w14:paraId="7049A57E" w14:textId="77777777" w:rsidR="00CB77A1" w:rsidRDefault="00766D85">
          <w:pPr>
            <w:pStyle w:val="TOC3"/>
            <w:tabs>
              <w:tab w:val="right" w:leader="dot" w:pos="9463"/>
            </w:tabs>
            <w:rPr>
              <w:rFonts w:eastAsiaTheme="minorEastAsia" w:cstheme="minorBidi"/>
              <w:i w:val="0"/>
              <w:iCs w:val="0"/>
              <w:noProof/>
              <w:sz w:val="22"/>
              <w:szCs w:val="22"/>
              <w:lang w:val="en-NZ" w:eastAsia="en-NZ" w:bidi="ar-SA"/>
            </w:rPr>
          </w:pPr>
          <w:hyperlink w:anchor="_Toc454451337" w:history="1">
            <w:r w:rsidR="00CB77A1" w:rsidRPr="004376E7">
              <w:rPr>
                <w:rStyle w:val="Hyperlink"/>
                <w:noProof/>
              </w:rPr>
              <w:t>2.4.1 Propionic Acid</w:t>
            </w:r>
            <w:r w:rsidR="00CB77A1">
              <w:rPr>
                <w:noProof/>
                <w:webHidden/>
              </w:rPr>
              <w:tab/>
            </w:r>
            <w:r w:rsidR="00CB77A1">
              <w:rPr>
                <w:noProof/>
                <w:webHidden/>
              </w:rPr>
              <w:fldChar w:fldCharType="begin"/>
            </w:r>
            <w:r w:rsidR="00CB77A1">
              <w:rPr>
                <w:noProof/>
                <w:webHidden/>
              </w:rPr>
              <w:instrText xml:space="preserve"> PAGEREF _Toc454451337 \h </w:instrText>
            </w:r>
            <w:r w:rsidR="00CB77A1">
              <w:rPr>
                <w:noProof/>
                <w:webHidden/>
              </w:rPr>
            </w:r>
            <w:r w:rsidR="00CB77A1">
              <w:rPr>
                <w:noProof/>
                <w:webHidden/>
              </w:rPr>
              <w:fldChar w:fldCharType="separate"/>
            </w:r>
            <w:r w:rsidR="00970FAB">
              <w:rPr>
                <w:noProof/>
                <w:webHidden/>
              </w:rPr>
              <w:t>7</w:t>
            </w:r>
            <w:r w:rsidR="00CB77A1">
              <w:rPr>
                <w:noProof/>
                <w:webHidden/>
              </w:rPr>
              <w:fldChar w:fldCharType="end"/>
            </w:r>
          </w:hyperlink>
        </w:p>
        <w:p w14:paraId="545EBCF2" w14:textId="77777777" w:rsidR="00CB77A1" w:rsidRDefault="00766D85">
          <w:pPr>
            <w:pStyle w:val="TOC3"/>
            <w:tabs>
              <w:tab w:val="right" w:leader="dot" w:pos="9463"/>
            </w:tabs>
            <w:rPr>
              <w:rFonts w:eastAsiaTheme="minorEastAsia" w:cstheme="minorBidi"/>
              <w:i w:val="0"/>
              <w:iCs w:val="0"/>
              <w:noProof/>
              <w:sz w:val="22"/>
              <w:szCs w:val="22"/>
              <w:lang w:val="en-NZ" w:eastAsia="en-NZ" w:bidi="ar-SA"/>
            </w:rPr>
          </w:pPr>
          <w:hyperlink w:anchor="_Toc454451338" w:history="1">
            <w:r w:rsidR="00CB77A1" w:rsidRPr="004376E7">
              <w:rPr>
                <w:rStyle w:val="Hyperlink"/>
                <w:noProof/>
              </w:rPr>
              <w:t>2.4.2 Sodium propionate, calcium propionate and potassium propionates</w:t>
            </w:r>
            <w:r w:rsidR="00CB77A1">
              <w:rPr>
                <w:noProof/>
                <w:webHidden/>
              </w:rPr>
              <w:tab/>
            </w:r>
            <w:r w:rsidR="00CB77A1">
              <w:rPr>
                <w:noProof/>
                <w:webHidden/>
              </w:rPr>
              <w:fldChar w:fldCharType="begin"/>
            </w:r>
            <w:r w:rsidR="00CB77A1">
              <w:rPr>
                <w:noProof/>
                <w:webHidden/>
              </w:rPr>
              <w:instrText xml:space="preserve"> PAGEREF _Toc454451338 \h </w:instrText>
            </w:r>
            <w:r w:rsidR="00CB77A1">
              <w:rPr>
                <w:noProof/>
                <w:webHidden/>
              </w:rPr>
            </w:r>
            <w:r w:rsidR="00CB77A1">
              <w:rPr>
                <w:noProof/>
                <w:webHidden/>
              </w:rPr>
              <w:fldChar w:fldCharType="separate"/>
            </w:r>
            <w:r w:rsidR="00970FAB">
              <w:rPr>
                <w:noProof/>
                <w:webHidden/>
              </w:rPr>
              <w:t>7</w:t>
            </w:r>
            <w:r w:rsidR="00CB77A1">
              <w:rPr>
                <w:noProof/>
                <w:webHidden/>
              </w:rPr>
              <w:fldChar w:fldCharType="end"/>
            </w:r>
          </w:hyperlink>
        </w:p>
        <w:p w14:paraId="51837897" w14:textId="77777777" w:rsidR="00CB77A1" w:rsidRDefault="00766D85">
          <w:pPr>
            <w:pStyle w:val="TOC2"/>
            <w:tabs>
              <w:tab w:val="left" w:pos="880"/>
              <w:tab w:val="right" w:leader="dot" w:pos="9463"/>
            </w:tabs>
            <w:rPr>
              <w:rFonts w:eastAsiaTheme="minorEastAsia" w:cstheme="minorBidi"/>
              <w:smallCaps w:val="0"/>
              <w:noProof/>
              <w:sz w:val="22"/>
              <w:szCs w:val="22"/>
              <w:lang w:val="en-NZ" w:eastAsia="en-NZ" w:bidi="ar-SA"/>
            </w:rPr>
          </w:pPr>
          <w:hyperlink w:anchor="_Toc454451339" w:history="1">
            <w:r w:rsidR="00CB77A1" w:rsidRPr="004376E7">
              <w:rPr>
                <w:rStyle w:val="Hyperlink"/>
                <w:noProof/>
              </w:rPr>
              <w:t xml:space="preserve">2.5 </w:t>
            </w:r>
            <w:r w:rsidR="00CB77A1">
              <w:rPr>
                <w:rFonts w:eastAsiaTheme="minorEastAsia" w:cstheme="minorBidi"/>
                <w:smallCaps w:val="0"/>
                <w:noProof/>
                <w:sz w:val="22"/>
                <w:szCs w:val="22"/>
                <w:lang w:val="en-NZ" w:eastAsia="en-NZ" w:bidi="ar-SA"/>
              </w:rPr>
              <w:tab/>
            </w:r>
            <w:r w:rsidR="00CB77A1" w:rsidRPr="004376E7">
              <w:rPr>
                <w:rStyle w:val="Hyperlink"/>
                <w:noProof/>
              </w:rPr>
              <w:t>Product specifications</w:t>
            </w:r>
            <w:r w:rsidR="00CB77A1">
              <w:rPr>
                <w:noProof/>
                <w:webHidden/>
              </w:rPr>
              <w:tab/>
            </w:r>
            <w:r w:rsidR="00CB77A1">
              <w:rPr>
                <w:noProof/>
                <w:webHidden/>
              </w:rPr>
              <w:fldChar w:fldCharType="begin"/>
            </w:r>
            <w:r w:rsidR="00CB77A1">
              <w:rPr>
                <w:noProof/>
                <w:webHidden/>
              </w:rPr>
              <w:instrText xml:space="preserve"> PAGEREF _Toc454451339 \h </w:instrText>
            </w:r>
            <w:r w:rsidR="00CB77A1">
              <w:rPr>
                <w:noProof/>
                <w:webHidden/>
              </w:rPr>
            </w:r>
            <w:r w:rsidR="00CB77A1">
              <w:rPr>
                <w:noProof/>
                <w:webHidden/>
              </w:rPr>
              <w:fldChar w:fldCharType="separate"/>
            </w:r>
            <w:r w:rsidR="00970FAB">
              <w:rPr>
                <w:noProof/>
                <w:webHidden/>
              </w:rPr>
              <w:t>7</w:t>
            </w:r>
            <w:r w:rsidR="00CB77A1">
              <w:rPr>
                <w:noProof/>
                <w:webHidden/>
              </w:rPr>
              <w:fldChar w:fldCharType="end"/>
            </w:r>
          </w:hyperlink>
        </w:p>
        <w:p w14:paraId="3BB6092E" w14:textId="77777777" w:rsidR="00CB77A1" w:rsidRDefault="00766D85">
          <w:pPr>
            <w:pStyle w:val="TOC3"/>
            <w:tabs>
              <w:tab w:val="right" w:leader="dot" w:pos="9463"/>
            </w:tabs>
            <w:rPr>
              <w:rFonts w:eastAsiaTheme="minorEastAsia" w:cstheme="minorBidi"/>
              <w:i w:val="0"/>
              <w:iCs w:val="0"/>
              <w:noProof/>
              <w:sz w:val="22"/>
              <w:szCs w:val="22"/>
              <w:lang w:val="en-NZ" w:eastAsia="en-NZ" w:bidi="ar-SA"/>
            </w:rPr>
          </w:pPr>
          <w:hyperlink w:anchor="_Toc454451340" w:history="1">
            <w:r w:rsidR="00CB77A1" w:rsidRPr="004376E7">
              <w:rPr>
                <w:rStyle w:val="Hyperlink"/>
                <w:noProof/>
              </w:rPr>
              <w:t>2.5.1 Stability</w:t>
            </w:r>
            <w:r w:rsidR="00CB77A1">
              <w:rPr>
                <w:noProof/>
                <w:webHidden/>
              </w:rPr>
              <w:tab/>
            </w:r>
            <w:r w:rsidR="00CB77A1">
              <w:rPr>
                <w:noProof/>
                <w:webHidden/>
              </w:rPr>
              <w:fldChar w:fldCharType="begin"/>
            </w:r>
            <w:r w:rsidR="00CB77A1">
              <w:rPr>
                <w:noProof/>
                <w:webHidden/>
              </w:rPr>
              <w:instrText xml:space="preserve"> PAGEREF _Toc454451340 \h </w:instrText>
            </w:r>
            <w:r w:rsidR="00CB77A1">
              <w:rPr>
                <w:noProof/>
                <w:webHidden/>
              </w:rPr>
            </w:r>
            <w:r w:rsidR="00CB77A1">
              <w:rPr>
                <w:noProof/>
                <w:webHidden/>
              </w:rPr>
              <w:fldChar w:fldCharType="separate"/>
            </w:r>
            <w:r w:rsidR="00970FAB">
              <w:rPr>
                <w:noProof/>
                <w:webHidden/>
              </w:rPr>
              <w:t>10</w:t>
            </w:r>
            <w:r w:rsidR="00CB77A1">
              <w:rPr>
                <w:noProof/>
                <w:webHidden/>
              </w:rPr>
              <w:fldChar w:fldCharType="end"/>
            </w:r>
          </w:hyperlink>
        </w:p>
        <w:p w14:paraId="518AF8C2" w14:textId="77777777" w:rsidR="00CB77A1" w:rsidRDefault="00766D85">
          <w:pPr>
            <w:pStyle w:val="TOC2"/>
            <w:tabs>
              <w:tab w:val="left" w:pos="880"/>
              <w:tab w:val="right" w:leader="dot" w:pos="9463"/>
            </w:tabs>
            <w:rPr>
              <w:rFonts w:eastAsiaTheme="minorEastAsia" w:cstheme="minorBidi"/>
              <w:smallCaps w:val="0"/>
              <w:noProof/>
              <w:sz w:val="22"/>
              <w:szCs w:val="22"/>
              <w:lang w:val="en-NZ" w:eastAsia="en-NZ" w:bidi="ar-SA"/>
            </w:rPr>
          </w:pPr>
          <w:hyperlink w:anchor="_Toc454451341" w:history="1">
            <w:r w:rsidR="00CB77A1" w:rsidRPr="004376E7">
              <w:rPr>
                <w:rStyle w:val="Hyperlink"/>
                <w:noProof/>
              </w:rPr>
              <w:t>2.6</w:t>
            </w:r>
            <w:r w:rsidR="00CB77A1">
              <w:rPr>
                <w:rFonts w:eastAsiaTheme="minorEastAsia" w:cstheme="minorBidi"/>
                <w:smallCaps w:val="0"/>
                <w:noProof/>
                <w:sz w:val="22"/>
                <w:szCs w:val="22"/>
                <w:lang w:val="en-NZ" w:eastAsia="en-NZ" w:bidi="ar-SA"/>
              </w:rPr>
              <w:tab/>
            </w:r>
            <w:r w:rsidR="00CB77A1" w:rsidRPr="004376E7">
              <w:rPr>
                <w:rStyle w:val="Hyperlink"/>
                <w:noProof/>
              </w:rPr>
              <w:t>Evaluation of efficacy</w:t>
            </w:r>
            <w:r w:rsidR="00CB77A1">
              <w:rPr>
                <w:noProof/>
                <w:webHidden/>
              </w:rPr>
              <w:tab/>
            </w:r>
            <w:r w:rsidR="00CB77A1">
              <w:rPr>
                <w:noProof/>
                <w:webHidden/>
              </w:rPr>
              <w:fldChar w:fldCharType="begin"/>
            </w:r>
            <w:r w:rsidR="00CB77A1">
              <w:rPr>
                <w:noProof/>
                <w:webHidden/>
              </w:rPr>
              <w:instrText xml:space="preserve"> PAGEREF _Toc454451341 \h </w:instrText>
            </w:r>
            <w:r w:rsidR="00CB77A1">
              <w:rPr>
                <w:noProof/>
                <w:webHidden/>
              </w:rPr>
            </w:r>
            <w:r w:rsidR="00CB77A1">
              <w:rPr>
                <w:noProof/>
                <w:webHidden/>
              </w:rPr>
              <w:fldChar w:fldCharType="separate"/>
            </w:r>
            <w:r w:rsidR="00970FAB">
              <w:rPr>
                <w:noProof/>
                <w:webHidden/>
              </w:rPr>
              <w:t>10</w:t>
            </w:r>
            <w:r w:rsidR="00CB77A1">
              <w:rPr>
                <w:noProof/>
                <w:webHidden/>
              </w:rPr>
              <w:fldChar w:fldCharType="end"/>
            </w:r>
          </w:hyperlink>
        </w:p>
        <w:p w14:paraId="5B761C84" w14:textId="77777777" w:rsidR="00CB77A1" w:rsidRDefault="00766D85">
          <w:pPr>
            <w:pStyle w:val="TOC3"/>
            <w:tabs>
              <w:tab w:val="right" w:leader="dot" w:pos="9463"/>
            </w:tabs>
            <w:rPr>
              <w:rFonts w:eastAsiaTheme="minorEastAsia" w:cstheme="minorBidi"/>
              <w:i w:val="0"/>
              <w:iCs w:val="0"/>
              <w:noProof/>
              <w:sz w:val="22"/>
              <w:szCs w:val="22"/>
              <w:lang w:val="en-NZ" w:eastAsia="en-NZ" w:bidi="ar-SA"/>
            </w:rPr>
          </w:pPr>
          <w:hyperlink w:anchor="_Toc454451342" w:history="1">
            <w:r w:rsidR="00CB77A1" w:rsidRPr="004376E7">
              <w:rPr>
                <w:rStyle w:val="Hyperlink"/>
                <w:noProof/>
              </w:rPr>
              <w:t>2.6.1 Listeria monocytogenes</w:t>
            </w:r>
            <w:r w:rsidR="00CB77A1">
              <w:rPr>
                <w:noProof/>
                <w:webHidden/>
              </w:rPr>
              <w:tab/>
            </w:r>
            <w:r w:rsidR="00CB77A1">
              <w:rPr>
                <w:noProof/>
                <w:webHidden/>
              </w:rPr>
              <w:fldChar w:fldCharType="begin"/>
            </w:r>
            <w:r w:rsidR="00CB77A1">
              <w:rPr>
                <w:noProof/>
                <w:webHidden/>
              </w:rPr>
              <w:instrText xml:space="preserve"> PAGEREF _Toc454451342 \h </w:instrText>
            </w:r>
            <w:r w:rsidR="00CB77A1">
              <w:rPr>
                <w:noProof/>
                <w:webHidden/>
              </w:rPr>
            </w:r>
            <w:r w:rsidR="00CB77A1">
              <w:rPr>
                <w:noProof/>
                <w:webHidden/>
              </w:rPr>
              <w:fldChar w:fldCharType="separate"/>
            </w:r>
            <w:r w:rsidR="00970FAB">
              <w:rPr>
                <w:noProof/>
                <w:webHidden/>
              </w:rPr>
              <w:t>10</w:t>
            </w:r>
            <w:r w:rsidR="00CB77A1">
              <w:rPr>
                <w:noProof/>
                <w:webHidden/>
              </w:rPr>
              <w:fldChar w:fldCharType="end"/>
            </w:r>
          </w:hyperlink>
        </w:p>
        <w:p w14:paraId="5D30DF53" w14:textId="77777777" w:rsidR="00CB77A1" w:rsidRDefault="00766D85">
          <w:pPr>
            <w:pStyle w:val="TOC3"/>
            <w:tabs>
              <w:tab w:val="right" w:leader="dot" w:pos="9463"/>
            </w:tabs>
            <w:rPr>
              <w:rFonts w:eastAsiaTheme="minorEastAsia" w:cstheme="minorBidi"/>
              <w:i w:val="0"/>
              <w:iCs w:val="0"/>
              <w:noProof/>
              <w:sz w:val="22"/>
              <w:szCs w:val="22"/>
              <w:lang w:val="en-NZ" w:eastAsia="en-NZ" w:bidi="ar-SA"/>
            </w:rPr>
          </w:pPr>
          <w:hyperlink w:anchor="_Toc454451343" w:history="1">
            <w:r w:rsidR="00CB77A1" w:rsidRPr="004376E7">
              <w:rPr>
                <w:rStyle w:val="Hyperlink"/>
                <w:noProof/>
              </w:rPr>
              <w:t>2.6.2 Challenge studies to demonstrate efficacy</w:t>
            </w:r>
            <w:r w:rsidR="00CB77A1">
              <w:rPr>
                <w:noProof/>
                <w:webHidden/>
              </w:rPr>
              <w:tab/>
            </w:r>
            <w:r w:rsidR="00CB77A1">
              <w:rPr>
                <w:noProof/>
                <w:webHidden/>
              </w:rPr>
              <w:fldChar w:fldCharType="begin"/>
            </w:r>
            <w:r w:rsidR="00CB77A1">
              <w:rPr>
                <w:noProof/>
                <w:webHidden/>
              </w:rPr>
              <w:instrText xml:space="preserve"> PAGEREF _Toc454451343 \h </w:instrText>
            </w:r>
            <w:r w:rsidR="00CB77A1">
              <w:rPr>
                <w:noProof/>
                <w:webHidden/>
              </w:rPr>
            </w:r>
            <w:r w:rsidR="00CB77A1">
              <w:rPr>
                <w:noProof/>
                <w:webHidden/>
              </w:rPr>
              <w:fldChar w:fldCharType="separate"/>
            </w:r>
            <w:r w:rsidR="00970FAB">
              <w:rPr>
                <w:noProof/>
                <w:webHidden/>
              </w:rPr>
              <w:t>10</w:t>
            </w:r>
            <w:r w:rsidR="00CB77A1">
              <w:rPr>
                <w:noProof/>
                <w:webHidden/>
              </w:rPr>
              <w:fldChar w:fldCharType="end"/>
            </w:r>
          </w:hyperlink>
        </w:p>
        <w:p w14:paraId="36F45828" w14:textId="77777777" w:rsidR="00CB77A1" w:rsidRDefault="00766D85">
          <w:pPr>
            <w:pStyle w:val="TOC2"/>
            <w:tabs>
              <w:tab w:val="right" w:leader="dot" w:pos="9463"/>
            </w:tabs>
            <w:rPr>
              <w:rFonts w:eastAsiaTheme="minorEastAsia" w:cstheme="minorBidi"/>
              <w:smallCaps w:val="0"/>
              <w:noProof/>
              <w:sz w:val="22"/>
              <w:szCs w:val="22"/>
              <w:lang w:val="en-NZ" w:eastAsia="en-NZ" w:bidi="ar-SA"/>
            </w:rPr>
          </w:pPr>
          <w:hyperlink w:anchor="_Toc454451344" w:history="1">
            <w:r w:rsidR="00CB77A1" w:rsidRPr="004376E7">
              <w:rPr>
                <w:rStyle w:val="Hyperlink"/>
                <w:noProof/>
              </w:rPr>
              <w:t>2.7 Technical and Efficacy Conclusion</w:t>
            </w:r>
            <w:r w:rsidR="00CB77A1">
              <w:rPr>
                <w:noProof/>
                <w:webHidden/>
              </w:rPr>
              <w:tab/>
            </w:r>
            <w:r w:rsidR="00CB77A1">
              <w:rPr>
                <w:noProof/>
                <w:webHidden/>
              </w:rPr>
              <w:fldChar w:fldCharType="begin"/>
            </w:r>
            <w:r w:rsidR="00CB77A1">
              <w:rPr>
                <w:noProof/>
                <w:webHidden/>
              </w:rPr>
              <w:instrText xml:space="preserve"> PAGEREF _Toc454451344 \h </w:instrText>
            </w:r>
            <w:r w:rsidR="00CB77A1">
              <w:rPr>
                <w:noProof/>
                <w:webHidden/>
              </w:rPr>
            </w:r>
            <w:r w:rsidR="00CB77A1">
              <w:rPr>
                <w:noProof/>
                <w:webHidden/>
              </w:rPr>
              <w:fldChar w:fldCharType="separate"/>
            </w:r>
            <w:r w:rsidR="00970FAB">
              <w:rPr>
                <w:noProof/>
                <w:webHidden/>
              </w:rPr>
              <w:t>12</w:t>
            </w:r>
            <w:r w:rsidR="00CB77A1">
              <w:rPr>
                <w:noProof/>
                <w:webHidden/>
              </w:rPr>
              <w:fldChar w:fldCharType="end"/>
            </w:r>
          </w:hyperlink>
        </w:p>
        <w:p w14:paraId="56E6CAAD" w14:textId="07A46811" w:rsidR="00CB77A1" w:rsidRDefault="00766D85">
          <w:pPr>
            <w:pStyle w:val="TOC1"/>
            <w:tabs>
              <w:tab w:val="left" w:pos="440"/>
              <w:tab w:val="right" w:leader="dot" w:pos="9463"/>
            </w:tabs>
            <w:rPr>
              <w:rFonts w:eastAsiaTheme="minorEastAsia" w:cstheme="minorBidi"/>
              <w:b w:val="0"/>
              <w:bCs w:val="0"/>
              <w:caps w:val="0"/>
              <w:noProof/>
              <w:sz w:val="22"/>
              <w:szCs w:val="22"/>
              <w:lang w:val="en-NZ" w:eastAsia="en-NZ" w:bidi="ar-SA"/>
            </w:rPr>
          </w:pPr>
          <w:hyperlink w:anchor="_Toc454451345" w:history="1">
            <w:r w:rsidR="00CB77A1" w:rsidRPr="004376E7">
              <w:rPr>
                <w:rStyle w:val="Hyperlink"/>
                <w:noProof/>
              </w:rPr>
              <w:t>3</w:t>
            </w:r>
            <w:r w:rsidR="00CB77A1">
              <w:rPr>
                <w:rFonts w:eastAsiaTheme="minorEastAsia" w:cstheme="minorBidi"/>
                <w:b w:val="0"/>
                <w:bCs w:val="0"/>
                <w:caps w:val="0"/>
                <w:noProof/>
                <w:sz w:val="22"/>
                <w:szCs w:val="22"/>
                <w:lang w:val="en-NZ" w:eastAsia="en-NZ" w:bidi="ar-SA"/>
              </w:rPr>
              <w:tab/>
            </w:r>
            <w:r w:rsidR="00CB77A1" w:rsidRPr="004376E7">
              <w:rPr>
                <w:rStyle w:val="Hyperlink"/>
                <w:noProof/>
              </w:rPr>
              <w:t>Hazard Assessment</w:t>
            </w:r>
            <w:r w:rsidR="00CB77A1">
              <w:rPr>
                <w:noProof/>
                <w:webHidden/>
              </w:rPr>
              <w:tab/>
            </w:r>
            <w:r w:rsidR="00CB77A1">
              <w:rPr>
                <w:noProof/>
                <w:webHidden/>
              </w:rPr>
              <w:fldChar w:fldCharType="begin"/>
            </w:r>
            <w:r w:rsidR="00CB77A1">
              <w:rPr>
                <w:noProof/>
                <w:webHidden/>
              </w:rPr>
              <w:instrText xml:space="preserve"> PAGEREF _Toc454451345 \h </w:instrText>
            </w:r>
            <w:r w:rsidR="00CB77A1">
              <w:rPr>
                <w:noProof/>
                <w:webHidden/>
              </w:rPr>
            </w:r>
            <w:r w:rsidR="00CB77A1">
              <w:rPr>
                <w:noProof/>
                <w:webHidden/>
              </w:rPr>
              <w:fldChar w:fldCharType="separate"/>
            </w:r>
            <w:r w:rsidR="00970FAB">
              <w:rPr>
                <w:noProof/>
                <w:webHidden/>
              </w:rPr>
              <w:t>12</w:t>
            </w:r>
            <w:r w:rsidR="00CB77A1">
              <w:rPr>
                <w:noProof/>
                <w:webHidden/>
              </w:rPr>
              <w:fldChar w:fldCharType="end"/>
            </w:r>
          </w:hyperlink>
        </w:p>
        <w:p w14:paraId="6EFA2803" w14:textId="77777777" w:rsidR="00CB77A1" w:rsidRDefault="00766D85">
          <w:pPr>
            <w:pStyle w:val="TOC1"/>
            <w:tabs>
              <w:tab w:val="left" w:pos="440"/>
              <w:tab w:val="right" w:leader="dot" w:pos="9463"/>
            </w:tabs>
            <w:rPr>
              <w:rFonts w:eastAsiaTheme="minorEastAsia" w:cstheme="minorBidi"/>
              <w:b w:val="0"/>
              <w:bCs w:val="0"/>
              <w:caps w:val="0"/>
              <w:noProof/>
              <w:sz w:val="22"/>
              <w:szCs w:val="22"/>
              <w:lang w:val="en-NZ" w:eastAsia="en-NZ" w:bidi="ar-SA"/>
            </w:rPr>
          </w:pPr>
          <w:hyperlink w:anchor="_Toc454451346" w:history="1">
            <w:r w:rsidR="00CB77A1" w:rsidRPr="004376E7">
              <w:rPr>
                <w:rStyle w:val="Hyperlink"/>
                <w:noProof/>
              </w:rPr>
              <w:t>4</w:t>
            </w:r>
            <w:r w:rsidR="00CB77A1">
              <w:rPr>
                <w:rFonts w:eastAsiaTheme="minorEastAsia" w:cstheme="minorBidi"/>
                <w:b w:val="0"/>
                <w:bCs w:val="0"/>
                <w:caps w:val="0"/>
                <w:noProof/>
                <w:sz w:val="22"/>
                <w:szCs w:val="22"/>
                <w:lang w:val="en-NZ" w:eastAsia="en-NZ" w:bidi="ar-SA"/>
              </w:rPr>
              <w:tab/>
            </w:r>
            <w:r w:rsidR="00CB77A1" w:rsidRPr="004376E7">
              <w:rPr>
                <w:rStyle w:val="Hyperlink"/>
                <w:noProof/>
              </w:rPr>
              <w:t>Dietary Exposure Assessment</w:t>
            </w:r>
            <w:r w:rsidR="00CB77A1">
              <w:rPr>
                <w:noProof/>
                <w:webHidden/>
              </w:rPr>
              <w:tab/>
            </w:r>
            <w:r w:rsidR="00CB77A1">
              <w:rPr>
                <w:noProof/>
                <w:webHidden/>
              </w:rPr>
              <w:fldChar w:fldCharType="begin"/>
            </w:r>
            <w:r w:rsidR="00CB77A1">
              <w:rPr>
                <w:noProof/>
                <w:webHidden/>
              </w:rPr>
              <w:instrText xml:space="preserve"> PAGEREF _Toc454451346 \h </w:instrText>
            </w:r>
            <w:r w:rsidR="00CB77A1">
              <w:rPr>
                <w:noProof/>
                <w:webHidden/>
              </w:rPr>
            </w:r>
            <w:r w:rsidR="00CB77A1">
              <w:rPr>
                <w:noProof/>
                <w:webHidden/>
              </w:rPr>
              <w:fldChar w:fldCharType="separate"/>
            </w:r>
            <w:r w:rsidR="00970FAB">
              <w:rPr>
                <w:noProof/>
                <w:webHidden/>
              </w:rPr>
              <w:t>13</w:t>
            </w:r>
            <w:r w:rsidR="00CB77A1">
              <w:rPr>
                <w:noProof/>
                <w:webHidden/>
              </w:rPr>
              <w:fldChar w:fldCharType="end"/>
            </w:r>
          </w:hyperlink>
        </w:p>
        <w:p w14:paraId="0DDDDAC7" w14:textId="77777777" w:rsidR="00CB77A1" w:rsidRDefault="00766D85">
          <w:pPr>
            <w:pStyle w:val="TOC1"/>
            <w:tabs>
              <w:tab w:val="left" w:pos="440"/>
              <w:tab w:val="right" w:leader="dot" w:pos="9463"/>
            </w:tabs>
            <w:rPr>
              <w:rFonts w:eastAsiaTheme="minorEastAsia" w:cstheme="minorBidi"/>
              <w:b w:val="0"/>
              <w:bCs w:val="0"/>
              <w:caps w:val="0"/>
              <w:noProof/>
              <w:sz w:val="22"/>
              <w:szCs w:val="22"/>
              <w:lang w:val="en-NZ" w:eastAsia="en-NZ" w:bidi="ar-SA"/>
            </w:rPr>
          </w:pPr>
          <w:hyperlink w:anchor="_Toc454451347" w:history="1">
            <w:r w:rsidR="00CB77A1" w:rsidRPr="004376E7">
              <w:rPr>
                <w:rStyle w:val="Hyperlink"/>
                <w:noProof/>
              </w:rPr>
              <w:t>5</w:t>
            </w:r>
            <w:r w:rsidR="00CB77A1">
              <w:rPr>
                <w:rFonts w:eastAsiaTheme="minorEastAsia" w:cstheme="minorBidi"/>
                <w:b w:val="0"/>
                <w:bCs w:val="0"/>
                <w:caps w:val="0"/>
                <w:noProof/>
                <w:sz w:val="22"/>
                <w:szCs w:val="22"/>
                <w:lang w:val="en-NZ" w:eastAsia="en-NZ" w:bidi="ar-SA"/>
              </w:rPr>
              <w:tab/>
            </w:r>
            <w:r w:rsidR="00CB77A1" w:rsidRPr="004376E7">
              <w:rPr>
                <w:rStyle w:val="Hyperlink"/>
                <w:noProof/>
              </w:rPr>
              <w:t>Risk Characterisation</w:t>
            </w:r>
            <w:r w:rsidR="00CB77A1">
              <w:rPr>
                <w:noProof/>
                <w:webHidden/>
              </w:rPr>
              <w:tab/>
            </w:r>
            <w:r w:rsidR="00CB77A1">
              <w:rPr>
                <w:noProof/>
                <w:webHidden/>
              </w:rPr>
              <w:fldChar w:fldCharType="begin"/>
            </w:r>
            <w:r w:rsidR="00CB77A1">
              <w:rPr>
                <w:noProof/>
                <w:webHidden/>
              </w:rPr>
              <w:instrText xml:space="preserve"> PAGEREF _Toc454451347 \h </w:instrText>
            </w:r>
            <w:r w:rsidR="00CB77A1">
              <w:rPr>
                <w:noProof/>
                <w:webHidden/>
              </w:rPr>
            </w:r>
            <w:r w:rsidR="00CB77A1">
              <w:rPr>
                <w:noProof/>
                <w:webHidden/>
              </w:rPr>
              <w:fldChar w:fldCharType="separate"/>
            </w:r>
            <w:r w:rsidR="00970FAB">
              <w:rPr>
                <w:noProof/>
                <w:webHidden/>
              </w:rPr>
              <w:t>13</w:t>
            </w:r>
            <w:r w:rsidR="00CB77A1">
              <w:rPr>
                <w:noProof/>
                <w:webHidden/>
              </w:rPr>
              <w:fldChar w:fldCharType="end"/>
            </w:r>
          </w:hyperlink>
        </w:p>
        <w:p w14:paraId="131EB620" w14:textId="77777777" w:rsidR="00CB77A1" w:rsidRDefault="00766D85">
          <w:pPr>
            <w:pStyle w:val="TOC1"/>
            <w:tabs>
              <w:tab w:val="left" w:pos="440"/>
              <w:tab w:val="right" w:leader="dot" w:pos="9463"/>
            </w:tabs>
            <w:rPr>
              <w:rFonts w:eastAsiaTheme="minorEastAsia" w:cstheme="minorBidi"/>
              <w:b w:val="0"/>
              <w:bCs w:val="0"/>
              <w:caps w:val="0"/>
              <w:noProof/>
              <w:sz w:val="22"/>
              <w:szCs w:val="22"/>
              <w:lang w:val="en-NZ" w:eastAsia="en-NZ" w:bidi="ar-SA"/>
            </w:rPr>
          </w:pPr>
          <w:hyperlink w:anchor="_Toc454451348" w:history="1">
            <w:r w:rsidR="00CB77A1" w:rsidRPr="004376E7">
              <w:rPr>
                <w:rStyle w:val="Hyperlink"/>
                <w:noProof/>
              </w:rPr>
              <w:t>6</w:t>
            </w:r>
            <w:r w:rsidR="00CB77A1">
              <w:rPr>
                <w:rFonts w:eastAsiaTheme="minorEastAsia" w:cstheme="minorBidi"/>
                <w:b w:val="0"/>
                <w:bCs w:val="0"/>
                <w:caps w:val="0"/>
                <w:noProof/>
                <w:sz w:val="22"/>
                <w:szCs w:val="22"/>
                <w:lang w:val="en-NZ" w:eastAsia="en-NZ" w:bidi="ar-SA"/>
              </w:rPr>
              <w:tab/>
            </w:r>
            <w:r w:rsidR="00CB77A1" w:rsidRPr="004376E7">
              <w:rPr>
                <w:rStyle w:val="Hyperlink"/>
                <w:noProof/>
              </w:rPr>
              <w:t>Risk and technical assessment conclusions</w:t>
            </w:r>
            <w:r w:rsidR="00CB77A1">
              <w:rPr>
                <w:noProof/>
                <w:webHidden/>
              </w:rPr>
              <w:tab/>
            </w:r>
            <w:r w:rsidR="00CB77A1">
              <w:rPr>
                <w:noProof/>
                <w:webHidden/>
              </w:rPr>
              <w:fldChar w:fldCharType="begin"/>
            </w:r>
            <w:r w:rsidR="00CB77A1">
              <w:rPr>
                <w:noProof/>
                <w:webHidden/>
              </w:rPr>
              <w:instrText xml:space="preserve"> PAGEREF _Toc454451348 \h </w:instrText>
            </w:r>
            <w:r w:rsidR="00CB77A1">
              <w:rPr>
                <w:noProof/>
                <w:webHidden/>
              </w:rPr>
            </w:r>
            <w:r w:rsidR="00CB77A1">
              <w:rPr>
                <w:noProof/>
                <w:webHidden/>
              </w:rPr>
              <w:fldChar w:fldCharType="separate"/>
            </w:r>
            <w:r w:rsidR="00970FAB">
              <w:rPr>
                <w:noProof/>
                <w:webHidden/>
              </w:rPr>
              <w:t>13</w:t>
            </w:r>
            <w:r w:rsidR="00CB77A1">
              <w:rPr>
                <w:noProof/>
                <w:webHidden/>
              </w:rPr>
              <w:fldChar w:fldCharType="end"/>
            </w:r>
          </w:hyperlink>
        </w:p>
        <w:p w14:paraId="1C3D9516" w14:textId="77777777" w:rsidR="00CB77A1" w:rsidRDefault="00766D85">
          <w:pPr>
            <w:pStyle w:val="TOC2"/>
            <w:tabs>
              <w:tab w:val="left" w:pos="880"/>
              <w:tab w:val="right" w:leader="dot" w:pos="9463"/>
            </w:tabs>
            <w:rPr>
              <w:rFonts w:eastAsiaTheme="minorEastAsia" w:cstheme="minorBidi"/>
              <w:smallCaps w:val="0"/>
              <w:noProof/>
              <w:sz w:val="22"/>
              <w:szCs w:val="22"/>
              <w:lang w:val="en-NZ" w:eastAsia="en-NZ" w:bidi="ar-SA"/>
            </w:rPr>
          </w:pPr>
          <w:hyperlink w:anchor="_Toc454451349" w:history="1">
            <w:r w:rsidR="00CB77A1" w:rsidRPr="004376E7">
              <w:rPr>
                <w:rStyle w:val="Hyperlink"/>
                <w:noProof/>
              </w:rPr>
              <w:t>6.1</w:t>
            </w:r>
            <w:r w:rsidR="00CB77A1">
              <w:rPr>
                <w:rFonts w:eastAsiaTheme="minorEastAsia" w:cstheme="minorBidi"/>
                <w:smallCaps w:val="0"/>
                <w:noProof/>
                <w:sz w:val="22"/>
                <w:szCs w:val="22"/>
                <w:lang w:val="en-NZ" w:eastAsia="en-NZ" w:bidi="ar-SA"/>
              </w:rPr>
              <w:tab/>
            </w:r>
            <w:r w:rsidR="00CB77A1" w:rsidRPr="004376E7">
              <w:rPr>
                <w:rStyle w:val="Hyperlink"/>
                <w:noProof/>
              </w:rPr>
              <w:t xml:space="preserve"> Reponses to risk and technical assessment questions</w:t>
            </w:r>
            <w:r w:rsidR="00CB77A1">
              <w:rPr>
                <w:noProof/>
                <w:webHidden/>
              </w:rPr>
              <w:tab/>
            </w:r>
            <w:r w:rsidR="00CB77A1">
              <w:rPr>
                <w:noProof/>
                <w:webHidden/>
              </w:rPr>
              <w:fldChar w:fldCharType="begin"/>
            </w:r>
            <w:r w:rsidR="00CB77A1">
              <w:rPr>
                <w:noProof/>
                <w:webHidden/>
              </w:rPr>
              <w:instrText xml:space="preserve"> PAGEREF _Toc454451349 \h </w:instrText>
            </w:r>
            <w:r w:rsidR="00CB77A1">
              <w:rPr>
                <w:noProof/>
                <w:webHidden/>
              </w:rPr>
            </w:r>
            <w:r w:rsidR="00CB77A1">
              <w:rPr>
                <w:noProof/>
                <w:webHidden/>
              </w:rPr>
              <w:fldChar w:fldCharType="separate"/>
            </w:r>
            <w:r w:rsidR="00970FAB">
              <w:rPr>
                <w:noProof/>
                <w:webHidden/>
              </w:rPr>
              <w:t>13</w:t>
            </w:r>
            <w:r w:rsidR="00CB77A1">
              <w:rPr>
                <w:noProof/>
                <w:webHidden/>
              </w:rPr>
              <w:fldChar w:fldCharType="end"/>
            </w:r>
          </w:hyperlink>
        </w:p>
        <w:p w14:paraId="018D2DF6" w14:textId="77777777" w:rsidR="00CB77A1" w:rsidRDefault="00766D85">
          <w:pPr>
            <w:pStyle w:val="TOC1"/>
            <w:tabs>
              <w:tab w:val="left" w:pos="440"/>
              <w:tab w:val="right" w:leader="dot" w:pos="9463"/>
            </w:tabs>
            <w:rPr>
              <w:rFonts w:eastAsiaTheme="minorEastAsia" w:cstheme="minorBidi"/>
              <w:b w:val="0"/>
              <w:bCs w:val="0"/>
              <w:caps w:val="0"/>
              <w:noProof/>
              <w:sz w:val="22"/>
              <w:szCs w:val="22"/>
              <w:lang w:val="en-NZ" w:eastAsia="en-NZ" w:bidi="ar-SA"/>
            </w:rPr>
          </w:pPr>
          <w:hyperlink w:anchor="_Toc454451350" w:history="1">
            <w:r w:rsidR="00CB77A1" w:rsidRPr="004376E7">
              <w:rPr>
                <w:rStyle w:val="Hyperlink"/>
                <w:noProof/>
              </w:rPr>
              <w:t>7</w:t>
            </w:r>
            <w:r w:rsidR="00CB77A1">
              <w:rPr>
                <w:rFonts w:eastAsiaTheme="minorEastAsia" w:cstheme="minorBidi"/>
                <w:b w:val="0"/>
                <w:bCs w:val="0"/>
                <w:caps w:val="0"/>
                <w:noProof/>
                <w:sz w:val="22"/>
                <w:szCs w:val="22"/>
                <w:lang w:val="en-NZ" w:eastAsia="en-NZ" w:bidi="ar-SA"/>
              </w:rPr>
              <w:tab/>
            </w:r>
            <w:r w:rsidR="00CB77A1" w:rsidRPr="004376E7">
              <w:rPr>
                <w:rStyle w:val="Hyperlink"/>
                <w:noProof/>
              </w:rPr>
              <w:t>References</w:t>
            </w:r>
            <w:r w:rsidR="00CB77A1">
              <w:rPr>
                <w:noProof/>
                <w:webHidden/>
              </w:rPr>
              <w:tab/>
            </w:r>
            <w:r w:rsidR="00CB77A1">
              <w:rPr>
                <w:noProof/>
                <w:webHidden/>
              </w:rPr>
              <w:fldChar w:fldCharType="begin"/>
            </w:r>
            <w:r w:rsidR="00CB77A1">
              <w:rPr>
                <w:noProof/>
                <w:webHidden/>
              </w:rPr>
              <w:instrText xml:space="preserve"> PAGEREF _Toc454451350 \h </w:instrText>
            </w:r>
            <w:r w:rsidR="00CB77A1">
              <w:rPr>
                <w:noProof/>
                <w:webHidden/>
              </w:rPr>
            </w:r>
            <w:r w:rsidR="00CB77A1">
              <w:rPr>
                <w:noProof/>
                <w:webHidden/>
              </w:rPr>
              <w:fldChar w:fldCharType="separate"/>
            </w:r>
            <w:r w:rsidR="00970FAB">
              <w:rPr>
                <w:noProof/>
                <w:webHidden/>
              </w:rPr>
              <w:t>15</w:t>
            </w:r>
            <w:r w:rsidR="00CB77A1">
              <w:rPr>
                <w:noProof/>
                <w:webHidden/>
              </w:rPr>
              <w:fldChar w:fldCharType="end"/>
            </w:r>
          </w:hyperlink>
        </w:p>
        <w:p w14:paraId="11E36DEF" w14:textId="77777777" w:rsidR="00C11A3D" w:rsidRDefault="00C11A3D">
          <w:r>
            <w:rPr>
              <w:b/>
              <w:bCs/>
              <w:noProof/>
            </w:rPr>
            <w:fldChar w:fldCharType="end"/>
          </w:r>
        </w:p>
      </w:sdtContent>
    </w:sdt>
    <w:p w14:paraId="11E36DF0" w14:textId="77777777" w:rsidR="00E066BA" w:rsidRDefault="00E066BA" w:rsidP="00051ED9"/>
    <w:p w14:paraId="11E36DF1" w14:textId="77777777" w:rsidR="00051ED9" w:rsidRDefault="00562917" w:rsidP="00772BDC">
      <w:r w:rsidRPr="00E203C2">
        <w:br w:type="page"/>
      </w:r>
    </w:p>
    <w:p w14:paraId="11E36DF2" w14:textId="18B44E5B" w:rsidR="00D60568" w:rsidRDefault="0008344D" w:rsidP="0008344D">
      <w:pPr>
        <w:pStyle w:val="Heading1"/>
      </w:pPr>
      <w:bookmarkStart w:id="4" w:name="_Toc454451326"/>
      <w:r>
        <w:lastRenderedPageBreak/>
        <w:t>1</w:t>
      </w:r>
      <w:r>
        <w:tab/>
      </w:r>
      <w:r w:rsidR="00ED5D43">
        <w:t>Introduction</w:t>
      </w:r>
      <w:bookmarkEnd w:id="4"/>
    </w:p>
    <w:p w14:paraId="074A3AF5" w14:textId="10314C78" w:rsidR="00C01F94" w:rsidRDefault="00F43C21" w:rsidP="00C01F94">
      <w:r w:rsidRPr="009222D0">
        <w:t xml:space="preserve">Food Standards Australia New Zealand (FSANZ) received an Application </w:t>
      </w:r>
      <w:r w:rsidRPr="009222D0">
        <w:rPr>
          <w:rFonts w:cs="Arial"/>
        </w:rPr>
        <w:t>from</w:t>
      </w:r>
      <w:r w:rsidR="0045601E">
        <w:rPr>
          <w:rFonts w:cs="Arial"/>
        </w:rPr>
        <w:t xml:space="preserve"> </w:t>
      </w:r>
      <w:proofErr w:type="spellStart"/>
      <w:r w:rsidR="0045601E" w:rsidRPr="0045601E">
        <w:rPr>
          <w:rFonts w:cs="Arial"/>
        </w:rPr>
        <w:t>Axiome</w:t>
      </w:r>
      <w:proofErr w:type="spellEnd"/>
      <w:r w:rsidR="0045601E" w:rsidRPr="0045601E">
        <w:rPr>
          <w:rFonts w:cs="Arial"/>
        </w:rPr>
        <w:t xml:space="preserve"> Pty Ltd</w:t>
      </w:r>
      <w:r w:rsidR="0045601E">
        <w:rPr>
          <w:rFonts w:cs="Arial"/>
        </w:rPr>
        <w:t xml:space="preserve">, on behalf of </w:t>
      </w:r>
      <w:proofErr w:type="spellStart"/>
      <w:r w:rsidR="00BC3476">
        <w:rPr>
          <w:rFonts w:cs="Arial"/>
        </w:rPr>
        <w:t>Kemin</w:t>
      </w:r>
      <w:proofErr w:type="spellEnd"/>
      <w:r w:rsidR="00BC3476">
        <w:rPr>
          <w:rFonts w:cs="Arial"/>
        </w:rPr>
        <w:t xml:space="preserve"> Industries (Asia) Pte Ltd</w:t>
      </w:r>
      <w:r w:rsidR="00F37D42">
        <w:rPr>
          <w:rFonts w:cs="Arial"/>
        </w:rPr>
        <w:t>,</w:t>
      </w:r>
      <w:r w:rsidR="0045601E">
        <w:rPr>
          <w:rFonts w:cs="Arial"/>
        </w:rPr>
        <w:t xml:space="preserve"> seeking</w:t>
      </w:r>
      <w:r w:rsidR="00C01F94" w:rsidRPr="006E4466">
        <w:t xml:space="preserve"> approval to use</w:t>
      </w:r>
      <w:r w:rsidR="00C01F94">
        <w:t xml:space="preserve"> propionates as anti-microbial preservatives in processed meat</w:t>
      </w:r>
      <w:r w:rsidR="00A130D3">
        <w:t xml:space="preserve">, poultry and game products. </w:t>
      </w:r>
      <w:r w:rsidR="00F37D42">
        <w:t xml:space="preserve">The term </w:t>
      </w:r>
      <w:proofErr w:type="gramStart"/>
      <w:r w:rsidR="00F37D42">
        <w:t>propionate</w:t>
      </w:r>
      <w:r w:rsidR="00BC3476">
        <w:t>s</w:t>
      </w:r>
      <w:r w:rsidR="00F37D42">
        <w:t xml:space="preserve"> is</w:t>
      </w:r>
      <w:proofErr w:type="gramEnd"/>
      <w:r w:rsidR="00F37D42">
        <w:t xml:space="preserve"> used in this document to </w:t>
      </w:r>
      <w:r w:rsidR="00BC3476">
        <w:t xml:space="preserve">refer collectively to </w:t>
      </w:r>
      <w:r w:rsidR="00F37D42">
        <w:t xml:space="preserve">propionic acid (INS 280), sodium propionate (INS 281), potassium propionate (INS 282) and calcium propionate (INS 283). </w:t>
      </w:r>
      <w:r w:rsidR="00C01F94">
        <w:t xml:space="preserve">The justification for the Application is to have alternative anti-microbial preservatives to limit the growth of </w:t>
      </w:r>
      <w:r w:rsidR="00C01F94" w:rsidRPr="00701BFF">
        <w:rPr>
          <w:i/>
        </w:rPr>
        <w:t>L</w:t>
      </w:r>
      <w:r w:rsidR="00C01F94">
        <w:rPr>
          <w:i/>
        </w:rPr>
        <w:t>isteria</w:t>
      </w:r>
      <w:r w:rsidR="00C01F94" w:rsidRPr="00701BFF">
        <w:rPr>
          <w:i/>
        </w:rPr>
        <w:t xml:space="preserve"> monocytogenes</w:t>
      </w:r>
      <w:r w:rsidR="00C01F94">
        <w:t xml:space="preserve"> in processed </w:t>
      </w:r>
      <w:r w:rsidR="00A130D3">
        <w:t xml:space="preserve">meat, poultry and game products. </w:t>
      </w:r>
    </w:p>
    <w:p w14:paraId="339376B2" w14:textId="678AA093" w:rsidR="003112EA" w:rsidRDefault="003112EA" w:rsidP="003112EA">
      <w:r>
        <w:t>The Applicant seeks approval for the use of propionates, under the conditions of</w:t>
      </w:r>
      <w:r w:rsidRPr="004D22BE">
        <w:t xml:space="preserve"> </w:t>
      </w:r>
      <w:r>
        <w:t>GMP, in the following food categories:</w:t>
      </w:r>
    </w:p>
    <w:p w14:paraId="32C08870" w14:textId="77777777" w:rsidR="00445A1C" w:rsidRDefault="00445A1C" w:rsidP="003112EA"/>
    <w:p w14:paraId="3B3D67CD" w14:textId="6ABF611A" w:rsidR="003112EA" w:rsidRDefault="003112EA" w:rsidP="00445A1C">
      <w:pPr>
        <w:ind w:left="567" w:hanging="567"/>
      </w:pPr>
      <w:r>
        <w:t>(</w:t>
      </w:r>
      <w:proofErr w:type="spellStart"/>
      <w:r>
        <w:t>i</w:t>
      </w:r>
      <w:proofErr w:type="spellEnd"/>
      <w:r>
        <w:t xml:space="preserve">) </w:t>
      </w:r>
      <w:r w:rsidR="00445A1C">
        <w:tab/>
      </w:r>
      <w:r>
        <w:t>Processed meat, poultry and game products in whole cuts or pieces, and</w:t>
      </w:r>
    </w:p>
    <w:p w14:paraId="3DC3F4D8" w14:textId="0001AC56" w:rsidR="003112EA" w:rsidRDefault="003112EA" w:rsidP="00445A1C">
      <w:pPr>
        <w:ind w:left="567" w:hanging="567"/>
      </w:pPr>
      <w:r>
        <w:t>(</w:t>
      </w:r>
      <w:proofErr w:type="gramStart"/>
      <w:r>
        <w:t>ii</w:t>
      </w:r>
      <w:proofErr w:type="gramEnd"/>
      <w:r>
        <w:t xml:space="preserve">) </w:t>
      </w:r>
      <w:r w:rsidR="00445A1C">
        <w:tab/>
      </w:r>
      <w:r>
        <w:t xml:space="preserve">Processed </w:t>
      </w:r>
      <w:proofErr w:type="spellStart"/>
      <w:r>
        <w:t>comminuted</w:t>
      </w:r>
      <w:proofErr w:type="spellEnd"/>
      <w:r>
        <w:t xml:space="preserve"> meat, poultry and game products.</w:t>
      </w:r>
    </w:p>
    <w:p w14:paraId="2194E65A" w14:textId="77777777" w:rsidR="003112EA" w:rsidRDefault="003112EA" w:rsidP="003112EA"/>
    <w:p w14:paraId="6855C30A" w14:textId="77777777" w:rsidR="003112EA" w:rsidRDefault="003112EA" w:rsidP="003112EA">
      <w:r>
        <w:t>Propionates are listed under these two food categories in the Codex General Standard for Food Additives (GSFA), for use under the conditions of GMP.</w:t>
      </w:r>
    </w:p>
    <w:p w14:paraId="3BFCA7B6" w14:textId="77777777" w:rsidR="003112EA" w:rsidRDefault="003112EA" w:rsidP="00C01F94"/>
    <w:p w14:paraId="45C48E76" w14:textId="5D33CF24" w:rsidR="00C01F94" w:rsidRDefault="00C01F94" w:rsidP="00C01F94">
      <w:r>
        <w:t>In the Australia New Zealand Food Standards Code (the Code), all four propionates are currently permitted to be added to breads and bakery products</w:t>
      </w:r>
      <w:r w:rsidR="007B3450">
        <w:t xml:space="preserve"> (at a maximum permitted level, </w:t>
      </w:r>
      <w:r w:rsidR="00883F70">
        <w:t>MPL</w:t>
      </w:r>
      <w:r w:rsidR="007B3450">
        <w:t>,</w:t>
      </w:r>
      <w:r w:rsidR="00883F70">
        <w:t xml:space="preserve"> of</w:t>
      </w:r>
      <w:r w:rsidR="007B3450">
        <w:t xml:space="preserve"> 4000 mg/kg</w:t>
      </w:r>
      <w:r w:rsidR="00053D29">
        <w:t>)</w:t>
      </w:r>
      <w:r>
        <w:t xml:space="preserve"> and flour products</w:t>
      </w:r>
      <w:r w:rsidR="00883F70">
        <w:t>, including noodles and pasta (MPL 2000 mg/kg)</w:t>
      </w:r>
      <w:r>
        <w:t xml:space="preserve">. Sodium </w:t>
      </w:r>
      <w:r w:rsidR="006F0382">
        <w:t xml:space="preserve">propionate </w:t>
      </w:r>
      <w:r>
        <w:t>and calcium propionate are also permitted in a number of other foods categories, namely oil emulsions</w:t>
      </w:r>
      <w:r w:rsidR="007B3450">
        <w:t xml:space="preserve"> (</w:t>
      </w:r>
      <w:r w:rsidR="00883F70" w:rsidRPr="00883F70">
        <w:t>under the condition</w:t>
      </w:r>
      <w:r w:rsidR="003112EA">
        <w:t>s of</w:t>
      </w:r>
      <w:r w:rsidR="00883F70" w:rsidRPr="00883F70">
        <w:t xml:space="preserve"> </w:t>
      </w:r>
      <w:r w:rsidR="00883F70">
        <w:t>GMP)</w:t>
      </w:r>
      <w:r>
        <w:t>, fruit and vegetable spreads</w:t>
      </w:r>
      <w:r w:rsidR="00883F70" w:rsidRPr="00883F70">
        <w:t xml:space="preserve"> including jams, chutneys and related products</w:t>
      </w:r>
      <w:r w:rsidR="00883F70">
        <w:t xml:space="preserve"> (GMP)</w:t>
      </w:r>
      <w:r>
        <w:t>, fruit and vegetable juices and fruit and vegetable juice products</w:t>
      </w:r>
      <w:r w:rsidR="00883F70">
        <w:t xml:space="preserve"> (GMP)</w:t>
      </w:r>
      <w:r>
        <w:t>, formulated beverages</w:t>
      </w:r>
      <w:r w:rsidR="00883F70">
        <w:t xml:space="preserve"> (GMP)</w:t>
      </w:r>
      <w:r>
        <w:t>, and sauces and toppings</w:t>
      </w:r>
      <w:r w:rsidR="00053D29">
        <w:t xml:space="preserve">, </w:t>
      </w:r>
      <w:r w:rsidR="00883F70" w:rsidRPr="00883F70">
        <w:t>including mayonnaises and salad dressings</w:t>
      </w:r>
      <w:r w:rsidR="00053D29">
        <w:t xml:space="preserve"> (</w:t>
      </w:r>
      <w:r w:rsidR="00883F70">
        <w:t>GMP</w:t>
      </w:r>
      <w:r w:rsidR="00883F70" w:rsidRPr="00883F70">
        <w:t>)</w:t>
      </w:r>
      <w:r>
        <w:t xml:space="preserve">. Propionic acid, sodium </w:t>
      </w:r>
      <w:r w:rsidRPr="00701BFF">
        <w:t xml:space="preserve">propionate </w:t>
      </w:r>
      <w:r>
        <w:t>and calcium propionate are permitted to be added to solid formulated supplementary sports foods</w:t>
      </w:r>
      <w:r w:rsidR="00883F70">
        <w:t xml:space="preserve"> at an MPL of 400 mg/kg</w:t>
      </w:r>
      <w:r>
        <w:t>.</w:t>
      </w:r>
    </w:p>
    <w:p w14:paraId="11E36DF5" w14:textId="42EB3FD0" w:rsidR="00ED5D43" w:rsidRPr="00934A30" w:rsidRDefault="00BF3652" w:rsidP="00704827">
      <w:pPr>
        <w:pStyle w:val="Heading2"/>
      </w:pPr>
      <w:bookmarkStart w:id="5" w:name="_Toc454451327"/>
      <w:r>
        <w:t>1.1</w:t>
      </w:r>
      <w:r>
        <w:tab/>
      </w:r>
      <w:r w:rsidR="005B1EC0">
        <w:t>Objective</w:t>
      </w:r>
      <w:r w:rsidR="00FA56A8">
        <w:t>s</w:t>
      </w:r>
      <w:r w:rsidR="005B1EC0">
        <w:t xml:space="preserve"> of the risk </w:t>
      </w:r>
      <w:r w:rsidR="00FA56A8">
        <w:t xml:space="preserve">and technical </w:t>
      </w:r>
      <w:r w:rsidR="005B1EC0">
        <w:t>a</w:t>
      </w:r>
      <w:r w:rsidR="00ED5D43" w:rsidRPr="00934A30">
        <w:t>ssessment</w:t>
      </w:r>
      <w:bookmarkEnd w:id="5"/>
    </w:p>
    <w:p w14:paraId="11E36DF8" w14:textId="75E4392E" w:rsidR="00A60E6F" w:rsidRPr="00934A30" w:rsidRDefault="00A60E6F" w:rsidP="002E4C93">
      <w:r w:rsidRPr="00934A30">
        <w:t>The objective</w:t>
      </w:r>
      <w:r w:rsidR="00FA56A8">
        <w:t>s</w:t>
      </w:r>
      <w:r w:rsidRPr="00934A30">
        <w:t xml:space="preserve"> of this risk </w:t>
      </w:r>
      <w:r w:rsidR="00FA56A8">
        <w:t>and technical assessment are</w:t>
      </w:r>
      <w:r w:rsidRPr="00934A30">
        <w:t xml:space="preserve"> to assess</w:t>
      </w:r>
      <w:r w:rsidR="00FA56A8">
        <w:t xml:space="preserve"> whether</w:t>
      </w:r>
      <w:r w:rsidRPr="00934A30">
        <w:t xml:space="preserve"> the </w:t>
      </w:r>
      <w:r w:rsidR="00FA56A8">
        <w:t xml:space="preserve">addition of propionates to </w:t>
      </w:r>
      <w:r w:rsidR="00FA56A8" w:rsidRPr="00FA56A8">
        <w:t xml:space="preserve">processed </w:t>
      </w:r>
      <w:r w:rsidR="00A130D3">
        <w:t>meat, poultry and game</w:t>
      </w:r>
      <w:r w:rsidR="004E5130">
        <w:t xml:space="preserve"> products</w:t>
      </w:r>
      <w:r w:rsidR="00FA56A8" w:rsidRPr="00FA56A8">
        <w:t xml:space="preserve"> </w:t>
      </w:r>
      <w:r w:rsidR="00FA56A8">
        <w:t xml:space="preserve">is technologically justified and whether </w:t>
      </w:r>
      <w:r w:rsidR="00222C19">
        <w:t xml:space="preserve">addition of </w:t>
      </w:r>
      <w:r w:rsidR="00FA56A8">
        <w:t>propionates</w:t>
      </w:r>
      <w:r w:rsidR="004728DB">
        <w:t xml:space="preserve"> </w:t>
      </w:r>
      <w:r w:rsidR="00053D29">
        <w:t>added to</w:t>
      </w:r>
      <w:r w:rsidR="00222C19">
        <w:t xml:space="preserve"> processed </w:t>
      </w:r>
      <w:r w:rsidR="00A130D3">
        <w:t>meat, poultry and game</w:t>
      </w:r>
      <w:r w:rsidR="00FA56A8">
        <w:t xml:space="preserve"> </w:t>
      </w:r>
      <w:r w:rsidR="004E5130">
        <w:t xml:space="preserve">products </w:t>
      </w:r>
      <w:r w:rsidR="00FA56A8">
        <w:t>presents any public health and safety concerns.</w:t>
      </w:r>
      <w:r w:rsidRPr="00934A30">
        <w:t xml:space="preserve"> </w:t>
      </w:r>
      <w:r w:rsidR="002E4C93">
        <w:t>T</w:t>
      </w:r>
      <w:r w:rsidRPr="00934A30">
        <w:t>he following key questions have been posed:</w:t>
      </w:r>
    </w:p>
    <w:p w14:paraId="11E36DF9" w14:textId="77777777" w:rsidR="00A60E6F" w:rsidRPr="00934A30" w:rsidRDefault="00A60E6F" w:rsidP="00A60E6F"/>
    <w:p w14:paraId="60B6BA1A" w14:textId="7B03121E" w:rsidR="0060100A" w:rsidRDefault="0060100A" w:rsidP="0060100A">
      <w:pPr>
        <w:pStyle w:val="FSBullet1"/>
        <w:widowControl w:val="0"/>
        <w:numPr>
          <w:ilvl w:val="0"/>
          <w:numId w:val="0"/>
        </w:numPr>
        <w:ind w:left="567" w:hanging="567"/>
        <w:rPr>
          <w:lang w:eastAsia="en-AU"/>
        </w:rPr>
      </w:pPr>
      <w:r>
        <w:rPr>
          <w:lang w:eastAsia="en-AU"/>
        </w:rPr>
        <w:t>1.</w:t>
      </w:r>
      <w:r>
        <w:rPr>
          <w:lang w:eastAsia="en-AU"/>
        </w:rPr>
        <w:tab/>
      </w:r>
      <w:r w:rsidR="00E46498">
        <w:rPr>
          <w:lang w:eastAsia="en-AU"/>
        </w:rPr>
        <w:t xml:space="preserve">Do propionates achieve their stated technological function in the form and quantity used as food additives in processed </w:t>
      </w:r>
      <w:r w:rsidR="00A130D3">
        <w:rPr>
          <w:lang w:eastAsia="en-AU"/>
        </w:rPr>
        <w:t>meat, poultry and game</w:t>
      </w:r>
      <w:r w:rsidR="004E5130">
        <w:rPr>
          <w:lang w:eastAsia="en-AU"/>
        </w:rPr>
        <w:t xml:space="preserve"> products</w:t>
      </w:r>
      <w:r w:rsidR="00E46498">
        <w:rPr>
          <w:lang w:eastAsia="en-AU"/>
        </w:rPr>
        <w:t>?</w:t>
      </w:r>
    </w:p>
    <w:p w14:paraId="12129B90" w14:textId="77777777" w:rsidR="0060100A" w:rsidRPr="0060100A" w:rsidRDefault="0060100A" w:rsidP="0060100A">
      <w:pPr>
        <w:rPr>
          <w:lang w:eastAsia="en-AU" w:bidi="ar-SA"/>
        </w:rPr>
      </w:pPr>
    </w:p>
    <w:p w14:paraId="6DC852EC" w14:textId="06EF99E6" w:rsidR="006B4600" w:rsidRDefault="0060100A" w:rsidP="006B4600">
      <w:pPr>
        <w:pStyle w:val="FSBullet1"/>
        <w:widowControl w:val="0"/>
        <w:numPr>
          <w:ilvl w:val="0"/>
          <w:numId w:val="0"/>
        </w:numPr>
        <w:ind w:left="567" w:hanging="567"/>
        <w:rPr>
          <w:lang w:eastAsia="en-AU"/>
        </w:rPr>
      </w:pPr>
      <w:r>
        <w:rPr>
          <w:lang w:eastAsia="en-AU"/>
        </w:rPr>
        <w:t>2.</w:t>
      </w:r>
      <w:r>
        <w:rPr>
          <w:lang w:eastAsia="en-AU"/>
        </w:rPr>
        <w:tab/>
        <w:t xml:space="preserve">Are </w:t>
      </w:r>
      <w:r w:rsidR="00E46498">
        <w:rPr>
          <w:lang w:eastAsia="en-AU"/>
        </w:rPr>
        <w:t xml:space="preserve">there any public health and safety </w:t>
      </w:r>
      <w:r w:rsidR="009B2E45">
        <w:rPr>
          <w:lang w:eastAsia="en-AU"/>
        </w:rPr>
        <w:t>concerns</w:t>
      </w:r>
      <w:r w:rsidR="00E46498">
        <w:rPr>
          <w:lang w:eastAsia="en-AU"/>
        </w:rPr>
        <w:t xml:space="preserve"> associated with the use of propionates </w:t>
      </w:r>
      <w:r w:rsidR="00E46498" w:rsidRPr="00E46498">
        <w:rPr>
          <w:lang w:eastAsia="en-AU"/>
        </w:rPr>
        <w:t xml:space="preserve">as food additives in processed </w:t>
      </w:r>
      <w:r w:rsidR="00A130D3">
        <w:rPr>
          <w:lang w:eastAsia="en-AU"/>
        </w:rPr>
        <w:t>meat, poultry and game</w:t>
      </w:r>
      <w:r w:rsidR="004E5130">
        <w:rPr>
          <w:lang w:eastAsia="en-AU"/>
        </w:rPr>
        <w:t xml:space="preserve"> products</w:t>
      </w:r>
      <w:r w:rsidR="00E46498" w:rsidRPr="00E46498">
        <w:rPr>
          <w:lang w:eastAsia="en-AU"/>
        </w:rPr>
        <w:t>?</w:t>
      </w:r>
    </w:p>
    <w:p w14:paraId="53C619BE" w14:textId="77777777" w:rsidR="006B4600" w:rsidRPr="006B4600" w:rsidRDefault="006B4600" w:rsidP="006B4600">
      <w:pPr>
        <w:rPr>
          <w:lang w:eastAsia="en-AU" w:bidi="ar-SA"/>
        </w:rPr>
      </w:pPr>
    </w:p>
    <w:p w14:paraId="2B9890F7" w14:textId="59C03408" w:rsidR="00E73301" w:rsidRDefault="0008344D" w:rsidP="00E73301">
      <w:pPr>
        <w:pStyle w:val="Heading1"/>
      </w:pPr>
      <w:bookmarkStart w:id="6" w:name="_Toc454451328"/>
      <w:r>
        <w:t>2</w:t>
      </w:r>
      <w:r>
        <w:tab/>
      </w:r>
      <w:r w:rsidR="00E46498">
        <w:t>Food technology assessment</w:t>
      </w:r>
      <w:bookmarkEnd w:id="6"/>
      <w:r w:rsidR="00ED5D43" w:rsidRPr="00ED5D43">
        <w:t xml:space="preserve"> </w:t>
      </w:r>
    </w:p>
    <w:p w14:paraId="30465F3A" w14:textId="739B2C2B" w:rsidR="00DA4DA0" w:rsidRPr="00DA4DA0" w:rsidRDefault="00DA4DA0" w:rsidP="006E0A1C">
      <w:pPr>
        <w:pStyle w:val="Heading2"/>
      </w:pPr>
      <w:bookmarkStart w:id="7" w:name="_Toc279584858"/>
      <w:bookmarkStart w:id="8" w:name="_Toc454451329"/>
      <w:r>
        <w:t>2.1</w:t>
      </w:r>
      <w:r w:rsidRPr="00DA4DA0">
        <w:tab/>
        <w:t>Introduction and description of substance</w:t>
      </w:r>
      <w:bookmarkEnd w:id="7"/>
      <w:bookmarkEnd w:id="8"/>
    </w:p>
    <w:p w14:paraId="16C00778" w14:textId="0541C68D" w:rsidR="00DA4DA0" w:rsidRPr="00DA4DA0" w:rsidRDefault="00DA4DA0" w:rsidP="00DA4DA0">
      <w:r w:rsidRPr="00DA4DA0">
        <w:t>Propionic acid and its calcium, sodium and potassium salts, collectively known as “propionates”, exert antimicrobial activity against mould and a few bacteria. Propionic acid has found extensive use in the bakery field where it inhibits mould and the bacteri</w:t>
      </w:r>
      <w:r w:rsidR="00762A3D">
        <w:t>um</w:t>
      </w:r>
      <w:r w:rsidRPr="00DA4DA0">
        <w:t xml:space="preserve"> </w:t>
      </w:r>
      <w:r w:rsidRPr="00DA4DA0">
        <w:rPr>
          <w:i/>
        </w:rPr>
        <w:t>B</w:t>
      </w:r>
      <w:r w:rsidR="002A330E">
        <w:rPr>
          <w:i/>
        </w:rPr>
        <w:t>acillus</w:t>
      </w:r>
      <w:r w:rsidRPr="00DA4DA0">
        <w:rPr>
          <w:i/>
        </w:rPr>
        <w:t xml:space="preserve"> </w:t>
      </w:r>
      <w:proofErr w:type="spellStart"/>
      <w:r w:rsidRPr="00DA4DA0">
        <w:rPr>
          <w:i/>
        </w:rPr>
        <w:t>mesentericu</w:t>
      </w:r>
      <w:proofErr w:type="spellEnd"/>
      <w:r w:rsidRPr="00DA4DA0">
        <w:rPr>
          <w:i/>
        </w:rPr>
        <w:t xml:space="preserve">, </w:t>
      </w:r>
      <w:r w:rsidRPr="00DA4DA0">
        <w:t>the spores of</w:t>
      </w:r>
      <w:r w:rsidRPr="00DA4DA0">
        <w:rPr>
          <w:i/>
        </w:rPr>
        <w:t xml:space="preserve"> </w:t>
      </w:r>
      <w:r w:rsidRPr="00DA4DA0">
        <w:t xml:space="preserve">which can survive the baking process. Propionates are also particularly effective in inhibiting </w:t>
      </w:r>
      <w:r w:rsidRPr="00DA4DA0">
        <w:rPr>
          <w:i/>
        </w:rPr>
        <w:t>L.</w:t>
      </w:r>
      <w:r w:rsidR="002A330E">
        <w:rPr>
          <w:i/>
        </w:rPr>
        <w:t> </w:t>
      </w:r>
      <w:r w:rsidRPr="00DA4DA0">
        <w:rPr>
          <w:i/>
        </w:rPr>
        <w:t xml:space="preserve">monocytogenes </w:t>
      </w:r>
      <w:r w:rsidRPr="00DA4DA0">
        <w:t xml:space="preserve">at the pH level associated with </w:t>
      </w:r>
      <w:proofErr w:type="spellStart"/>
      <w:r w:rsidRPr="00DA4DA0">
        <w:t>comminuted</w:t>
      </w:r>
      <w:proofErr w:type="spellEnd"/>
      <w:r w:rsidRPr="00DA4DA0">
        <w:t xml:space="preserve"> </w:t>
      </w:r>
      <w:r w:rsidR="00A130D3">
        <w:t>meat, poultry and game</w:t>
      </w:r>
      <w:r w:rsidRPr="00DA4DA0">
        <w:t xml:space="preserve"> that receive no further heat treatment prior to consumption by the consumer. Propionates can be used at low </w:t>
      </w:r>
      <w:r w:rsidR="00762A3D">
        <w:t xml:space="preserve">concentrations </w:t>
      </w:r>
      <w:r w:rsidRPr="00DA4DA0">
        <w:t xml:space="preserve">to prevent growth of </w:t>
      </w:r>
      <w:r w:rsidRPr="00DA4DA0">
        <w:rPr>
          <w:i/>
        </w:rPr>
        <w:t>L. monocytogenes</w:t>
      </w:r>
      <w:r w:rsidRPr="00DA4DA0">
        <w:t xml:space="preserve"> and have the advantage of not imparting any flavour on the product. When used in combination with nitrite/nitrate they can </w:t>
      </w:r>
      <w:r w:rsidRPr="00DA4DA0">
        <w:lastRenderedPageBreak/>
        <w:t>provide control against a broader range of microorganisms and potentially result in reduced nitrite/nitrate use levels.</w:t>
      </w:r>
    </w:p>
    <w:p w14:paraId="5FEB4070" w14:textId="77777777" w:rsidR="00DA4DA0" w:rsidRPr="00DA4DA0" w:rsidRDefault="00DA4DA0" w:rsidP="00DA4DA0"/>
    <w:p w14:paraId="5F13EB37" w14:textId="64C54DB2" w:rsidR="00DA4DA0" w:rsidRPr="00DA4DA0" w:rsidRDefault="00DA4DA0" w:rsidP="00DA4DA0">
      <w:r w:rsidRPr="00DA4DA0">
        <w:t xml:space="preserve">Propionates naturally occur in foods such as butter, cheese and other dairy foods and have been used as food preservatives widely for more than 60 years. The safety of propionates has been reviewed by </w:t>
      </w:r>
      <w:r w:rsidR="002B42BF">
        <w:t>t</w:t>
      </w:r>
      <w:r w:rsidR="002B42BF" w:rsidRPr="002B42BF">
        <w:t xml:space="preserve">he Joint FAO/WHO Expert Committee on Food Additives </w:t>
      </w:r>
      <w:r w:rsidR="002B42BF">
        <w:t>(</w:t>
      </w:r>
      <w:r w:rsidRPr="00DA4DA0">
        <w:t>JECFA</w:t>
      </w:r>
      <w:r w:rsidR="002B42BF">
        <w:t>)</w:t>
      </w:r>
      <w:r w:rsidRPr="00DA4DA0">
        <w:t xml:space="preserve">, </w:t>
      </w:r>
      <w:r w:rsidR="00CD58FD" w:rsidRPr="00CD58FD">
        <w:t xml:space="preserve">the European Food Safety Authority </w:t>
      </w:r>
      <w:r w:rsidR="00CD58FD">
        <w:t>(</w:t>
      </w:r>
      <w:r w:rsidRPr="00DA4DA0">
        <w:t>EFSA</w:t>
      </w:r>
      <w:r w:rsidR="00CD58FD">
        <w:t>)</w:t>
      </w:r>
      <w:r w:rsidRPr="00DA4DA0">
        <w:t xml:space="preserve"> and </w:t>
      </w:r>
      <w:r w:rsidR="00CD58FD">
        <w:t xml:space="preserve">the </w:t>
      </w:r>
      <w:r w:rsidRPr="00DA4DA0">
        <w:t>US F</w:t>
      </w:r>
      <w:r w:rsidR="00CD58FD">
        <w:t xml:space="preserve">ood and </w:t>
      </w:r>
      <w:r w:rsidRPr="00DA4DA0">
        <w:t>D</w:t>
      </w:r>
      <w:r w:rsidR="00CD58FD">
        <w:t xml:space="preserve">rug </w:t>
      </w:r>
      <w:r w:rsidRPr="00DA4DA0">
        <w:t>A</w:t>
      </w:r>
      <w:r w:rsidR="00CD58FD">
        <w:t>dministration (US FDA)</w:t>
      </w:r>
      <w:r w:rsidRPr="00DA4DA0">
        <w:t xml:space="preserve"> and all of these agency reviews have confirmed or reconfirmed that there are no safety concerns in respect to the use of propionates as preservatives in the currently permitted uses and usage levels.</w:t>
      </w:r>
    </w:p>
    <w:p w14:paraId="1A3397B7" w14:textId="77777777" w:rsidR="00DA4DA0" w:rsidRPr="00DA4DA0" w:rsidRDefault="00DA4DA0" w:rsidP="00DA4DA0"/>
    <w:p w14:paraId="48500F30" w14:textId="1F7F3C32" w:rsidR="00DA4DA0" w:rsidRPr="00DA4DA0" w:rsidRDefault="00CD58FD" w:rsidP="00DA4DA0">
      <w:r>
        <w:t xml:space="preserve">Current permissions for propionates in the Code are described in Section 1. </w:t>
      </w:r>
      <w:r w:rsidR="00DA4DA0" w:rsidRPr="00DA4DA0">
        <w:t xml:space="preserve">CODEX permits propionates in Food Categories 08.2 (Processed meat, poultry, and game products in whole pieces or cuts) and 08.3 (Processed </w:t>
      </w:r>
      <w:proofErr w:type="spellStart"/>
      <w:r w:rsidR="00DA4DA0" w:rsidRPr="00DA4DA0">
        <w:t>comminuted</w:t>
      </w:r>
      <w:proofErr w:type="spellEnd"/>
      <w:r w:rsidR="00DA4DA0" w:rsidRPr="00DA4DA0">
        <w:t xml:space="preserve"> meat, poultry, and game products), under the conditions of GMP. In the USA; sodium propionate and propionic acid are permitted in ready to eat meat and poultry, where antimicrobials are permitted, up to 0.5%</w:t>
      </w:r>
      <w:r w:rsidR="00EF497C">
        <w:t xml:space="preserve"> by weight</w:t>
      </w:r>
      <w:r w:rsidR="00DA4DA0" w:rsidRPr="00DA4DA0">
        <w:t>.</w:t>
      </w:r>
    </w:p>
    <w:p w14:paraId="426377C2" w14:textId="77777777" w:rsidR="00DA4DA0" w:rsidRPr="00DA4DA0" w:rsidRDefault="00DA4DA0" w:rsidP="00DA4DA0"/>
    <w:p w14:paraId="7CF626B6" w14:textId="68F054AE" w:rsidR="00DA4DA0" w:rsidRPr="00DA4DA0" w:rsidRDefault="00DA4DA0" w:rsidP="00DA4DA0">
      <w:r w:rsidRPr="00DA4DA0">
        <w:t xml:space="preserve">The purpose of this application is to request permission for the extension of use of propionates in processed meat, poultry and game products in whole cuts or pieces and processed </w:t>
      </w:r>
      <w:proofErr w:type="spellStart"/>
      <w:r w:rsidRPr="00DA4DA0">
        <w:t>comminuted</w:t>
      </w:r>
      <w:proofErr w:type="spellEnd"/>
      <w:r w:rsidRPr="00DA4DA0">
        <w:t xml:space="preserve"> meat, poultry and game products. The permission sought is for use at a maximum level necessary to achieve one or more technological purposes under the conditions of GMP. Typical use levels range from 0.1 – 0.25% as propionic acid on food product weight</w:t>
      </w:r>
      <w:r w:rsidR="002A330E">
        <w:t xml:space="preserve"> basis</w:t>
      </w:r>
      <w:r w:rsidRPr="00DA4DA0">
        <w:t xml:space="preserve">. </w:t>
      </w:r>
    </w:p>
    <w:p w14:paraId="0A382123" w14:textId="22FA6F53" w:rsidR="00DA4DA0" w:rsidRPr="00DA4DA0" w:rsidRDefault="00DA4DA0" w:rsidP="006E0A1C">
      <w:pPr>
        <w:pStyle w:val="Heading3"/>
      </w:pPr>
      <w:bookmarkStart w:id="9" w:name="_Toc454451330"/>
      <w:r>
        <w:t>2.</w:t>
      </w:r>
      <w:r w:rsidRPr="00DA4DA0">
        <w:t>1.1 Identity</w:t>
      </w:r>
      <w:bookmarkEnd w:id="9"/>
    </w:p>
    <w:p w14:paraId="265BE959" w14:textId="77777777" w:rsidR="00DA4DA0" w:rsidRPr="00DA4DA0" w:rsidRDefault="00DA4DA0" w:rsidP="00DA4DA0">
      <w:r w:rsidRPr="00DA4DA0">
        <w:t xml:space="preserve">Propionates are approved as preservatives for use in certain foods in the Code. Their purity for use and hence the level and type of impurities is controlled by the requirements of Standard 1.3.4 Identity and Purity, which references JECFA Food Additive Specifications as one of the primary specification sources (section </w:t>
      </w:r>
      <w:r w:rsidRPr="00DA4DA0">
        <w:rPr>
          <w:bCs/>
        </w:rPr>
        <w:t>4.2)</w:t>
      </w:r>
      <w:r w:rsidRPr="00DA4DA0">
        <w:t>.</w:t>
      </w:r>
    </w:p>
    <w:p w14:paraId="2F13C690" w14:textId="7C8D86CF" w:rsidR="00DA4DA0" w:rsidRPr="00DA4DA0" w:rsidRDefault="00DA4DA0" w:rsidP="009832F3">
      <w:pPr>
        <w:pStyle w:val="Heading3"/>
      </w:pPr>
      <w:bookmarkStart w:id="10" w:name="_Toc454451331"/>
      <w:r>
        <w:t>2.</w:t>
      </w:r>
      <w:r w:rsidRPr="00DA4DA0">
        <w:t>1.2 Technological purpose</w:t>
      </w:r>
      <w:bookmarkEnd w:id="10"/>
    </w:p>
    <w:p w14:paraId="24B543E0" w14:textId="48913263" w:rsidR="00DA4DA0" w:rsidRPr="00DA4DA0" w:rsidRDefault="00DA4DA0" w:rsidP="00DA4DA0">
      <w:r w:rsidRPr="00DA4DA0">
        <w:t xml:space="preserve">The technological </w:t>
      </w:r>
      <w:r w:rsidR="00A67223" w:rsidRPr="00DA4DA0">
        <w:t>purpose of propionates, with reference to S-14 of the Code is</w:t>
      </w:r>
      <w:r w:rsidRPr="00DA4DA0">
        <w:t xml:space="preserve"> as anti-microbial preservatives.</w:t>
      </w:r>
    </w:p>
    <w:p w14:paraId="58F9BFBD" w14:textId="5C79B439" w:rsidR="00DA4DA0" w:rsidRPr="00DA4DA0" w:rsidRDefault="00DA4DA0" w:rsidP="009832F3">
      <w:pPr>
        <w:pStyle w:val="Heading3"/>
      </w:pPr>
      <w:bookmarkStart w:id="11" w:name="_Toc454451332"/>
      <w:r>
        <w:t>2.</w:t>
      </w:r>
      <w:r w:rsidRPr="00DA4DA0">
        <w:t>1.3 Technological justification</w:t>
      </w:r>
      <w:bookmarkEnd w:id="11"/>
    </w:p>
    <w:p w14:paraId="003DADED" w14:textId="77777777" w:rsidR="00DA4DA0" w:rsidRPr="00DA4DA0" w:rsidRDefault="00DA4DA0" w:rsidP="00DA4DA0">
      <w:pPr>
        <w:rPr>
          <w:lang w:val="en-NZ"/>
        </w:rPr>
      </w:pPr>
      <w:r w:rsidRPr="00DA4DA0">
        <w:rPr>
          <w:lang w:val="en-NZ"/>
        </w:rPr>
        <w:t xml:space="preserve">This application is specifically focused on the control of </w:t>
      </w:r>
      <w:r w:rsidRPr="00DA4DA0">
        <w:rPr>
          <w:i/>
          <w:iCs/>
          <w:lang w:val="en-NZ"/>
        </w:rPr>
        <w:t xml:space="preserve">L. monocytogenes </w:t>
      </w:r>
      <w:r w:rsidRPr="00DA4DA0">
        <w:rPr>
          <w:lang w:val="en-NZ"/>
        </w:rPr>
        <w:t xml:space="preserve">contamination in processed meat, poultry and game products or in whole pieces or cuts and processed </w:t>
      </w:r>
      <w:proofErr w:type="spellStart"/>
      <w:r w:rsidRPr="00DA4DA0">
        <w:rPr>
          <w:lang w:val="en-NZ"/>
        </w:rPr>
        <w:t>comminuted</w:t>
      </w:r>
      <w:proofErr w:type="spellEnd"/>
      <w:r w:rsidRPr="00DA4DA0">
        <w:rPr>
          <w:lang w:val="en-NZ"/>
        </w:rPr>
        <w:t xml:space="preserve"> meat, poultry and game products.</w:t>
      </w:r>
    </w:p>
    <w:p w14:paraId="710449CF" w14:textId="77777777" w:rsidR="00DA4DA0" w:rsidRPr="00DA4DA0" w:rsidRDefault="00DA4DA0" w:rsidP="00DA4DA0">
      <w:pPr>
        <w:rPr>
          <w:lang w:val="en-NZ"/>
        </w:rPr>
      </w:pPr>
    </w:p>
    <w:p w14:paraId="4C906D2E" w14:textId="62D5DE17" w:rsidR="00DA4DA0" w:rsidRPr="00DA4DA0" w:rsidRDefault="00DA4DA0" w:rsidP="00DA4DA0">
      <w:r w:rsidRPr="00DA4DA0">
        <w:rPr>
          <w:lang w:val="en-NZ"/>
        </w:rPr>
        <w:t xml:space="preserve">FSANZ </w:t>
      </w:r>
      <w:r w:rsidR="00E82077">
        <w:rPr>
          <w:lang w:val="en-NZ"/>
        </w:rPr>
        <w:t xml:space="preserve">Australian </w:t>
      </w:r>
      <w:r w:rsidRPr="00DA4DA0">
        <w:rPr>
          <w:lang w:val="en-NZ"/>
        </w:rPr>
        <w:t xml:space="preserve">food recall statistics 2005 to 2014, provided by the </w:t>
      </w:r>
      <w:r w:rsidR="0036755C">
        <w:rPr>
          <w:lang w:val="en-NZ"/>
        </w:rPr>
        <w:t>A</w:t>
      </w:r>
      <w:r w:rsidRPr="00DA4DA0">
        <w:rPr>
          <w:lang w:val="en-NZ"/>
        </w:rPr>
        <w:t xml:space="preserve">pplicant to support the technical justification for using propionates, identify microbial contamination as the principal recall reason (33% of all recalls) which is typically the case for each year of data. For all microorganisms associated with microbial contamination recalls, </w:t>
      </w:r>
      <w:r w:rsidRPr="00DA4DA0">
        <w:rPr>
          <w:i/>
          <w:iCs/>
          <w:lang w:val="en-NZ"/>
        </w:rPr>
        <w:t xml:space="preserve">L. monocytogenes </w:t>
      </w:r>
      <w:r w:rsidRPr="00DA4DA0">
        <w:rPr>
          <w:lang w:val="en-NZ"/>
        </w:rPr>
        <w:t xml:space="preserve">is reported as the most common causal organism (45% of all microorganisms). For recalls involving meat, including poultry, the most common food category (49% of all recalls) was due to </w:t>
      </w:r>
      <w:r w:rsidRPr="00DA4DA0">
        <w:rPr>
          <w:i/>
          <w:lang w:val="en-NZ"/>
        </w:rPr>
        <w:t>L. monocytogenes</w:t>
      </w:r>
      <w:r w:rsidRPr="00DA4DA0">
        <w:rPr>
          <w:lang w:val="en-NZ"/>
        </w:rPr>
        <w:t xml:space="preserve"> contamination (Figure 1).</w:t>
      </w:r>
    </w:p>
    <w:p w14:paraId="5BB9559A" w14:textId="77777777" w:rsidR="00DA4DA0" w:rsidRPr="00DA4DA0" w:rsidRDefault="00DA4DA0" w:rsidP="00DA4DA0">
      <w:pPr>
        <w:rPr>
          <w:lang w:val="en-NZ"/>
        </w:rPr>
      </w:pPr>
    </w:p>
    <w:p w14:paraId="1009A26D" w14:textId="03884422" w:rsidR="00DA4DA0" w:rsidRPr="00DA4DA0" w:rsidRDefault="00DA4DA0" w:rsidP="00DA4DA0">
      <w:pPr>
        <w:rPr>
          <w:b/>
          <w:bCs/>
          <w:lang w:val="en-NZ"/>
        </w:rPr>
      </w:pPr>
      <w:r w:rsidRPr="00DA4DA0">
        <w:rPr>
          <w:noProof/>
          <w:lang w:eastAsia="en-GB" w:bidi="ar-SA"/>
        </w:rPr>
        <w:lastRenderedPageBreak/>
        <mc:AlternateContent>
          <mc:Choice Requires="wps">
            <w:drawing>
              <wp:anchor distT="0" distB="0" distL="114300" distR="114300" simplePos="0" relativeHeight="251664384" behindDoc="0" locked="0" layoutInCell="1" allowOverlap="1" wp14:anchorId="501E6A7F" wp14:editId="39E86BEB">
                <wp:simplePos x="0" y="0"/>
                <wp:positionH relativeFrom="column">
                  <wp:posOffset>-361577</wp:posOffset>
                </wp:positionH>
                <wp:positionV relativeFrom="paragraph">
                  <wp:posOffset>1477907</wp:posOffset>
                </wp:positionV>
                <wp:extent cx="1135932" cy="240388"/>
                <wp:effectExtent l="0" t="9525" r="0" b="0"/>
                <wp:wrapNone/>
                <wp:docPr id="7" name="TextBox 6"/>
                <wp:cNvGraphicFramePr/>
                <a:graphic xmlns:a="http://schemas.openxmlformats.org/drawingml/2006/main">
                  <a:graphicData uri="http://schemas.microsoft.com/office/word/2010/wordprocessingShape">
                    <wps:wsp>
                      <wps:cNvSpPr txBox="1"/>
                      <wps:spPr>
                        <a:xfrm rot="16200000">
                          <a:off x="0" y="0"/>
                          <a:ext cx="1135932" cy="240388"/>
                        </a:xfrm>
                        <a:custGeom>
                          <a:avLst/>
                          <a:gdLst>
                            <a:gd name="connsiteX0" fmla="*/ 0 w 1006475"/>
                            <a:gd name="connsiteY0" fmla="*/ 0 h 190500"/>
                            <a:gd name="connsiteX1" fmla="*/ 1006475 w 1006475"/>
                            <a:gd name="connsiteY1" fmla="*/ 0 h 190500"/>
                            <a:gd name="connsiteX2" fmla="*/ 1006475 w 1006475"/>
                            <a:gd name="connsiteY2" fmla="*/ 190500 h 190500"/>
                            <a:gd name="connsiteX3" fmla="*/ 0 w 1006475"/>
                            <a:gd name="connsiteY3" fmla="*/ 190500 h 190500"/>
                            <a:gd name="connsiteX4" fmla="*/ 0 w 1006475"/>
                            <a:gd name="connsiteY4" fmla="*/ 0 h 190500"/>
                            <a:gd name="connsiteX0" fmla="*/ 39754 w 1006475"/>
                            <a:gd name="connsiteY0" fmla="*/ 1 h 190500"/>
                            <a:gd name="connsiteX1" fmla="*/ 1006475 w 1006475"/>
                            <a:gd name="connsiteY1" fmla="*/ 0 h 190500"/>
                            <a:gd name="connsiteX2" fmla="*/ 1006475 w 1006475"/>
                            <a:gd name="connsiteY2" fmla="*/ 190500 h 190500"/>
                            <a:gd name="connsiteX3" fmla="*/ 0 w 1006475"/>
                            <a:gd name="connsiteY3" fmla="*/ 190500 h 190500"/>
                            <a:gd name="connsiteX4" fmla="*/ 39754 w 1006475"/>
                            <a:gd name="connsiteY4" fmla="*/ 1 h 190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475" h="190500">
                              <a:moveTo>
                                <a:pt x="39754" y="1"/>
                              </a:moveTo>
                              <a:lnTo>
                                <a:pt x="1006475" y="0"/>
                              </a:lnTo>
                              <a:lnTo>
                                <a:pt x="1006475" y="190500"/>
                              </a:lnTo>
                              <a:lnTo>
                                <a:pt x="0" y="190500"/>
                              </a:lnTo>
                              <a:lnTo>
                                <a:pt x="39754" y="1"/>
                              </a:lnTo>
                              <a:close/>
                            </a:path>
                          </a:pathLst>
                        </a:custGeom>
                        <a:solidFill>
                          <a:sysClr val="window" lastClr="FFFFFF"/>
                        </a:solidFill>
                        <a:ln w="9525" cmpd="sng">
                          <a:noFill/>
                        </a:ln>
                        <a:effectLst/>
                      </wps:spPr>
                      <wps:txbx>
                        <w:txbxContent>
                          <w:p w14:paraId="271BB244" w14:textId="77777777" w:rsidR="00A130D3" w:rsidRPr="00853041" w:rsidRDefault="00A130D3" w:rsidP="00DA4DA0">
                            <w:pPr>
                              <w:pStyle w:val="NormalWeb"/>
                              <w:jc w:val="center"/>
                              <w:rPr>
                                <w:sz w:val="18"/>
                                <w:szCs w:val="18"/>
                              </w:rPr>
                            </w:pPr>
                            <w:r w:rsidRPr="00853041">
                              <w:rPr>
                                <w:rFonts w:ascii="Arial" w:hAnsi="Arial"/>
                                <w:color w:val="000000" w:themeColor="dark1"/>
                                <w:sz w:val="18"/>
                                <w:szCs w:val="18"/>
                              </w:rPr>
                              <w:t>Number of recalls</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TextBox 6" o:spid="_x0000_s1026" style="position:absolute;margin-left:-28.45pt;margin-top:116.35pt;width:89.45pt;height:18.9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6475,190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" adj="-11796480,,5400" path="m39754,1l1006475,r,190500l,190500,39754,1xe" fillcolor="window" stroked="f">
                <v:stroke joinstyle="miter"/>
                <v:formulas/>
                <v:path arrowok="t" o:connecttype="custom" o:connectlocs="44867,1;1135932,0;1135932,240388;0,240388;44867,1" o:connectangles="0,0,0,0,0" textboxrect="0,0,1006475,190500"/>
                <v:textbox>
                  <w:txbxContent>
                    <w:p w14:paraId="271BB244" w14:textId="77777777" w:rsidR="00A130D3" w:rsidRPr="00853041" w:rsidRDefault="00A130D3" w:rsidP="00DA4DA0">
                      <w:pPr>
                        <w:pStyle w:val="NormalWeb"/>
                        <w:jc w:val="center"/>
                        <w:rPr>
                          <w:sz w:val="18"/>
                          <w:szCs w:val="18"/>
                        </w:rPr>
                      </w:pPr>
                      <w:r w:rsidRPr="00853041">
                        <w:rPr>
                          <w:rFonts w:ascii="Arial" w:hAnsi="Arial"/>
                          <w:color w:val="000000" w:themeColor="dark1"/>
                          <w:sz w:val="18"/>
                          <w:szCs w:val="18"/>
                        </w:rPr>
                        <w:t>Number of recalls</w:t>
                      </w:r>
                    </w:p>
                  </w:txbxContent>
                </v:textbox>
              </v:shape>
            </w:pict>
          </mc:Fallback>
        </mc:AlternateContent>
      </w:r>
      <w:r w:rsidRPr="00DA4DA0">
        <w:rPr>
          <w:noProof/>
          <w:lang w:eastAsia="en-GB" w:bidi="ar-SA"/>
        </w:rPr>
        <mc:AlternateContent>
          <mc:Choice Requires="wps">
            <w:drawing>
              <wp:anchor distT="0" distB="0" distL="114300" distR="114300" simplePos="0" relativeHeight="251663360" behindDoc="0" locked="0" layoutInCell="1" allowOverlap="1" wp14:anchorId="2480F1C9" wp14:editId="01C87694">
                <wp:simplePos x="0" y="0"/>
                <wp:positionH relativeFrom="column">
                  <wp:posOffset>4524127</wp:posOffset>
                </wp:positionH>
                <wp:positionV relativeFrom="paragraph">
                  <wp:posOffset>686739</wp:posOffset>
                </wp:positionV>
                <wp:extent cx="1168842" cy="476554"/>
                <wp:effectExtent l="0" t="0" r="12700" b="19050"/>
                <wp:wrapNone/>
                <wp:docPr id="27" name="TextBox 5"/>
                <wp:cNvGraphicFramePr/>
                <a:graphic xmlns:a="http://schemas.openxmlformats.org/drawingml/2006/main">
                  <a:graphicData uri="http://schemas.microsoft.com/office/word/2010/wordprocessingShape">
                    <wps:wsp>
                      <wps:cNvSpPr txBox="1"/>
                      <wps:spPr>
                        <a:xfrm>
                          <a:off x="0" y="0"/>
                          <a:ext cx="1168842" cy="476554"/>
                        </a:xfrm>
                        <a:prstGeom prst="rect">
                          <a:avLst/>
                        </a:prstGeom>
                        <a:solidFill>
                          <a:sysClr val="window" lastClr="FFFFFF"/>
                        </a:solidFill>
                        <a:ln w="9525" cmpd="sng">
                          <a:solidFill>
                            <a:sysClr val="windowText" lastClr="000000"/>
                          </a:solidFill>
                        </a:ln>
                        <a:effectLst/>
                      </wps:spPr>
                      <wps:txbx>
                        <w:txbxContent>
                          <w:p w14:paraId="4EF4DA68" w14:textId="77777777" w:rsidR="00A130D3" w:rsidRPr="00DB2979" w:rsidRDefault="00A130D3" w:rsidP="00DA4DA0">
                            <w:pPr>
                              <w:pStyle w:val="NormalWeb"/>
                              <w:jc w:val="center"/>
                              <w:rPr>
                                <w:sz w:val="18"/>
                                <w:szCs w:val="18"/>
                              </w:rPr>
                            </w:pPr>
                            <w:r w:rsidRPr="00DB2979">
                              <w:rPr>
                                <w:rFonts w:ascii="Arial" w:hAnsi="Arial"/>
                                <w:i/>
                                <w:iCs/>
                                <w:color w:val="000000" w:themeColor="dark1"/>
                                <w:sz w:val="18"/>
                                <w:szCs w:val="18"/>
                              </w:rPr>
                              <w:t>E.coli</w:t>
                            </w:r>
                          </w:p>
                          <w:p w14:paraId="226BA3DF" w14:textId="77777777" w:rsidR="00A130D3" w:rsidRPr="00DB2979" w:rsidRDefault="00A130D3" w:rsidP="00DA4DA0">
                            <w:pPr>
                              <w:pStyle w:val="NormalWeb"/>
                              <w:jc w:val="center"/>
                              <w:rPr>
                                <w:sz w:val="18"/>
                                <w:szCs w:val="18"/>
                              </w:rPr>
                            </w:pPr>
                            <w:r w:rsidRPr="00DB2979">
                              <w:rPr>
                                <w:rFonts w:ascii="Arial" w:hAnsi="Arial"/>
                                <w:color w:val="000000" w:themeColor="dark1"/>
                                <w:sz w:val="18"/>
                                <w:szCs w:val="18"/>
                              </w:rPr>
                              <w:t>29 recalls in total</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TextBox 5" o:spid="_x0000_s1028" type="#_x0000_t202" style="position:absolute;margin-left:356.25pt;margin-top:54.05pt;width:92.0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" fillcolor="window" strokecolor="windowText">
                <v:textbox>
                  <w:txbxContent>
                    <w:p w14:paraId="4EF4DA68" w14:textId="77777777" w:rsidR="00A130D3" w:rsidRPr="00DB2979" w:rsidRDefault="00A130D3" w:rsidP="00DA4DA0">
                      <w:pPr>
                        <w:pStyle w:val="NormalWeb"/>
                        <w:jc w:val="center"/>
                        <w:rPr>
                          <w:sz w:val="18"/>
                          <w:szCs w:val="18"/>
                        </w:rPr>
                      </w:pPr>
                      <w:r w:rsidRPr="00DB2979">
                        <w:rPr>
                          <w:rFonts w:ascii="Arial" w:hAnsi="Arial"/>
                          <w:i/>
                          <w:iCs/>
                          <w:color w:val="000000" w:themeColor="dark1"/>
                          <w:sz w:val="18"/>
                          <w:szCs w:val="18"/>
                        </w:rPr>
                        <w:t>E.coli</w:t>
                      </w:r>
                    </w:p>
                    <w:p w14:paraId="226BA3DF" w14:textId="77777777" w:rsidR="00A130D3" w:rsidRPr="00DB2979" w:rsidRDefault="00A130D3" w:rsidP="00DA4DA0">
                      <w:pPr>
                        <w:pStyle w:val="NormalWeb"/>
                        <w:jc w:val="center"/>
                        <w:rPr>
                          <w:sz w:val="18"/>
                          <w:szCs w:val="18"/>
                        </w:rPr>
                      </w:pPr>
                      <w:r w:rsidRPr="00DB2979">
                        <w:rPr>
                          <w:rFonts w:ascii="Arial" w:hAnsi="Arial"/>
                          <w:color w:val="000000" w:themeColor="dark1"/>
                          <w:sz w:val="18"/>
                          <w:szCs w:val="18"/>
                        </w:rPr>
                        <w:t>29 recalls in total</w:t>
                      </w:r>
                    </w:p>
                  </w:txbxContent>
                </v:textbox>
              </v:shape>
            </w:pict>
          </mc:Fallback>
        </mc:AlternateContent>
      </w:r>
      <w:r w:rsidRPr="00DA4DA0">
        <w:rPr>
          <w:noProof/>
          <w:lang w:eastAsia="en-GB" w:bidi="ar-SA"/>
        </w:rPr>
        <mc:AlternateContent>
          <mc:Choice Requires="wps">
            <w:drawing>
              <wp:anchor distT="0" distB="0" distL="114300" distR="114300" simplePos="0" relativeHeight="251662336" behindDoc="0" locked="0" layoutInCell="1" allowOverlap="1" wp14:anchorId="0279B4FB" wp14:editId="1220B0EB">
                <wp:simplePos x="0" y="0"/>
                <wp:positionH relativeFrom="column">
                  <wp:posOffset>2894026</wp:posOffset>
                </wp:positionH>
                <wp:positionV relativeFrom="paragraph">
                  <wp:posOffset>688975</wp:posOffset>
                </wp:positionV>
                <wp:extent cx="1224501" cy="474234"/>
                <wp:effectExtent l="0" t="0" r="13970" b="21590"/>
                <wp:wrapNone/>
                <wp:docPr id="26" name="TextBox 4"/>
                <wp:cNvGraphicFramePr/>
                <a:graphic xmlns:a="http://schemas.openxmlformats.org/drawingml/2006/main">
                  <a:graphicData uri="http://schemas.microsoft.com/office/word/2010/wordprocessingShape">
                    <wps:wsp>
                      <wps:cNvSpPr txBox="1"/>
                      <wps:spPr>
                        <a:xfrm>
                          <a:off x="0" y="0"/>
                          <a:ext cx="1224501" cy="474234"/>
                        </a:xfrm>
                        <a:prstGeom prst="rect">
                          <a:avLst/>
                        </a:prstGeom>
                        <a:solidFill>
                          <a:sysClr val="window" lastClr="FFFFFF"/>
                        </a:solidFill>
                        <a:ln w="9525" cmpd="sng">
                          <a:solidFill>
                            <a:sysClr val="windowText" lastClr="000000"/>
                          </a:solidFill>
                        </a:ln>
                        <a:effectLst/>
                      </wps:spPr>
                      <wps:txbx>
                        <w:txbxContent>
                          <w:p w14:paraId="6F8A3E6E" w14:textId="41609675" w:rsidR="00A130D3" w:rsidRPr="00DB2979" w:rsidRDefault="00A130D3" w:rsidP="00DA4DA0">
                            <w:pPr>
                              <w:pStyle w:val="NormalWeb"/>
                              <w:jc w:val="center"/>
                              <w:rPr>
                                <w:sz w:val="18"/>
                                <w:szCs w:val="18"/>
                              </w:rPr>
                            </w:pPr>
                            <w:r>
                              <w:rPr>
                                <w:rFonts w:ascii="Arial" w:hAnsi="Arial"/>
                                <w:i/>
                                <w:iCs/>
                                <w:color w:val="000000" w:themeColor="dark1"/>
                                <w:sz w:val="18"/>
                                <w:szCs w:val="18"/>
                              </w:rPr>
                              <w:t>S</w:t>
                            </w:r>
                            <w:r w:rsidRPr="00DB2979">
                              <w:rPr>
                                <w:rFonts w:ascii="Arial" w:hAnsi="Arial"/>
                                <w:i/>
                                <w:iCs/>
                                <w:color w:val="000000" w:themeColor="dark1"/>
                                <w:sz w:val="18"/>
                                <w:szCs w:val="18"/>
                              </w:rPr>
                              <w:t>almonella</w:t>
                            </w:r>
                          </w:p>
                          <w:p w14:paraId="258A01CA" w14:textId="77777777" w:rsidR="00A130D3" w:rsidRPr="00DB2979" w:rsidRDefault="00A130D3" w:rsidP="00DA4DA0">
                            <w:pPr>
                              <w:pStyle w:val="NormalWeb"/>
                              <w:jc w:val="center"/>
                              <w:rPr>
                                <w:sz w:val="18"/>
                                <w:szCs w:val="18"/>
                              </w:rPr>
                            </w:pPr>
                            <w:r w:rsidRPr="00DB2979">
                              <w:rPr>
                                <w:rFonts w:ascii="Arial" w:hAnsi="Arial"/>
                                <w:color w:val="000000" w:themeColor="dark1"/>
                                <w:sz w:val="18"/>
                                <w:szCs w:val="18"/>
                              </w:rPr>
                              <w:t>38 recalls in total</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TextBox 4" o:spid="_x0000_s1029" type="#_x0000_t202" style="position:absolute;margin-left:227.9pt;margin-top:54.25pt;width:96.4pt;height:3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" fillcolor="window" strokecolor="windowText">
                <v:textbox>
                  <w:txbxContent>
                    <w:p w14:paraId="6F8A3E6E" w14:textId="41609675" w:rsidR="00A130D3" w:rsidRPr="00DB2979" w:rsidRDefault="00A130D3" w:rsidP="00DA4DA0">
                      <w:pPr>
                        <w:pStyle w:val="NormalWeb"/>
                        <w:jc w:val="center"/>
                        <w:rPr>
                          <w:sz w:val="18"/>
                          <w:szCs w:val="18"/>
                        </w:rPr>
                      </w:pPr>
                      <w:r>
                        <w:rPr>
                          <w:rFonts w:ascii="Arial" w:hAnsi="Arial"/>
                          <w:i/>
                          <w:iCs/>
                          <w:color w:val="000000" w:themeColor="dark1"/>
                          <w:sz w:val="18"/>
                          <w:szCs w:val="18"/>
                        </w:rPr>
                        <w:t>S</w:t>
                      </w:r>
                      <w:r w:rsidRPr="00DB2979">
                        <w:rPr>
                          <w:rFonts w:ascii="Arial" w:hAnsi="Arial"/>
                          <w:i/>
                          <w:iCs/>
                          <w:color w:val="000000" w:themeColor="dark1"/>
                          <w:sz w:val="18"/>
                          <w:szCs w:val="18"/>
                        </w:rPr>
                        <w:t>almonella</w:t>
                      </w:r>
                    </w:p>
                    <w:p w14:paraId="258A01CA" w14:textId="77777777" w:rsidR="00A130D3" w:rsidRPr="00DB2979" w:rsidRDefault="00A130D3" w:rsidP="00DA4DA0">
                      <w:pPr>
                        <w:pStyle w:val="NormalWeb"/>
                        <w:jc w:val="center"/>
                        <w:rPr>
                          <w:sz w:val="18"/>
                          <w:szCs w:val="18"/>
                        </w:rPr>
                      </w:pPr>
                      <w:r w:rsidRPr="00DB2979">
                        <w:rPr>
                          <w:rFonts w:ascii="Arial" w:hAnsi="Arial"/>
                          <w:color w:val="000000" w:themeColor="dark1"/>
                          <w:sz w:val="18"/>
                          <w:szCs w:val="18"/>
                        </w:rPr>
                        <w:t>38 recalls in total</w:t>
                      </w:r>
                    </w:p>
                  </w:txbxContent>
                </v:textbox>
              </v:shape>
            </w:pict>
          </mc:Fallback>
        </mc:AlternateContent>
      </w:r>
      <w:r w:rsidRPr="00DA4DA0">
        <w:rPr>
          <w:noProof/>
          <w:lang w:eastAsia="en-GB" w:bidi="ar-SA"/>
        </w:rPr>
        <mc:AlternateContent>
          <mc:Choice Requires="wps">
            <w:drawing>
              <wp:anchor distT="0" distB="0" distL="114300" distR="114300" simplePos="0" relativeHeight="251661312" behindDoc="0" locked="0" layoutInCell="1" allowOverlap="1" wp14:anchorId="0B2FE689" wp14:editId="47ABC657">
                <wp:simplePos x="0" y="0"/>
                <wp:positionH relativeFrom="column">
                  <wp:posOffset>1073150</wp:posOffset>
                </wp:positionH>
                <wp:positionV relativeFrom="paragraph">
                  <wp:posOffset>678180</wp:posOffset>
                </wp:positionV>
                <wp:extent cx="1200150" cy="484505"/>
                <wp:effectExtent l="0" t="0" r="19050" b="10795"/>
                <wp:wrapNone/>
                <wp:docPr id="25" name="TextBox 3"/>
                <wp:cNvGraphicFramePr/>
                <a:graphic xmlns:a="http://schemas.openxmlformats.org/drawingml/2006/main">
                  <a:graphicData uri="http://schemas.microsoft.com/office/word/2010/wordprocessingShape">
                    <wps:wsp>
                      <wps:cNvSpPr txBox="1"/>
                      <wps:spPr>
                        <a:xfrm>
                          <a:off x="0" y="0"/>
                          <a:ext cx="1200150" cy="484505"/>
                        </a:xfrm>
                        <a:prstGeom prst="rect">
                          <a:avLst/>
                        </a:prstGeom>
                        <a:solidFill>
                          <a:sysClr val="window" lastClr="FFFFFF"/>
                        </a:solidFill>
                        <a:ln w="9525" cmpd="sng">
                          <a:solidFill>
                            <a:sysClr val="windowText" lastClr="000000"/>
                          </a:solidFill>
                        </a:ln>
                        <a:effectLst/>
                      </wps:spPr>
                      <wps:txbx>
                        <w:txbxContent>
                          <w:p w14:paraId="7ABF3065" w14:textId="77777777" w:rsidR="00A130D3" w:rsidRPr="00DB2979" w:rsidRDefault="00A130D3" w:rsidP="00DA4DA0">
                            <w:pPr>
                              <w:pStyle w:val="NormalWeb"/>
                              <w:jc w:val="center"/>
                              <w:rPr>
                                <w:sz w:val="18"/>
                                <w:szCs w:val="18"/>
                              </w:rPr>
                            </w:pPr>
                            <w:r w:rsidRPr="00DB2979">
                              <w:rPr>
                                <w:rFonts w:ascii="Arial" w:hAnsi="Arial"/>
                                <w:i/>
                                <w:iCs/>
                                <w:color w:val="000000" w:themeColor="dark1"/>
                                <w:sz w:val="18"/>
                                <w:szCs w:val="18"/>
                              </w:rPr>
                              <w:t>L. monocytogenes</w:t>
                            </w:r>
                            <w:r w:rsidRPr="00DB2979">
                              <w:rPr>
                                <w:rFonts w:ascii="Arial" w:hAnsi="Arial"/>
                                <w:color w:val="000000" w:themeColor="dark1"/>
                                <w:sz w:val="18"/>
                                <w:szCs w:val="18"/>
                              </w:rPr>
                              <w:t xml:space="preserve"> </w:t>
                            </w:r>
                          </w:p>
                          <w:p w14:paraId="13B08569" w14:textId="77777777" w:rsidR="00A130D3" w:rsidRPr="00DB2979" w:rsidRDefault="00A130D3" w:rsidP="00DA4DA0">
                            <w:pPr>
                              <w:pStyle w:val="NormalWeb"/>
                              <w:jc w:val="center"/>
                              <w:rPr>
                                <w:sz w:val="18"/>
                                <w:szCs w:val="18"/>
                              </w:rPr>
                            </w:pPr>
                            <w:r w:rsidRPr="00DB2979">
                              <w:rPr>
                                <w:rFonts w:ascii="Arial" w:hAnsi="Arial"/>
                                <w:color w:val="000000" w:themeColor="dark1"/>
                                <w:sz w:val="18"/>
                                <w:szCs w:val="18"/>
                              </w:rPr>
                              <w:t>88 recalls in total</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TextBox 3" o:spid="_x0000_s1030" type="#_x0000_t202" style="position:absolute;margin-left:84.5pt;margin-top:53.4pt;width:94.5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" fillcolor="window" strokecolor="windowText">
                <v:textbox>
                  <w:txbxContent>
                    <w:p w14:paraId="7ABF3065" w14:textId="77777777" w:rsidR="00A130D3" w:rsidRPr="00DB2979" w:rsidRDefault="00A130D3" w:rsidP="00DA4DA0">
                      <w:pPr>
                        <w:pStyle w:val="NormalWeb"/>
                        <w:jc w:val="center"/>
                        <w:rPr>
                          <w:sz w:val="18"/>
                          <w:szCs w:val="18"/>
                        </w:rPr>
                      </w:pPr>
                      <w:r w:rsidRPr="00DB2979">
                        <w:rPr>
                          <w:rFonts w:ascii="Arial" w:hAnsi="Arial"/>
                          <w:i/>
                          <w:iCs/>
                          <w:color w:val="000000" w:themeColor="dark1"/>
                          <w:sz w:val="18"/>
                          <w:szCs w:val="18"/>
                        </w:rPr>
                        <w:t>L. monocytogenes</w:t>
                      </w:r>
                      <w:r w:rsidRPr="00DB2979">
                        <w:rPr>
                          <w:rFonts w:ascii="Arial" w:hAnsi="Arial"/>
                          <w:color w:val="000000" w:themeColor="dark1"/>
                          <w:sz w:val="18"/>
                          <w:szCs w:val="18"/>
                        </w:rPr>
                        <w:t xml:space="preserve"> </w:t>
                      </w:r>
                    </w:p>
                    <w:p w14:paraId="13B08569" w14:textId="77777777" w:rsidR="00A130D3" w:rsidRPr="00DB2979" w:rsidRDefault="00A130D3" w:rsidP="00DA4DA0">
                      <w:pPr>
                        <w:pStyle w:val="NormalWeb"/>
                        <w:jc w:val="center"/>
                        <w:rPr>
                          <w:sz w:val="18"/>
                          <w:szCs w:val="18"/>
                        </w:rPr>
                      </w:pPr>
                      <w:r w:rsidRPr="00DB2979">
                        <w:rPr>
                          <w:rFonts w:ascii="Arial" w:hAnsi="Arial"/>
                          <w:color w:val="000000" w:themeColor="dark1"/>
                          <w:sz w:val="18"/>
                          <w:szCs w:val="18"/>
                        </w:rPr>
                        <w:t>88 recalls in total</w:t>
                      </w:r>
                    </w:p>
                  </w:txbxContent>
                </v:textbox>
              </v:shape>
            </w:pict>
          </mc:Fallback>
        </mc:AlternateContent>
      </w:r>
      <w:r w:rsidRPr="00DA4DA0">
        <w:rPr>
          <w:noProof/>
          <w:lang w:eastAsia="en-GB" w:bidi="ar-SA"/>
        </w:rPr>
        <mc:AlternateContent>
          <mc:Choice Requires="wps">
            <w:drawing>
              <wp:anchor distT="0" distB="0" distL="114300" distR="114300" simplePos="0" relativeHeight="251660288" behindDoc="0" locked="0" layoutInCell="1" allowOverlap="1" wp14:anchorId="23E4E492" wp14:editId="1F218B0F">
                <wp:simplePos x="0" y="0"/>
                <wp:positionH relativeFrom="column">
                  <wp:posOffset>4379595</wp:posOffset>
                </wp:positionH>
                <wp:positionV relativeFrom="paragraph">
                  <wp:posOffset>155575</wp:posOffset>
                </wp:positionV>
                <wp:extent cx="0" cy="3030220"/>
                <wp:effectExtent l="0" t="0" r="19050" b="17780"/>
                <wp:wrapNone/>
                <wp:docPr id="24" name="Straight Connector 1"/>
                <wp:cNvGraphicFramePr/>
                <a:graphic xmlns:a="http://schemas.openxmlformats.org/drawingml/2006/main">
                  <a:graphicData uri="http://schemas.microsoft.com/office/word/2010/wordprocessingShape">
                    <wps:wsp>
                      <wps:cNvCnPr/>
                      <wps:spPr>
                        <a:xfrm flipV="1">
                          <a:off x="0" y="0"/>
                          <a:ext cx="0" cy="3030220"/>
                        </a:xfrm>
                        <a:prstGeom prst="line">
                          <a:avLst/>
                        </a:prstGeom>
                        <a:noFill/>
                        <a:ln w="15875" cap="flat" cmpd="sng" algn="ctr">
                          <a:solidFill>
                            <a:srgbClr val="4F81BD">
                              <a:shade val="95000"/>
                              <a:satMod val="105000"/>
                            </a:srgbClr>
                          </a:solidFill>
                          <a:prstDash val="dash"/>
                        </a:ln>
                        <a:effectLst/>
                      </wps:spPr>
                      <wps:bodyPr/>
                    </wps:wsp>
                  </a:graphicData>
                </a:graphic>
              </wp:anchor>
            </w:drawing>
          </mc:Choice>
          <mc:Fallback>
            <w:pict>
              <v:line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44.85pt,12.25pt" to="344.85pt,2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" strokecolor="#4a7ebb" strokeweight="1.25pt">
                <v:stroke dashstyle="dash"/>
              </v:line>
            </w:pict>
          </mc:Fallback>
        </mc:AlternateContent>
      </w:r>
      <w:r w:rsidRPr="00DA4DA0">
        <w:rPr>
          <w:noProof/>
          <w:lang w:eastAsia="en-GB" w:bidi="ar-SA"/>
        </w:rPr>
        <w:drawing>
          <wp:inline distT="0" distB="0" distL="0" distR="0" wp14:anchorId="64E08601" wp14:editId="2974D853">
            <wp:extent cx="5943600" cy="4168140"/>
            <wp:effectExtent l="0" t="0" r="19050" b="228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AA7B69" w14:textId="77777777" w:rsidR="00DA4DA0" w:rsidRDefault="00DA4DA0" w:rsidP="00DA4DA0">
      <w:pPr>
        <w:rPr>
          <w:b/>
          <w:bCs/>
          <w:lang w:val="en-NZ"/>
        </w:rPr>
      </w:pPr>
    </w:p>
    <w:p w14:paraId="5CA8F428" w14:textId="211B00AA" w:rsidR="00DA4DA0" w:rsidRPr="00DA4DA0" w:rsidRDefault="00DA4DA0" w:rsidP="00DA4DA0">
      <w:pPr>
        <w:rPr>
          <w:lang w:val="en-NZ"/>
        </w:rPr>
      </w:pPr>
      <w:r w:rsidRPr="00DA4DA0">
        <w:rPr>
          <w:b/>
          <w:bCs/>
          <w:lang w:val="en-NZ"/>
        </w:rPr>
        <w:t xml:space="preserve">Figure 1: </w:t>
      </w:r>
      <w:r w:rsidRPr="00DA4DA0">
        <w:rPr>
          <w:lang w:val="en-NZ"/>
        </w:rPr>
        <w:t xml:space="preserve">Type of food products recalled </w:t>
      </w:r>
      <w:r w:rsidR="00045D51">
        <w:rPr>
          <w:lang w:val="en-NZ"/>
        </w:rPr>
        <w:t xml:space="preserve">by FSANZ </w:t>
      </w:r>
      <w:r w:rsidRPr="00DA4DA0">
        <w:rPr>
          <w:lang w:val="en-NZ"/>
        </w:rPr>
        <w:t>1 January 2005 to 31 December 2014 due to microbiological contamination</w:t>
      </w:r>
      <w:r w:rsidR="00D252AF">
        <w:rPr>
          <w:lang w:val="en-NZ"/>
        </w:rPr>
        <w:t xml:space="preserve"> (Australian recalls)</w:t>
      </w:r>
      <w:r w:rsidRPr="00DA4DA0">
        <w:rPr>
          <w:lang w:val="en-NZ"/>
        </w:rPr>
        <w:t>.</w:t>
      </w:r>
    </w:p>
    <w:p w14:paraId="58AB8416" w14:textId="77777777" w:rsidR="00DA4DA0" w:rsidRPr="00DA4DA0" w:rsidRDefault="00DA4DA0" w:rsidP="00DA4DA0">
      <w:pPr>
        <w:rPr>
          <w:lang w:val="en-NZ"/>
        </w:rPr>
      </w:pPr>
    </w:p>
    <w:p w14:paraId="46F72CDD" w14:textId="476AD582" w:rsidR="00DA4DA0" w:rsidRPr="00DA4DA0" w:rsidRDefault="00DA4DA0" w:rsidP="00DA4DA0">
      <w:pPr>
        <w:rPr>
          <w:lang w:val="en-NZ"/>
        </w:rPr>
      </w:pPr>
      <w:r w:rsidRPr="00DA4DA0">
        <w:rPr>
          <w:lang w:val="en-NZ"/>
        </w:rPr>
        <w:t xml:space="preserve">Propionates have been demonstrated to be particularly effective for inhibiting growth of </w:t>
      </w:r>
      <w:r w:rsidRPr="00DA4DA0">
        <w:rPr>
          <w:i/>
          <w:iCs/>
          <w:lang w:val="en-NZ"/>
        </w:rPr>
        <w:t>L.</w:t>
      </w:r>
      <w:r w:rsidR="002A330E">
        <w:rPr>
          <w:i/>
          <w:iCs/>
          <w:lang w:val="en-NZ"/>
        </w:rPr>
        <w:t> </w:t>
      </w:r>
      <w:r w:rsidRPr="00DA4DA0">
        <w:rPr>
          <w:i/>
          <w:iCs/>
          <w:lang w:val="en-NZ"/>
        </w:rPr>
        <w:t xml:space="preserve">monocytogenes </w:t>
      </w:r>
      <w:r w:rsidRPr="00DA4DA0">
        <w:rPr>
          <w:lang w:val="en-NZ"/>
        </w:rPr>
        <w:t xml:space="preserve">in processed </w:t>
      </w:r>
      <w:r w:rsidR="00A130D3">
        <w:rPr>
          <w:lang w:val="en-NZ"/>
        </w:rPr>
        <w:t>meat, poultry and game</w:t>
      </w:r>
      <w:r w:rsidRPr="00DA4DA0">
        <w:rPr>
          <w:lang w:val="en-NZ"/>
        </w:rPr>
        <w:t xml:space="preserve"> (at low usage levels and without effect on product quality), either singly or in combination with other preservatives for synergistic effect. The mechanism for antimicrobial activity, as with other lipophilic organic acids, is thought to be that they inhibit or kill microorganisms by interfering with the permeability of the microbial cell membrane, thus disrupting important metabolic processes. The </w:t>
      </w:r>
      <w:proofErr w:type="spellStart"/>
      <w:r w:rsidRPr="00DA4DA0">
        <w:rPr>
          <w:lang w:val="en-NZ"/>
        </w:rPr>
        <w:t>undissociated</w:t>
      </w:r>
      <w:proofErr w:type="spellEnd"/>
      <w:r w:rsidRPr="00DA4DA0">
        <w:rPr>
          <w:lang w:val="en-NZ"/>
        </w:rPr>
        <w:t xml:space="preserve"> form of the lipophilic acid is required for antimicrobial activity. Thus inhibitory potency, together with other factors, is linked to </w:t>
      </w:r>
      <w:proofErr w:type="spellStart"/>
      <w:r w:rsidRPr="00DA4DA0">
        <w:rPr>
          <w:lang w:val="en-NZ"/>
        </w:rPr>
        <w:t>pKa</w:t>
      </w:r>
      <w:proofErr w:type="spellEnd"/>
      <w:r w:rsidRPr="00DA4DA0">
        <w:rPr>
          <w:lang w:val="en-NZ"/>
        </w:rPr>
        <w:t xml:space="preserve"> value (propionic acid has a </w:t>
      </w:r>
      <w:proofErr w:type="spellStart"/>
      <w:r w:rsidRPr="00DA4DA0">
        <w:rPr>
          <w:lang w:val="en-NZ"/>
        </w:rPr>
        <w:t>pKa</w:t>
      </w:r>
      <w:proofErr w:type="spellEnd"/>
      <w:r w:rsidRPr="00DA4DA0">
        <w:rPr>
          <w:lang w:val="en-NZ"/>
        </w:rPr>
        <w:t xml:space="preserve"> value of 4.87). Compared to other organic acids such as lactic acid (</w:t>
      </w:r>
      <w:proofErr w:type="spellStart"/>
      <w:r w:rsidRPr="00DA4DA0">
        <w:rPr>
          <w:lang w:val="en-NZ"/>
        </w:rPr>
        <w:t>pKa</w:t>
      </w:r>
      <w:proofErr w:type="spellEnd"/>
      <w:r w:rsidRPr="00DA4DA0">
        <w:rPr>
          <w:lang w:val="en-NZ"/>
        </w:rPr>
        <w:t xml:space="preserve"> 3.83), the higher </w:t>
      </w:r>
      <w:proofErr w:type="spellStart"/>
      <w:r w:rsidRPr="00DA4DA0">
        <w:rPr>
          <w:lang w:val="en-NZ"/>
        </w:rPr>
        <w:t>pKa</w:t>
      </w:r>
      <w:proofErr w:type="spellEnd"/>
      <w:r w:rsidRPr="00DA4DA0">
        <w:rPr>
          <w:lang w:val="en-NZ"/>
        </w:rPr>
        <w:t xml:space="preserve"> value of propionic acid requires lower levels to achieve the same antimicrobial potency.</w:t>
      </w:r>
    </w:p>
    <w:p w14:paraId="1380F134" w14:textId="77777777" w:rsidR="00DA4DA0" w:rsidRPr="00DA4DA0" w:rsidRDefault="00DA4DA0" w:rsidP="00DA4DA0">
      <w:pPr>
        <w:rPr>
          <w:lang w:val="en-NZ"/>
        </w:rPr>
      </w:pPr>
    </w:p>
    <w:p w14:paraId="54B22657" w14:textId="0070EBCB" w:rsidR="00DA4DA0" w:rsidRDefault="00DA4DA0" w:rsidP="00DA4DA0">
      <w:r w:rsidRPr="00DA4DA0">
        <w:t>Data presented from two published challenge studies (Glass et al 2013, 2007) by the Applicant and assessed by FSANZ</w:t>
      </w:r>
      <w:r w:rsidR="00045D51">
        <w:t xml:space="preserve"> (see section 2.7)</w:t>
      </w:r>
      <w:r w:rsidR="002A330E">
        <w:t>,</w:t>
      </w:r>
      <w:r w:rsidRPr="00DA4DA0">
        <w:t xml:space="preserve"> demonstrates the efficacy of sodium propionate, at a range of concentrations and temperature regimes, as a preservative to inhibit the growth of </w:t>
      </w:r>
      <w:r w:rsidRPr="00DA4DA0">
        <w:rPr>
          <w:i/>
        </w:rPr>
        <w:t>L.</w:t>
      </w:r>
      <w:r w:rsidR="002A330E">
        <w:rPr>
          <w:i/>
        </w:rPr>
        <w:t> </w:t>
      </w:r>
      <w:r w:rsidRPr="00DA4DA0">
        <w:rPr>
          <w:i/>
        </w:rPr>
        <w:t>monocytogenes</w:t>
      </w:r>
      <w:r w:rsidRPr="00DA4DA0">
        <w:t xml:space="preserve"> in:</w:t>
      </w:r>
    </w:p>
    <w:p w14:paraId="60520BAA" w14:textId="77777777" w:rsidR="00445A1C" w:rsidRPr="00DA4DA0" w:rsidRDefault="00445A1C" w:rsidP="00DA4DA0"/>
    <w:p w14:paraId="5175B843" w14:textId="77777777" w:rsidR="00DA4DA0" w:rsidRPr="00DA4DA0" w:rsidRDefault="00DA4DA0" w:rsidP="00445A1C">
      <w:pPr>
        <w:numPr>
          <w:ilvl w:val="0"/>
          <w:numId w:val="21"/>
        </w:numPr>
        <w:ind w:left="567" w:hanging="567"/>
        <w:contextualSpacing/>
      </w:pPr>
      <w:r w:rsidRPr="00DA4DA0">
        <w:t xml:space="preserve">cured deli-style turkey and ham and uncured turkey </w:t>
      </w:r>
    </w:p>
    <w:p w14:paraId="2C2AC852" w14:textId="77777777" w:rsidR="00DA4DA0" w:rsidRPr="00DA4DA0" w:rsidRDefault="00DA4DA0" w:rsidP="00445A1C">
      <w:pPr>
        <w:numPr>
          <w:ilvl w:val="0"/>
          <w:numId w:val="21"/>
        </w:numPr>
        <w:ind w:left="567" w:hanging="567"/>
        <w:contextualSpacing/>
      </w:pPr>
      <w:r w:rsidRPr="00DA4DA0">
        <w:t>meat preparations where sodium solution was incorporated into the brine solution</w:t>
      </w:r>
    </w:p>
    <w:p w14:paraId="0053AD70" w14:textId="77777777" w:rsidR="00DA4DA0" w:rsidRPr="00DA4DA0" w:rsidRDefault="00DA4DA0" w:rsidP="00445A1C">
      <w:pPr>
        <w:numPr>
          <w:ilvl w:val="0"/>
          <w:numId w:val="21"/>
        </w:numPr>
        <w:ind w:left="567" w:hanging="567"/>
        <w:contextualSpacing/>
      </w:pPr>
      <w:r w:rsidRPr="00DA4DA0">
        <w:t xml:space="preserve">sliced cooked meat by surface inoculated between </w:t>
      </w:r>
    </w:p>
    <w:p w14:paraId="25314548" w14:textId="77777777" w:rsidR="00DA4DA0" w:rsidRPr="00DA4DA0" w:rsidRDefault="00DA4DA0" w:rsidP="00DA4DA0"/>
    <w:p w14:paraId="6E3B9959" w14:textId="1F6EAF44" w:rsidR="00DA4DA0" w:rsidRPr="00DA4DA0" w:rsidRDefault="00DA4DA0" w:rsidP="00DA4DA0">
      <w:r w:rsidRPr="00DA4DA0">
        <w:t xml:space="preserve">FSANZ deems the range of </w:t>
      </w:r>
      <w:r w:rsidR="00A130D3">
        <w:t>meat, poultry and game</w:t>
      </w:r>
      <w:r w:rsidRPr="00DA4DA0">
        <w:t xml:space="preserve"> assessed to be sufficient to demonstrate efficacy in a variety of processed </w:t>
      </w:r>
      <w:r w:rsidR="00A130D3">
        <w:t>meat, poultry and game</w:t>
      </w:r>
      <w:r w:rsidRPr="00DA4DA0">
        <w:t xml:space="preserve"> concordant with the permission being sought i.e. for use in processed </w:t>
      </w:r>
      <w:proofErr w:type="spellStart"/>
      <w:r w:rsidRPr="00DA4DA0">
        <w:t>comminuted</w:t>
      </w:r>
      <w:proofErr w:type="spellEnd"/>
      <w:r w:rsidRPr="00DA4DA0">
        <w:t xml:space="preserve"> meat, poultry and game products and processed meat, poultry and game products in whole cuts or pieces.</w:t>
      </w:r>
    </w:p>
    <w:p w14:paraId="7F76CA6A" w14:textId="47F27181" w:rsidR="00DA4DA0" w:rsidRPr="00DA4DA0" w:rsidRDefault="00DA4DA0" w:rsidP="006E0A1C">
      <w:pPr>
        <w:pStyle w:val="Heading2"/>
      </w:pPr>
      <w:bookmarkStart w:id="12" w:name="_Toc279584859"/>
      <w:bookmarkStart w:id="13" w:name="_Toc454451333"/>
      <w:r w:rsidRPr="00DA4DA0">
        <w:lastRenderedPageBreak/>
        <w:t>2.</w:t>
      </w:r>
      <w:r>
        <w:t>2</w:t>
      </w:r>
      <w:r w:rsidRPr="00DA4DA0">
        <w:tab/>
        <w:t xml:space="preserve">Chemical </w:t>
      </w:r>
      <w:bookmarkEnd w:id="12"/>
      <w:r w:rsidRPr="00DA4DA0">
        <w:t>properties</w:t>
      </w:r>
      <w:bookmarkEnd w:id="13"/>
    </w:p>
    <w:p w14:paraId="0B4031AF" w14:textId="1A0406C8" w:rsidR="00DA4DA0" w:rsidRPr="00DA4DA0" w:rsidRDefault="00DA4DA0" w:rsidP="006E0A1C">
      <w:pPr>
        <w:pStyle w:val="Heading3"/>
      </w:pPr>
      <w:bookmarkStart w:id="14" w:name="_Toc279584860"/>
      <w:bookmarkStart w:id="15" w:name="_Toc454451334"/>
      <w:r>
        <w:t>2.</w:t>
      </w:r>
      <w:r w:rsidRPr="00DA4DA0">
        <w:t>2.1 Chemical names and structure</w:t>
      </w:r>
      <w:bookmarkEnd w:id="14"/>
      <w:r w:rsidRPr="00DA4DA0">
        <w:t>s</w:t>
      </w:r>
      <w:bookmarkEnd w:id="15"/>
    </w:p>
    <w:p w14:paraId="05F4AD6B" w14:textId="6E5A66ED" w:rsidR="00DA4DA0" w:rsidRPr="00DA4DA0" w:rsidRDefault="00DA4DA0" w:rsidP="006E0A1C">
      <w:pPr>
        <w:pStyle w:val="Heading4"/>
        <w:rPr>
          <w:rFonts w:eastAsia="Times New Roman"/>
        </w:rPr>
      </w:pPr>
      <w:r w:rsidRPr="00DA4DA0">
        <w:rPr>
          <w:rFonts w:eastAsia="Times New Roman"/>
        </w:rPr>
        <w:t>2.</w:t>
      </w:r>
      <w:r>
        <w:t>2</w:t>
      </w:r>
      <w:r w:rsidRPr="00DA4DA0">
        <w:rPr>
          <w:rFonts w:eastAsia="Times New Roman"/>
        </w:rPr>
        <w:t>.1</w:t>
      </w:r>
      <w:r>
        <w:t>.1</w:t>
      </w:r>
      <w:r w:rsidRPr="00DA4DA0">
        <w:rPr>
          <w:rFonts w:eastAsia="Times New Roman"/>
        </w:rPr>
        <w:tab/>
      </w:r>
      <w:r w:rsidRPr="00DA4DA0">
        <w:rPr>
          <w:rFonts w:eastAsia="Times New Roman"/>
        </w:rPr>
        <w:tab/>
      </w:r>
      <w:r>
        <w:rPr>
          <w:rFonts w:eastAsia="Times New Roman"/>
        </w:rPr>
        <w:tab/>
      </w:r>
      <w:r w:rsidRPr="00DA4DA0">
        <w:rPr>
          <w:rFonts w:eastAsia="Times New Roman"/>
        </w:rPr>
        <w:t>Propionic acid</w:t>
      </w:r>
    </w:p>
    <w:p w14:paraId="16AD998C" w14:textId="0FD7E1C0" w:rsidR="00DA4DA0" w:rsidRPr="00DA4DA0" w:rsidRDefault="00DA4DA0" w:rsidP="00DA4DA0">
      <w:pPr>
        <w:ind w:left="1701"/>
        <w:rPr>
          <w:rFonts w:eastAsia="Calibri"/>
          <w:color w:val="0070C0"/>
          <w:szCs w:val="22"/>
          <w:lang w:val="en-NZ" w:bidi="ar-SA"/>
        </w:rPr>
      </w:pPr>
      <w:r w:rsidRPr="00DA4DA0">
        <w:t>Common names:</w:t>
      </w:r>
      <w:r w:rsidRPr="00DA4DA0">
        <w:tab/>
      </w:r>
      <w:r w:rsidR="00CD58FD">
        <w:tab/>
      </w:r>
      <w:proofErr w:type="spellStart"/>
      <w:r w:rsidRPr="00DA4DA0">
        <w:t>Propanoic</w:t>
      </w:r>
      <w:proofErr w:type="spellEnd"/>
      <w:r w:rsidRPr="00DA4DA0">
        <w:t xml:space="preserve"> acid; </w:t>
      </w:r>
      <w:proofErr w:type="spellStart"/>
      <w:r w:rsidRPr="00DA4DA0">
        <w:t>Ethylformic</w:t>
      </w:r>
      <w:proofErr w:type="spellEnd"/>
      <w:r w:rsidRPr="00DA4DA0">
        <w:t xml:space="preserve"> acid; </w:t>
      </w:r>
      <w:proofErr w:type="spellStart"/>
      <w:r w:rsidRPr="00DA4DA0">
        <w:t>Methylacetic</w:t>
      </w:r>
      <w:proofErr w:type="spellEnd"/>
      <w:r w:rsidRPr="00DA4DA0">
        <w:t xml:space="preserve"> acid</w:t>
      </w:r>
      <w:r w:rsidRPr="00DA4DA0">
        <w:rPr>
          <w:rFonts w:eastAsia="Calibri"/>
          <w:color w:val="0070C0"/>
          <w:szCs w:val="22"/>
          <w:lang w:val="en-NZ" w:bidi="ar-SA"/>
        </w:rPr>
        <w:t xml:space="preserve"> </w:t>
      </w:r>
    </w:p>
    <w:p w14:paraId="1CE841C4" w14:textId="77777777" w:rsidR="00DA4DA0" w:rsidRPr="00DA4DA0" w:rsidRDefault="00DA4DA0" w:rsidP="00DA4DA0">
      <w:pPr>
        <w:ind w:left="3402" w:firstLine="567"/>
      </w:pPr>
      <w:proofErr w:type="spellStart"/>
      <w:proofErr w:type="gramStart"/>
      <w:r w:rsidRPr="00DA4DA0">
        <w:rPr>
          <w:lang w:val="en-NZ"/>
        </w:rPr>
        <w:t>Carboxyethane</w:t>
      </w:r>
      <w:proofErr w:type="spellEnd"/>
      <w:r w:rsidRPr="00DA4DA0">
        <w:rPr>
          <w:lang w:val="en-NZ"/>
        </w:rPr>
        <w:t xml:space="preserve">; </w:t>
      </w:r>
      <w:proofErr w:type="spellStart"/>
      <w:r w:rsidRPr="00DA4DA0">
        <w:rPr>
          <w:lang w:val="en-NZ"/>
        </w:rPr>
        <w:t>Ethanecarboxylic</w:t>
      </w:r>
      <w:proofErr w:type="spellEnd"/>
      <w:r w:rsidRPr="00DA4DA0">
        <w:rPr>
          <w:lang w:val="en-NZ"/>
        </w:rPr>
        <w:t xml:space="preserve"> acid.</w:t>
      </w:r>
      <w:proofErr w:type="gramEnd"/>
    </w:p>
    <w:p w14:paraId="152FAEA2" w14:textId="77777777" w:rsidR="00DA4DA0" w:rsidRPr="00DA4DA0" w:rsidRDefault="00DA4DA0" w:rsidP="00DA4DA0">
      <w:pPr>
        <w:ind w:left="1134" w:firstLine="567"/>
      </w:pPr>
      <w:r w:rsidRPr="00DA4DA0">
        <w:t>INS No.:</w:t>
      </w:r>
      <w:r w:rsidRPr="00DA4DA0">
        <w:tab/>
      </w:r>
      <w:r w:rsidRPr="00DA4DA0">
        <w:tab/>
      </w:r>
      <w:r w:rsidRPr="00DA4DA0">
        <w:tab/>
        <w:t>280</w:t>
      </w:r>
    </w:p>
    <w:p w14:paraId="614B39B1" w14:textId="77777777" w:rsidR="00DA4DA0" w:rsidRPr="00DA4DA0" w:rsidRDefault="00DA4DA0" w:rsidP="00DA4DA0">
      <w:pPr>
        <w:ind w:left="1134" w:firstLine="567"/>
      </w:pPr>
      <w:r w:rsidRPr="00DA4DA0">
        <w:t>Chemical name:</w:t>
      </w:r>
      <w:r w:rsidRPr="00DA4DA0">
        <w:tab/>
      </w:r>
      <w:r w:rsidRPr="00DA4DA0">
        <w:tab/>
        <w:t>Propionic acid</w:t>
      </w:r>
    </w:p>
    <w:p w14:paraId="1DF12806" w14:textId="77777777" w:rsidR="00DA4DA0" w:rsidRPr="00DA4DA0" w:rsidRDefault="00DA4DA0" w:rsidP="00DA4DA0">
      <w:pPr>
        <w:ind w:left="1134" w:firstLine="567"/>
      </w:pPr>
      <w:r w:rsidRPr="00DA4DA0">
        <w:t>C.A.S. number:</w:t>
      </w:r>
      <w:r w:rsidRPr="00DA4DA0">
        <w:tab/>
      </w:r>
      <w:r w:rsidRPr="00DA4DA0">
        <w:tab/>
        <w:t>79-09-4</w:t>
      </w:r>
    </w:p>
    <w:p w14:paraId="47993729" w14:textId="77777777" w:rsidR="00DA4DA0" w:rsidRPr="00DA4DA0" w:rsidRDefault="00DA4DA0" w:rsidP="00DA4DA0">
      <w:pPr>
        <w:ind w:left="1134" w:firstLine="567"/>
      </w:pPr>
      <w:r w:rsidRPr="00DA4DA0">
        <w:t>Chemical formula:</w:t>
      </w:r>
      <w:r w:rsidRPr="00DA4DA0">
        <w:tab/>
        <w:t>C3H6O2</w:t>
      </w:r>
    </w:p>
    <w:p w14:paraId="5BE5F696" w14:textId="77777777" w:rsidR="00DA4DA0" w:rsidRPr="00DA4DA0" w:rsidRDefault="00DA4DA0" w:rsidP="00DA4DA0">
      <w:pPr>
        <w:ind w:left="1134" w:firstLine="567"/>
      </w:pPr>
      <w:r w:rsidRPr="00DA4DA0">
        <w:t>Molecular weight:</w:t>
      </w:r>
      <w:r w:rsidRPr="00DA4DA0">
        <w:tab/>
        <w:t>74.08</w:t>
      </w:r>
    </w:p>
    <w:p w14:paraId="2031B867" w14:textId="77777777" w:rsidR="00DA4DA0" w:rsidRPr="00DA4DA0" w:rsidRDefault="00DA4DA0" w:rsidP="00DA4DA0">
      <w:pPr>
        <w:ind w:left="1134" w:firstLine="567"/>
        <w:rPr>
          <w:lang w:val="en-NZ"/>
        </w:rPr>
      </w:pPr>
      <w:r w:rsidRPr="00DA4DA0">
        <w:rPr>
          <w:lang w:val="en-NZ"/>
        </w:rPr>
        <w:t xml:space="preserve">Propionic acid is miscible with water and ethanol. </w:t>
      </w:r>
    </w:p>
    <w:p w14:paraId="2E7C0E14" w14:textId="77777777" w:rsidR="00DA4DA0" w:rsidRPr="00DA4DA0" w:rsidRDefault="00DA4DA0" w:rsidP="00DA4DA0">
      <w:pPr>
        <w:ind w:left="1134" w:firstLine="567"/>
      </w:pPr>
    </w:p>
    <w:p w14:paraId="6834D3C1" w14:textId="77777777" w:rsidR="00DA4DA0" w:rsidRPr="00DA4DA0" w:rsidRDefault="00DA4DA0" w:rsidP="00DA4DA0">
      <w:pPr>
        <w:ind w:left="1134" w:firstLine="567"/>
      </w:pPr>
      <w:r w:rsidRPr="00DA4DA0">
        <w:t>Structural formula:</w:t>
      </w:r>
    </w:p>
    <w:p w14:paraId="4DAC7FAF" w14:textId="77777777" w:rsidR="00DA4DA0" w:rsidRPr="00DA4DA0" w:rsidRDefault="00DA4DA0" w:rsidP="00DA4DA0">
      <w:pPr>
        <w:jc w:val="center"/>
      </w:pPr>
      <w:r w:rsidRPr="00DA4DA0">
        <w:rPr>
          <w:noProof/>
          <w:lang w:eastAsia="en-GB" w:bidi="ar-SA"/>
        </w:rPr>
        <w:drawing>
          <wp:inline distT="0" distB="0" distL="0" distR="0" wp14:anchorId="50B3D3A7" wp14:editId="46B13788">
            <wp:extent cx="2043485" cy="1257530"/>
            <wp:effectExtent l="0" t="0" r="0" b="0"/>
            <wp:docPr id="4" name="Picture 4" descr="Propionic acid 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051582" cy="1262513"/>
                    </a:xfrm>
                    <a:prstGeom prst="rect">
                      <a:avLst/>
                    </a:prstGeom>
                  </pic:spPr>
                </pic:pic>
              </a:graphicData>
            </a:graphic>
          </wp:inline>
        </w:drawing>
      </w:r>
    </w:p>
    <w:p w14:paraId="6DAB3DFB" w14:textId="77777777" w:rsidR="00DA4DA0" w:rsidRPr="00DA4DA0" w:rsidRDefault="00DA4DA0" w:rsidP="00DA4DA0"/>
    <w:p w14:paraId="5D75A51E" w14:textId="77777777" w:rsidR="00DA4DA0" w:rsidRPr="00DA4DA0" w:rsidRDefault="00DA4DA0" w:rsidP="00DA4DA0"/>
    <w:p w14:paraId="054C4F23" w14:textId="7CC44F37" w:rsidR="00DA4DA0" w:rsidRPr="00624DF5" w:rsidRDefault="00DA4DA0" w:rsidP="006E0A1C">
      <w:pPr>
        <w:pStyle w:val="Heading4"/>
        <w:rPr>
          <w:rFonts w:eastAsia="Times New Roman"/>
        </w:rPr>
      </w:pPr>
      <w:r w:rsidRPr="00624DF5">
        <w:rPr>
          <w:rFonts w:eastAsia="Times New Roman"/>
        </w:rPr>
        <w:t>2.</w:t>
      </w:r>
      <w:r w:rsidRPr="00DA4DA0">
        <w:rPr>
          <w:rFonts w:eastAsia="Times New Roman"/>
        </w:rPr>
        <w:t>2.1</w:t>
      </w:r>
      <w:r>
        <w:rPr>
          <w:rFonts w:eastAsia="Times New Roman"/>
        </w:rPr>
        <w:t>.2</w:t>
      </w:r>
      <w:r w:rsidRPr="00624DF5">
        <w:rPr>
          <w:rFonts w:eastAsia="Times New Roman"/>
        </w:rPr>
        <w:tab/>
      </w:r>
      <w:r w:rsidRPr="00624DF5">
        <w:rPr>
          <w:rFonts w:eastAsia="Times New Roman"/>
        </w:rPr>
        <w:tab/>
      </w:r>
      <w:r w:rsidR="00AC62C4">
        <w:rPr>
          <w:rFonts w:eastAsia="Times New Roman"/>
        </w:rPr>
        <w:tab/>
      </w:r>
      <w:r w:rsidRPr="00624DF5">
        <w:rPr>
          <w:rFonts w:eastAsia="Times New Roman"/>
        </w:rPr>
        <w:t>Sodium propionate</w:t>
      </w:r>
    </w:p>
    <w:p w14:paraId="5B84A005" w14:textId="77777777" w:rsidR="00DA4DA0" w:rsidRPr="00DA4DA0" w:rsidRDefault="00DA4DA0" w:rsidP="00DA4DA0">
      <w:pPr>
        <w:ind w:left="3969" w:hanging="2268"/>
        <w:rPr>
          <w:lang w:val="en-NZ"/>
        </w:rPr>
      </w:pPr>
      <w:r w:rsidRPr="00DA4DA0">
        <w:t>Common names:</w:t>
      </w:r>
      <w:r w:rsidRPr="00DA4DA0">
        <w:tab/>
      </w:r>
      <w:r w:rsidRPr="00DA4DA0">
        <w:tab/>
        <w:t xml:space="preserve">Sodium </w:t>
      </w:r>
      <w:proofErr w:type="spellStart"/>
      <w:r w:rsidRPr="00DA4DA0">
        <w:t>propanoate</w:t>
      </w:r>
      <w:proofErr w:type="spellEnd"/>
      <w:r w:rsidRPr="00DA4DA0">
        <w:t xml:space="preserve">; Sodium </w:t>
      </w:r>
      <w:proofErr w:type="spellStart"/>
      <w:r w:rsidRPr="00DA4DA0">
        <w:t>dipropionate</w:t>
      </w:r>
      <w:proofErr w:type="spellEnd"/>
      <w:r w:rsidRPr="00DA4DA0">
        <w:rPr>
          <w:lang w:val="en-NZ"/>
        </w:rPr>
        <w:t xml:space="preserve">; Sodium </w:t>
      </w:r>
      <w:proofErr w:type="spellStart"/>
      <w:r w:rsidRPr="00DA4DA0">
        <w:rPr>
          <w:lang w:val="en-NZ"/>
        </w:rPr>
        <w:t>ethanecarboxylate</w:t>
      </w:r>
      <w:proofErr w:type="spellEnd"/>
      <w:r w:rsidRPr="00DA4DA0">
        <w:rPr>
          <w:lang w:val="en-NZ"/>
        </w:rPr>
        <w:t xml:space="preserve">; </w:t>
      </w:r>
      <w:proofErr w:type="spellStart"/>
      <w:r w:rsidRPr="00DA4DA0">
        <w:rPr>
          <w:lang w:val="en-NZ"/>
        </w:rPr>
        <w:t>Napropion</w:t>
      </w:r>
      <w:proofErr w:type="spellEnd"/>
      <w:r w:rsidRPr="00DA4DA0">
        <w:t xml:space="preserve">; </w:t>
      </w:r>
      <w:r w:rsidRPr="00DA4DA0">
        <w:rPr>
          <w:lang w:val="en-NZ"/>
        </w:rPr>
        <w:t xml:space="preserve">Propionic acid, sodium salt; </w:t>
      </w:r>
      <w:proofErr w:type="spellStart"/>
      <w:r w:rsidRPr="00DA4DA0">
        <w:rPr>
          <w:lang w:val="en-NZ"/>
        </w:rPr>
        <w:t>Propanoic</w:t>
      </w:r>
      <w:proofErr w:type="spellEnd"/>
      <w:r w:rsidRPr="00DA4DA0">
        <w:rPr>
          <w:lang w:val="en-NZ"/>
        </w:rPr>
        <w:t xml:space="preserve"> acid, sodium salt; </w:t>
      </w:r>
      <w:proofErr w:type="spellStart"/>
      <w:r w:rsidRPr="00DA4DA0">
        <w:rPr>
          <w:bCs/>
        </w:rPr>
        <w:t>Propanoic</w:t>
      </w:r>
      <w:proofErr w:type="spellEnd"/>
      <w:r w:rsidRPr="00DA4DA0">
        <w:rPr>
          <w:bCs/>
        </w:rPr>
        <w:t xml:space="preserve"> acid, sodium salt (1:1)</w:t>
      </w:r>
      <w:r w:rsidRPr="00DA4DA0">
        <w:rPr>
          <w:lang w:val="en-NZ"/>
        </w:rPr>
        <w:t>.</w:t>
      </w:r>
    </w:p>
    <w:p w14:paraId="09FBC366" w14:textId="77777777" w:rsidR="00DA4DA0" w:rsidRPr="00DA4DA0" w:rsidRDefault="00DA4DA0" w:rsidP="00DA4DA0">
      <w:pPr>
        <w:tabs>
          <w:tab w:val="left" w:pos="3969"/>
        </w:tabs>
        <w:ind w:left="1134" w:firstLine="567"/>
      </w:pPr>
      <w:r w:rsidRPr="00DA4DA0">
        <w:t>INS No.:</w:t>
      </w:r>
      <w:r w:rsidRPr="00DA4DA0">
        <w:tab/>
      </w:r>
      <w:r w:rsidRPr="00DA4DA0">
        <w:tab/>
        <w:t>281</w:t>
      </w:r>
    </w:p>
    <w:p w14:paraId="1A83E2E5" w14:textId="77777777" w:rsidR="00DA4DA0" w:rsidRPr="00DA4DA0" w:rsidRDefault="00DA4DA0" w:rsidP="00DA4DA0">
      <w:pPr>
        <w:ind w:left="1134" w:firstLine="567"/>
      </w:pPr>
      <w:r w:rsidRPr="00DA4DA0">
        <w:t>Chemical name:</w:t>
      </w:r>
      <w:r w:rsidRPr="00DA4DA0">
        <w:tab/>
      </w:r>
      <w:r w:rsidRPr="00DA4DA0">
        <w:tab/>
        <w:t>Sodium propionate</w:t>
      </w:r>
    </w:p>
    <w:p w14:paraId="50A41F91" w14:textId="77777777" w:rsidR="00DA4DA0" w:rsidRPr="00DA4DA0" w:rsidRDefault="00DA4DA0" w:rsidP="00DA4DA0">
      <w:pPr>
        <w:ind w:left="1134" w:firstLine="567"/>
      </w:pPr>
      <w:r w:rsidRPr="00DA4DA0">
        <w:t>C.A.S. number:</w:t>
      </w:r>
      <w:r w:rsidRPr="00DA4DA0">
        <w:tab/>
      </w:r>
      <w:r w:rsidRPr="00DA4DA0">
        <w:tab/>
        <w:t>137-40-6</w:t>
      </w:r>
    </w:p>
    <w:p w14:paraId="435BD63E" w14:textId="77777777" w:rsidR="00DA4DA0" w:rsidRPr="00DA4DA0" w:rsidRDefault="00DA4DA0" w:rsidP="00DA4DA0">
      <w:pPr>
        <w:ind w:left="1134" w:firstLine="567"/>
      </w:pPr>
      <w:r w:rsidRPr="00DA4DA0">
        <w:t>Chemical formula:</w:t>
      </w:r>
      <w:r w:rsidRPr="00DA4DA0">
        <w:tab/>
        <w:t>C3H5NaO2</w:t>
      </w:r>
    </w:p>
    <w:p w14:paraId="3536D6D3" w14:textId="77777777" w:rsidR="00DA4DA0" w:rsidRPr="00DA4DA0" w:rsidRDefault="00DA4DA0" w:rsidP="00DA4DA0">
      <w:pPr>
        <w:ind w:left="1134" w:firstLine="567"/>
      </w:pPr>
      <w:r w:rsidRPr="00DA4DA0">
        <w:t>Molecular weight:</w:t>
      </w:r>
      <w:r w:rsidRPr="00DA4DA0">
        <w:tab/>
        <w:t>96.06</w:t>
      </w:r>
    </w:p>
    <w:p w14:paraId="13DC2F60" w14:textId="77777777" w:rsidR="00DA4DA0" w:rsidRPr="00DA4DA0" w:rsidRDefault="00DA4DA0" w:rsidP="00DA4DA0">
      <w:pPr>
        <w:ind w:left="1134" w:firstLine="567"/>
        <w:rPr>
          <w:lang w:val="en-NZ"/>
        </w:rPr>
      </w:pPr>
      <w:r w:rsidRPr="00DA4DA0">
        <w:rPr>
          <w:lang w:val="en-NZ"/>
        </w:rPr>
        <w:t xml:space="preserve">Sodium propionate is freely soluble in water and ethanol </w:t>
      </w:r>
    </w:p>
    <w:p w14:paraId="01123DBC" w14:textId="77777777" w:rsidR="00DA4DA0" w:rsidRPr="00DA4DA0" w:rsidRDefault="00DA4DA0" w:rsidP="00DA4DA0">
      <w:pPr>
        <w:ind w:left="1134" w:firstLine="567"/>
      </w:pPr>
    </w:p>
    <w:p w14:paraId="33D71031" w14:textId="77777777" w:rsidR="00DA4DA0" w:rsidRPr="00DA4DA0" w:rsidRDefault="00DA4DA0" w:rsidP="00DA4DA0">
      <w:pPr>
        <w:ind w:left="1134" w:firstLine="567"/>
      </w:pPr>
      <w:r w:rsidRPr="00DA4DA0">
        <w:t>Structural formula:</w:t>
      </w:r>
    </w:p>
    <w:p w14:paraId="5C94F8CC" w14:textId="77777777" w:rsidR="00DA4DA0" w:rsidRPr="00DA4DA0" w:rsidRDefault="00DA4DA0" w:rsidP="00DA4DA0"/>
    <w:p w14:paraId="5A199D03" w14:textId="77777777" w:rsidR="00DA4DA0" w:rsidRPr="00DA4DA0" w:rsidRDefault="00DA4DA0" w:rsidP="00DA4DA0">
      <w:pPr>
        <w:jc w:val="center"/>
      </w:pPr>
      <w:r w:rsidRPr="00DA4DA0">
        <w:rPr>
          <w:noProof/>
          <w:lang w:eastAsia="en-GB" w:bidi="ar-SA"/>
        </w:rPr>
        <w:drawing>
          <wp:inline distT="0" distB="0" distL="0" distR="0" wp14:anchorId="25E92314" wp14:editId="575A427F">
            <wp:extent cx="2345635" cy="1297157"/>
            <wp:effectExtent l="0" t="0" r="0" b="0"/>
            <wp:docPr id="5" name="Picture 5" descr="Sodium propionate 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351010" cy="1300129"/>
                    </a:xfrm>
                    <a:prstGeom prst="rect">
                      <a:avLst/>
                    </a:prstGeom>
                  </pic:spPr>
                </pic:pic>
              </a:graphicData>
            </a:graphic>
          </wp:inline>
        </w:drawing>
      </w:r>
    </w:p>
    <w:p w14:paraId="23A957BB" w14:textId="77777777" w:rsidR="00DA4DA0" w:rsidRPr="00DA4DA0" w:rsidRDefault="00DA4DA0" w:rsidP="00DA4DA0">
      <w:pPr>
        <w:jc w:val="center"/>
      </w:pPr>
    </w:p>
    <w:p w14:paraId="32975A08" w14:textId="77777777" w:rsidR="00DA4DA0" w:rsidRPr="00DA4DA0" w:rsidRDefault="00DA4DA0" w:rsidP="00DA4DA0">
      <w:pPr>
        <w:jc w:val="center"/>
      </w:pPr>
    </w:p>
    <w:p w14:paraId="7365A81D" w14:textId="77777777" w:rsidR="00DA4DA0" w:rsidRPr="00DA4DA0" w:rsidRDefault="00DA4DA0" w:rsidP="00DA4DA0">
      <w:pPr>
        <w:jc w:val="center"/>
      </w:pPr>
    </w:p>
    <w:p w14:paraId="1DEF5E1E" w14:textId="77777777" w:rsidR="00DA4DA0" w:rsidRPr="00DA4DA0" w:rsidRDefault="00DA4DA0" w:rsidP="00DA4DA0">
      <w:pPr>
        <w:jc w:val="center"/>
      </w:pPr>
    </w:p>
    <w:p w14:paraId="02FA68DD" w14:textId="77777777" w:rsidR="00DA4DA0" w:rsidRPr="00DA4DA0" w:rsidRDefault="00DA4DA0" w:rsidP="00DA4DA0"/>
    <w:p w14:paraId="5B959018" w14:textId="4CB2A03D" w:rsidR="00DA4DA0" w:rsidRPr="00624DF5" w:rsidRDefault="00DA4DA0" w:rsidP="006E0A1C">
      <w:pPr>
        <w:pStyle w:val="Heading4"/>
        <w:rPr>
          <w:rFonts w:eastAsia="Times New Roman"/>
        </w:rPr>
      </w:pPr>
      <w:r w:rsidRPr="00624DF5">
        <w:rPr>
          <w:rFonts w:eastAsia="Times New Roman"/>
        </w:rPr>
        <w:lastRenderedPageBreak/>
        <w:t>2.</w:t>
      </w:r>
      <w:r>
        <w:rPr>
          <w:rFonts w:eastAsia="Times New Roman"/>
        </w:rPr>
        <w:t>2.</w:t>
      </w:r>
      <w:r w:rsidRPr="00624DF5">
        <w:rPr>
          <w:rFonts w:eastAsia="Times New Roman"/>
        </w:rPr>
        <w:t>1.3</w:t>
      </w:r>
      <w:r w:rsidRPr="00624DF5">
        <w:rPr>
          <w:rFonts w:eastAsia="Times New Roman"/>
        </w:rPr>
        <w:tab/>
      </w:r>
      <w:r w:rsidRPr="00624DF5">
        <w:rPr>
          <w:rFonts w:eastAsia="Times New Roman"/>
        </w:rPr>
        <w:tab/>
      </w:r>
      <w:r w:rsidRPr="00624DF5">
        <w:rPr>
          <w:rFonts w:eastAsia="Times New Roman"/>
        </w:rPr>
        <w:tab/>
        <w:t>Calcium propionate</w:t>
      </w:r>
    </w:p>
    <w:p w14:paraId="13C5D033" w14:textId="77777777" w:rsidR="00DA4DA0" w:rsidRPr="00DA4DA0" w:rsidRDefault="00DA4DA0" w:rsidP="00DA4DA0">
      <w:pPr>
        <w:ind w:left="3969" w:hanging="2268"/>
        <w:rPr>
          <w:lang w:val="en-NZ"/>
        </w:rPr>
      </w:pPr>
      <w:r w:rsidRPr="00DA4DA0">
        <w:t>Common names:</w:t>
      </w:r>
      <w:r w:rsidRPr="00DA4DA0">
        <w:tab/>
      </w:r>
      <w:r w:rsidRPr="00DA4DA0">
        <w:tab/>
        <w:t xml:space="preserve">Calcium </w:t>
      </w:r>
      <w:proofErr w:type="spellStart"/>
      <w:r w:rsidRPr="00DA4DA0">
        <w:t>propanoate</w:t>
      </w:r>
      <w:proofErr w:type="spellEnd"/>
      <w:r w:rsidRPr="00DA4DA0">
        <w:t xml:space="preserve">; </w:t>
      </w:r>
      <w:proofErr w:type="spellStart"/>
      <w:r w:rsidRPr="00DA4DA0">
        <w:rPr>
          <w:lang w:val="en-NZ"/>
        </w:rPr>
        <w:t>Mycoban</w:t>
      </w:r>
      <w:proofErr w:type="spellEnd"/>
      <w:r w:rsidRPr="00DA4DA0">
        <w:rPr>
          <w:lang w:val="en-NZ"/>
        </w:rPr>
        <w:t xml:space="preserve">; Calcium </w:t>
      </w:r>
      <w:proofErr w:type="spellStart"/>
      <w:r w:rsidRPr="00DA4DA0">
        <w:rPr>
          <w:lang w:val="en-NZ"/>
        </w:rPr>
        <w:t>dipropionate</w:t>
      </w:r>
      <w:proofErr w:type="spellEnd"/>
      <w:r w:rsidRPr="00DA4DA0">
        <w:rPr>
          <w:lang w:val="en-NZ"/>
        </w:rPr>
        <w:t xml:space="preserve">; </w:t>
      </w:r>
      <w:proofErr w:type="spellStart"/>
      <w:r w:rsidRPr="00DA4DA0">
        <w:rPr>
          <w:lang w:val="en-NZ"/>
        </w:rPr>
        <w:t>Bioban</w:t>
      </w:r>
      <w:proofErr w:type="spellEnd"/>
      <w:r w:rsidRPr="00DA4DA0">
        <w:rPr>
          <w:lang w:val="en-NZ"/>
        </w:rPr>
        <w:t xml:space="preserve">-C; Propionic acid, calcium salt; </w:t>
      </w:r>
      <w:proofErr w:type="spellStart"/>
      <w:r w:rsidRPr="00DA4DA0">
        <w:rPr>
          <w:lang w:val="en-NZ"/>
        </w:rPr>
        <w:t>Propanoic</w:t>
      </w:r>
      <w:proofErr w:type="spellEnd"/>
      <w:r w:rsidRPr="00DA4DA0">
        <w:rPr>
          <w:lang w:val="en-NZ"/>
        </w:rPr>
        <w:t xml:space="preserve"> acid, calcium salt; </w:t>
      </w:r>
      <w:proofErr w:type="spellStart"/>
      <w:r w:rsidRPr="00DA4DA0">
        <w:rPr>
          <w:bCs/>
        </w:rPr>
        <w:t>Propanoic</w:t>
      </w:r>
      <w:proofErr w:type="spellEnd"/>
      <w:r w:rsidRPr="00DA4DA0">
        <w:rPr>
          <w:bCs/>
        </w:rPr>
        <w:t xml:space="preserve"> acid, calcium salt (2:1)</w:t>
      </w:r>
      <w:r w:rsidRPr="00DA4DA0">
        <w:rPr>
          <w:lang w:val="en-NZ"/>
        </w:rPr>
        <w:t>.</w:t>
      </w:r>
    </w:p>
    <w:p w14:paraId="26D0F917" w14:textId="77777777" w:rsidR="00DA4DA0" w:rsidRPr="00DA4DA0" w:rsidRDefault="00DA4DA0" w:rsidP="00DA4DA0">
      <w:pPr>
        <w:ind w:left="1134" w:firstLine="567"/>
      </w:pPr>
      <w:r w:rsidRPr="00DA4DA0">
        <w:t>INS No.:</w:t>
      </w:r>
      <w:r w:rsidRPr="00DA4DA0">
        <w:tab/>
      </w:r>
      <w:r w:rsidRPr="00DA4DA0">
        <w:tab/>
      </w:r>
      <w:r w:rsidRPr="00DA4DA0">
        <w:tab/>
        <w:t>282</w:t>
      </w:r>
    </w:p>
    <w:p w14:paraId="39F0A28D" w14:textId="77777777" w:rsidR="00DA4DA0" w:rsidRPr="00DA4DA0" w:rsidRDefault="00DA4DA0" w:rsidP="00DA4DA0">
      <w:pPr>
        <w:ind w:left="1134" w:firstLine="567"/>
      </w:pPr>
      <w:r w:rsidRPr="00DA4DA0">
        <w:t>Chemical name:</w:t>
      </w:r>
      <w:r w:rsidRPr="00DA4DA0">
        <w:tab/>
      </w:r>
      <w:r w:rsidRPr="00DA4DA0">
        <w:tab/>
        <w:t>Calcium propionate</w:t>
      </w:r>
    </w:p>
    <w:p w14:paraId="5F98C1BB" w14:textId="77777777" w:rsidR="00DA4DA0" w:rsidRPr="00DA4DA0" w:rsidRDefault="00DA4DA0" w:rsidP="00DA4DA0">
      <w:pPr>
        <w:ind w:left="1134" w:firstLine="567"/>
      </w:pPr>
      <w:r w:rsidRPr="00DA4DA0">
        <w:t>C.A.S. number:</w:t>
      </w:r>
      <w:r w:rsidRPr="00DA4DA0">
        <w:tab/>
      </w:r>
      <w:r w:rsidRPr="00DA4DA0">
        <w:tab/>
        <w:t>4075-81-4</w:t>
      </w:r>
    </w:p>
    <w:p w14:paraId="024CF9DB" w14:textId="77777777" w:rsidR="00DA4DA0" w:rsidRPr="00DA4DA0" w:rsidRDefault="00DA4DA0" w:rsidP="00DA4DA0">
      <w:pPr>
        <w:ind w:left="1134" w:firstLine="567"/>
      </w:pPr>
      <w:r w:rsidRPr="00DA4DA0">
        <w:t>Chemical formula:</w:t>
      </w:r>
      <w:r w:rsidRPr="00DA4DA0">
        <w:tab/>
        <w:t>C6H10CaO4</w:t>
      </w:r>
    </w:p>
    <w:p w14:paraId="5E19EEA5" w14:textId="77777777" w:rsidR="00DA4DA0" w:rsidRPr="00DA4DA0" w:rsidRDefault="00DA4DA0" w:rsidP="00DA4DA0">
      <w:pPr>
        <w:ind w:left="1134" w:firstLine="567"/>
      </w:pPr>
      <w:r w:rsidRPr="00DA4DA0">
        <w:t>Molecular weight:</w:t>
      </w:r>
      <w:r w:rsidRPr="00DA4DA0">
        <w:tab/>
        <w:t>186.22</w:t>
      </w:r>
    </w:p>
    <w:p w14:paraId="23E5109A" w14:textId="77777777" w:rsidR="00DA4DA0" w:rsidRPr="00DA4DA0" w:rsidRDefault="00DA4DA0" w:rsidP="00DA4DA0">
      <w:pPr>
        <w:rPr>
          <w:lang w:val="en-NZ"/>
        </w:rPr>
      </w:pPr>
      <w:r w:rsidRPr="00DA4DA0">
        <w:tab/>
      </w:r>
      <w:r w:rsidRPr="00DA4DA0">
        <w:tab/>
      </w:r>
      <w:r w:rsidRPr="00DA4DA0">
        <w:tab/>
      </w:r>
      <w:r w:rsidRPr="00DA4DA0">
        <w:rPr>
          <w:lang w:val="en-NZ"/>
        </w:rPr>
        <w:t>Calcium propionate is freely soluble in water and ethanol.</w:t>
      </w:r>
    </w:p>
    <w:p w14:paraId="25BABA90" w14:textId="77777777" w:rsidR="00DA4DA0" w:rsidRPr="00DA4DA0" w:rsidRDefault="00DA4DA0" w:rsidP="00DA4DA0">
      <w:pPr>
        <w:ind w:left="1134" w:firstLine="567"/>
      </w:pPr>
    </w:p>
    <w:p w14:paraId="0793FF42" w14:textId="77777777" w:rsidR="00DA4DA0" w:rsidRPr="00DA4DA0" w:rsidRDefault="00DA4DA0" w:rsidP="00DA4DA0">
      <w:pPr>
        <w:ind w:left="1134" w:firstLine="567"/>
      </w:pPr>
      <w:r w:rsidRPr="00DA4DA0">
        <w:t>Structural formula:</w:t>
      </w:r>
    </w:p>
    <w:p w14:paraId="53B42B64" w14:textId="77777777" w:rsidR="00DA4DA0" w:rsidRPr="00DA4DA0" w:rsidRDefault="00DA4DA0" w:rsidP="00DA4DA0"/>
    <w:p w14:paraId="41F17FCF" w14:textId="77777777" w:rsidR="00DA4DA0" w:rsidRPr="00DA4DA0" w:rsidRDefault="00DA4DA0" w:rsidP="00DA4DA0">
      <w:pPr>
        <w:jc w:val="center"/>
      </w:pPr>
      <w:r w:rsidRPr="00DA4DA0">
        <w:rPr>
          <w:noProof/>
          <w:lang w:eastAsia="en-GB" w:bidi="ar-SA"/>
        </w:rPr>
        <w:drawing>
          <wp:inline distT="0" distB="0" distL="0" distR="0" wp14:anchorId="4828E1C9" wp14:editId="21C445B0">
            <wp:extent cx="2846567" cy="1417497"/>
            <wp:effectExtent l="0" t="0" r="0" b="0"/>
            <wp:docPr id="6" name="Picture 6" descr="Calcium propionate 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851701" cy="1420053"/>
                    </a:xfrm>
                    <a:prstGeom prst="rect">
                      <a:avLst/>
                    </a:prstGeom>
                  </pic:spPr>
                </pic:pic>
              </a:graphicData>
            </a:graphic>
          </wp:inline>
        </w:drawing>
      </w:r>
    </w:p>
    <w:p w14:paraId="68C0F1ED" w14:textId="77777777" w:rsidR="00DA4DA0" w:rsidRPr="00DA4DA0" w:rsidRDefault="00DA4DA0" w:rsidP="00DA4DA0">
      <w:pPr>
        <w:jc w:val="center"/>
      </w:pPr>
    </w:p>
    <w:p w14:paraId="4D0E071C" w14:textId="7D9F966A" w:rsidR="00DA4DA0" w:rsidRPr="00624DF5" w:rsidRDefault="00DA4DA0" w:rsidP="006E0A1C">
      <w:pPr>
        <w:pStyle w:val="Heading4"/>
        <w:rPr>
          <w:rFonts w:eastAsia="Times New Roman"/>
        </w:rPr>
      </w:pPr>
      <w:r w:rsidRPr="00624DF5">
        <w:rPr>
          <w:rFonts w:eastAsia="Times New Roman"/>
        </w:rPr>
        <w:t>2.</w:t>
      </w:r>
      <w:r>
        <w:rPr>
          <w:rFonts w:eastAsia="Times New Roman"/>
        </w:rPr>
        <w:t>2.</w:t>
      </w:r>
      <w:r w:rsidRPr="00624DF5">
        <w:rPr>
          <w:rFonts w:eastAsia="Times New Roman"/>
        </w:rPr>
        <w:t>1.4</w:t>
      </w:r>
      <w:r w:rsidRPr="00624DF5">
        <w:rPr>
          <w:rFonts w:eastAsia="Times New Roman"/>
        </w:rPr>
        <w:tab/>
      </w:r>
      <w:r w:rsidRPr="00624DF5">
        <w:rPr>
          <w:rFonts w:eastAsia="Times New Roman"/>
        </w:rPr>
        <w:tab/>
      </w:r>
      <w:r>
        <w:rPr>
          <w:rFonts w:eastAsia="Times New Roman"/>
        </w:rPr>
        <w:tab/>
      </w:r>
      <w:r w:rsidRPr="00624DF5">
        <w:rPr>
          <w:rFonts w:eastAsia="Times New Roman"/>
        </w:rPr>
        <w:t>Potassium propionate</w:t>
      </w:r>
    </w:p>
    <w:p w14:paraId="2E339A3C" w14:textId="77777777" w:rsidR="00DA4DA0" w:rsidRPr="00DA4DA0" w:rsidRDefault="00DA4DA0" w:rsidP="00DA4DA0">
      <w:pPr>
        <w:ind w:left="3969" w:hanging="2274"/>
      </w:pPr>
      <w:r w:rsidRPr="00DA4DA0">
        <w:t>Common names:</w:t>
      </w:r>
      <w:r w:rsidRPr="00DA4DA0">
        <w:tab/>
      </w:r>
      <w:r w:rsidRPr="00DA4DA0">
        <w:tab/>
        <w:t xml:space="preserve">Potassium </w:t>
      </w:r>
      <w:proofErr w:type="spellStart"/>
      <w:r w:rsidRPr="00DA4DA0">
        <w:t>propanoate</w:t>
      </w:r>
      <w:proofErr w:type="spellEnd"/>
      <w:r w:rsidRPr="00DA4DA0">
        <w:t xml:space="preserve">; </w:t>
      </w:r>
      <w:r w:rsidRPr="00DA4DA0">
        <w:rPr>
          <w:bCs/>
          <w:lang w:val="en-NZ"/>
        </w:rPr>
        <w:t>Potassium propionate;</w:t>
      </w:r>
      <w:r w:rsidRPr="00DA4DA0">
        <w:rPr>
          <w:lang w:val="en-NZ"/>
        </w:rPr>
        <w:t xml:space="preserve"> </w:t>
      </w:r>
      <w:r w:rsidRPr="00DA4DA0">
        <w:rPr>
          <w:bCs/>
          <w:lang w:val="en-NZ"/>
        </w:rPr>
        <w:t>Propionic acid, potassium salt;</w:t>
      </w:r>
      <w:r w:rsidRPr="00DA4DA0">
        <w:rPr>
          <w:lang w:val="en-NZ"/>
        </w:rPr>
        <w:t xml:space="preserve"> </w:t>
      </w:r>
      <w:proofErr w:type="spellStart"/>
      <w:r w:rsidRPr="00DA4DA0">
        <w:rPr>
          <w:bCs/>
          <w:lang w:val="en-NZ"/>
        </w:rPr>
        <w:t>Propanoic</w:t>
      </w:r>
      <w:proofErr w:type="spellEnd"/>
      <w:r w:rsidRPr="00DA4DA0">
        <w:rPr>
          <w:bCs/>
          <w:lang w:val="en-NZ"/>
        </w:rPr>
        <w:t xml:space="preserve"> acid potassium salt;</w:t>
      </w:r>
      <w:r w:rsidRPr="00DA4DA0">
        <w:rPr>
          <w:lang w:val="en-NZ"/>
        </w:rPr>
        <w:t xml:space="preserve"> </w:t>
      </w:r>
      <w:proofErr w:type="spellStart"/>
      <w:r w:rsidRPr="00DA4DA0">
        <w:rPr>
          <w:bCs/>
          <w:lang w:val="en-NZ"/>
        </w:rPr>
        <w:t>Propanoic</w:t>
      </w:r>
      <w:proofErr w:type="spellEnd"/>
      <w:r w:rsidRPr="00DA4DA0">
        <w:rPr>
          <w:bCs/>
          <w:lang w:val="en-NZ"/>
        </w:rPr>
        <w:t xml:space="preserve"> acid, potassium salt (1:1)</w:t>
      </w:r>
    </w:p>
    <w:p w14:paraId="0CB0BA34" w14:textId="77777777" w:rsidR="00DA4DA0" w:rsidRPr="00DA4DA0" w:rsidRDefault="00DA4DA0" w:rsidP="00DA4DA0">
      <w:pPr>
        <w:ind w:left="1128" w:firstLine="567"/>
      </w:pPr>
      <w:r w:rsidRPr="00DA4DA0">
        <w:t>INS No.:</w:t>
      </w:r>
      <w:r w:rsidRPr="00DA4DA0">
        <w:tab/>
      </w:r>
      <w:r w:rsidRPr="00DA4DA0">
        <w:tab/>
      </w:r>
      <w:r w:rsidRPr="00DA4DA0">
        <w:tab/>
        <w:t>283</w:t>
      </w:r>
      <w:r w:rsidRPr="00DA4DA0">
        <w:tab/>
      </w:r>
      <w:r w:rsidRPr="00DA4DA0">
        <w:tab/>
      </w:r>
      <w:r w:rsidRPr="00DA4DA0">
        <w:tab/>
      </w:r>
      <w:r w:rsidRPr="00DA4DA0">
        <w:tab/>
      </w:r>
      <w:r w:rsidRPr="00DA4DA0">
        <w:tab/>
      </w:r>
      <w:r w:rsidRPr="00DA4DA0">
        <w:tab/>
      </w:r>
    </w:p>
    <w:p w14:paraId="72E41E86" w14:textId="77777777" w:rsidR="00DA4DA0" w:rsidRPr="00DA4DA0" w:rsidRDefault="00DA4DA0" w:rsidP="00DA4DA0">
      <w:pPr>
        <w:ind w:left="1128" w:firstLine="567"/>
      </w:pPr>
      <w:r w:rsidRPr="00DA4DA0">
        <w:t>Chemical name:</w:t>
      </w:r>
      <w:r w:rsidRPr="00DA4DA0">
        <w:tab/>
      </w:r>
      <w:r w:rsidRPr="00DA4DA0">
        <w:tab/>
        <w:t>Potassium propionate</w:t>
      </w:r>
      <w:r w:rsidRPr="00DA4DA0">
        <w:tab/>
      </w:r>
      <w:r w:rsidRPr="00DA4DA0">
        <w:tab/>
      </w:r>
      <w:r w:rsidRPr="00DA4DA0">
        <w:tab/>
      </w:r>
    </w:p>
    <w:p w14:paraId="3473FF61" w14:textId="77777777" w:rsidR="00DA4DA0" w:rsidRPr="00DA4DA0" w:rsidRDefault="00DA4DA0" w:rsidP="00DA4DA0">
      <w:pPr>
        <w:ind w:left="1128" w:firstLine="567"/>
      </w:pPr>
      <w:r w:rsidRPr="00DA4DA0">
        <w:t>C.A.S. number:</w:t>
      </w:r>
      <w:r w:rsidRPr="00DA4DA0">
        <w:tab/>
      </w:r>
      <w:r w:rsidRPr="00DA4DA0">
        <w:tab/>
        <w:t>327-62-8</w:t>
      </w:r>
      <w:r w:rsidRPr="00DA4DA0">
        <w:tab/>
      </w:r>
      <w:r w:rsidRPr="00DA4DA0">
        <w:tab/>
      </w:r>
      <w:r w:rsidRPr="00DA4DA0">
        <w:tab/>
      </w:r>
      <w:r w:rsidRPr="00DA4DA0">
        <w:tab/>
      </w:r>
      <w:r w:rsidRPr="00DA4DA0">
        <w:tab/>
      </w:r>
    </w:p>
    <w:p w14:paraId="6118FA16" w14:textId="77777777" w:rsidR="00DA4DA0" w:rsidRPr="00DA4DA0" w:rsidRDefault="00DA4DA0" w:rsidP="00DA4DA0">
      <w:pPr>
        <w:ind w:left="1128" w:firstLine="567"/>
      </w:pPr>
      <w:r w:rsidRPr="00DA4DA0">
        <w:t>Chemical formula:</w:t>
      </w:r>
      <w:r w:rsidRPr="00DA4DA0">
        <w:tab/>
        <w:t>C3H5KO2</w:t>
      </w:r>
      <w:r w:rsidRPr="00DA4DA0">
        <w:tab/>
      </w:r>
      <w:r w:rsidRPr="00DA4DA0">
        <w:tab/>
      </w:r>
      <w:r w:rsidRPr="00DA4DA0">
        <w:tab/>
      </w:r>
      <w:r w:rsidRPr="00DA4DA0">
        <w:tab/>
      </w:r>
      <w:r w:rsidRPr="00DA4DA0">
        <w:tab/>
      </w:r>
    </w:p>
    <w:p w14:paraId="163F13A2" w14:textId="10BE5E4F" w:rsidR="00DA4DA0" w:rsidRPr="00DA4DA0" w:rsidRDefault="00DA4DA0" w:rsidP="00DA4DA0">
      <w:pPr>
        <w:ind w:left="1128" w:firstLine="567"/>
      </w:pPr>
      <w:r w:rsidRPr="00DA4DA0">
        <w:t>Molecular weight:</w:t>
      </w:r>
      <w:r w:rsidRPr="00DA4DA0">
        <w:tab/>
        <w:t>12.17</w:t>
      </w:r>
      <w:r w:rsidRPr="00DA4DA0">
        <w:tab/>
      </w:r>
      <w:r w:rsidRPr="00DA4DA0">
        <w:tab/>
      </w:r>
      <w:r w:rsidRPr="00DA4DA0">
        <w:tab/>
      </w:r>
      <w:r w:rsidRPr="00DA4DA0">
        <w:tab/>
      </w:r>
      <w:r w:rsidRPr="00DA4DA0">
        <w:tab/>
      </w:r>
    </w:p>
    <w:p w14:paraId="0CE0E813" w14:textId="77777777" w:rsidR="00DA4DA0" w:rsidRPr="00DA4DA0" w:rsidRDefault="00DA4DA0" w:rsidP="00624DF5">
      <w:pPr>
        <w:ind w:left="1701"/>
        <w:rPr>
          <w:lang w:val="en-NZ"/>
        </w:rPr>
      </w:pPr>
      <w:r w:rsidRPr="00DA4DA0">
        <w:rPr>
          <w:lang w:val="en-NZ"/>
        </w:rPr>
        <w:t>Potassium propionate is freely soluble in water and soluble in ethanol (JECFA, 2006).</w:t>
      </w:r>
    </w:p>
    <w:p w14:paraId="2B33D98D" w14:textId="77777777" w:rsidR="00DA4DA0" w:rsidRPr="00DA4DA0" w:rsidRDefault="00DA4DA0" w:rsidP="00DA4DA0">
      <w:pPr>
        <w:ind w:left="1695" w:firstLine="567"/>
      </w:pPr>
    </w:p>
    <w:p w14:paraId="7F2DB5FC" w14:textId="77777777" w:rsidR="00DA4DA0" w:rsidRPr="00DA4DA0" w:rsidRDefault="00DA4DA0" w:rsidP="00DA4DA0">
      <w:pPr>
        <w:tabs>
          <w:tab w:val="left" w:pos="1701"/>
        </w:tabs>
        <w:ind w:left="1128" w:firstLine="567"/>
      </w:pPr>
      <w:r w:rsidRPr="00DA4DA0">
        <w:t>Structural formula:</w:t>
      </w:r>
      <w:r w:rsidRPr="00DA4DA0">
        <w:tab/>
      </w:r>
      <w:r w:rsidRPr="00DA4DA0">
        <w:tab/>
      </w:r>
      <w:r w:rsidRPr="00DA4DA0">
        <w:tab/>
      </w:r>
      <w:r w:rsidRPr="00DA4DA0">
        <w:tab/>
      </w:r>
      <w:r w:rsidRPr="00DA4DA0">
        <w:tab/>
      </w:r>
      <w:r w:rsidRPr="00DA4DA0">
        <w:tab/>
      </w:r>
      <w:r w:rsidRPr="00DA4DA0">
        <w:tab/>
      </w:r>
    </w:p>
    <w:p w14:paraId="17AB747E" w14:textId="77777777" w:rsidR="00DA4DA0" w:rsidRPr="00DA4DA0" w:rsidRDefault="00DA4DA0" w:rsidP="00DA4DA0">
      <w:pPr>
        <w:tabs>
          <w:tab w:val="left" w:pos="1701"/>
        </w:tabs>
        <w:ind w:left="1128" w:firstLine="567"/>
      </w:pPr>
    </w:p>
    <w:p w14:paraId="27A0C77D" w14:textId="77777777" w:rsidR="00DA4DA0" w:rsidRPr="00DA4DA0" w:rsidRDefault="00DA4DA0" w:rsidP="00DA4DA0">
      <w:pPr>
        <w:tabs>
          <w:tab w:val="left" w:pos="1701"/>
        </w:tabs>
        <w:ind w:left="1128" w:firstLine="567"/>
        <w:jc w:val="center"/>
      </w:pPr>
      <w:r w:rsidRPr="00DA4DA0">
        <w:rPr>
          <w:noProof/>
          <w:lang w:eastAsia="en-GB" w:bidi="ar-SA"/>
        </w:rPr>
        <w:drawing>
          <wp:inline distT="0" distB="0" distL="0" distR="0" wp14:anchorId="0EFAD42B" wp14:editId="5599D98E">
            <wp:extent cx="2162755" cy="1120229"/>
            <wp:effectExtent l="0" t="0" r="9525" b="3810"/>
            <wp:docPr id="8" name="Picture 8" descr="Potassium propionate 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193017" cy="1135904"/>
                    </a:xfrm>
                    <a:prstGeom prst="rect">
                      <a:avLst/>
                    </a:prstGeom>
                  </pic:spPr>
                </pic:pic>
              </a:graphicData>
            </a:graphic>
          </wp:inline>
        </w:drawing>
      </w:r>
    </w:p>
    <w:p w14:paraId="06CF6576" w14:textId="10364C17" w:rsidR="00DA4DA0" w:rsidRPr="00DA4DA0" w:rsidRDefault="00DA4DA0" w:rsidP="006E0A1C">
      <w:pPr>
        <w:pStyle w:val="Heading2"/>
      </w:pPr>
      <w:bookmarkStart w:id="16" w:name="_Toc454451335"/>
      <w:r>
        <w:t>2.</w:t>
      </w:r>
      <w:r w:rsidRPr="00DA4DA0">
        <w:t>3</w:t>
      </w:r>
      <w:r w:rsidRPr="00DA4DA0">
        <w:tab/>
        <w:t>Analytical method for detection</w:t>
      </w:r>
      <w:bookmarkEnd w:id="16"/>
    </w:p>
    <w:p w14:paraId="5D740B40" w14:textId="38BA3364" w:rsidR="00DA4DA0" w:rsidRDefault="00213A08" w:rsidP="00DA4DA0">
      <w:r>
        <w:t>Numerous</w:t>
      </w:r>
      <w:r w:rsidRPr="00DA4DA0">
        <w:t xml:space="preserve"> </w:t>
      </w:r>
      <w:r w:rsidR="00DA4DA0" w:rsidRPr="00DA4DA0">
        <w:t xml:space="preserve">methods for the determination of propionates in food have been referenced by the </w:t>
      </w:r>
      <w:r w:rsidR="0036755C">
        <w:t>A</w:t>
      </w:r>
      <w:r w:rsidR="00DA4DA0" w:rsidRPr="00DA4DA0">
        <w:t>pplicant</w:t>
      </w:r>
      <w:r>
        <w:t xml:space="preserve"> and are included in section </w:t>
      </w:r>
      <w:r w:rsidR="00CB6CC7">
        <w:t>7</w:t>
      </w:r>
      <w:r>
        <w:t xml:space="preserve"> below. It is noted that the </w:t>
      </w:r>
      <w:r w:rsidR="003F34C9">
        <w:t>foods referenced are bread and</w:t>
      </w:r>
      <w:r w:rsidR="000A6B2E">
        <w:t xml:space="preserve"> bakery products rather than</w:t>
      </w:r>
      <w:r w:rsidR="003F34C9">
        <w:t xml:space="preserve"> processed meat, the food group </w:t>
      </w:r>
      <w:r w:rsidR="000A6B2E">
        <w:t>which</w:t>
      </w:r>
      <w:r w:rsidR="003F34C9">
        <w:t xml:space="preserve"> is the focus of the application.</w:t>
      </w:r>
    </w:p>
    <w:p w14:paraId="14C8C282" w14:textId="77777777" w:rsidR="0018279E" w:rsidRDefault="0018279E" w:rsidP="00DA4DA0"/>
    <w:p w14:paraId="11301F81" w14:textId="77777777" w:rsidR="00445A1C" w:rsidRDefault="00445A1C" w:rsidP="00DA4DA0"/>
    <w:p w14:paraId="58D3CFD5" w14:textId="448134B7" w:rsidR="0018279E" w:rsidRPr="00DA4DA0" w:rsidRDefault="0018279E" w:rsidP="00DA4DA0">
      <w:r w:rsidRPr="0018279E">
        <w:lastRenderedPageBreak/>
        <w:t xml:space="preserve">FSANZ sought advice from the Implementation Subcommittee for Food Regulation (ISFR) Expert Advisory Group (EAG) on analytical methods regarding the suitability of analytical methods relevant to this Application. The ISFR EAG </w:t>
      </w:r>
      <w:r w:rsidR="00D252AF">
        <w:t>stated</w:t>
      </w:r>
      <w:r w:rsidRPr="0018279E">
        <w:t xml:space="preserve"> “that there are appropriate methods available for the determination of propionic acid in processed meats”.</w:t>
      </w:r>
    </w:p>
    <w:p w14:paraId="031C8A08" w14:textId="5A228F13" w:rsidR="00DA4DA0" w:rsidRPr="00DA4DA0" w:rsidRDefault="00DA4DA0" w:rsidP="009832F3">
      <w:pPr>
        <w:pStyle w:val="Heading2"/>
      </w:pPr>
      <w:bookmarkStart w:id="17" w:name="_Toc454451336"/>
      <w:r>
        <w:t>2.</w:t>
      </w:r>
      <w:r w:rsidRPr="00DA4DA0">
        <w:t>4</w:t>
      </w:r>
      <w:r w:rsidRPr="00DA4DA0">
        <w:tab/>
        <w:t>Manufactur</w:t>
      </w:r>
      <w:r w:rsidR="00624DF5">
        <w:t>ing process</w:t>
      </w:r>
      <w:bookmarkEnd w:id="17"/>
    </w:p>
    <w:p w14:paraId="77F290A5" w14:textId="04C23281" w:rsidR="00DA4DA0" w:rsidRPr="00624DF5" w:rsidRDefault="00DA4DA0" w:rsidP="00CB77A1">
      <w:pPr>
        <w:pStyle w:val="Heading3"/>
      </w:pPr>
      <w:bookmarkStart w:id="18" w:name="_Toc454451337"/>
      <w:r w:rsidRPr="00624DF5">
        <w:t>2.4.1 Propionic Acid</w:t>
      </w:r>
      <w:bookmarkEnd w:id="18"/>
    </w:p>
    <w:p w14:paraId="2FA3FF0E" w14:textId="1D645CF5" w:rsidR="00DA4DA0" w:rsidRPr="00DA4DA0" w:rsidRDefault="00DA4DA0" w:rsidP="00DA4DA0">
      <w:pPr>
        <w:rPr>
          <w:lang w:val="en-NZ"/>
        </w:rPr>
      </w:pPr>
      <w:r w:rsidRPr="00DA4DA0">
        <w:rPr>
          <w:lang w:val="en-NZ"/>
        </w:rPr>
        <w:t xml:space="preserve">Although numerous fermentation processes have been identified and evaluated, the industrial production of propionic acid is almost entirely by chemical synthesis (petrochemical route). The acid can also be obtained from oxidation of </w:t>
      </w:r>
      <w:proofErr w:type="spellStart"/>
      <w:r w:rsidRPr="00DA4DA0">
        <w:rPr>
          <w:lang w:val="en-NZ"/>
        </w:rPr>
        <w:t>propionaldehyde</w:t>
      </w:r>
      <w:proofErr w:type="spellEnd"/>
      <w:r w:rsidRPr="00DA4DA0">
        <w:rPr>
          <w:lang w:val="en-NZ"/>
        </w:rPr>
        <w:t xml:space="preserve"> and very pure propionic acid can be obtained from </w:t>
      </w:r>
      <w:proofErr w:type="spellStart"/>
      <w:r w:rsidRPr="00DA4DA0">
        <w:rPr>
          <w:lang w:val="en-NZ"/>
        </w:rPr>
        <w:t>propionitrile</w:t>
      </w:r>
      <w:proofErr w:type="spellEnd"/>
      <w:r w:rsidRPr="00DA4DA0">
        <w:rPr>
          <w:lang w:val="en-NZ"/>
        </w:rPr>
        <w:t xml:space="preserve">. The main (synthetic) processes include the </w:t>
      </w:r>
      <w:proofErr w:type="spellStart"/>
      <w:r w:rsidRPr="00DA4DA0">
        <w:rPr>
          <w:lang w:val="en-NZ"/>
        </w:rPr>
        <w:t>Reppe</w:t>
      </w:r>
      <w:proofErr w:type="spellEnd"/>
      <w:r w:rsidRPr="00DA4DA0">
        <w:rPr>
          <w:lang w:val="en-NZ"/>
        </w:rPr>
        <w:t xml:space="preserve"> process where ethylene is reacted with carbon monoxide and steam (synthesis gas) in the presence of a nickel catalyst, to produce </w:t>
      </w:r>
      <w:proofErr w:type="spellStart"/>
      <w:r w:rsidRPr="00DA4DA0">
        <w:rPr>
          <w:lang w:val="en-NZ"/>
        </w:rPr>
        <w:t>propionaldehyde</w:t>
      </w:r>
      <w:proofErr w:type="spellEnd"/>
      <w:r w:rsidRPr="00DA4DA0">
        <w:rPr>
          <w:lang w:val="en-NZ"/>
        </w:rPr>
        <w:t xml:space="preserve">, which is then oxidised to propionic acid, and the Larson process from ethanol and carbon monoxide using boron </w:t>
      </w:r>
      <w:proofErr w:type="spellStart"/>
      <w:r w:rsidRPr="00DA4DA0">
        <w:rPr>
          <w:lang w:val="en-NZ"/>
        </w:rPr>
        <w:t>trifluoride</w:t>
      </w:r>
      <w:proofErr w:type="spellEnd"/>
      <w:r w:rsidRPr="00DA4DA0">
        <w:rPr>
          <w:lang w:val="en-NZ"/>
        </w:rPr>
        <w:t xml:space="preserve"> as a catalyst. It is also obtained by oxidation of </w:t>
      </w:r>
      <w:proofErr w:type="spellStart"/>
      <w:r w:rsidRPr="00DA4DA0">
        <w:rPr>
          <w:lang w:val="en-NZ"/>
        </w:rPr>
        <w:t>propionaldehyde</w:t>
      </w:r>
      <w:proofErr w:type="spellEnd"/>
      <w:r w:rsidRPr="00DA4DA0">
        <w:rPr>
          <w:lang w:val="en-NZ"/>
        </w:rPr>
        <w:t>, as a by-product in the Fischer-</w:t>
      </w:r>
      <w:proofErr w:type="spellStart"/>
      <w:r w:rsidRPr="00DA4DA0">
        <w:rPr>
          <w:lang w:val="en-NZ"/>
        </w:rPr>
        <w:t>Tropsch</w:t>
      </w:r>
      <w:proofErr w:type="spellEnd"/>
      <w:r w:rsidRPr="00DA4DA0">
        <w:rPr>
          <w:lang w:val="en-NZ"/>
        </w:rPr>
        <w:t xml:space="preserve"> process for the synthesis of fuel and in wood distillation as a by-product of the pyrolysis.</w:t>
      </w:r>
    </w:p>
    <w:p w14:paraId="417C9254" w14:textId="1941EA18" w:rsidR="00DA4DA0" w:rsidRPr="002A42B1" w:rsidRDefault="00DA4DA0" w:rsidP="006E0A1C">
      <w:pPr>
        <w:pStyle w:val="Heading3"/>
      </w:pPr>
      <w:bookmarkStart w:id="19" w:name="_Toc454451338"/>
      <w:r w:rsidRPr="006E0A1C">
        <w:t>2.4.</w:t>
      </w:r>
      <w:r w:rsidRPr="006B3A79">
        <w:t>2 Sodium propionate, calcium propionate and potassium propionates</w:t>
      </w:r>
      <w:bookmarkEnd w:id="19"/>
      <w:r w:rsidRPr="006B3A79">
        <w:t xml:space="preserve"> </w:t>
      </w:r>
    </w:p>
    <w:p w14:paraId="63067CFA" w14:textId="77777777" w:rsidR="00DA4DA0" w:rsidRDefault="00DA4DA0" w:rsidP="00DA4DA0">
      <w:pPr>
        <w:rPr>
          <w:lang w:val="en-NZ"/>
        </w:rPr>
      </w:pPr>
      <w:r w:rsidRPr="00DA4DA0">
        <w:rPr>
          <w:lang w:val="en-NZ"/>
        </w:rPr>
        <w:t>Calcium, potassium and sodium propionates are produced by the reaction of propionic acid with the respective hydroxides or carbonates:</w:t>
      </w:r>
    </w:p>
    <w:p w14:paraId="0B646BB9" w14:textId="77777777" w:rsidR="00445A1C" w:rsidRPr="00DA4DA0" w:rsidRDefault="00445A1C" w:rsidP="00DA4DA0">
      <w:pPr>
        <w:rPr>
          <w:lang w:val="en-NZ"/>
        </w:rPr>
      </w:pPr>
    </w:p>
    <w:p w14:paraId="0AF56235" w14:textId="77777777" w:rsidR="00DA4DA0" w:rsidRPr="00DA4DA0" w:rsidRDefault="00DA4DA0" w:rsidP="00445A1C">
      <w:pPr>
        <w:numPr>
          <w:ilvl w:val="0"/>
          <w:numId w:val="19"/>
        </w:numPr>
        <w:ind w:left="567" w:hanging="567"/>
        <w:contextualSpacing/>
        <w:rPr>
          <w:lang w:val="en-NZ"/>
        </w:rPr>
      </w:pPr>
      <w:r w:rsidRPr="00DA4DA0">
        <w:rPr>
          <w:lang w:val="en-NZ"/>
        </w:rPr>
        <w:t>Sodium propionate is produced from propionic acid and sodium hydroxide in hydrogen peroxide and water.</w:t>
      </w:r>
    </w:p>
    <w:p w14:paraId="02C54780" w14:textId="77777777" w:rsidR="00DA4DA0" w:rsidRDefault="00DA4DA0" w:rsidP="00445A1C">
      <w:pPr>
        <w:numPr>
          <w:ilvl w:val="0"/>
          <w:numId w:val="19"/>
        </w:numPr>
        <w:ind w:left="567" w:hanging="567"/>
        <w:contextualSpacing/>
        <w:rPr>
          <w:lang w:val="en-NZ"/>
        </w:rPr>
      </w:pPr>
      <w:r w:rsidRPr="00DA4DA0">
        <w:rPr>
          <w:lang w:val="en-NZ"/>
        </w:rPr>
        <w:t>Calcium propionate is produced by the reaction of propionic acid and calcium oxide in water in the presence of a flocculent.</w:t>
      </w:r>
    </w:p>
    <w:p w14:paraId="5E266551" w14:textId="77777777" w:rsidR="00445A1C" w:rsidRPr="00DA4DA0" w:rsidRDefault="00445A1C" w:rsidP="00E82077">
      <w:pPr>
        <w:ind w:left="567"/>
        <w:contextualSpacing/>
        <w:rPr>
          <w:lang w:val="en-NZ"/>
        </w:rPr>
      </w:pPr>
    </w:p>
    <w:p w14:paraId="6554AE79" w14:textId="77777777" w:rsidR="00DA4DA0" w:rsidRPr="00DA4DA0" w:rsidRDefault="00DA4DA0" w:rsidP="00DA4DA0">
      <w:pPr>
        <w:rPr>
          <w:lang w:val="en-NZ"/>
        </w:rPr>
      </w:pPr>
      <w:r w:rsidRPr="00DA4DA0">
        <w:rPr>
          <w:lang w:val="en-NZ"/>
        </w:rPr>
        <w:t xml:space="preserve">In both instances following the reaction, the products are filtered, spray dried, sieved and packed. </w:t>
      </w:r>
    </w:p>
    <w:p w14:paraId="7CB641E8" w14:textId="77777777" w:rsidR="00DA4DA0" w:rsidRPr="00DA4DA0" w:rsidRDefault="00DA4DA0" w:rsidP="00DA4DA0">
      <w:r w:rsidRPr="00DA4DA0">
        <w:rPr>
          <w:lang w:val="en-NZ"/>
        </w:rPr>
        <w:t>For potassium propionate, no description of manufacturing methods was readily retrievable.</w:t>
      </w:r>
    </w:p>
    <w:p w14:paraId="770B4BFA" w14:textId="39F12478" w:rsidR="00DA4DA0" w:rsidRPr="00624DF5" w:rsidRDefault="00624DF5" w:rsidP="009832F3">
      <w:pPr>
        <w:pStyle w:val="Heading2"/>
      </w:pPr>
      <w:bookmarkStart w:id="20" w:name="_Toc454451339"/>
      <w:r w:rsidRPr="00624DF5">
        <w:t>2.5</w:t>
      </w:r>
      <w:r w:rsidR="00DA4DA0" w:rsidRPr="00624DF5">
        <w:t xml:space="preserve"> </w:t>
      </w:r>
      <w:r w:rsidR="00445A1C">
        <w:tab/>
      </w:r>
      <w:r w:rsidR="00DA4DA0" w:rsidRPr="00624DF5">
        <w:t>Product specifications</w:t>
      </w:r>
      <w:bookmarkEnd w:id="20"/>
    </w:p>
    <w:p w14:paraId="076EA8D7" w14:textId="43220CF2" w:rsidR="00DA4DA0" w:rsidRPr="00DA4DA0" w:rsidRDefault="00DA4DA0" w:rsidP="00DA4DA0">
      <w:pPr>
        <w:rPr>
          <w:lang w:val="en-NZ"/>
        </w:rPr>
      </w:pPr>
      <w:r w:rsidRPr="00DA4DA0">
        <w:rPr>
          <w:lang w:val="en-NZ"/>
        </w:rPr>
        <w:t xml:space="preserve">For the specifications for the propionates, the </w:t>
      </w:r>
      <w:r w:rsidR="0036755C">
        <w:rPr>
          <w:lang w:val="en-NZ"/>
        </w:rPr>
        <w:t>A</w:t>
      </w:r>
      <w:r w:rsidRPr="00DA4DA0">
        <w:rPr>
          <w:lang w:val="en-NZ"/>
        </w:rPr>
        <w:t>pplicant has referred to the specifications of propionic acid (E 280), sodium propionate (E 281), calcium propionate (E 282) and potassium propionate (E 283) which have been defined in Commission Regulation (EU) No 231/2012</w:t>
      </w:r>
      <w:r w:rsidRPr="00DA4DA0">
        <w:rPr>
          <w:vertAlign w:val="superscript"/>
          <w:lang w:val="en-NZ"/>
        </w:rPr>
        <w:endnoteReference w:id="2"/>
      </w:r>
      <w:r w:rsidRPr="00DA4DA0">
        <w:rPr>
          <w:lang w:val="en-NZ"/>
        </w:rPr>
        <w:t xml:space="preserve"> and by JECFA (2006) (Tables 1- 4).</w:t>
      </w:r>
    </w:p>
    <w:p w14:paraId="1BCDEDB4" w14:textId="137940AB" w:rsidR="00320E90" w:rsidRPr="00DA4DA0" w:rsidRDefault="00320E90" w:rsidP="00DA4DA0">
      <w:pPr>
        <w:rPr>
          <w:lang w:val="en-NZ"/>
        </w:rPr>
      </w:pPr>
    </w:p>
    <w:p w14:paraId="0437F8B4" w14:textId="77777777" w:rsidR="00DA4DA0" w:rsidRPr="00DA4DA0" w:rsidRDefault="00DA4DA0" w:rsidP="00DA4DA0">
      <w:pPr>
        <w:jc w:val="center"/>
      </w:pPr>
      <w:r w:rsidRPr="00DA4DA0">
        <w:rPr>
          <w:noProof/>
          <w:lang w:eastAsia="en-GB" w:bidi="ar-SA"/>
        </w:rPr>
        <w:lastRenderedPageBreak/>
        <w:drawing>
          <wp:inline distT="0" distB="0" distL="0" distR="0" wp14:anchorId="659B79E4" wp14:editId="036E171A">
            <wp:extent cx="6100876" cy="3350920"/>
            <wp:effectExtent l="19050" t="19050" r="14605" b="20955"/>
            <wp:docPr id="9" name="Picture 9" descr="EU Specifications for propionic acid (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111550" cy="3356783"/>
                    </a:xfrm>
                    <a:prstGeom prst="rect">
                      <a:avLst/>
                    </a:prstGeom>
                    <a:ln w="6350">
                      <a:solidFill>
                        <a:sysClr val="windowText" lastClr="000000"/>
                      </a:solidFill>
                    </a:ln>
                  </pic:spPr>
                </pic:pic>
              </a:graphicData>
            </a:graphic>
          </wp:inline>
        </w:drawing>
      </w:r>
    </w:p>
    <w:p w14:paraId="7DB2F873" w14:textId="3E23CAF2" w:rsidR="00257716" w:rsidRDefault="00DA4DA0" w:rsidP="00D1077A">
      <w:pPr>
        <w:rPr>
          <w:b/>
          <w:bCs/>
        </w:rPr>
      </w:pPr>
      <w:r w:rsidRPr="00DA4DA0">
        <w:rPr>
          <w:noProof/>
          <w:lang w:eastAsia="en-GB" w:bidi="ar-SA"/>
        </w:rPr>
        <w:drawing>
          <wp:inline distT="0" distB="0" distL="0" distR="0" wp14:anchorId="4EAC8A99" wp14:editId="31562C86">
            <wp:extent cx="6087928" cy="4118457"/>
            <wp:effectExtent l="19050" t="19050" r="27305" b="15875"/>
            <wp:docPr id="10" name="Picture 10" descr="EU specficications for sodium propionate ( 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144690" cy="4156856"/>
                    </a:xfrm>
                    <a:prstGeom prst="rect">
                      <a:avLst/>
                    </a:prstGeom>
                    <a:ln w="3175" cmpd="sng">
                      <a:solidFill>
                        <a:sysClr val="windowText" lastClr="000000"/>
                      </a:solidFill>
                    </a:ln>
                  </pic:spPr>
                </pic:pic>
              </a:graphicData>
            </a:graphic>
          </wp:inline>
        </w:drawing>
      </w:r>
    </w:p>
    <w:p w14:paraId="76345489" w14:textId="77777777" w:rsidR="00D1077A" w:rsidRDefault="00D1077A" w:rsidP="00D1077A">
      <w:pPr>
        <w:rPr>
          <w:b/>
          <w:bCs/>
        </w:rPr>
      </w:pPr>
    </w:p>
    <w:p w14:paraId="0AEDB866" w14:textId="7F72BCD3" w:rsidR="00DA4DA0" w:rsidRPr="00DA4DA0" w:rsidRDefault="00DA4DA0" w:rsidP="00DA4DA0">
      <w:pPr>
        <w:tabs>
          <w:tab w:val="left" w:pos="426"/>
          <w:tab w:val="left" w:pos="9639"/>
          <w:tab w:val="left" w:pos="9781"/>
        </w:tabs>
        <w:jc w:val="center"/>
      </w:pPr>
      <w:r w:rsidRPr="00DA4DA0">
        <w:rPr>
          <w:noProof/>
          <w:lang w:eastAsia="en-GB" w:bidi="ar-SA"/>
        </w:rPr>
        <w:lastRenderedPageBreak/>
        <w:drawing>
          <wp:inline distT="0" distB="0" distL="0" distR="0" wp14:anchorId="67480024" wp14:editId="3BA025F6">
            <wp:extent cx="6078931" cy="4158481"/>
            <wp:effectExtent l="19050" t="19050" r="17145" b="13970"/>
            <wp:docPr id="11" name="Picture 11" descr="EU specification for calcium propionate (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6094455" cy="4169101"/>
                    </a:xfrm>
                    <a:prstGeom prst="rect">
                      <a:avLst/>
                    </a:prstGeom>
                    <a:ln w="3175" cmpd="sng">
                      <a:solidFill>
                        <a:sysClr val="windowText" lastClr="000000"/>
                      </a:solidFill>
                    </a:ln>
                  </pic:spPr>
                </pic:pic>
              </a:graphicData>
            </a:graphic>
          </wp:inline>
        </w:drawing>
      </w:r>
    </w:p>
    <w:p w14:paraId="797ED395" w14:textId="681898BD" w:rsidR="00DA4DA0" w:rsidRPr="00DA4DA0" w:rsidRDefault="00DA4DA0" w:rsidP="00DA4DA0">
      <w:pPr>
        <w:jc w:val="center"/>
      </w:pPr>
      <w:r w:rsidRPr="00DA4DA0">
        <w:rPr>
          <w:noProof/>
          <w:lang w:eastAsia="en-GB" w:bidi="ar-SA"/>
        </w:rPr>
        <w:drawing>
          <wp:inline distT="0" distB="0" distL="0" distR="0" wp14:anchorId="691EA5EA" wp14:editId="4229714F">
            <wp:extent cx="6078931" cy="3890256"/>
            <wp:effectExtent l="19050" t="19050" r="17145" b="15240"/>
            <wp:docPr id="12" name="Picture 12" descr="EU specification for potassium propionate (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098013" cy="3902468"/>
                    </a:xfrm>
                    <a:prstGeom prst="rect">
                      <a:avLst/>
                    </a:prstGeom>
                    <a:ln w="6350">
                      <a:solidFill>
                        <a:sysClr val="windowText" lastClr="000000"/>
                      </a:solidFill>
                    </a:ln>
                  </pic:spPr>
                </pic:pic>
              </a:graphicData>
            </a:graphic>
          </wp:inline>
        </w:drawing>
      </w:r>
    </w:p>
    <w:p w14:paraId="1187FEB5" w14:textId="77777777" w:rsidR="00DA4DA0" w:rsidRPr="00DA4DA0" w:rsidRDefault="00DA4DA0" w:rsidP="00DA4DA0"/>
    <w:p w14:paraId="294317BC" w14:textId="510D6DD1" w:rsidR="00DA4DA0" w:rsidRDefault="00DA4DA0" w:rsidP="00DA4DA0">
      <w:r w:rsidRPr="00DA4DA0">
        <w:t xml:space="preserve">It is noted in table 3 that the pH range in the EU specifications (6.0 - 9.0 of a 10 % solution of calcium propionate) and the JECFA specifications (7.5 -10.5) are different. According to the Food Chemical Codex (FCC, 2010-2011) the pH of a 10 % aqueous solution of calcium propionate is </w:t>
      </w:r>
      <w:r w:rsidRPr="00DA4DA0">
        <w:lastRenderedPageBreak/>
        <w:t xml:space="preserve">between 7.5 and 10.5. It is not necessary to further </w:t>
      </w:r>
      <w:r w:rsidR="00762B9B">
        <w:t xml:space="preserve">address </w:t>
      </w:r>
      <w:r w:rsidRPr="00DA4DA0">
        <w:t xml:space="preserve">this difference in </w:t>
      </w:r>
      <w:proofErr w:type="spellStart"/>
      <w:r w:rsidR="00A67223" w:rsidRPr="00DA4DA0">
        <w:t>pH</w:t>
      </w:r>
      <w:r w:rsidR="00762B9B">
        <w:t>.</w:t>
      </w:r>
      <w:proofErr w:type="spellEnd"/>
      <w:r w:rsidR="00762B9B">
        <w:t xml:space="preserve"> T</w:t>
      </w:r>
      <w:r w:rsidRPr="00DA4DA0">
        <w:t>he reference to either of the JECFA or FCC specifications is acceptable for calcium propionate.</w:t>
      </w:r>
    </w:p>
    <w:p w14:paraId="3674DBF5" w14:textId="77777777" w:rsidR="00E82077" w:rsidRDefault="00E82077" w:rsidP="00DA4DA0"/>
    <w:p w14:paraId="1A818FA0" w14:textId="5BF82716" w:rsidR="00E82077" w:rsidRPr="00DA4DA0" w:rsidRDefault="00E82077" w:rsidP="00DA4DA0">
      <w:r>
        <w:t xml:space="preserve">Specifications for propionates are adequately covered by existing references.  </w:t>
      </w:r>
    </w:p>
    <w:p w14:paraId="0DF240B2" w14:textId="5239A4BC" w:rsidR="00DA4DA0" w:rsidRPr="00624DF5" w:rsidRDefault="00624DF5" w:rsidP="006E0A1C">
      <w:pPr>
        <w:pStyle w:val="Heading3"/>
      </w:pPr>
      <w:bookmarkStart w:id="21" w:name="_Toc279584863"/>
      <w:bookmarkStart w:id="22" w:name="_Toc454451340"/>
      <w:bookmarkEnd w:id="21"/>
      <w:r w:rsidRPr="00624DF5">
        <w:t>2.5.</w:t>
      </w:r>
      <w:r w:rsidR="00445A1C">
        <w:t>1</w:t>
      </w:r>
      <w:r w:rsidR="00DA4DA0" w:rsidRPr="00624DF5">
        <w:t xml:space="preserve"> Stability</w:t>
      </w:r>
      <w:bookmarkEnd w:id="22"/>
    </w:p>
    <w:p w14:paraId="21A8A563" w14:textId="77777777" w:rsidR="00DA4DA0" w:rsidRPr="00DA4DA0" w:rsidRDefault="00DA4DA0" w:rsidP="00DA4DA0">
      <w:r w:rsidRPr="00DA4DA0">
        <w:rPr>
          <w:lang w:val="en-NZ"/>
        </w:rPr>
        <w:t xml:space="preserve">No data have been found in relation to reaction and fate in food of propionic acid and its salts as food additives, however, information provided by industry during the EFSA re-evaluation of propionic acid – propionates (E 280-283), indicated that the stability of sodium or calcium propionate in their original packaging is 3 years. </w:t>
      </w:r>
    </w:p>
    <w:p w14:paraId="7C095BF2" w14:textId="21E291C3" w:rsidR="002A784B" w:rsidRPr="00624DF5" w:rsidRDefault="00704827" w:rsidP="006B3A79">
      <w:pPr>
        <w:pStyle w:val="Heading2"/>
      </w:pPr>
      <w:bookmarkStart w:id="23" w:name="_Toc454451341"/>
      <w:r w:rsidRPr="00624DF5">
        <w:t>2.</w:t>
      </w:r>
      <w:r w:rsidR="00CB77A1">
        <w:t>6</w:t>
      </w:r>
      <w:r w:rsidRPr="00624DF5">
        <w:tab/>
      </w:r>
      <w:bookmarkStart w:id="24" w:name="_Toc429579209"/>
      <w:bookmarkStart w:id="25" w:name="_Toc429579394"/>
      <w:bookmarkStart w:id="26" w:name="_Toc429580459"/>
      <w:bookmarkStart w:id="27" w:name="_Toc299718733"/>
      <w:bookmarkStart w:id="28" w:name="_Toc303691907"/>
      <w:r w:rsidR="002A784B" w:rsidRPr="00624DF5">
        <w:t>Evaluation of efficacy</w:t>
      </w:r>
      <w:bookmarkEnd w:id="23"/>
      <w:bookmarkEnd w:id="24"/>
      <w:bookmarkEnd w:id="25"/>
      <w:bookmarkEnd w:id="26"/>
      <w:r w:rsidR="002A784B" w:rsidRPr="00624DF5">
        <w:t xml:space="preserve"> </w:t>
      </w:r>
      <w:bookmarkEnd w:id="27"/>
      <w:bookmarkEnd w:id="28"/>
    </w:p>
    <w:p w14:paraId="0E195046" w14:textId="30F52C18" w:rsidR="002A784B" w:rsidRDefault="002A784B" w:rsidP="002A784B">
      <w:r>
        <w:t xml:space="preserve">The Applicant seeks an </w:t>
      </w:r>
      <w:r w:rsidRPr="002F1FAF">
        <w:t>extension of use of propionic acid, and it</w:t>
      </w:r>
      <w:r>
        <w:t xml:space="preserve">s calcium, potassium and sodium </w:t>
      </w:r>
      <w:r w:rsidRPr="002F1FAF">
        <w:t xml:space="preserve">salts, as anti-microbial preservatives in processed </w:t>
      </w:r>
      <w:r w:rsidR="00A130D3">
        <w:t>meat, poultry and game</w:t>
      </w:r>
      <w:r>
        <w:t xml:space="preserve">. The principal justification for seeking an extension of use in processed </w:t>
      </w:r>
      <w:r w:rsidR="00A130D3">
        <w:t>meat, poultry and game</w:t>
      </w:r>
      <w:r>
        <w:t xml:space="preserve"> is to inhibit the growth of </w:t>
      </w:r>
      <w:r w:rsidRPr="00E03A8B">
        <w:rPr>
          <w:i/>
        </w:rPr>
        <w:t>L</w:t>
      </w:r>
      <w:r w:rsidR="00C40A8A">
        <w:rPr>
          <w:i/>
        </w:rPr>
        <w:t>.</w:t>
      </w:r>
      <w:r w:rsidRPr="00E03A8B">
        <w:rPr>
          <w:i/>
        </w:rPr>
        <w:t xml:space="preserve"> monocytogenes</w:t>
      </w:r>
      <w:r w:rsidR="001B3B0E">
        <w:t xml:space="preserve">. </w:t>
      </w:r>
      <w:r>
        <w:t>The</w:t>
      </w:r>
      <w:r w:rsidRPr="002F1FAF">
        <w:t xml:space="preserve"> efficacy </w:t>
      </w:r>
      <w:r>
        <w:t>of propion</w:t>
      </w:r>
      <w:r w:rsidR="009D07E0">
        <w:t>ates</w:t>
      </w:r>
      <w:r>
        <w:t xml:space="preserve"> to prevent the growth of </w:t>
      </w:r>
      <w:r w:rsidRPr="002F1FAF">
        <w:rPr>
          <w:i/>
        </w:rPr>
        <w:t>L</w:t>
      </w:r>
      <w:r>
        <w:rPr>
          <w:i/>
        </w:rPr>
        <w:t xml:space="preserve">. </w:t>
      </w:r>
      <w:r w:rsidRPr="002F1FAF">
        <w:rPr>
          <w:i/>
        </w:rPr>
        <w:t>monocytogenes</w:t>
      </w:r>
      <w:r w:rsidRPr="002F1FAF">
        <w:t xml:space="preserve"> </w:t>
      </w:r>
      <w:r>
        <w:t xml:space="preserve">in a variety of processed </w:t>
      </w:r>
      <w:r w:rsidR="00A130D3">
        <w:t>meat, poultry and game</w:t>
      </w:r>
      <w:r w:rsidRPr="002F1FAF">
        <w:t xml:space="preserve"> w</w:t>
      </w:r>
      <w:r>
        <w:t>as considered</w:t>
      </w:r>
      <w:r w:rsidRPr="002F1FAF">
        <w:t>.</w:t>
      </w:r>
      <w:r>
        <w:t xml:space="preserve"> </w:t>
      </w:r>
    </w:p>
    <w:p w14:paraId="55051D74" w14:textId="72D9E771" w:rsidR="002A784B" w:rsidRPr="006B3A79" w:rsidRDefault="006B3A79" w:rsidP="006B3A79">
      <w:pPr>
        <w:pStyle w:val="Heading3"/>
      </w:pPr>
      <w:bookmarkStart w:id="29" w:name="_Toc454451342"/>
      <w:r w:rsidRPr="006B3A79">
        <w:t>2.</w:t>
      </w:r>
      <w:r w:rsidR="00CB77A1">
        <w:t>6</w:t>
      </w:r>
      <w:r w:rsidRPr="006B3A79">
        <w:t xml:space="preserve">.1 </w:t>
      </w:r>
      <w:r w:rsidR="002A784B" w:rsidRPr="00E82077">
        <w:rPr>
          <w:i/>
        </w:rPr>
        <w:t>Listeria monocytogenes</w:t>
      </w:r>
      <w:bookmarkEnd w:id="29"/>
    </w:p>
    <w:p w14:paraId="4047CD5F" w14:textId="77777777" w:rsidR="002A784B" w:rsidRPr="00391F47" w:rsidRDefault="002A784B" w:rsidP="002A784B">
      <w:r w:rsidRPr="00391F47">
        <w:rPr>
          <w:i/>
        </w:rPr>
        <w:t>L. monocytogenes</w:t>
      </w:r>
      <w:r w:rsidRPr="00391F47">
        <w:t xml:space="preserve"> causes invasive </w:t>
      </w:r>
      <w:proofErr w:type="spellStart"/>
      <w:r w:rsidRPr="00391F47">
        <w:t>listeriosis</w:t>
      </w:r>
      <w:proofErr w:type="spellEnd"/>
      <w:r w:rsidRPr="00391F47">
        <w:t xml:space="preserve">, a disease that can have severe consequences for particular groups of the population. </w:t>
      </w:r>
      <w:proofErr w:type="spellStart"/>
      <w:r w:rsidRPr="00391F47">
        <w:t>Listeriosis</w:t>
      </w:r>
      <w:proofErr w:type="spellEnd"/>
      <w:r w:rsidRPr="00391F47">
        <w:t xml:space="preserve"> most often affects individuals experiencing immunosuppression, including those with chronic disease (e.g. cancer, diabetes, malnutrition, AIDS), foetuses or neonates (assumed to be infected </w:t>
      </w:r>
      <w:r w:rsidRPr="00391F47">
        <w:rPr>
          <w:i/>
        </w:rPr>
        <w:t>in utero</w:t>
      </w:r>
      <w:r w:rsidRPr="00391F47">
        <w:t xml:space="preserve">); the elderly and individuals being treated with immunosuppressive drugs (e.g. transplant patients). Manifestations of the disease include, but are not limited to, bacteraemia, septicaemia, meningitis, encephalitis, miscarriage, neonatal disease, premature birth, and stillbirth </w:t>
      </w:r>
      <w:r>
        <w:t>(Codex 2007)</w:t>
      </w:r>
      <w:r w:rsidRPr="00391F47">
        <w:t xml:space="preserve">. </w:t>
      </w:r>
      <w:r w:rsidRPr="00391F47">
        <w:rPr>
          <w:iCs/>
        </w:rPr>
        <w:t xml:space="preserve">In otherwise healthy individuals, infection with </w:t>
      </w:r>
      <w:r w:rsidRPr="00391F47">
        <w:rPr>
          <w:i/>
          <w:iCs/>
        </w:rPr>
        <w:t>L. monocytogenes</w:t>
      </w:r>
      <w:r w:rsidRPr="00391F47">
        <w:t xml:space="preserve"> is usually non-invasive, causing few or no symptoms and may be mistaken for mild gastroenteritis or flu. </w:t>
      </w:r>
    </w:p>
    <w:p w14:paraId="1D9E9460" w14:textId="77777777" w:rsidR="002A784B" w:rsidRPr="00391F47" w:rsidRDefault="002A784B" w:rsidP="002A784B"/>
    <w:p w14:paraId="67AED8B3" w14:textId="48A97214" w:rsidR="002A784B" w:rsidRDefault="002A784B" w:rsidP="002A784B">
      <w:r w:rsidRPr="00391F47">
        <w:rPr>
          <w:i/>
        </w:rPr>
        <w:t>L. monocytogenes</w:t>
      </w:r>
      <w:r w:rsidRPr="00391F47">
        <w:t xml:space="preserve"> grows at low oxygen conditions and refrigeration temperatures (&lt;4°</w:t>
      </w:r>
      <w:r w:rsidR="00A335B4" w:rsidRPr="00A335B4">
        <w:rPr>
          <w:sz w:val="8"/>
          <w:szCs w:val="8"/>
        </w:rPr>
        <w:t xml:space="preserve"> </w:t>
      </w:r>
      <w:r w:rsidRPr="00391F47">
        <w:t xml:space="preserve">C), and can survive for long periods in the environment, on foods, in the processing plant and in the household refrigerator. </w:t>
      </w:r>
      <w:r>
        <w:rPr>
          <w:rFonts w:cs="Arial"/>
          <w:color w:val="000000"/>
        </w:rPr>
        <w:t xml:space="preserve">Foods associated with causing </w:t>
      </w:r>
      <w:proofErr w:type="spellStart"/>
      <w:r>
        <w:rPr>
          <w:rFonts w:cs="Arial"/>
          <w:color w:val="000000"/>
        </w:rPr>
        <w:t>listeriosis</w:t>
      </w:r>
      <w:proofErr w:type="spellEnd"/>
      <w:r>
        <w:rPr>
          <w:rFonts w:cs="Arial"/>
          <w:color w:val="000000"/>
        </w:rPr>
        <w:t xml:space="preserve"> have been overwhelmingly ready-to-eat (RTE) products that are typically held for extended periods at refrigerated temperatures, in which </w:t>
      </w:r>
      <w:r w:rsidRPr="002551F3">
        <w:rPr>
          <w:rFonts w:cs="Arial"/>
          <w:i/>
          <w:color w:val="000000"/>
        </w:rPr>
        <w:t>L.</w:t>
      </w:r>
      <w:r>
        <w:rPr>
          <w:rFonts w:cs="Arial"/>
          <w:i/>
          <w:color w:val="000000"/>
        </w:rPr>
        <w:t> </w:t>
      </w:r>
      <w:r w:rsidRPr="002551F3">
        <w:rPr>
          <w:rFonts w:cs="Arial"/>
          <w:i/>
          <w:color w:val="000000"/>
        </w:rPr>
        <w:t>monocytogenes</w:t>
      </w:r>
      <w:r>
        <w:rPr>
          <w:rFonts w:cs="Arial"/>
          <w:color w:val="000000"/>
        </w:rPr>
        <w:t xml:space="preserve"> can grow to levels that can present a risk to consumers </w:t>
      </w:r>
      <w:r>
        <w:t>(Codex 2007)</w:t>
      </w:r>
      <w:r>
        <w:rPr>
          <w:rFonts w:cs="Arial"/>
          <w:color w:val="000000"/>
        </w:rPr>
        <w:t>.</w:t>
      </w:r>
      <w:r>
        <w:t xml:space="preserve"> Growth of </w:t>
      </w:r>
      <w:r w:rsidRPr="00E03A8B">
        <w:rPr>
          <w:i/>
        </w:rPr>
        <w:t>L. monocytogenes</w:t>
      </w:r>
      <w:r w:rsidRPr="00151CFF">
        <w:t xml:space="preserve"> </w:t>
      </w:r>
      <w:r>
        <w:t>does not occur in foods with</w:t>
      </w:r>
      <w:r w:rsidRPr="00EA479F">
        <w:t xml:space="preserve"> pH </w:t>
      </w:r>
      <w:r>
        <w:t xml:space="preserve">&lt;4.4, regardless of water activity; water activity &lt;0.92, regardless of pH; or a combination of pH &lt;5.0 and water activity &lt;0.94 (Codex 2007). Data provided by the Applicant on the characteristics for various processed meat products have pH &gt;5.5 and water activity &gt; 0.95, characteristics which support the growth of </w:t>
      </w:r>
      <w:r w:rsidRPr="00E03A8B">
        <w:rPr>
          <w:i/>
        </w:rPr>
        <w:t>L. monocytogenes</w:t>
      </w:r>
      <w:r>
        <w:t xml:space="preserve"> in the absence of inhibitory substances.</w:t>
      </w:r>
    </w:p>
    <w:p w14:paraId="066B55F2" w14:textId="71EA7D04" w:rsidR="002A784B" w:rsidRPr="00E03A8B" w:rsidRDefault="006B3A79" w:rsidP="006B3A79">
      <w:pPr>
        <w:pStyle w:val="Heading3"/>
      </w:pPr>
      <w:bookmarkStart w:id="30" w:name="_Toc454451343"/>
      <w:r>
        <w:t>2.</w:t>
      </w:r>
      <w:r w:rsidR="00CB77A1">
        <w:t>6</w:t>
      </w:r>
      <w:r>
        <w:t xml:space="preserve">.2 </w:t>
      </w:r>
      <w:r w:rsidR="002A784B">
        <w:t>Challenge studies to demonstrate efficacy</w:t>
      </w:r>
      <w:bookmarkEnd w:id="30"/>
    </w:p>
    <w:p w14:paraId="5ECCEAE5" w14:textId="42107D2F" w:rsidR="002A784B" w:rsidRDefault="002A784B" w:rsidP="002A784B">
      <w:r>
        <w:t xml:space="preserve">The Applicant provided data from two published challenge studies of sodium propionate in cured deli-style turkey (Glass et al 2013) and ham and uncured turkey (Glass et al 2007) to demonstrate the efficacy of sodium propionate to inhibit the growth of </w:t>
      </w:r>
      <w:r w:rsidRPr="00FB5D14">
        <w:rPr>
          <w:i/>
        </w:rPr>
        <w:t>L. monocytogenes</w:t>
      </w:r>
      <w:r>
        <w:t xml:space="preserve"> when stored at 4</w:t>
      </w:r>
      <w:r>
        <w:rPr>
          <w:rFonts w:ascii="Calibri" w:hAnsi="Calibri"/>
        </w:rPr>
        <w:t>⁰</w:t>
      </w:r>
      <w:r w:rsidR="00A335B4">
        <w:rPr>
          <w:rFonts w:ascii="Calibri" w:hAnsi="Calibri"/>
        </w:rPr>
        <w:t xml:space="preserve"> </w:t>
      </w:r>
      <w:r>
        <w:t>C and under temperature abuse conditions of 7 and 10</w:t>
      </w:r>
      <w:r>
        <w:rPr>
          <w:rFonts w:ascii="Calibri" w:hAnsi="Calibri"/>
        </w:rPr>
        <w:t>⁰</w:t>
      </w:r>
      <w:r w:rsidR="00A335B4">
        <w:rPr>
          <w:rFonts w:ascii="Calibri" w:hAnsi="Calibri"/>
        </w:rPr>
        <w:t xml:space="preserve"> </w:t>
      </w:r>
      <w:r>
        <w:t>C. Sodium propionate solution was incorporated into meat preparations with brine solution to achieve the target concentrations of propionate. Control product, without the addition of the sodium propionate treatment, was also processed concu</w:t>
      </w:r>
      <w:r w:rsidR="001B3B0E">
        <w:t xml:space="preserve">rrently with treated products. </w:t>
      </w:r>
      <w:r>
        <w:t xml:space="preserve">The cured deli-style turkey products were prepared, cooked, sliced, chilled and vacuum packaged at a commercial manufacturer under </w:t>
      </w:r>
      <w:r w:rsidR="006F0382">
        <w:t>GMP</w:t>
      </w:r>
      <w:r>
        <w:t xml:space="preserve"> before transport at 4</w:t>
      </w:r>
      <w:r>
        <w:rPr>
          <w:rFonts w:ascii="Calibri" w:hAnsi="Calibri"/>
        </w:rPr>
        <w:t>⁰</w:t>
      </w:r>
      <w:r w:rsidR="00A335B4">
        <w:rPr>
          <w:rFonts w:ascii="Calibri" w:hAnsi="Calibri"/>
        </w:rPr>
        <w:t xml:space="preserve"> </w:t>
      </w:r>
      <w:r>
        <w:t xml:space="preserve">C to the laboratory where the challenge studies were performed. The studies were replicated twice (Glass et al 2007; Glass et al 2013). </w:t>
      </w:r>
    </w:p>
    <w:p w14:paraId="765C460E" w14:textId="77777777" w:rsidR="002A784B" w:rsidRDefault="002A784B" w:rsidP="002A784B"/>
    <w:p w14:paraId="4CF87262" w14:textId="016D093B" w:rsidR="002A784B" w:rsidRDefault="002A784B" w:rsidP="002A784B">
      <w:r>
        <w:t xml:space="preserve">The challenge studies were performed on sliced cooked meat and surface inoculated between slices with 5 log </w:t>
      </w:r>
      <w:proofErr w:type="spellStart"/>
      <w:r>
        <w:t>cfu</w:t>
      </w:r>
      <w:proofErr w:type="spellEnd"/>
      <w:r>
        <w:t xml:space="preserve"> per 100g package with a five strain mixture of </w:t>
      </w:r>
      <w:r w:rsidRPr="001C360B">
        <w:rPr>
          <w:i/>
        </w:rPr>
        <w:t>L. monocytogenes</w:t>
      </w:r>
      <w:r>
        <w:t>. Inoculated products were vacuum-packaged in gas-impermeable pouches and incubated at 4, 7 or 10</w:t>
      </w:r>
      <w:r>
        <w:rPr>
          <w:rFonts w:ascii="Calibri" w:hAnsi="Calibri"/>
        </w:rPr>
        <w:t>⁰</w:t>
      </w:r>
      <w:r w:rsidR="00A335B4">
        <w:rPr>
          <w:rFonts w:ascii="Calibri" w:hAnsi="Calibri"/>
        </w:rPr>
        <w:t xml:space="preserve"> </w:t>
      </w:r>
      <w:r>
        <w:t xml:space="preserve">C for 12 weeks. The strains used for the challenge experiments on cured deli-style turkey are </w:t>
      </w:r>
      <w:r w:rsidRPr="00F07BBF">
        <w:t>described in Table 1 (Glass</w:t>
      </w:r>
      <w:r>
        <w:t xml:space="preserve"> et al 2013</w:t>
      </w:r>
      <w:r w:rsidRPr="00390525">
        <w:t>)</w:t>
      </w:r>
      <w:r>
        <w:t xml:space="preserve">. The challenge strains were the same for ham and uncured turkey with the exception of </w:t>
      </w:r>
      <w:r w:rsidRPr="008312DC">
        <w:rPr>
          <w:i/>
        </w:rPr>
        <w:t>L. monocytogenes</w:t>
      </w:r>
      <w:r>
        <w:t xml:space="preserve"> strain Scott A (clinical strain serotype 4b) being used instead of strain FSL-C1-109 (Glass et al 2007)</w:t>
      </w:r>
      <w:r w:rsidRPr="00390525">
        <w:t>.</w:t>
      </w:r>
      <w:r>
        <w:t xml:space="preserve"> </w:t>
      </w:r>
    </w:p>
    <w:p w14:paraId="7248F7A2" w14:textId="77777777" w:rsidR="002A784B" w:rsidRDefault="002A784B" w:rsidP="002A784B"/>
    <w:p w14:paraId="7451007A" w14:textId="7DB9AD57" w:rsidR="002A784B" w:rsidRDefault="002A784B" w:rsidP="002A784B">
      <w:r>
        <w:t>For cured deli-style turkey stored at 4</w:t>
      </w:r>
      <w:r>
        <w:rPr>
          <w:rFonts w:ascii="Calibri" w:hAnsi="Calibri"/>
        </w:rPr>
        <w:t>⁰</w:t>
      </w:r>
      <w:r w:rsidR="00A335B4">
        <w:rPr>
          <w:rFonts w:ascii="Calibri" w:hAnsi="Calibri"/>
        </w:rPr>
        <w:t xml:space="preserve"> </w:t>
      </w:r>
      <w:r>
        <w:t xml:space="preserve">C, growth inhibition of </w:t>
      </w:r>
      <w:r w:rsidRPr="00C52364">
        <w:rPr>
          <w:i/>
        </w:rPr>
        <w:t>L. monocytogenes</w:t>
      </w:r>
      <w:r>
        <w:t xml:space="preserve"> relative to the control was achieved for all concentrations of liquid sodium propionate </w:t>
      </w:r>
      <w:r w:rsidRPr="00F07BBF">
        <w:t xml:space="preserve">tested (Table 2) and growth of </w:t>
      </w:r>
      <w:r w:rsidRPr="00F07BBF">
        <w:rPr>
          <w:i/>
        </w:rPr>
        <w:t>L. monocytogenes</w:t>
      </w:r>
      <w:r w:rsidRPr="00F07BBF">
        <w:t xml:space="preserve"> was limited to an increase of &lt;1-log for a minimum of nine weeks for all concentrations and samples tested for both replicate trials (Table 2). Populations of </w:t>
      </w:r>
      <w:r w:rsidRPr="00F07BBF">
        <w:rPr>
          <w:i/>
        </w:rPr>
        <w:t>L. monocytogenes</w:t>
      </w:r>
      <w:r w:rsidRPr="00F07BBF">
        <w:t xml:space="preserve"> stored at 4</w:t>
      </w:r>
      <w:r w:rsidRPr="00F07BBF">
        <w:rPr>
          <w:rFonts w:ascii="Calibri" w:hAnsi="Calibri"/>
        </w:rPr>
        <w:t>⁰</w:t>
      </w:r>
      <w:r w:rsidR="00A335B4">
        <w:rPr>
          <w:rFonts w:ascii="Calibri" w:hAnsi="Calibri"/>
        </w:rPr>
        <w:t xml:space="preserve"> </w:t>
      </w:r>
      <w:r w:rsidRPr="00F07BBF">
        <w:t>C for 10 weeks and beyond demonstrated</w:t>
      </w:r>
      <w:r>
        <w:t xml:space="preserve"> variability between samples within replicate trials, supporting </w:t>
      </w:r>
      <w:r>
        <w:rPr>
          <w:rFonts w:cs="Arial"/>
        </w:rPr>
        <w:t>≥</w:t>
      </w:r>
      <w:r>
        <w:t xml:space="preserve">1-log increase in at least one sample each until week 12 (Glass et al 2013). </w:t>
      </w:r>
    </w:p>
    <w:p w14:paraId="628C4779" w14:textId="77777777" w:rsidR="002A784B" w:rsidRDefault="002A784B" w:rsidP="002A784B"/>
    <w:p w14:paraId="3A9ED03D" w14:textId="573BEE1F" w:rsidR="002A784B" w:rsidRDefault="002A784B" w:rsidP="002A784B">
      <w:r>
        <w:t>For ham and uncured turkey, growth inhibition of &lt;1-log was achieved for the duration of the trial (12 weeks) for the highest concentrations of propionate, 0.20 and 0.30%. For ham and uncured turkey containing 0.10% propionate and stored at 4</w:t>
      </w:r>
      <w:r>
        <w:rPr>
          <w:rFonts w:ascii="Calibri" w:hAnsi="Calibri"/>
        </w:rPr>
        <w:t>⁰</w:t>
      </w:r>
      <w:r w:rsidR="00A335B4">
        <w:rPr>
          <w:rFonts w:ascii="Calibri" w:hAnsi="Calibri"/>
        </w:rPr>
        <w:t xml:space="preserve"> </w:t>
      </w:r>
      <w:r>
        <w:t xml:space="preserve">C, growth inhibition of &lt;1-log was achieved for 10 and six weeks, respectively. For ham containing 0.05% propionate, growth inhibition was equivalent to the control (Glass et al 2007). </w:t>
      </w:r>
    </w:p>
    <w:p w14:paraId="79A7817C" w14:textId="77777777" w:rsidR="002A784B" w:rsidRDefault="002A784B" w:rsidP="002A784B"/>
    <w:p w14:paraId="2A1F5D45" w14:textId="3672401A" w:rsidR="002A784B" w:rsidRDefault="002A784B" w:rsidP="002A784B">
      <w:r w:rsidRPr="000F78C8">
        <w:rPr>
          <w:rFonts w:cs="Arial"/>
        </w:rPr>
        <w:t>For the cured deli-style turkey stored under moderate temperature abuse conditions of 7</w:t>
      </w:r>
      <w:r w:rsidRPr="000F78C8">
        <w:rPr>
          <w:rFonts w:ascii="Cambria Math" w:hAnsi="Cambria Math" w:cs="Cambria Math"/>
        </w:rPr>
        <w:t>⁰</w:t>
      </w:r>
      <w:r w:rsidRPr="000F78C8">
        <w:rPr>
          <w:rFonts w:cs="Arial"/>
        </w:rPr>
        <w:t xml:space="preserve">C, </w:t>
      </w:r>
      <w:r w:rsidRPr="000F78C8">
        <w:rPr>
          <w:rFonts w:cs="Arial"/>
          <w:i/>
        </w:rPr>
        <w:t>L. monocytogenes</w:t>
      </w:r>
      <w:r w:rsidRPr="000F78C8">
        <w:rPr>
          <w:rFonts w:cs="Arial"/>
        </w:rPr>
        <w:t xml:space="preserve"> g</w:t>
      </w:r>
      <w:r>
        <w:rPr>
          <w:rFonts w:cs="Arial"/>
        </w:rPr>
        <w:t>rowth in the control exceeded 4-</w:t>
      </w:r>
      <w:r w:rsidRPr="000F78C8">
        <w:rPr>
          <w:rFonts w:cs="Arial"/>
        </w:rPr>
        <w:t xml:space="preserve">log after </w:t>
      </w:r>
      <w:r>
        <w:rPr>
          <w:rFonts w:cs="Arial"/>
        </w:rPr>
        <w:t>two</w:t>
      </w:r>
      <w:r w:rsidRPr="000F78C8">
        <w:rPr>
          <w:rFonts w:cs="Arial"/>
        </w:rPr>
        <w:t xml:space="preserve"> weeks </w:t>
      </w:r>
      <w:r>
        <w:rPr>
          <w:rFonts w:cs="Arial"/>
        </w:rPr>
        <w:t xml:space="preserve">of </w:t>
      </w:r>
      <w:r w:rsidRPr="000F78C8">
        <w:rPr>
          <w:rFonts w:cs="Arial"/>
        </w:rPr>
        <w:t>storage. For cured deli-style turkey</w:t>
      </w:r>
      <w:r>
        <w:t xml:space="preserve"> preparations containing 0.30% proprietary liquid sodium propionate solution, growth of </w:t>
      </w:r>
      <w:r w:rsidRPr="003E315A">
        <w:rPr>
          <w:i/>
        </w:rPr>
        <w:t>L. monocytogenes</w:t>
      </w:r>
      <w:r>
        <w:t xml:space="preserve"> was inhibited to &lt;1-log after two weeks of storage and concentrations of 0.40 and 0.50% inhibited growth to &lt;1-log after four and six weeks of storage, respectively at 7</w:t>
      </w:r>
      <w:r>
        <w:rPr>
          <w:rFonts w:ascii="Calibri" w:hAnsi="Calibri"/>
        </w:rPr>
        <w:t>⁰</w:t>
      </w:r>
      <w:r w:rsidR="00407D6F">
        <w:rPr>
          <w:rFonts w:ascii="Calibri" w:hAnsi="Calibri"/>
        </w:rPr>
        <w:t> </w:t>
      </w:r>
      <w:r>
        <w:t xml:space="preserve">C. </w:t>
      </w:r>
    </w:p>
    <w:p w14:paraId="1049F736" w14:textId="77777777" w:rsidR="002A784B" w:rsidRDefault="002A784B" w:rsidP="002A784B"/>
    <w:p w14:paraId="009D8F9D" w14:textId="0A18C5C5" w:rsidR="002A784B" w:rsidRDefault="002A784B" w:rsidP="002A784B">
      <w:r>
        <w:t xml:space="preserve">For ham and uncured turkey containing </w:t>
      </w:r>
      <w:r>
        <w:rPr>
          <w:rFonts w:cs="Arial"/>
        </w:rPr>
        <w:t>≥</w:t>
      </w:r>
      <w:r w:rsidRPr="00C877E7">
        <w:t>0.2</w:t>
      </w:r>
      <w:r>
        <w:t>0</w:t>
      </w:r>
      <w:r w:rsidRPr="00C877E7">
        <w:t>% propionate</w:t>
      </w:r>
      <w:r>
        <w:t xml:space="preserve">, </w:t>
      </w:r>
      <w:r w:rsidRPr="000F78C8">
        <w:rPr>
          <w:rFonts w:cs="Arial"/>
          <w:i/>
        </w:rPr>
        <w:t>L. monocytogenes</w:t>
      </w:r>
      <w:r>
        <w:t xml:space="preserve"> growth was delayed by four weeks</w:t>
      </w:r>
      <w:r w:rsidRPr="003307D3">
        <w:t xml:space="preserve"> </w:t>
      </w:r>
      <w:r>
        <w:t>at 7</w:t>
      </w:r>
      <w:r>
        <w:rPr>
          <w:rFonts w:ascii="Calibri" w:hAnsi="Calibri"/>
        </w:rPr>
        <w:t>⁰</w:t>
      </w:r>
      <w:r w:rsidR="00A335B4">
        <w:rPr>
          <w:rFonts w:ascii="Calibri" w:hAnsi="Calibri"/>
        </w:rPr>
        <w:t xml:space="preserve"> </w:t>
      </w:r>
      <w:r>
        <w:t xml:space="preserve">C and for ham containing 0.30% </w:t>
      </w:r>
      <w:r w:rsidR="00A67223">
        <w:t>propionate;</w:t>
      </w:r>
      <w:r>
        <w:t xml:space="preserve"> </w:t>
      </w:r>
      <w:r w:rsidRPr="000F78C8">
        <w:rPr>
          <w:rFonts w:cs="Arial"/>
          <w:i/>
        </w:rPr>
        <w:t>L. monocytogenes</w:t>
      </w:r>
      <w:r>
        <w:t xml:space="preserve"> growth was delayed by four weeks at 10</w:t>
      </w:r>
      <w:r>
        <w:rPr>
          <w:rFonts w:ascii="Calibri" w:hAnsi="Calibri"/>
        </w:rPr>
        <w:t>⁰</w:t>
      </w:r>
      <w:r w:rsidR="00A335B4">
        <w:rPr>
          <w:rFonts w:ascii="Calibri" w:hAnsi="Calibri"/>
        </w:rPr>
        <w:t xml:space="preserve"> </w:t>
      </w:r>
      <w:r>
        <w:t>C. For the uncured turkey stored at 10</w:t>
      </w:r>
      <w:r>
        <w:rPr>
          <w:rFonts w:ascii="Calibri" w:hAnsi="Calibri"/>
        </w:rPr>
        <w:t>⁰</w:t>
      </w:r>
      <w:r w:rsidR="00A335B4">
        <w:rPr>
          <w:rFonts w:ascii="Calibri" w:hAnsi="Calibri"/>
        </w:rPr>
        <w:t xml:space="preserve"> </w:t>
      </w:r>
      <w:r>
        <w:t xml:space="preserve">C, none of the treatments delayed </w:t>
      </w:r>
      <w:r w:rsidRPr="000F78C8">
        <w:rPr>
          <w:rFonts w:cs="Arial"/>
          <w:i/>
        </w:rPr>
        <w:t>L. monocytogenes</w:t>
      </w:r>
      <w:r>
        <w:t xml:space="preserve"> growth (Glass et al 2007).</w:t>
      </w:r>
    </w:p>
    <w:p w14:paraId="379B27F8" w14:textId="77777777" w:rsidR="002A784B" w:rsidRDefault="002A784B" w:rsidP="002A784B"/>
    <w:p w14:paraId="565915D5" w14:textId="278A4F8B" w:rsidR="002A784B" w:rsidRDefault="002A784B" w:rsidP="00FF607C">
      <w:pPr>
        <w:keepNext/>
        <w:keepLines/>
        <w:tabs>
          <w:tab w:val="left" w:pos="7140"/>
        </w:tabs>
      </w:pPr>
      <w:r w:rsidRPr="008C77CB">
        <w:rPr>
          <w:b/>
        </w:rPr>
        <w:t>Table 1: Strains</w:t>
      </w:r>
      <w:r w:rsidRPr="009B3F70">
        <w:rPr>
          <w:b/>
        </w:rPr>
        <w:t xml:space="preserve"> of </w:t>
      </w:r>
      <w:r w:rsidRPr="009B3F70">
        <w:rPr>
          <w:b/>
          <w:i/>
        </w:rPr>
        <w:t>L. monocytogenes</w:t>
      </w:r>
      <w:r w:rsidRPr="009B3F70">
        <w:rPr>
          <w:b/>
        </w:rPr>
        <w:t xml:space="preserve"> used in challenge studies to demonstrate efficacy of sodium propionate as a preservative in processed meat products</w:t>
      </w:r>
    </w:p>
    <w:tbl>
      <w:tblPr>
        <w:tblStyle w:val="LightList-Accent1"/>
        <w:tblW w:w="0" w:type="auto"/>
        <w:tblLook w:val="04A0" w:firstRow="1" w:lastRow="0" w:firstColumn="1" w:lastColumn="0" w:noHBand="0" w:noVBand="1"/>
        <w:tblDescription w:val="Table 1: Strains of L. monocytogenes used in challenge studies to demonstrate efficacy of sodium propionate as a preservative in processed meat products"/>
      </w:tblPr>
      <w:tblGrid>
        <w:gridCol w:w="2660"/>
        <w:gridCol w:w="1559"/>
        <w:gridCol w:w="5067"/>
      </w:tblGrid>
      <w:tr w:rsidR="002A784B" w14:paraId="0A87E33B" w14:textId="77777777" w:rsidTr="009A11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60" w:type="dxa"/>
          </w:tcPr>
          <w:p w14:paraId="32A76F49" w14:textId="77777777" w:rsidR="002A784B" w:rsidRDefault="002A784B" w:rsidP="00FF607C">
            <w:pPr>
              <w:keepNext/>
              <w:keepLines/>
              <w:tabs>
                <w:tab w:val="left" w:pos="7140"/>
              </w:tabs>
            </w:pPr>
            <w:r w:rsidRPr="001C360B">
              <w:rPr>
                <w:i/>
              </w:rPr>
              <w:t>L. monocytogenes</w:t>
            </w:r>
            <w:r>
              <w:t xml:space="preserve"> strain </w:t>
            </w:r>
          </w:p>
        </w:tc>
        <w:tc>
          <w:tcPr>
            <w:tcW w:w="1559" w:type="dxa"/>
          </w:tcPr>
          <w:p w14:paraId="5C65145E" w14:textId="77777777" w:rsidR="002A784B" w:rsidRDefault="002A784B" w:rsidP="00FF607C">
            <w:pPr>
              <w:keepNext/>
              <w:keepLines/>
              <w:tabs>
                <w:tab w:val="left" w:pos="7140"/>
              </w:tabs>
              <w:cnfStyle w:val="100000000000" w:firstRow="1" w:lastRow="0" w:firstColumn="0" w:lastColumn="0" w:oddVBand="0" w:evenVBand="0" w:oddHBand="0" w:evenHBand="0" w:firstRowFirstColumn="0" w:firstRowLastColumn="0" w:lastRowFirstColumn="0" w:lastRowLastColumn="0"/>
            </w:pPr>
            <w:r>
              <w:t>Serotype</w:t>
            </w:r>
          </w:p>
        </w:tc>
        <w:tc>
          <w:tcPr>
            <w:tcW w:w="5067" w:type="dxa"/>
          </w:tcPr>
          <w:p w14:paraId="2CCB339D" w14:textId="77777777" w:rsidR="002A784B" w:rsidRDefault="002A784B" w:rsidP="00FF607C">
            <w:pPr>
              <w:keepNext/>
              <w:keepLines/>
              <w:tabs>
                <w:tab w:val="left" w:pos="7140"/>
              </w:tabs>
              <w:cnfStyle w:val="100000000000" w:firstRow="1" w:lastRow="0" w:firstColumn="0" w:lastColumn="0" w:oddVBand="0" w:evenVBand="0" w:oddHBand="0" w:evenHBand="0" w:firstRowFirstColumn="0" w:firstRowLastColumn="0" w:lastRowFirstColumn="0" w:lastRowLastColumn="0"/>
            </w:pPr>
            <w:r>
              <w:t>Source of strain</w:t>
            </w:r>
          </w:p>
        </w:tc>
      </w:tr>
      <w:tr w:rsidR="002A784B" w14:paraId="389F93B2" w14:textId="77777777" w:rsidTr="009A1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1A251611" w14:textId="77777777" w:rsidR="002A784B" w:rsidRDefault="002A784B" w:rsidP="00FF607C">
            <w:pPr>
              <w:keepNext/>
              <w:keepLines/>
              <w:tabs>
                <w:tab w:val="left" w:pos="7140"/>
              </w:tabs>
            </w:pPr>
            <w:r>
              <w:t>FSL-C1-109</w:t>
            </w:r>
          </w:p>
        </w:tc>
        <w:tc>
          <w:tcPr>
            <w:tcW w:w="1559" w:type="dxa"/>
          </w:tcPr>
          <w:p w14:paraId="1BCC5688" w14:textId="77777777" w:rsidR="002A784B" w:rsidRDefault="002A784B" w:rsidP="00FF607C">
            <w:pPr>
              <w:keepNext/>
              <w:keepLines/>
              <w:tabs>
                <w:tab w:val="left" w:pos="7140"/>
              </w:tabs>
              <w:cnfStyle w:val="000000100000" w:firstRow="0" w:lastRow="0" w:firstColumn="0" w:lastColumn="0" w:oddVBand="0" w:evenVBand="0" w:oddHBand="1" w:evenHBand="0" w:firstRowFirstColumn="0" w:firstRowLastColumn="0" w:lastRowFirstColumn="0" w:lastRowLastColumn="0"/>
            </w:pPr>
            <w:r>
              <w:t>4b</w:t>
            </w:r>
          </w:p>
        </w:tc>
        <w:tc>
          <w:tcPr>
            <w:tcW w:w="5067" w:type="dxa"/>
          </w:tcPr>
          <w:p w14:paraId="09205668" w14:textId="77777777" w:rsidR="002A784B" w:rsidRDefault="002A784B" w:rsidP="00FF607C">
            <w:pPr>
              <w:keepNext/>
              <w:keepLines/>
              <w:tabs>
                <w:tab w:val="left" w:pos="7140"/>
              </w:tabs>
              <w:cnfStyle w:val="000000100000" w:firstRow="0" w:lastRow="0" w:firstColumn="0" w:lastColumn="0" w:oddVBand="0" w:evenVBand="0" w:oddHBand="1" w:evenHBand="0" w:firstRowFirstColumn="0" w:firstRowLastColumn="0" w:lastRowFirstColumn="0" w:lastRowLastColumn="0"/>
            </w:pPr>
            <w:r>
              <w:t>Deli turkey isolate associated with illness</w:t>
            </w:r>
          </w:p>
        </w:tc>
      </w:tr>
      <w:tr w:rsidR="002A784B" w14:paraId="0F88F0D6" w14:textId="77777777" w:rsidTr="009A1174">
        <w:tc>
          <w:tcPr>
            <w:cnfStyle w:val="001000000000" w:firstRow="0" w:lastRow="0" w:firstColumn="1" w:lastColumn="0" w:oddVBand="0" w:evenVBand="0" w:oddHBand="0" w:evenHBand="0" w:firstRowFirstColumn="0" w:firstRowLastColumn="0" w:lastRowFirstColumn="0" w:lastRowLastColumn="0"/>
            <w:tcW w:w="2660" w:type="dxa"/>
          </w:tcPr>
          <w:p w14:paraId="5CF1EB2E" w14:textId="77777777" w:rsidR="002A784B" w:rsidRDefault="002A784B" w:rsidP="00FF607C">
            <w:pPr>
              <w:keepNext/>
              <w:keepLines/>
              <w:tabs>
                <w:tab w:val="left" w:pos="7140"/>
              </w:tabs>
            </w:pPr>
            <w:r>
              <w:t>LM 101</w:t>
            </w:r>
          </w:p>
        </w:tc>
        <w:tc>
          <w:tcPr>
            <w:tcW w:w="1559" w:type="dxa"/>
          </w:tcPr>
          <w:p w14:paraId="47D8238B" w14:textId="77777777" w:rsidR="002A784B" w:rsidRDefault="002A784B" w:rsidP="00FF607C">
            <w:pPr>
              <w:keepNext/>
              <w:keepLines/>
              <w:tabs>
                <w:tab w:val="left" w:pos="7140"/>
              </w:tabs>
              <w:cnfStyle w:val="000000000000" w:firstRow="0" w:lastRow="0" w:firstColumn="0" w:lastColumn="0" w:oddVBand="0" w:evenVBand="0" w:oddHBand="0" w:evenHBand="0" w:firstRowFirstColumn="0" w:firstRowLastColumn="0" w:lastRowFirstColumn="0" w:lastRowLastColumn="0"/>
            </w:pPr>
            <w:r>
              <w:t>4b</w:t>
            </w:r>
          </w:p>
        </w:tc>
        <w:tc>
          <w:tcPr>
            <w:tcW w:w="5067" w:type="dxa"/>
          </w:tcPr>
          <w:p w14:paraId="49D8718C" w14:textId="77777777" w:rsidR="002A784B" w:rsidRDefault="002A784B" w:rsidP="00FF607C">
            <w:pPr>
              <w:keepNext/>
              <w:keepLines/>
              <w:tabs>
                <w:tab w:val="left" w:pos="7140"/>
              </w:tabs>
              <w:cnfStyle w:val="000000000000" w:firstRow="0" w:lastRow="0" w:firstColumn="0" w:lastColumn="0" w:oddVBand="0" w:evenVBand="0" w:oddHBand="0" w:evenHBand="0" w:firstRowFirstColumn="0" w:firstRowLastColumn="0" w:lastRowFirstColumn="0" w:lastRowLastColumn="0"/>
            </w:pPr>
            <w:r>
              <w:t>Hard salami isolate</w:t>
            </w:r>
          </w:p>
        </w:tc>
      </w:tr>
      <w:tr w:rsidR="002A784B" w14:paraId="74AD875E" w14:textId="77777777" w:rsidTr="009A1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138C0794" w14:textId="77777777" w:rsidR="002A784B" w:rsidRDefault="002A784B" w:rsidP="00FF607C">
            <w:pPr>
              <w:keepNext/>
              <w:keepLines/>
              <w:tabs>
                <w:tab w:val="left" w:pos="7140"/>
              </w:tabs>
            </w:pPr>
            <w:r>
              <w:t>LM 108</w:t>
            </w:r>
          </w:p>
        </w:tc>
        <w:tc>
          <w:tcPr>
            <w:tcW w:w="1559" w:type="dxa"/>
          </w:tcPr>
          <w:p w14:paraId="7E0B7754" w14:textId="77777777" w:rsidR="002A784B" w:rsidRDefault="002A784B" w:rsidP="00FF607C">
            <w:pPr>
              <w:keepNext/>
              <w:keepLines/>
              <w:tabs>
                <w:tab w:val="left" w:pos="7140"/>
              </w:tabs>
              <w:cnfStyle w:val="000000100000" w:firstRow="0" w:lastRow="0" w:firstColumn="0" w:lastColumn="0" w:oddVBand="0" w:evenVBand="0" w:oddHBand="1" w:evenHBand="0" w:firstRowFirstColumn="0" w:firstRowLastColumn="0" w:lastRowFirstColumn="0" w:lastRowLastColumn="0"/>
            </w:pPr>
            <w:r>
              <w:t>1/2a</w:t>
            </w:r>
          </w:p>
        </w:tc>
        <w:tc>
          <w:tcPr>
            <w:tcW w:w="5067" w:type="dxa"/>
          </w:tcPr>
          <w:p w14:paraId="18EDC50F" w14:textId="77777777" w:rsidR="002A784B" w:rsidRDefault="002A784B" w:rsidP="00FF607C">
            <w:pPr>
              <w:keepNext/>
              <w:keepLines/>
              <w:tabs>
                <w:tab w:val="left" w:pos="7140"/>
              </w:tabs>
              <w:cnfStyle w:val="000000100000" w:firstRow="0" w:lastRow="0" w:firstColumn="0" w:lastColumn="0" w:oddVBand="0" w:evenVBand="0" w:oddHBand="1" w:evenHBand="0" w:firstRowFirstColumn="0" w:firstRowLastColumn="0" w:lastRowFirstColumn="0" w:lastRowLastColumn="0"/>
            </w:pPr>
            <w:r>
              <w:t>Hard salami isolate</w:t>
            </w:r>
          </w:p>
        </w:tc>
      </w:tr>
      <w:tr w:rsidR="002A784B" w14:paraId="0F18112A" w14:textId="77777777" w:rsidTr="009A1174">
        <w:tc>
          <w:tcPr>
            <w:cnfStyle w:val="001000000000" w:firstRow="0" w:lastRow="0" w:firstColumn="1" w:lastColumn="0" w:oddVBand="0" w:evenVBand="0" w:oddHBand="0" w:evenHBand="0" w:firstRowFirstColumn="0" w:firstRowLastColumn="0" w:lastRowFirstColumn="0" w:lastRowLastColumn="0"/>
            <w:tcW w:w="2660" w:type="dxa"/>
          </w:tcPr>
          <w:p w14:paraId="402F26D2" w14:textId="77777777" w:rsidR="002A784B" w:rsidRDefault="002A784B" w:rsidP="00FF607C">
            <w:pPr>
              <w:keepNext/>
              <w:keepLines/>
              <w:tabs>
                <w:tab w:val="left" w:pos="7140"/>
              </w:tabs>
            </w:pPr>
            <w:r>
              <w:t>LM 310</w:t>
            </w:r>
          </w:p>
        </w:tc>
        <w:tc>
          <w:tcPr>
            <w:tcW w:w="1559" w:type="dxa"/>
          </w:tcPr>
          <w:p w14:paraId="6BF121ED" w14:textId="77777777" w:rsidR="002A784B" w:rsidRDefault="002A784B" w:rsidP="00FF607C">
            <w:pPr>
              <w:keepNext/>
              <w:keepLines/>
              <w:tabs>
                <w:tab w:val="left" w:pos="7140"/>
              </w:tabs>
              <w:cnfStyle w:val="000000000000" w:firstRow="0" w:lastRow="0" w:firstColumn="0" w:lastColumn="0" w:oddVBand="0" w:evenVBand="0" w:oddHBand="0" w:evenHBand="0" w:firstRowFirstColumn="0" w:firstRowLastColumn="0" w:lastRowFirstColumn="0" w:lastRowLastColumn="0"/>
            </w:pPr>
            <w:r>
              <w:t>4</w:t>
            </w:r>
          </w:p>
        </w:tc>
        <w:tc>
          <w:tcPr>
            <w:tcW w:w="5067" w:type="dxa"/>
          </w:tcPr>
          <w:p w14:paraId="1CAF608F" w14:textId="77777777" w:rsidR="002A784B" w:rsidRDefault="002A784B" w:rsidP="00FF607C">
            <w:pPr>
              <w:keepNext/>
              <w:keepLines/>
              <w:tabs>
                <w:tab w:val="left" w:pos="7140"/>
              </w:tabs>
              <w:cnfStyle w:val="000000000000" w:firstRow="0" w:lastRow="0" w:firstColumn="0" w:lastColumn="0" w:oddVBand="0" w:evenVBand="0" w:oddHBand="0" w:evenHBand="0" w:firstRowFirstColumn="0" w:firstRowLastColumn="0" w:lastRowFirstColumn="0" w:lastRowLastColumn="0"/>
            </w:pPr>
            <w:r>
              <w:t>Goats milk cheese isolate associated with illness</w:t>
            </w:r>
          </w:p>
        </w:tc>
      </w:tr>
      <w:tr w:rsidR="002A784B" w14:paraId="2790FF2D" w14:textId="77777777" w:rsidTr="009A1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2957291D" w14:textId="77777777" w:rsidR="002A784B" w:rsidRDefault="002A784B" w:rsidP="00FF607C">
            <w:pPr>
              <w:keepNext/>
              <w:keepLines/>
              <w:tabs>
                <w:tab w:val="left" w:pos="7140"/>
              </w:tabs>
            </w:pPr>
            <w:r>
              <w:t>V7</w:t>
            </w:r>
          </w:p>
        </w:tc>
        <w:tc>
          <w:tcPr>
            <w:tcW w:w="1559" w:type="dxa"/>
          </w:tcPr>
          <w:p w14:paraId="0FD10180" w14:textId="77777777" w:rsidR="002A784B" w:rsidRDefault="002A784B" w:rsidP="00FF607C">
            <w:pPr>
              <w:keepNext/>
              <w:keepLines/>
              <w:tabs>
                <w:tab w:val="left" w:pos="7140"/>
              </w:tabs>
              <w:cnfStyle w:val="000000100000" w:firstRow="0" w:lastRow="0" w:firstColumn="0" w:lastColumn="0" w:oddVBand="0" w:evenVBand="0" w:oddHBand="1" w:evenHBand="0" w:firstRowFirstColumn="0" w:firstRowLastColumn="0" w:lastRowFirstColumn="0" w:lastRowLastColumn="0"/>
            </w:pPr>
            <w:r>
              <w:t>1</w:t>
            </w:r>
          </w:p>
        </w:tc>
        <w:tc>
          <w:tcPr>
            <w:tcW w:w="5067" w:type="dxa"/>
          </w:tcPr>
          <w:p w14:paraId="6033354F" w14:textId="77777777" w:rsidR="002A784B" w:rsidRDefault="002A784B" w:rsidP="00FF607C">
            <w:pPr>
              <w:keepNext/>
              <w:keepLines/>
              <w:tabs>
                <w:tab w:val="left" w:pos="7140"/>
              </w:tabs>
              <w:cnfStyle w:val="000000100000" w:firstRow="0" w:lastRow="0" w:firstColumn="0" w:lastColumn="0" w:oddVBand="0" w:evenVBand="0" w:oddHBand="1" w:evenHBand="0" w:firstRowFirstColumn="0" w:firstRowLastColumn="0" w:lastRowFirstColumn="0" w:lastRowLastColumn="0"/>
            </w:pPr>
            <w:r>
              <w:t>Unpasteurised milk isolate</w:t>
            </w:r>
          </w:p>
        </w:tc>
      </w:tr>
    </w:tbl>
    <w:p w14:paraId="009A3546" w14:textId="77777777" w:rsidR="002A784B" w:rsidRDefault="002A784B" w:rsidP="00FF607C">
      <w:pPr>
        <w:keepNext/>
        <w:keepLines/>
      </w:pPr>
    </w:p>
    <w:p w14:paraId="36FA5C54" w14:textId="44977812" w:rsidR="00E82077" w:rsidRDefault="00E82077">
      <w:pPr>
        <w:widowControl/>
        <w:rPr>
          <w:b/>
          <w:highlight w:val="yellow"/>
        </w:rPr>
      </w:pPr>
      <w:r>
        <w:rPr>
          <w:b/>
          <w:highlight w:val="yellow"/>
        </w:rPr>
        <w:br w:type="page"/>
      </w:r>
    </w:p>
    <w:p w14:paraId="01E6177F" w14:textId="77777777" w:rsidR="002A784B" w:rsidRDefault="002A784B" w:rsidP="002A784B">
      <w:pPr>
        <w:rPr>
          <w:b/>
          <w:highlight w:val="yellow"/>
        </w:rPr>
      </w:pPr>
    </w:p>
    <w:p w14:paraId="3DB4C833" w14:textId="001A5F04" w:rsidR="002A784B" w:rsidRDefault="002A784B" w:rsidP="00F96B83">
      <w:pPr>
        <w:keepLines/>
      </w:pPr>
      <w:r w:rsidRPr="008C77CB">
        <w:rPr>
          <w:b/>
        </w:rPr>
        <w:t>Table 2: Inhibition</w:t>
      </w:r>
      <w:r w:rsidRPr="008C324E">
        <w:rPr>
          <w:b/>
        </w:rPr>
        <w:t xml:space="preserve"> of </w:t>
      </w:r>
      <w:r w:rsidRPr="008C324E">
        <w:rPr>
          <w:b/>
          <w:i/>
        </w:rPr>
        <w:t>L. monocytogenes</w:t>
      </w:r>
      <w:r w:rsidRPr="008C324E">
        <w:rPr>
          <w:b/>
        </w:rPr>
        <w:t xml:space="preserve"> in high moisture processed meat products at different target concentration</w:t>
      </w:r>
      <w:r>
        <w:rPr>
          <w:b/>
        </w:rPr>
        <w:t>s</w:t>
      </w:r>
      <w:r w:rsidRPr="008C324E">
        <w:rPr>
          <w:b/>
        </w:rPr>
        <w:t xml:space="preserve"> of propionic acid</w:t>
      </w:r>
    </w:p>
    <w:tbl>
      <w:tblPr>
        <w:tblStyle w:val="LightList-Accent1"/>
        <w:tblW w:w="0" w:type="auto"/>
        <w:tblLayout w:type="fixed"/>
        <w:tblLook w:val="04A0" w:firstRow="1" w:lastRow="0" w:firstColumn="1" w:lastColumn="0" w:noHBand="0" w:noVBand="1"/>
        <w:tblDescription w:val="Table 2: Inhibition of L. monocytogenes in high moisture processed meat products at different target concentrations of propionic acid"/>
      </w:tblPr>
      <w:tblGrid>
        <w:gridCol w:w="1384"/>
        <w:gridCol w:w="1701"/>
        <w:gridCol w:w="1276"/>
        <w:gridCol w:w="1417"/>
        <w:gridCol w:w="1560"/>
        <w:gridCol w:w="1948"/>
      </w:tblGrid>
      <w:tr w:rsidR="002A784B" w14:paraId="3A1A0346" w14:textId="77777777" w:rsidTr="009A11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84" w:type="dxa"/>
          </w:tcPr>
          <w:p w14:paraId="5B712EFB" w14:textId="77777777" w:rsidR="002A784B" w:rsidRDefault="002A784B" w:rsidP="00F96B83">
            <w:pPr>
              <w:keepLines/>
            </w:pPr>
            <w:r>
              <w:t>Processed meat type</w:t>
            </w:r>
          </w:p>
        </w:tc>
        <w:tc>
          <w:tcPr>
            <w:tcW w:w="1701" w:type="dxa"/>
          </w:tcPr>
          <w:p w14:paraId="202446F3" w14:textId="77777777" w:rsidR="002A784B" w:rsidRDefault="002A784B" w:rsidP="00F96B83">
            <w:pPr>
              <w:keepLines/>
              <w:jc w:val="center"/>
              <w:cnfStyle w:val="100000000000" w:firstRow="1" w:lastRow="0" w:firstColumn="0" w:lastColumn="0" w:oddVBand="0" w:evenVBand="0" w:oddHBand="0" w:evenHBand="0" w:firstRowFirstColumn="0" w:firstRowLastColumn="0" w:lastRowFirstColumn="0" w:lastRowLastColumn="0"/>
            </w:pPr>
            <w:r>
              <w:t>Target propionate concentration</w:t>
            </w:r>
          </w:p>
          <w:p w14:paraId="2AC2A41B" w14:textId="77777777" w:rsidR="002A784B" w:rsidRDefault="002A784B" w:rsidP="00F96B83">
            <w:pPr>
              <w:keepLines/>
              <w:jc w:val="center"/>
              <w:cnfStyle w:val="100000000000" w:firstRow="1" w:lastRow="0" w:firstColumn="0" w:lastColumn="0" w:oddVBand="0" w:evenVBand="0" w:oddHBand="0" w:evenHBand="0" w:firstRowFirstColumn="0" w:firstRowLastColumn="0" w:lastRowFirstColumn="0" w:lastRowLastColumn="0"/>
            </w:pPr>
            <w:r>
              <w:t>(%)</w:t>
            </w:r>
          </w:p>
        </w:tc>
        <w:tc>
          <w:tcPr>
            <w:tcW w:w="1276" w:type="dxa"/>
          </w:tcPr>
          <w:p w14:paraId="081E72C2" w14:textId="77777777" w:rsidR="002A784B" w:rsidRDefault="002A784B" w:rsidP="00F96B83">
            <w:pPr>
              <w:keepLines/>
              <w:jc w:val="center"/>
              <w:cnfStyle w:val="100000000000" w:firstRow="1" w:lastRow="0" w:firstColumn="0" w:lastColumn="0" w:oddVBand="0" w:evenVBand="0" w:oddHBand="0" w:evenHBand="0" w:firstRowFirstColumn="0" w:firstRowLastColumn="0" w:lastRowFirstColumn="0" w:lastRowLastColumn="0"/>
            </w:pPr>
            <w:r>
              <w:t>Mean pH ±SD</w:t>
            </w:r>
          </w:p>
        </w:tc>
        <w:tc>
          <w:tcPr>
            <w:tcW w:w="1417" w:type="dxa"/>
          </w:tcPr>
          <w:p w14:paraId="132532E1" w14:textId="77777777" w:rsidR="002A784B" w:rsidRDefault="002A784B" w:rsidP="00F96B83">
            <w:pPr>
              <w:keepLines/>
              <w:jc w:val="center"/>
              <w:cnfStyle w:val="100000000000" w:firstRow="1" w:lastRow="0" w:firstColumn="0" w:lastColumn="0" w:oddVBand="0" w:evenVBand="0" w:oddHBand="0" w:evenHBand="0" w:firstRowFirstColumn="0" w:firstRowLastColumn="0" w:lastRowFirstColumn="0" w:lastRowLastColumn="0"/>
            </w:pPr>
            <w:r>
              <w:t>Moisture content (%)</w:t>
            </w:r>
          </w:p>
        </w:tc>
        <w:tc>
          <w:tcPr>
            <w:tcW w:w="1560" w:type="dxa"/>
          </w:tcPr>
          <w:p w14:paraId="151D9046" w14:textId="77777777" w:rsidR="002A784B" w:rsidRDefault="002A784B" w:rsidP="00F96B83">
            <w:pPr>
              <w:keepLines/>
              <w:jc w:val="center"/>
              <w:cnfStyle w:val="100000000000" w:firstRow="1" w:lastRow="0" w:firstColumn="0" w:lastColumn="0" w:oddVBand="0" w:evenVBand="0" w:oddHBand="0" w:evenHBand="0" w:firstRowFirstColumn="0" w:firstRowLastColumn="0" w:lastRowFirstColumn="0" w:lastRowLastColumn="0"/>
            </w:pPr>
            <w:r>
              <w:t>Mean water activity ±SD</w:t>
            </w:r>
          </w:p>
        </w:tc>
        <w:tc>
          <w:tcPr>
            <w:tcW w:w="1948" w:type="dxa"/>
          </w:tcPr>
          <w:p w14:paraId="2A347931" w14:textId="77777777" w:rsidR="002A784B" w:rsidRDefault="002A784B" w:rsidP="00F96B83">
            <w:pPr>
              <w:keepLines/>
              <w:jc w:val="center"/>
              <w:cnfStyle w:val="100000000000" w:firstRow="1" w:lastRow="0" w:firstColumn="0" w:lastColumn="0" w:oddVBand="0" w:evenVBand="0" w:oddHBand="0" w:evenHBand="0" w:firstRowFirstColumn="0" w:firstRowLastColumn="0" w:lastRowFirstColumn="0" w:lastRowLastColumn="0"/>
            </w:pPr>
            <w:r>
              <w:t>Duration of inhibiting growth to &lt;1-log (weeks)</w:t>
            </w:r>
          </w:p>
        </w:tc>
      </w:tr>
      <w:tr w:rsidR="002A784B" w14:paraId="70B5E6F2" w14:textId="77777777" w:rsidTr="000C5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12FC704B" w14:textId="77777777" w:rsidR="002A784B" w:rsidRDefault="002A784B" w:rsidP="00F96B83">
            <w:pPr>
              <w:keepLines/>
            </w:pPr>
            <w:r>
              <w:t>Cured deli-style turkey</w:t>
            </w:r>
          </w:p>
        </w:tc>
        <w:tc>
          <w:tcPr>
            <w:tcW w:w="1701" w:type="dxa"/>
          </w:tcPr>
          <w:p w14:paraId="796CBB3E"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Control</w:t>
            </w:r>
          </w:p>
          <w:p w14:paraId="5B583D19"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0.30</w:t>
            </w:r>
            <w:r w:rsidRPr="00C34911">
              <w:rPr>
                <w:vertAlign w:val="superscript"/>
              </w:rPr>
              <w:t>†</w:t>
            </w:r>
          </w:p>
          <w:p w14:paraId="632CC06C"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0.40</w:t>
            </w:r>
            <w:r w:rsidRPr="00C34911">
              <w:rPr>
                <w:vertAlign w:val="superscript"/>
              </w:rPr>
              <w:t>†</w:t>
            </w:r>
          </w:p>
          <w:p w14:paraId="46DECEFE"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0.50</w:t>
            </w:r>
            <w:r w:rsidRPr="00C34911">
              <w:rPr>
                <w:vertAlign w:val="superscript"/>
              </w:rPr>
              <w:t>†</w:t>
            </w:r>
          </w:p>
        </w:tc>
        <w:tc>
          <w:tcPr>
            <w:tcW w:w="1276" w:type="dxa"/>
          </w:tcPr>
          <w:p w14:paraId="6CB7C55B"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6.44±0.10</w:t>
            </w:r>
          </w:p>
          <w:p w14:paraId="611B2127"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6.30±0.12</w:t>
            </w:r>
          </w:p>
          <w:p w14:paraId="68D3C0FD"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6.20±0.12</w:t>
            </w:r>
          </w:p>
          <w:p w14:paraId="1E9F925D"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6.13±0.10</w:t>
            </w:r>
          </w:p>
        </w:tc>
        <w:tc>
          <w:tcPr>
            <w:tcW w:w="1417" w:type="dxa"/>
          </w:tcPr>
          <w:p w14:paraId="6ABEB533"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76.62±0.56</w:t>
            </w:r>
          </w:p>
          <w:p w14:paraId="313A674E"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77.02±0.68</w:t>
            </w:r>
          </w:p>
          <w:p w14:paraId="2899E5E4"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76.54±0.49</w:t>
            </w:r>
          </w:p>
          <w:p w14:paraId="33152B67"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76.18±0.49</w:t>
            </w:r>
          </w:p>
        </w:tc>
        <w:tc>
          <w:tcPr>
            <w:tcW w:w="1560" w:type="dxa"/>
          </w:tcPr>
          <w:p w14:paraId="4E2EE483"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0.978±0.004</w:t>
            </w:r>
          </w:p>
          <w:p w14:paraId="7801441D"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0.977±0.003</w:t>
            </w:r>
          </w:p>
          <w:p w14:paraId="639EF429"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0.977±0.003</w:t>
            </w:r>
          </w:p>
          <w:p w14:paraId="6409AAD3" w14:textId="77777777" w:rsidR="002A784B" w:rsidRPr="00AA0794"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0.977±0.002</w:t>
            </w:r>
          </w:p>
        </w:tc>
        <w:tc>
          <w:tcPr>
            <w:tcW w:w="1948" w:type="dxa"/>
          </w:tcPr>
          <w:p w14:paraId="61EB4A00"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&lt;4</w:t>
            </w:r>
          </w:p>
          <w:p w14:paraId="1A82CAAD"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9</w:t>
            </w:r>
          </w:p>
          <w:p w14:paraId="26A61F2C"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9</w:t>
            </w:r>
          </w:p>
          <w:p w14:paraId="4E06AA08"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9</w:t>
            </w:r>
          </w:p>
        </w:tc>
      </w:tr>
      <w:tr w:rsidR="002A784B" w14:paraId="3B6820FA" w14:textId="77777777" w:rsidTr="000C5ED1">
        <w:tc>
          <w:tcPr>
            <w:cnfStyle w:val="001000000000" w:firstRow="0" w:lastRow="0" w:firstColumn="1" w:lastColumn="0" w:oddVBand="0" w:evenVBand="0" w:oddHBand="0" w:evenHBand="0" w:firstRowFirstColumn="0" w:firstRowLastColumn="0" w:lastRowFirstColumn="0" w:lastRowLastColumn="0"/>
            <w:tcW w:w="1384" w:type="dxa"/>
          </w:tcPr>
          <w:p w14:paraId="0D69BD4A" w14:textId="77777777" w:rsidR="002A784B" w:rsidRDefault="002A784B" w:rsidP="00F96B83">
            <w:pPr>
              <w:keepLines/>
            </w:pPr>
            <w:r>
              <w:t>Uncured turkey</w:t>
            </w:r>
          </w:p>
        </w:tc>
        <w:tc>
          <w:tcPr>
            <w:tcW w:w="1701" w:type="dxa"/>
          </w:tcPr>
          <w:p w14:paraId="2C8F7E99" w14:textId="77777777" w:rsidR="002A784B" w:rsidRDefault="002A784B" w:rsidP="00F96B83">
            <w:pPr>
              <w:keepLines/>
              <w:jc w:val="center"/>
              <w:cnfStyle w:val="000000000000" w:firstRow="0" w:lastRow="0" w:firstColumn="0" w:lastColumn="0" w:oddVBand="0" w:evenVBand="0" w:oddHBand="0" w:evenHBand="0" w:firstRowFirstColumn="0" w:firstRowLastColumn="0" w:lastRowFirstColumn="0" w:lastRowLastColumn="0"/>
            </w:pPr>
            <w:r>
              <w:t>Control</w:t>
            </w:r>
          </w:p>
          <w:p w14:paraId="17F88EB3" w14:textId="77777777" w:rsidR="002A784B" w:rsidRDefault="002A784B" w:rsidP="00F96B83">
            <w:pPr>
              <w:keepLines/>
              <w:jc w:val="center"/>
              <w:cnfStyle w:val="000000000000" w:firstRow="0" w:lastRow="0" w:firstColumn="0" w:lastColumn="0" w:oddVBand="0" w:evenVBand="0" w:oddHBand="0" w:evenHBand="0" w:firstRowFirstColumn="0" w:firstRowLastColumn="0" w:lastRowFirstColumn="0" w:lastRowLastColumn="0"/>
            </w:pPr>
            <w:r>
              <w:t>0.10</w:t>
            </w:r>
            <w:r w:rsidRPr="00C34911">
              <w:rPr>
                <w:vertAlign w:val="superscript"/>
              </w:rPr>
              <w:t>‡</w:t>
            </w:r>
          </w:p>
          <w:p w14:paraId="358717B5" w14:textId="77777777" w:rsidR="002A784B" w:rsidRDefault="002A784B" w:rsidP="00F96B83">
            <w:pPr>
              <w:keepLines/>
              <w:jc w:val="center"/>
              <w:cnfStyle w:val="000000000000" w:firstRow="0" w:lastRow="0" w:firstColumn="0" w:lastColumn="0" w:oddVBand="0" w:evenVBand="0" w:oddHBand="0" w:evenHBand="0" w:firstRowFirstColumn="0" w:firstRowLastColumn="0" w:lastRowFirstColumn="0" w:lastRowLastColumn="0"/>
            </w:pPr>
            <w:r>
              <w:t>0.20</w:t>
            </w:r>
            <w:r w:rsidRPr="00C34911">
              <w:rPr>
                <w:vertAlign w:val="superscript"/>
              </w:rPr>
              <w:t>‡</w:t>
            </w:r>
          </w:p>
          <w:p w14:paraId="1AA55AD1" w14:textId="77777777" w:rsidR="002A784B" w:rsidRDefault="002A784B" w:rsidP="00F96B83">
            <w:pPr>
              <w:keepLines/>
              <w:jc w:val="center"/>
              <w:cnfStyle w:val="000000000000" w:firstRow="0" w:lastRow="0" w:firstColumn="0" w:lastColumn="0" w:oddVBand="0" w:evenVBand="0" w:oddHBand="0" w:evenHBand="0" w:firstRowFirstColumn="0" w:firstRowLastColumn="0" w:lastRowFirstColumn="0" w:lastRowLastColumn="0"/>
            </w:pPr>
            <w:r>
              <w:t>0.30</w:t>
            </w:r>
            <w:r w:rsidRPr="00C34911">
              <w:rPr>
                <w:vertAlign w:val="superscript"/>
              </w:rPr>
              <w:t>‡</w:t>
            </w:r>
          </w:p>
        </w:tc>
        <w:tc>
          <w:tcPr>
            <w:tcW w:w="1276" w:type="dxa"/>
          </w:tcPr>
          <w:p w14:paraId="5499B228" w14:textId="77777777" w:rsidR="002A784B" w:rsidRDefault="002A784B" w:rsidP="00F96B83">
            <w:pPr>
              <w:keepLines/>
              <w:jc w:val="center"/>
              <w:cnfStyle w:val="000000000000" w:firstRow="0" w:lastRow="0" w:firstColumn="0" w:lastColumn="0" w:oddVBand="0" w:evenVBand="0" w:oddHBand="0" w:evenHBand="0" w:firstRowFirstColumn="0" w:firstRowLastColumn="0" w:lastRowFirstColumn="0" w:lastRowLastColumn="0"/>
            </w:pPr>
          </w:p>
          <w:p w14:paraId="27548525" w14:textId="77777777" w:rsidR="002A784B" w:rsidRDefault="002A784B" w:rsidP="00F96B83">
            <w:pPr>
              <w:keepLines/>
              <w:jc w:val="center"/>
              <w:cnfStyle w:val="000000000000" w:firstRow="0" w:lastRow="0" w:firstColumn="0" w:lastColumn="0" w:oddVBand="0" w:evenVBand="0" w:oddHBand="0" w:evenHBand="0" w:firstRowFirstColumn="0" w:firstRowLastColumn="0" w:lastRowFirstColumn="0" w:lastRowLastColumn="0"/>
            </w:pPr>
            <w:r>
              <w:t>6.42±0.10</w:t>
            </w:r>
            <w:r w:rsidRPr="005535F3">
              <w:rPr>
                <w:vertAlign w:val="superscript"/>
              </w:rPr>
              <w:t>#</w:t>
            </w:r>
          </w:p>
        </w:tc>
        <w:tc>
          <w:tcPr>
            <w:tcW w:w="1417" w:type="dxa"/>
          </w:tcPr>
          <w:p w14:paraId="7084A365" w14:textId="77777777" w:rsidR="002A784B" w:rsidRDefault="002A784B" w:rsidP="00F96B83">
            <w:pPr>
              <w:keepLines/>
              <w:jc w:val="center"/>
              <w:cnfStyle w:val="000000000000" w:firstRow="0" w:lastRow="0" w:firstColumn="0" w:lastColumn="0" w:oddVBand="0" w:evenVBand="0" w:oddHBand="0" w:evenHBand="0" w:firstRowFirstColumn="0" w:firstRowLastColumn="0" w:lastRowFirstColumn="0" w:lastRowLastColumn="0"/>
            </w:pPr>
          </w:p>
          <w:p w14:paraId="2B7D5A6B" w14:textId="77777777" w:rsidR="002A784B" w:rsidRDefault="002A784B" w:rsidP="00F96B83">
            <w:pPr>
              <w:keepLines/>
              <w:jc w:val="center"/>
              <w:cnfStyle w:val="000000000000" w:firstRow="0" w:lastRow="0" w:firstColumn="0" w:lastColumn="0" w:oddVBand="0" w:evenVBand="0" w:oddHBand="0" w:evenHBand="0" w:firstRowFirstColumn="0" w:firstRowLastColumn="0" w:lastRowFirstColumn="0" w:lastRowLastColumn="0"/>
            </w:pPr>
            <w:r>
              <w:t>75.04±1.08</w:t>
            </w:r>
            <w:r w:rsidRPr="005535F3">
              <w:rPr>
                <w:vertAlign w:val="superscript"/>
              </w:rPr>
              <w:t>#</w:t>
            </w:r>
          </w:p>
        </w:tc>
        <w:tc>
          <w:tcPr>
            <w:tcW w:w="1560" w:type="dxa"/>
          </w:tcPr>
          <w:p w14:paraId="030296F6" w14:textId="77777777" w:rsidR="002A784B" w:rsidRDefault="002A784B" w:rsidP="00F96B83">
            <w:pPr>
              <w:keepLines/>
              <w:jc w:val="center"/>
              <w:cnfStyle w:val="000000000000" w:firstRow="0" w:lastRow="0" w:firstColumn="0" w:lastColumn="0" w:oddVBand="0" w:evenVBand="0" w:oddHBand="0" w:evenHBand="0" w:firstRowFirstColumn="0" w:firstRowLastColumn="0" w:lastRowFirstColumn="0" w:lastRowLastColumn="0"/>
            </w:pPr>
          </w:p>
          <w:p w14:paraId="156617EA" w14:textId="77777777" w:rsidR="002A784B" w:rsidRDefault="002A784B" w:rsidP="00F96B83">
            <w:pPr>
              <w:keepLines/>
              <w:jc w:val="center"/>
              <w:cnfStyle w:val="000000000000" w:firstRow="0" w:lastRow="0" w:firstColumn="0" w:lastColumn="0" w:oddVBand="0" w:evenVBand="0" w:oddHBand="0" w:evenHBand="0" w:firstRowFirstColumn="0" w:firstRowLastColumn="0" w:lastRowFirstColumn="0" w:lastRowLastColumn="0"/>
            </w:pPr>
            <w:r>
              <w:t>0.972±0.001</w:t>
            </w:r>
            <w:r w:rsidRPr="005535F3">
              <w:rPr>
                <w:vertAlign w:val="superscript"/>
              </w:rPr>
              <w:t>#</w:t>
            </w:r>
          </w:p>
        </w:tc>
        <w:tc>
          <w:tcPr>
            <w:tcW w:w="1948" w:type="dxa"/>
          </w:tcPr>
          <w:p w14:paraId="08B01680" w14:textId="77777777" w:rsidR="002A784B" w:rsidRDefault="002A784B" w:rsidP="00F96B83">
            <w:pPr>
              <w:keepLines/>
              <w:jc w:val="center"/>
              <w:cnfStyle w:val="000000000000" w:firstRow="0" w:lastRow="0" w:firstColumn="0" w:lastColumn="0" w:oddVBand="0" w:evenVBand="0" w:oddHBand="0" w:evenHBand="0" w:firstRowFirstColumn="0" w:firstRowLastColumn="0" w:lastRowFirstColumn="0" w:lastRowLastColumn="0"/>
            </w:pPr>
            <w:r>
              <w:t>&lt;2</w:t>
            </w:r>
          </w:p>
          <w:p w14:paraId="665BD03D" w14:textId="77777777" w:rsidR="002A784B" w:rsidRDefault="002A784B" w:rsidP="00F96B83">
            <w:pPr>
              <w:keepLines/>
              <w:jc w:val="center"/>
              <w:cnfStyle w:val="000000000000" w:firstRow="0" w:lastRow="0" w:firstColumn="0" w:lastColumn="0" w:oddVBand="0" w:evenVBand="0" w:oddHBand="0" w:evenHBand="0" w:firstRowFirstColumn="0" w:firstRowLastColumn="0" w:lastRowFirstColumn="0" w:lastRowLastColumn="0"/>
            </w:pPr>
            <w:r>
              <w:t>6</w:t>
            </w:r>
          </w:p>
          <w:p w14:paraId="6B50A6A6" w14:textId="77777777" w:rsidR="002A784B" w:rsidRDefault="002A784B" w:rsidP="00F96B83">
            <w:pPr>
              <w:keepLines/>
              <w:jc w:val="center"/>
              <w:cnfStyle w:val="000000000000" w:firstRow="0" w:lastRow="0" w:firstColumn="0" w:lastColumn="0" w:oddVBand="0" w:evenVBand="0" w:oddHBand="0" w:evenHBand="0" w:firstRowFirstColumn="0" w:firstRowLastColumn="0" w:lastRowFirstColumn="0" w:lastRowLastColumn="0"/>
            </w:pPr>
            <w:r>
              <w:t>12*</w:t>
            </w:r>
          </w:p>
          <w:p w14:paraId="10161D20" w14:textId="77777777" w:rsidR="002A784B" w:rsidRDefault="002A784B" w:rsidP="00F96B83">
            <w:pPr>
              <w:keepLines/>
              <w:jc w:val="center"/>
              <w:cnfStyle w:val="000000000000" w:firstRow="0" w:lastRow="0" w:firstColumn="0" w:lastColumn="0" w:oddVBand="0" w:evenVBand="0" w:oddHBand="0" w:evenHBand="0" w:firstRowFirstColumn="0" w:firstRowLastColumn="0" w:lastRowFirstColumn="0" w:lastRowLastColumn="0"/>
            </w:pPr>
            <w:r>
              <w:t>12*</w:t>
            </w:r>
          </w:p>
        </w:tc>
      </w:tr>
      <w:tr w:rsidR="002A784B" w14:paraId="23F94B5C" w14:textId="77777777" w:rsidTr="000C5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24C5F42F" w14:textId="77777777" w:rsidR="002A784B" w:rsidRDefault="002A784B" w:rsidP="00F96B83">
            <w:pPr>
              <w:keepLines/>
            </w:pPr>
            <w:r>
              <w:t>Ham</w:t>
            </w:r>
          </w:p>
        </w:tc>
        <w:tc>
          <w:tcPr>
            <w:tcW w:w="1701" w:type="dxa"/>
          </w:tcPr>
          <w:p w14:paraId="59356EFD"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Control</w:t>
            </w:r>
          </w:p>
          <w:p w14:paraId="71EFB76C"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0.05</w:t>
            </w:r>
            <w:r w:rsidRPr="00C34911">
              <w:rPr>
                <w:vertAlign w:val="superscript"/>
              </w:rPr>
              <w:t>‡</w:t>
            </w:r>
          </w:p>
          <w:p w14:paraId="145CB06F"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0.10</w:t>
            </w:r>
            <w:r w:rsidRPr="00C34911">
              <w:rPr>
                <w:vertAlign w:val="superscript"/>
              </w:rPr>
              <w:t>‡</w:t>
            </w:r>
          </w:p>
          <w:p w14:paraId="42E95217"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0.20</w:t>
            </w:r>
            <w:r w:rsidRPr="00C34911">
              <w:rPr>
                <w:vertAlign w:val="superscript"/>
              </w:rPr>
              <w:t>‡</w:t>
            </w:r>
          </w:p>
          <w:p w14:paraId="0BFF05F0"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0.30</w:t>
            </w:r>
            <w:r w:rsidRPr="00C34911">
              <w:rPr>
                <w:vertAlign w:val="superscript"/>
              </w:rPr>
              <w:t>‡</w:t>
            </w:r>
          </w:p>
        </w:tc>
        <w:tc>
          <w:tcPr>
            <w:tcW w:w="1276" w:type="dxa"/>
          </w:tcPr>
          <w:p w14:paraId="519389E6"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p>
          <w:p w14:paraId="241E21DC"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6.39±0.02</w:t>
            </w:r>
            <w:r w:rsidRPr="005535F3">
              <w:rPr>
                <w:vertAlign w:val="superscript"/>
              </w:rPr>
              <w:t>#</w:t>
            </w:r>
          </w:p>
        </w:tc>
        <w:tc>
          <w:tcPr>
            <w:tcW w:w="1417" w:type="dxa"/>
          </w:tcPr>
          <w:p w14:paraId="3305BE94"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p>
          <w:p w14:paraId="7E6CFC71"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73.65±0.10</w:t>
            </w:r>
            <w:r w:rsidRPr="005535F3">
              <w:rPr>
                <w:vertAlign w:val="superscript"/>
              </w:rPr>
              <w:t>#</w:t>
            </w:r>
          </w:p>
        </w:tc>
        <w:tc>
          <w:tcPr>
            <w:tcW w:w="1560" w:type="dxa"/>
          </w:tcPr>
          <w:p w14:paraId="361D8299"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p>
          <w:p w14:paraId="2527F1B0"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0.967±0.000</w:t>
            </w:r>
            <w:r w:rsidRPr="005535F3">
              <w:rPr>
                <w:vertAlign w:val="superscript"/>
              </w:rPr>
              <w:t>#</w:t>
            </w:r>
          </w:p>
        </w:tc>
        <w:tc>
          <w:tcPr>
            <w:tcW w:w="1948" w:type="dxa"/>
          </w:tcPr>
          <w:p w14:paraId="086FB912"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2</w:t>
            </w:r>
          </w:p>
          <w:p w14:paraId="411B89A2"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2</w:t>
            </w:r>
          </w:p>
          <w:p w14:paraId="587BD821"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10</w:t>
            </w:r>
          </w:p>
          <w:p w14:paraId="221F4062"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12*</w:t>
            </w:r>
          </w:p>
          <w:p w14:paraId="23F5B3A3" w14:textId="77777777" w:rsidR="002A784B" w:rsidRDefault="002A784B" w:rsidP="00F96B83">
            <w:pPr>
              <w:keepLines/>
              <w:jc w:val="center"/>
              <w:cnfStyle w:val="000000100000" w:firstRow="0" w:lastRow="0" w:firstColumn="0" w:lastColumn="0" w:oddVBand="0" w:evenVBand="0" w:oddHBand="1" w:evenHBand="0" w:firstRowFirstColumn="0" w:firstRowLastColumn="0" w:lastRowFirstColumn="0" w:lastRowLastColumn="0"/>
            </w:pPr>
            <w:r>
              <w:t>12*</w:t>
            </w:r>
          </w:p>
        </w:tc>
      </w:tr>
    </w:tbl>
    <w:p w14:paraId="2DCCC56A" w14:textId="77777777" w:rsidR="002A784B" w:rsidRPr="005535F3" w:rsidRDefault="002A784B" w:rsidP="00F96B83">
      <w:pPr>
        <w:keepLines/>
        <w:rPr>
          <w:sz w:val="18"/>
          <w:szCs w:val="18"/>
        </w:rPr>
      </w:pPr>
      <w:r w:rsidRPr="005535F3">
        <w:rPr>
          <w:rFonts w:cs="Arial"/>
          <w:sz w:val="18"/>
          <w:szCs w:val="18"/>
          <w:vertAlign w:val="superscript"/>
        </w:rPr>
        <w:t>†</w:t>
      </w:r>
      <w:r w:rsidRPr="005535F3">
        <w:rPr>
          <w:sz w:val="18"/>
          <w:szCs w:val="18"/>
        </w:rPr>
        <w:t xml:space="preserve"> Liquid sodium propionate concentration; </w:t>
      </w:r>
      <w:r w:rsidRPr="005535F3">
        <w:rPr>
          <w:rFonts w:cs="Arial"/>
          <w:sz w:val="18"/>
          <w:szCs w:val="18"/>
          <w:vertAlign w:val="superscript"/>
        </w:rPr>
        <w:t>‡</w:t>
      </w:r>
      <w:r w:rsidRPr="005535F3">
        <w:rPr>
          <w:sz w:val="18"/>
          <w:szCs w:val="18"/>
        </w:rPr>
        <w:t xml:space="preserve"> propionate concentration;</w:t>
      </w:r>
      <w:r w:rsidRPr="005535F3">
        <w:rPr>
          <w:rFonts w:cs="Arial"/>
          <w:sz w:val="18"/>
          <w:szCs w:val="18"/>
          <w:vertAlign w:val="superscript"/>
        </w:rPr>
        <w:t xml:space="preserve"> #</w:t>
      </w:r>
      <w:r w:rsidRPr="005535F3">
        <w:rPr>
          <w:rFonts w:cs="Arial"/>
          <w:sz w:val="18"/>
          <w:szCs w:val="18"/>
        </w:rPr>
        <w:t>Results are an average ± standard deviation for analysis of 16 antimicrobial formulations, including propionates, sorbates, benzoates, lactate-diacetate and combinations of antimicrobials;</w:t>
      </w:r>
      <w:r w:rsidRPr="005535F3">
        <w:rPr>
          <w:sz w:val="18"/>
          <w:szCs w:val="18"/>
        </w:rPr>
        <w:t xml:space="preserve"> * duration of the study.</w:t>
      </w:r>
    </w:p>
    <w:p w14:paraId="23BE47CE" w14:textId="77777777" w:rsidR="002A784B" w:rsidRDefault="002A784B" w:rsidP="002A784B">
      <w:pPr>
        <w:tabs>
          <w:tab w:val="left" w:pos="7140"/>
        </w:tabs>
      </w:pPr>
    </w:p>
    <w:p w14:paraId="55D56A93" w14:textId="0EBBD5ED" w:rsidR="002A784B" w:rsidRDefault="002A784B" w:rsidP="002A784B">
      <w:pPr>
        <w:tabs>
          <w:tab w:val="left" w:pos="7140"/>
        </w:tabs>
      </w:pPr>
      <w:r>
        <w:t xml:space="preserve">Additional challenge studies on a variety </w:t>
      </w:r>
      <w:r w:rsidR="00762B9B">
        <w:t>of</w:t>
      </w:r>
      <w:r>
        <w:t xml:space="preserve"> processed meat products were provided to FSANZ containing comme</w:t>
      </w:r>
      <w:r w:rsidR="00842345">
        <w:t>rcial confidential information.</w:t>
      </w:r>
      <w:r>
        <w:t xml:space="preserve"> FSANZ has assessed the studies and conclude</w:t>
      </w:r>
      <w:r w:rsidR="00762B9B">
        <w:t>s</w:t>
      </w:r>
      <w:r>
        <w:t xml:space="preserve"> that </w:t>
      </w:r>
      <w:r w:rsidRPr="003307D3">
        <w:rPr>
          <w:i/>
        </w:rPr>
        <w:t>L. monocytogenes</w:t>
      </w:r>
      <w:r>
        <w:t xml:space="preserve"> growth inhibition was achieved.</w:t>
      </w:r>
    </w:p>
    <w:p w14:paraId="2D9E1756" w14:textId="4BCAF6AB" w:rsidR="002A784B" w:rsidRPr="005040A0" w:rsidRDefault="00E51B51" w:rsidP="00E51B51">
      <w:pPr>
        <w:pStyle w:val="Heading2"/>
      </w:pPr>
      <w:bookmarkStart w:id="31" w:name="_Toc454451344"/>
      <w:r>
        <w:t>2.</w:t>
      </w:r>
      <w:r w:rsidR="00CB77A1">
        <w:t>7</w:t>
      </w:r>
      <w:r w:rsidR="005040A0">
        <w:t xml:space="preserve"> Technical and Efficacy Conclusion</w:t>
      </w:r>
      <w:bookmarkEnd w:id="31"/>
    </w:p>
    <w:p w14:paraId="7BF7504A" w14:textId="2893A807" w:rsidR="00701173" w:rsidRDefault="006B3A79" w:rsidP="00701173">
      <w:r w:rsidRPr="00DA4DA0">
        <w:t xml:space="preserve">Technologically, the use of propionates in processed meat, game products in whole meat cuts or pieces, processed </w:t>
      </w:r>
      <w:proofErr w:type="spellStart"/>
      <w:r w:rsidRPr="00DA4DA0">
        <w:t>comminuted</w:t>
      </w:r>
      <w:proofErr w:type="spellEnd"/>
      <w:r w:rsidRPr="00DA4DA0">
        <w:t xml:space="preserve"> meat, poultry and game products is justified. </w:t>
      </w:r>
      <w:r w:rsidR="002A784B">
        <w:t>In liquid preparation for addition to processed meat, sodium propionate, calcium propionate and potassium</w:t>
      </w:r>
      <w:r w:rsidR="002A784B" w:rsidRPr="00A40CF3">
        <w:t xml:space="preserve"> </w:t>
      </w:r>
      <w:r w:rsidR="002A784B">
        <w:t xml:space="preserve">propionate will be dissociated into the active </w:t>
      </w:r>
      <w:r w:rsidR="002A784B" w:rsidRPr="002256CF">
        <w:t xml:space="preserve">propionate </w:t>
      </w:r>
      <w:r w:rsidR="002A784B">
        <w:t xml:space="preserve">ion </w:t>
      </w:r>
      <w:r w:rsidR="002A784B" w:rsidRPr="002256CF">
        <w:t>and their relevant cations.</w:t>
      </w:r>
      <w:r w:rsidR="002A784B">
        <w:t xml:space="preserve"> Data presented by the Applicant and assessed by FSANZ demonstrates the efficacy of propionic acid and its sodium, calcium and potassium salts at a range of concentrations,</w:t>
      </w:r>
      <w:r w:rsidR="002A784B" w:rsidRPr="00440D46">
        <w:t xml:space="preserve"> </w:t>
      </w:r>
      <w:r w:rsidR="002A784B">
        <w:t xml:space="preserve">as a preservative to </w:t>
      </w:r>
      <w:r w:rsidR="002A784B" w:rsidRPr="00440D46">
        <w:t xml:space="preserve">inhibit the growth of </w:t>
      </w:r>
      <w:r w:rsidR="002A784B" w:rsidRPr="00440D46">
        <w:rPr>
          <w:i/>
        </w:rPr>
        <w:t>L. monocytogenes</w:t>
      </w:r>
      <w:r w:rsidR="002A784B" w:rsidRPr="00440D46">
        <w:t xml:space="preserve"> </w:t>
      </w:r>
      <w:r w:rsidR="002A784B">
        <w:t>in processed meat products in the form and amounts proposed. FSANZ deems the range of meat products assessed to be sufficient to demonstrate efficacy in a variety of processed meat products.</w:t>
      </w:r>
    </w:p>
    <w:p w14:paraId="2CF686FA" w14:textId="77777777" w:rsidR="00701173" w:rsidRDefault="00701173" w:rsidP="00701173"/>
    <w:p w14:paraId="11E36E13" w14:textId="53127F24" w:rsidR="00940375" w:rsidRDefault="00E51B51" w:rsidP="001117BF">
      <w:pPr>
        <w:pStyle w:val="Heading1"/>
        <w:tabs>
          <w:tab w:val="left" w:pos="851"/>
        </w:tabs>
        <w:ind w:left="0" w:firstLine="0"/>
      </w:pPr>
      <w:bookmarkStart w:id="32" w:name="_Toc454451345"/>
      <w:r>
        <w:t>3</w:t>
      </w:r>
      <w:r w:rsidR="0008344D">
        <w:tab/>
      </w:r>
      <w:r w:rsidR="00940375">
        <w:t>Hazard Assessment</w:t>
      </w:r>
      <w:bookmarkEnd w:id="32"/>
    </w:p>
    <w:p w14:paraId="1EE35EEC" w14:textId="3C947712" w:rsidR="007C4EAD" w:rsidRDefault="00874871" w:rsidP="007C4EAD">
      <w:pPr>
        <w:rPr>
          <w:lang w:bidi="ar-SA"/>
        </w:rPr>
      </w:pPr>
      <w:r>
        <w:rPr>
          <w:lang w:bidi="ar-SA"/>
        </w:rPr>
        <w:t>P</w:t>
      </w:r>
      <w:r w:rsidRPr="00874871">
        <w:rPr>
          <w:lang w:bidi="ar-SA"/>
        </w:rPr>
        <w:t xml:space="preserve">ropionic acid is a normal intermediary metabolite </w:t>
      </w:r>
      <w:r>
        <w:rPr>
          <w:lang w:bidi="ar-SA"/>
        </w:rPr>
        <w:t xml:space="preserve">in humans </w:t>
      </w:r>
      <w:r w:rsidRPr="00874871">
        <w:rPr>
          <w:lang w:bidi="ar-SA"/>
        </w:rPr>
        <w:t xml:space="preserve">and </w:t>
      </w:r>
      <w:r>
        <w:rPr>
          <w:lang w:bidi="ar-SA"/>
        </w:rPr>
        <w:t xml:space="preserve">is naturally present in a wide variety of foods. </w:t>
      </w:r>
      <w:r w:rsidR="007C4EAD">
        <w:rPr>
          <w:lang w:bidi="ar-SA"/>
        </w:rPr>
        <w:t>T</w:t>
      </w:r>
      <w:r w:rsidR="007C4EAD" w:rsidRPr="007C4EAD">
        <w:rPr>
          <w:lang w:bidi="ar-SA"/>
        </w:rPr>
        <w:t>he Joint FAO/WHO Expert</w:t>
      </w:r>
      <w:r w:rsidR="007C4EAD">
        <w:rPr>
          <w:lang w:bidi="ar-SA"/>
        </w:rPr>
        <w:t xml:space="preserve"> </w:t>
      </w:r>
      <w:r w:rsidR="007C4EAD" w:rsidRPr="007C4EAD">
        <w:rPr>
          <w:lang w:bidi="ar-SA"/>
        </w:rPr>
        <w:t xml:space="preserve">Committee on Food Additives </w:t>
      </w:r>
      <w:r w:rsidR="007C4EAD">
        <w:rPr>
          <w:lang w:bidi="ar-SA"/>
        </w:rPr>
        <w:t>(</w:t>
      </w:r>
      <w:r w:rsidR="007C4EAD" w:rsidRPr="007C4EAD">
        <w:rPr>
          <w:lang w:bidi="ar-SA"/>
        </w:rPr>
        <w:t>JECFA</w:t>
      </w:r>
      <w:r w:rsidR="007C4EAD">
        <w:rPr>
          <w:lang w:bidi="ar-SA"/>
        </w:rPr>
        <w:t>)</w:t>
      </w:r>
      <w:r w:rsidR="007C4EAD" w:rsidRPr="007C4EAD">
        <w:rPr>
          <w:lang w:bidi="ar-SA"/>
        </w:rPr>
        <w:t xml:space="preserve"> established a</w:t>
      </w:r>
      <w:r w:rsidR="007C4EAD">
        <w:rPr>
          <w:lang w:bidi="ar-SA"/>
        </w:rPr>
        <w:t>n</w:t>
      </w:r>
      <w:r w:rsidR="007C4EAD" w:rsidRPr="007C4EAD">
        <w:rPr>
          <w:lang w:bidi="ar-SA"/>
        </w:rPr>
        <w:t xml:space="preserve"> Acceptable Daily Intake (ADI) “not limited” for propionic acid and its </w:t>
      </w:r>
      <w:r w:rsidR="001646C7" w:rsidRPr="007C4EAD">
        <w:rPr>
          <w:lang w:bidi="ar-SA"/>
        </w:rPr>
        <w:t>sodium</w:t>
      </w:r>
      <w:r w:rsidR="001646C7">
        <w:rPr>
          <w:lang w:bidi="ar-SA"/>
        </w:rPr>
        <w:t>,</w:t>
      </w:r>
      <w:r w:rsidR="001646C7" w:rsidRPr="007C4EAD">
        <w:rPr>
          <w:lang w:bidi="ar-SA"/>
        </w:rPr>
        <w:t xml:space="preserve"> </w:t>
      </w:r>
      <w:r w:rsidR="001646C7">
        <w:rPr>
          <w:lang w:bidi="ar-SA"/>
        </w:rPr>
        <w:t>calcium and</w:t>
      </w:r>
      <w:r w:rsidR="007C4EAD" w:rsidRPr="007C4EAD">
        <w:rPr>
          <w:lang w:bidi="ar-SA"/>
        </w:rPr>
        <w:t xml:space="preserve"> potassium</w:t>
      </w:r>
      <w:r w:rsidR="007C4EAD">
        <w:rPr>
          <w:lang w:bidi="ar-SA"/>
        </w:rPr>
        <w:t xml:space="preserve"> </w:t>
      </w:r>
      <w:r w:rsidR="00F70EB3">
        <w:rPr>
          <w:lang w:bidi="ar-SA"/>
        </w:rPr>
        <w:t xml:space="preserve">salts </w:t>
      </w:r>
      <w:r w:rsidR="007C4EAD" w:rsidRPr="007C4EAD">
        <w:rPr>
          <w:lang w:bidi="ar-SA"/>
        </w:rPr>
        <w:t>(WHO 1974). The term ADI “not limited” is no longer used by JECFA, however it has the same meaning as the current term ADI "not specified”, which is applicable to a food substance of very low toxicity for which the total dietary intake of the substance arising from its use at the levels necessary to achieve the desired effect and from its acceptable backg</w:t>
      </w:r>
      <w:r w:rsidR="00C835A5">
        <w:rPr>
          <w:lang w:bidi="ar-SA"/>
        </w:rPr>
        <w:t>round levels in food, does not</w:t>
      </w:r>
      <w:r w:rsidR="007C4EAD" w:rsidRPr="007C4EAD">
        <w:rPr>
          <w:lang w:bidi="ar-SA"/>
        </w:rPr>
        <w:t xml:space="preserve"> represent a hazard to health</w:t>
      </w:r>
      <w:r w:rsidR="005C3340">
        <w:rPr>
          <w:lang w:bidi="ar-SA"/>
        </w:rPr>
        <w:t xml:space="preserve"> (WHO 2009)</w:t>
      </w:r>
      <w:r w:rsidR="007C4EAD" w:rsidRPr="007C4EAD">
        <w:rPr>
          <w:lang w:bidi="ar-SA"/>
        </w:rPr>
        <w:t>. Establishment of an ADI expressed in numerical form was therefore not deemed necessary by JECFA.</w:t>
      </w:r>
      <w:r w:rsidRPr="00874871">
        <w:t xml:space="preserve"> </w:t>
      </w:r>
      <w:r w:rsidR="00665705">
        <w:t xml:space="preserve">A subsequent evaluation by </w:t>
      </w:r>
      <w:r w:rsidR="00665705">
        <w:rPr>
          <w:lang w:bidi="ar-SA"/>
        </w:rPr>
        <w:t>t</w:t>
      </w:r>
      <w:r w:rsidRPr="00874871">
        <w:rPr>
          <w:lang w:bidi="ar-SA"/>
        </w:rPr>
        <w:t xml:space="preserve">he </w:t>
      </w:r>
      <w:r w:rsidR="00665705">
        <w:rPr>
          <w:lang w:bidi="ar-SA"/>
        </w:rPr>
        <w:t xml:space="preserve">European </w:t>
      </w:r>
      <w:r w:rsidRPr="00874871">
        <w:rPr>
          <w:lang w:bidi="ar-SA"/>
        </w:rPr>
        <w:t>S</w:t>
      </w:r>
      <w:r w:rsidR="00665705">
        <w:rPr>
          <w:lang w:bidi="ar-SA"/>
        </w:rPr>
        <w:t xml:space="preserve">cientific </w:t>
      </w:r>
      <w:r w:rsidRPr="00874871">
        <w:rPr>
          <w:lang w:bidi="ar-SA"/>
        </w:rPr>
        <w:t>C</w:t>
      </w:r>
      <w:r w:rsidR="00665705">
        <w:rPr>
          <w:lang w:bidi="ar-SA"/>
        </w:rPr>
        <w:t xml:space="preserve">ommittee on </w:t>
      </w:r>
      <w:r w:rsidRPr="00874871">
        <w:rPr>
          <w:lang w:bidi="ar-SA"/>
        </w:rPr>
        <w:t>F</w:t>
      </w:r>
      <w:r w:rsidR="00665705">
        <w:rPr>
          <w:lang w:bidi="ar-SA"/>
        </w:rPr>
        <w:t xml:space="preserve">ood (SCF) </w:t>
      </w:r>
      <w:r w:rsidRPr="00874871">
        <w:rPr>
          <w:lang w:bidi="ar-SA"/>
        </w:rPr>
        <w:t xml:space="preserve">concluded that there were no adverse health consequences to </w:t>
      </w:r>
      <w:r w:rsidR="00665705">
        <w:rPr>
          <w:lang w:bidi="ar-SA"/>
        </w:rPr>
        <w:t xml:space="preserve">humans </w:t>
      </w:r>
      <w:r w:rsidRPr="00874871">
        <w:rPr>
          <w:lang w:bidi="ar-SA"/>
        </w:rPr>
        <w:t xml:space="preserve">from the </w:t>
      </w:r>
      <w:r w:rsidR="00665705">
        <w:rPr>
          <w:lang w:bidi="ar-SA"/>
        </w:rPr>
        <w:t>use</w:t>
      </w:r>
      <w:r w:rsidRPr="00874871">
        <w:rPr>
          <w:lang w:bidi="ar-SA"/>
        </w:rPr>
        <w:t xml:space="preserve"> of propionic acid as a food additive </w:t>
      </w:r>
      <w:r w:rsidR="00665705">
        <w:rPr>
          <w:lang w:bidi="ar-SA"/>
        </w:rPr>
        <w:t xml:space="preserve">and </w:t>
      </w:r>
      <w:r w:rsidR="00665705" w:rsidRPr="00874871">
        <w:rPr>
          <w:lang w:bidi="ar-SA"/>
        </w:rPr>
        <w:t>est</w:t>
      </w:r>
      <w:r w:rsidR="00665705">
        <w:rPr>
          <w:lang w:bidi="ar-SA"/>
        </w:rPr>
        <w:t>ablished an ADI “not specified”</w:t>
      </w:r>
      <w:r w:rsidR="00665705" w:rsidRPr="00874871">
        <w:rPr>
          <w:lang w:bidi="ar-SA"/>
        </w:rPr>
        <w:t xml:space="preserve"> </w:t>
      </w:r>
      <w:r w:rsidR="00F70EB3">
        <w:rPr>
          <w:lang w:bidi="ar-SA"/>
        </w:rPr>
        <w:t>(SCF</w:t>
      </w:r>
      <w:r w:rsidRPr="00874871">
        <w:rPr>
          <w:lang w:bidi="ar-SA"/>
        </w:rPr>
        <w:t xml:space="preserve"> 1992). </w:t>
      </w:r>
    </w:p>
    <w:p w14:paraId="4F96E145" w14:textId="77777777" w:rsidR="007C4EAD" w:rsidRDefault="007C4EAD" w:rsidP="004470BA">
      <w:pPr>
        <w:rPr>
          <w:lang w:bidi="ar-SA"/>
        </w:rPr>
      </w:pPr>
    </w:p>
    <w:p w14:paraId="2B120CC4" w14:textId="26315EA5" w:rsidR="00F70EB3" w:rsidRDefault="00874871" w:rsidP="008A3C7B">
      <w:pPr>
        <w:rPr>
          <w:lang w:bidi="ar-SA"/>
        </w:rPr>
      </w:pPr>
      <w:r>
        <w:rPr>
          <w:lang w:bidi="ar-SA"/>
        </w:rPr>
        <w:t xml:space="preserve">The </w:t>
      </w:r>
      <w:r w:rsidR="00170A4F" w:rsidRPr="00170A4F">
        <w:rPr>
          <w:lang w:bidi="ar-SA"/>
        </w:rPr>
        <w:t>European Food Safety Authority (EFSA)</w:t>
      </w:r>
      <w:r>
        <w:rPr>
          <w:lang w:bidi="ar-SA"/>
        </w:rPr>
        <w:t xml:space="preserve"> has recently re-evaluated propionic acid and its </w:t>
      </w:r>
      <w:r w:rsidRPr="00874871">
        <w:rPr>
          <w:lang w:bidi="ar-SA"/>
        </w:rPr>
        <w:t>sodium</w:t>
      </w:r>
      <w:r>
        <w:rPr>
          <w:lang w:bidi="ar-SA"/>
        </w:rPr>
        <w:t>, calcium</w:t>
      </w:r>
      <w:r w:rsidRPr="00874871">
        <w:rPr>
          <w:lang w:bidi="ar-SA"/>
        </w:rPr>
        <w:t xml:space="preserve"> and potassium</w:t>
      </w:r>
      <w:r>
        <w:rPr>
          <w:lang w:bidi="ar-SA"/>
        </w:rPr>
        <w:t xml:space="preserve"> salts </w:t>
      </w:r>
      <w:r w:rsidR="00170A4F">
        <w:rPr>
          <w:lang w:bidi="ar-SA"/>
        </w:rPr>
        <w:t>(EFSA 2014).</w:t>
      </w:r>
      <w:r>
        <w:rPr>
          <w:lang w:bidi="ar-SA"/>
        </w:rPr>
        <w:t xml:space="preserve"> </w:t>
      </w:r>
      <w:r w:rsidR="00F1582A">
        <w:rPr>
          <w:lang w:bidi="ar-SA"/>
        </w:rPr>
        <w:t xml:space="preserve">EFSA </w:t>
      </w:r>
      <w:r w:rsidR="00F1582A" w:rsidRPr="00F1582A">
        <w:rPr>
          <w:lang w:bidi="ar-SA"/>
        </w:rPr>
        <w:t xml:space="preserve">concluded that an ADI should not be </w:t>
      </w:r>
      <w:r w:rsidR="000A1285">
        <w:rPr>
          <w:lang w:bidi="ar-SA"/>
        </w:rPr>
        <w:t>established</w:t>
      </w:r>
      <w:r w:rsidR="00F1582A" w:rsidRPr="00F1582A">
        <w:rPr>
          <w:lang w:bidi="ar-SA"/>
        </w:rPr>
        <w:t xml:space="preserve"> because </w:t>
      </w:r>
      <w:r w:rsidR="008A3C7B">
        <w:rPr>
          <w:lang w:bidi="ar-SA"/>
        </w:rPr>
        <w:t xml:space="preserve">no evidence of systemic toxicity has been observed in animal </w:t>
      </w:r>
      <w:r w:rsidR="000A1285">
        <w:rPr>
          <w:lang w:bidi="ar-SA"/>
        </w:rPr>
        <w:t xml:space="preserve">or humans </w:t>
      </w:r>
      <w:r w:rsidR="008A3C7B">
        <w:rPr>
          <w:lang w:bidi="ar-SA"/>
        </w:rPr>
        <w:t>studies. T</w:t>
      </w:r>
      <w:r w:rsidR="00F1582A" w:rsidRPr="00F1582A">
        <w:rPr>
          <w:lang w:bidi="ar-SA"/>
        </w:rPr>
        <w:t xml:space="preserve">he </w:t>
      </w:r>
      <w:r w:rsidR="008A3C7B">
        <w:rPr>
          <w:lang w:bidi="ar-SA"/>
        </w:rPr>
        <w:t xml:space="preserve">only reported adverse effect attributable to </w:t>
      </w:r>
      <w:r w:rsidR="00E97D6E" w:rsidRPr="00F1582A">
        <w:rPr>
          <w:lang w:bidi="ar-SA"/>
        </w:rPr>
        <w:t xml:space="preserve">exposure </w:t>
      </w:r>
      <w:r w:rsidR="00E97D6E">
        <w:rPr>
          <w:lang w:bidi="ar-SA"/>
        </w:rPr>
        <w:t>to propionates</w:t>
      </w:r>
      <w:r w:rsidR="000C27F3">
        <w:rPr>
          <w:lang w:bidi="ar-SA"/>
        </w:rPr>
        <w:t xml:space="preserve"> via the oral route </w:t>
      </w:r>
      <w:r w:rsidR="00F1582A" w:rsidRPr="00F1582A">
        <w:rPr>
          <w:lang w:bidi="ar-SA"/>
        </w:rPr>
        <w:t>was</w:t>
      </w:r>
      <w:r w:rsidR="00F1582A">
        <w:rPr>
          <w:lang w:bidi="ar-SA"/>
        </w:rPr>
        <w:t xml:space="preserve"> </w:t>
      </w:r>
      <w:r w:rsidR="006451F9">
        <w:rPr>
          <w:lang w:bidi="ar-SA"/>
        </w:rPr>
        <w:t xml:space="preserve">reversible epithelial hyperplasia of the </w:t>
      </w:r>
      <w:r w:rsidR="00A95D35" w:rsidRPr="00A95D35">
        <w:rPr>
          <w:lang w:bidi="ar-SA"/>
        </w:rPr>
        <w:t xml:space="preserve">oesophagus </w:t>
      </w:r>
      <w:r w:rsidR="00A95D35">
        <w:rPr>
          <w:lang w:bidi="ar-SA"/>
        </w:rPr>
        <w:t xml:space="preserve">due to a local irritant effect </w:t>
      </w:r>
      <w:r w:rsidR="008A3C7B">
        <w:rPr>
          <w:lang w:bidi="ar-SA"/>
        </w:rPr>
        <w:t xml:space="preserve">at dietary </w:t>
      </w:r>
      <w:r w:rsidR="00A95D35">
        <w:rPr>
          <w:lang w:bidi="ar-SA"/>
        </w:rPr>
        <w:t>concentrations</w:t>
      </w:r>
      <w:r w:rsidR="00934A98">
        <w:rPr>
          <w:lang w:bidi="ar-SA"/>
        </w:rPr>
        <w:t xml:space="preserve"> </w:t>
      </w:r>
      <w:r w:rsidR="00210290">
        <w:rPr>
          <w:lang w:bidi="ar-SA"/>
        </w:rPr>
        <w:t xml:space="preserve">of </w:t>
      </w:r>
      <w:r w:rsidR="00934A98">
        <w:rPr>
          <w:lang w:bidi="ar-SA"/>
        </w:rPr>
        <w:t>10,000 mg/kg </w:t>
      </w:r>
      <w:r w:rsidR="00210290">
        <w:rPr>
          <w:lang w:bidi="ar-SA"/>
        </w:rPr>
        <w:t>and greater</w:t>
      </w:r>
      <w:r w:rsidR="00F1582A" w:rsidRPr="00F1582A">
        <w:rPr>
          <w:lang w:bidi="ar-SA"/>
        </w:rPr>
        <w:t>.</w:t>
      </w:r>
      <w:r w:rsidR="00934A98">
        <w:rPr>
          <w:lang w:bidi="ar-SA"/>
        </w:rPr>
        <w:t xml:space="preserve"> </w:t>
      </w:r>
    </w:p>
    <w:p w14:paraId="37714F63" w14:textId="4B4E408A" w:rsidR="000A1285" w:rsidRPr="00C00171" w:rsidRDefault="000A1285" w:rsidP="00860E48">
      <w:pPr>
        <w:widowControl/>
        <w:rPr>
          <w:lang w:bidi="ar-SA"/>
        </w:rPr>
      </w:pPr>
    </w:p>
    <w:p w14:paraId="11E36E28" w14:textId="63FBF632" w:rsidR="00940375" w:rsidRDefault="00E51B51" w:rsidP="0008344D">
      <w:pPr>
        <w:pStyle w:val="Heading1"/>
      </w:pPr>
      <w:bookmarkStart w:id="33" w:name="_Toc454451346"/>
      <w:r>
        <w:t>4</w:t>
      </w:r>
      <w:r w:rsidR="0008344D">
        <w:tab/>
      </w:r>
      <w:r w:rsidR="00940375">
        <w:t xml:space="preserve">Dietary </w:t>
      </w:r>
      <w:r w:rsidR="002F12D7">
        <w:t>Exposure</w:t>
      </w:r>
      <w:r w:rsidR="00940375">
        <w:t xml:space="preserve"> Assessment</w:t>
      </w:r>
      <w:bookmarkEnd w:id="33"/>
    </w:p>
    <w:p w14:paraId="250937DC" w14:textId="43A1D236" w:rsidR="000A7777" w:rsidRDefault="00AA36C2" w:rsidP="008E4059">
      <w:pPr>
        <w:rPr>
          <w:lang w:bidi="ar-SA"/>
        </w:rPr>
      </w:pPr>
      <w:r>
        <w:rPr>
          <w:lang w:bidi="ar-SA"/>
        </w:rPr>
        <w:t xml:space="preserve">A dietary exposure assessment was not conducted </w:t>
      </w:r>
      <w:r w:rsidR="000A7777">
        <w:rPr>
          <w:lang w:bidi="ar-SA"/>
        </w:rPr>
        <w:t xml:space="preserve">because there is no evidence of systemic toxicity resulting from </w:t>
      </w:r>
      <w:r w:rsidR="00F95532">
        <w:rPr>
          <w:lang w:bidi="ar-SA"/>
        </w:rPr>
        <w:t>oral</w:t>
      </w:r>
      <w:r w:rsidR="000C6118">
        <w:rPr>
          <w:lang w:bidi="ar-SA"/>
        </w:rPr>
        <w:t xml:space="preserve"> exposure to propionates, and therefore a numerical ADI has not been established.</w:t>
      </w:r>
      <w:r w:rsidR="000A7777">
        <w:rPr>
          <w:lang w:bidi="ar-SA"/>
        </w:rPr>
        <w:t xml:space="preserve"> It is noted that the Application indicates that typical levels of addition of propionates to processed meat products are in the range of 0.1–0.25% w/w (1000–2500 mg/kg)</w:t>
      </w:r>
      <w:r w:rsidR="00837E9F">
        <w:rPr>
          <w:lang w:bidi="ar-SA"/>
        </w:rPr>
        <w:t>,</w:t>
      </w:r>
      <w:r w:rsidR="000A7777">
        <w:rPr>
          <w:lang w:bidi="ar-SA"/>
        </w:rPr>
        <w:t xml:space="preserve"> which is lower than the highest existing MPL for propionates in the Code (4000 mg/kg for breads and bakery products). </w:t>
      </w:r>
      <w:proofErr w:type="gramStart"/>
      <w:r w:rsidR="000A7777">
        <w:rPr>
          <w:lang w:bidi="ar-SA"/>
        </w:rPr>
        <w:t>Levels as high as 6200</w:t>
      </w:r>
      <w:r w:rsidR="008151B2">
        <w:rPr>
          <w:lang w:bidi="ar-SA"/>
        </w:rPr>
        <w:t xml:space="preserve"> mg/kg have been reported to occur </w:t>
      </w:r>
      <w:r w:rsidR="000A7777">
        <w:rPr>
          <w:lang w:bidi="ar-SA"/>
        </w:rPr>
        <w:t>naturally in cheese (EFSA 2014).</w:t>
      </w:r>
      <w:proofErr w:type="gramEnd"/>
    </w:p>
    <w:p w14:paraId="30B51D25" w14:textId="77777777" w:rsidR="000A7777" w:rsidRDefault="000A7777" w:rsidP="008E4059">
      <w:pPr>
        <w:rPr>
          <w:lang w:bidi="ar-SA"/>
        </w:rPr>
      </w:pPr>
    </w:p>
    <w:p w14:paraId="11E36E3E" w14:textId="0E8FD8EC" w:rsidR="00940375" w:rsidRDefault="00E51B51" w:rsidP="0008344D">
      <w:pPr>
        <w:pStyle w:val="Heading1"/>
      </w:pPr>
      <w:bookmarkStart w:id="34" w:name="_Toc454451347"/>
      <w:r>
        <w:t>5</w:t>
      </w:r>
      <w:r w:rsidR="0008344D">
        <w:tab/>
      </w:r>
      <w:r w:rsidR="00940375">
        <w:t>Risk Characterisation</w:t>
      </w:r>
      <w:bookmarkEnd w:id="34"/>
    </w:p>
    <w:p w14:paraId="6C8F6587" w14:textId="320A27E7" w:rsidR="002F12D7" w:rsidRPr="006061CA" w:rsidRDefault="00F95532" w:rsidP="002F12D7">
      <w:pPr>
        <w:rPr>
          <w:lang w:bidi="ar-SA"/>
        </w:rPr>
      </w:pPr>
      <w:r w:rsidRPr="00F95532">
        <w:rPr>
          <w:lang w:bidi="ar-SA"/>
        </w:rPr>
        <w:t>Propionic acid is a normal intermediary m</w:t>
      </w:r>
      <w:r w:rsidR="008415B0">
        <w:rPr>
          <w:lang w:bidi="ar-SA"/>
        </w:rPr>
        <w:t xml:space="preserve">etabolite in humans and </w:t>
      </w:r>
      <w:r w:rsidRPr="00F95532">
        <w:rPr>
          <w:lang w:bidi="ar-SA"/>
        </w:rPr>
        <w:t xml:space="preserve">is naturally present in a wide variety of foods. </w:t>
      </w:r>
      <w:r w:rsidR="008415B0" w:rsidRPr="008415B0">
        <w:rPr>
          <w:lang w:bidi="ar-SA"/>
        </w:rPr>
        <w:t xml:space="preserve">Propionic acid </w:t>
      </w:r>
      <w:r w:rsidR="008415B0">
        <w:rPr>
          <w:lang w:bidi="ar-SA"/>
        </w:rPr>
        <w:t>and its sodium, calcium and potassium salts have a</w:t>
      </w:r>
      <w:r w:rsidR="00F95E4B">
        <w:rPr>
          <w:lang w:bidi="ar-SA"/>
        </w:rPr>
        <w:t xml:space="preserve"> </w:t>
      </w:r>
      <w:r w:rsidR="008415B0">
        <w:rPr>
          <w:lang w:bidi="ar-SA"/>
        </w:rPr>
        <w:t xml:space="preserve">long history of use as food additives. Assessments by JECFA and EFSA have concluded that </w:t>
      </w:r>
      <w:r w:rsidR="008415B0" w:rsidRPr="008415B0">
        <w:rPr>
          <w:lang w:bidi="ar-SA"/>
        </w:rPr>
        <w:t>there is no evidence of systemic toxicity resulting from oral exposure to propionates</w:t>
      </w:r>
      <w:r w:rsidR="008415B0">
        <w:rPr>
          <w:lang w:bidi="ar-SA"/>
        </w:rPr>
        <w:t>.</w:t>
      </w:r>
      <w:r w:rsidR="008415B0" w:rsidRPr="008415B0">
        <w:rPr>
          <w:lang w:bidi="ar-SA"/>
        </w:rPr>
        <w:t xml:space="preserve"> </w:t>
      </w:r>
      <w:r w:rsidR="008415B0">
        <w:rPr>
          <w:lang w:bidi="ar-SA"/>
        </w:rPr>
        <w:t>Any additional dietary exposure to propionates resulting from their use as food additives in processed meat products presents no identifiable public health and safety concerns.</w:t>
      </w:r>
    </w:p>
    <w:p w14:paraId="64191535" w14:textId="603DA528" w:rsidR="006061CA" w:rsidRDefault="006061CA" w:rsidP="005E0F63">
      <w:pPr>
        <w:rPr>
          <w:lang w:bidi="ar-SA"/>
        </w:rPr>
      </w:pPr>
    </w:p>
    <w:p w14:paraId="4A815F9B" w14:textId="107DBBB9" w:rsidR="00677743" w:rsidRDefault="00E51B51" w:rsidP="00677743">
      <w:pPr>
        <w:pStyle w:val="Heading1"/>
      </w:pPr>
      <w:bookmarkStart w:id="35" w:name="_Toc454451348"/>
      <w:r>
        <w:t>6</w:t>
      </w:r>
      <w:r w:rsidR="00677743">
        <w:tab/>
        <w:t>Risk and technical assessment conclusions</w:t>
      </w:r>
      <w:bookmarkEnd w:id="35"/>
    </w:p>
    <w:p w14:paraId="1EDBB688" w14:textId="4AA98AEE" w:rsidR="00F65ABF" w:rsidRDefault="00F65ABF" w:rsidP="00F65ABF">
      <w:r>
        <w:t>This risk and technical assessment evaluated the technological suitability and safety of the proposed addition of propionates to processed meat products.</w:t>
      </w:r>
    </w:p>
    <w:p w14:paraId="4CB0D695" w14:textId="0C3193EC" w:rsidR="00F65ABF" w:rsidRDefault="00E51B51" w:rsidP="00F65ABF">
      <w:pPr>
        <w:pStyle w:val="Heading2"/>
      </w:pPr>
      <w:bookmarkStart w:id="36" w:name="_Toc454451349"/>
      <w:r>
        <w:t>6</w:t>
      </w:r>
      <w:r w:rsidR="00F65ABF">
        <w:t>.1</w:t>
      </w:r>
      <w:r w:rsidR="00F65ABF">
        <w:tab/>
        <w:t xml:space="preserve"> Reponses to risk and technical assessment questions</w:t>
      </w:r>
      <w:bookmarkEnd w:id="36"/>
    </w:p>
    <w:p w14:paraId="3724E680" w14:textId="6543A746" w:rsidR="00F65ABF" w:rsidRPr="006B1587" w:rsidRDefault="006B1587" w:rsidP="006B1587">
      <w:pPr>
        <w:ind w:left="851" w:hanging="851"/>
        <w:rPr>
          <w:b/>
          <w:i/>
        </w:rPr>
      </w:pPr>
      <w:r w:rsidRPr="006B1587">
        <w:rPr>
          <w:b/>
        </w:rPr>
        <w:t>1.</w:t>
      </w:r>
      <w:r w:rsidRPr="006B1587">
        <w:rPr>
          <w:b/>
        </w:rPr>
        <w:tab/>
      </w:r>
      <w:r w:rsidR="00F65ABF" w:rsidRPr="006B1587">
        <w:rPr>
          <w:b/>
          <w:i/>
        </w:rPr>
        <w:t>Do propionates achieve their stated technological function in the form and quantity used as food additives in processed meat products?</w:t>
      </w:r>
    </w:p>
    <w:p w14:paraId="4B13BB89" w14:textId="77777777" w:rsidR="00677743" w:rsidRDefault="00677743" w:rsidP="00677743"/>
    <w:tbl>
      <w:tblPr>
        <w:tblStyle w:val="TableGrid"/>
        <w:tblW w:w="0" w:type="auto"/>
        <w:tblLook w:val="04A0" w:firstRow="1" w:lastRow="0" w:firstColumn="1" w:lastColumn="0" w:noHBand="0" w:noVBand="1"/>
        <w:tblDescription w:val="Summary/conclusion -Do propionates achieve their stated technological function in the form and quantity used as food additives in processed meat products?"/>
      </w:tblPr>
      <w:tblGrid>
        <w:gridCol w:w="2660"/>
        <w:gridCol w:w="6582"/>
      </w:tblGrid>
      <w:tr w:rsidR="006B1587" w14:paraId="21F3B94B" w14:textId="77777777" w:rsidTr="009A1174">
        <w:trPr>
          <w:tblHeader/>
        </w:trPr>
        <w:tc>
          <w:tcPr>
            <w:tcW w:w="2660" w:type="dxa"/>
            <w:shd w:val="clear" w:color="auto" w:fill="D9D9D9" w:themeFill="background1" w:themeFillShade="D9"/>
          </w:tcPr>
          <w:p w14:paraId="7A6303C1" w14:textId="7720EDC5" w:rsidR="006B1587" w:rsidRPr="006B1587" w:rsidRDefault="006B1587" w:rsidP="006B1587">
            <w:pPr>
              <w:spacing w:before="60" w:after="60"/>
              <w:rPr>
                <w:b/>
                <w:i/>
                <w:lang w:bidi="ar-SA"/>
              </w:rPr>
            </w:pPr>
            <w:r w:rsidRPr="006B1587">
              <w:rPr>
                <w:b/>
                <w:i/>
                <w:lang w:bidi="ar-SA"/>
              </w:rPr>
              <w:t>Section of report</w:t>
            </w:r>
          </w:p>
        </w:tc>
        <w:tc>
          <w:tcPr>
            <w:tcW w:w="6582" w:type="dxa"/>
            <w:shd w:val="clear" w:color="auto" w:fill="D9D9D9" w:themeFill="background1" w:themeFillShade="D9"/>
          </w:tcPr>
          <w:p w14:paraId="43940E41" w14:textId="71BB1981" w:rsidR="006B1587" w:rsidRPr="006B1587" w:rsidRDefault="006B1587" w:rsidP="006B1587">
            <w:pPr>
              <w:spacing w:before="60" w:after="60"/>
              <w:rPr>
                <w:b/>
                <w:i/>
                <w:lang w:bidi="ar-SA"/>
              </w:rPr>
            </w:pPr>
            <w:r w:rsidRPr="006B1587">
              <w:rPr>
                <w:b/>
                <w:i/>
                <w:lang w:bidi="ar-SA"/>
              </w:rPr>
              <w:t>Summary response/conclusion</w:t>
            </w:r>
          </w:p>
        </w:tc>
      </w:tr>
      <w:tr w:rsidR="006B1587" w14:paraId="4F27BEE7" w14:textId="77777777" w:rsidTr="006B1587">
        <w:tc>
          <w:tcPr>
            <w:tcW w:w="2660" w:type="dxa"/>
          </w:tcPr>
          <w:p w14:paraId="1E183862" w14:textId="454E8E6F" w:rsidR="006B1587" w:rsidRDefault="006B1587" w:rsidP="006B1587">
            <w:pPr>
              <w:spacing w:before="60" w:after="60"/>
              <w:rPr>
                <w:lang w:bidi="ar-SA"/>
              </w:rPr>
            </w:pPr>
            <w:r>
              <w:rPr>
                <w:lang w:bidi="ar-SA"/>
              </w:rPr>
              <w:t>Section 2</w:t>
            </w:r>
          </w:p>
        </w:tc>
        <w:tc>
          <w:tcPr>
            <w:tcW w:w="6582" w:type="dxa"/>
          </w:tcPr>
          <w:p w14:paraId="2237BBAE" w14:textId="6F7507F6" w:rsidR="006B1587" w:rsidRDefault="006B1587" w:rsidP="00E70125">
            <w:pPr>
              <w:spacing w:before="60" w:after="60"/>
              <w:rPr>
                <w:lang w:bidi="ar-SA"/>
              </w:rPr>
            </w:pPr>
            <w:r>
              <w:rPr>
                <w:lang w:bidi="ar-SA"/>
              </w:rPr>
              <w:t xml:space="preserve">Evidence submitted in support of this Application provides adequate assurance that propionates fulfil the stated technological function as </w:t>
            </w:r>
            <w:r w:rsidR="00E70125" w:rsidRPr="00E70125">
              <w:rPr>
                <w:lang w:bidi="ar-SA"/>
              </w:rPr>
              <w:t xml:space="preserve">anti-microbial preservatives to limit the growth of </w:t>
            </w:r>
            <w:r w:rsidR="00E70125" w:rsidRPr="00E70125">
              <w:rPr>
                <w:i/>
                <w:lang w:bidi="ar-SA"/>
              </w:rPr>
              <w:t>Listeria monocytogenes</w:t>
            </w:r>
            <w:r w:rsidR="00E70125" w:rsidRPr="00E70125">
              <w:rPr>
                <w:lang w:bidi="ar-SA"/>
              </w:rPr>
              <w:t xml:space="preserve"> in processed meat products.</w:t>
            </w:r>
            <w:r w:rsidR="00E70125">
              <w:rPr>
                <w:lang w:bidi="ar-SA"/>
              </w:rPr>
              <w:t xml:space="preserve"> </w:t>
            </w:r>
          </w:p>
        </w:tc>
      </w:tr>
    </w:tbl>
    <w:p w14:paraId="18DA8F17" w14:textId="77777777" w:rsidR="006B1587" w:rsidRDefault="006B1587" w:rsidP="00677743">
      <w:pPr>
        <w:rPr>
          <w:lang w:bidi="ar-SA"/>
        </w:rPr>
      </w:pPr>
    </w:p>
    <w:p w14:paraId="258B3188" w14:textId="31B0A7BC" w:rsidR="006B1587" w:rsidRDefault="006B1587" w:rsidP="00677743">
      <w:pPr>
        <w:rPr>
          <w:lang w:bidi="ar-SA"/>
        </w:rPr>
      </w:pPr>
    </w:p>
    <w:p w14:paraId="764CCE33" w14:textId="77BF58E8" w:rsidR="006B1587" w:rsidRPr="006B1587" w:rsidRDefault="006B1587" w:rsidP="006B1587">
      <w:pPr>
        <w:keepNext/>
        <w:keepLines/>
        <w:ind w:left="851" w:hanging="851"/>
        <w:rPr>
          <w:b/>
          <w:lang w:bidi="ar-SA"/>
        </w:rPr>
      </w:pPr>
      <w:r w:rsidRPr="006B1587">
        <w:rPr>
          <w:b/>
          <w:lang w:bidi="ar-SA"/>
        </w:rPr>
        <w:lastRenderedPageBreak/>
        <w:t>2.</w:t>
      </w:r>
      <w:r w:rsidRPr="006B1587">
        <w:rPr>
          <w:b/>
          <w:lang w:bidi="ar-SA"/>
        </w:rPr>
        <w:tab/>
        <w:t>Are there any public health and safety concerns associated with the use of propionates as food additives in processed meat products?</w:t>
      </w:r>
    </w:p>
    <w:p w14:paraId="5FDCDB66" w14:textId="221D5C7F" w:rsidR="005E0F63" w:rsidRDefault="005E0F63" w:rsidP="006B1587">
      <w:pPr>
        <w:keepNext/>
        <w:keepLines/>
        <w:rPr>
          <w:lang w:bidi="ar-SA"/>
        </w:rPr>
      </w:pPr>
    </w:p>
    <w:tbl>
      <w:tblPr>
        <w:tblStyle w:val="TableGrid"/>
        <w:tblW w:w="0" w:type="auto"/>
        <w:tblLook w:val="04A0" w:firstRow="1" w:lastRow="0" w:firstColumn="1" w:lastColumn="0" w:noHBand="0" w:noVBand="1"/>
        <w:tblDescription w:val="Summary/conclusion - Are there any public health and safety concerns associated with the use of propionates as food additives in processed meat products?"/>
      </w:tblPr>
      <w:tblGrid>
        <w:gridCol w:w="2660"/>
        <w:gridCol w:w="6582"/>
      </w:tblGrid>
      <w:tr w:rsidR="006B1587" w14:paraId="1F30F4FF" w14:textId="77777777" w:rsidTr="009A1174">
        <w:tc>
          <w:tcPr>
            <w:tcW w:w="2660" w:type="dxa"/>
            <w:shd w:val="clear" w:color="auto" w:fill="D9D9D9" w:themeFill="background1" w:themeFillShade="D9"/>
          </w:tcPr>
          <w:p w14:paraId="56DE74D5" w14:textId="77777777" w:rsidR="006B1587" w:rsidRPr="006B1587" w:rsidRDefault="006B1587" w:rsidP="006B1587">
            <w:pPr>
              <w:keepNext/>
              <w:keepLines/>
              <w:spacing w:before="60" w:after="60"/>
              <w:rPr>
                <w:b/>
                <w:i/>
                <w:lang w:bidi="ar-SA"/>
              </w:rPr>
            </w:pPr>
            <w:r w:rsidRPr="006B1587">
              <w:rPr>
                <w:b/>
                <w:i/>
                <w:lang w:bidi="ar-SA"/>
              </w:rPr>
              <w:t>Section of report</w:t>
            </w:r>
          </w:p>
        </w:tc>
        <w:tc>
          <w:tcPr>
            <w:tcW w:w="6582" w:type="dxa"/>
            <w:shd w:val="clear" w:color="auto" w:fill="D9D9D9" w:themeFill="background1" w:themeFillShade="D9"/>
          </w:tcPr>
          <w:p w14:paraId="2F34FF40" w14:textId="77777777" w:rsidR="006B1587" w:rsidRPr="006B1587" w:rsidRDefault="006B1587" w:rsidP="006B1587">
            <w:pPr>
              <w:keepNext/>
              <w:keepLines/>
              <w:spacing w:before="60" w:after="60"/>
              <w:rPr>
                <w:b/>
                <w:i/>
                <w:lang w:bidi="ar-SA"/>
              </w:rPr>
            </w:pPr>
            <w:r w:rsidRPr="006B1587">
              <w:rPr>
                <w:b/>
                <w:i/>
                <w:lang w:bidi="ar-SA"/>
              </w:rPr>
              <w:t>Summary response/conclusion</w:t>
            </w:r>
          </w:p>
        </w:tc>
      </w:tr>
      <w:tr w:rsidR="006B1587" w14:paraId="141393E8" w14:textId="77777777" w:rsidTr="009A1174">
        <w:tc>
          <w:tcPr>
            <w:tcW w:w="2660" w:type="dxa"/>
          </w:tcPr>
          <w:p w14:paraId="34339DB3" w14:textId="6967FC1F" w:rsidR="006B1587" w:rsidRPr="006B1587" w:rsidRDefault="006B1587" w:rsidP="006B1587">
            <w:pPr>
              <w:keepNext/>
              <w:keepLines/>
              <w:spacing w:before="60" w:after="60"/>
              <w:rPr>
                <w:b/>
                <w:lang w:bidi="ar-SA"/>
              </w:rPr>
            </w:pPr>
            <w:r w:rsidRPr="006B1587">
              <w:rPr>
                <w:b/>
                <w:lang w:bidi="ar-SA"/>
              </w:rPr>
              <w:t>Section 3, 4 and 5</w:t>
            </w:r>
          </w:p>
        </w:tc>
        <w:tc>
          <w:tcPr>
            <w:tcW w:w="6582" w:type="dxa"/>
          </w:tcPr>
          <w:p w14:paraId="3B35A54F" w14:textId="02C2B5BE" w:rsidR="006B1587" w:rsidRDefault="006B1587" w:rsidP="006B1587">
            <w:pPr>
              <w:keepNext/>
              <w:keepLines/>
              <w:spacing w:before="60" w:after="60"/>
              <w:rPr>
                <w:lang w:bidi="ar-SA"/>
              </w:rPr>
            </w:pPr>
            <w:r>
              <w:rPr>
                <w:lang w:bidi="ar-SA"/>
              </w:rPr>
              <w:t xml:space="preserve">There are </w:t>
            </w:r>
            <w:r w:rsidRPr="006B1587">
              <w:rPr>
                <w:lang w:bidi="ar-SA"/>
              </w:rPr>
              <w:t>no identifiable public health and safety concerns</w:t>
            </w:r>
            <w:r>
              <w:rPr>
                <w:lang w:bidi="ar-SA"/>
              </w:rPr>
              <w:t xml:space="preserve"> associated with the proposed use of </w:t>
            </w:r>
            <w:r w:rsidRPr="006B1587">
              <w:rPr>
                <w:lang w:bidi="ar-SA"/>
              </w:rPr>
              <w:t>propionates as food additives in processed meat products.</w:t>
            </w:r>
          </w:p>
        </w:tc>
      </w:tr>
    </w:tbl>
    <w:p w14:paraId="611FA538" w14:textId="77777777" w:rsidR="006B1587" w:rsidRDefault="006B1587" w:rsidP="005E0F63">
      <w:pPr>
        <w:rPr>
          <w:lang w:bidi="ar-SA"/>
        </w:rPr>
      </w:pPr>
    </w:p>
    <w:p w14:paraId="70F252CC" w14:textId="77777777" w:rsidR="00445A1C" w:rsidRDefault="00445A1C">
      <w:pPr>
        <w:widowControl/>
        <w:rPr>
          <w:rFonts w:eastAsiaTheme="majorEastAsia" w:cstheme="majorBidi"/>
          <w:b/>
          <w:bCs/>
          <w:sz w:val="36"/>
          <w:szCs w:val="28"/>
          <w:lang w:bidi="ar-SA"/>
        </w:rPr>
      </w:pPr>
      <w:r>
        <w:br w:type="page"/>
      </w:r>
    </w:p>
    <w:p w14:paraId="625462C3" w14:textId="267BA83F" w:rsidR="00213A08" w:rsidRPr="00213A08" w:rsidRDefault="00E51B51" w:rsidP="00213A08">
      <w:pPr>
        <w:pStyle w:val="Heading1"/>
      </w:pPr>
      <w:bookmarkStart w:id="37" w:name="_Toc454451350"/>
      <w:r>
        <w:lastRenderedPageBreak/>
        <w:t>7</w:t>
      </w:r>
      <w:r w:rsidR="005E0F63">
        <w:tab/>
        <w:t>References</w:t>
      </w:r>
      <w:bookmarkEnd w:id="37"/>
    </w:p>
    <w:p w14:paraId="23D40225" w14:textId="11E18B54" w:rsidR="00213A08" w:rsidRDefault="00213A08" w:rsidP="00213A08">
      <w:pPr>
        <w:tabs>
          <w:tab w:val="left" w:pos="0"/>
        </w:tabs>
        <w:rPr>
          <w:rFonts w:cs="Arial"/>
          <w:sz w:val="20"/>
          <w:szCs w:val="20"/>
        </w:rPr>
      </w:pPr>
      <w:bookmarkStart w:id="38" w:name="_Toc448501148"/>
      <w:bookmarkStart w:id="39" w:name="_Toc448501180"/>
      <w:bookmarkStart w:id="40" w:name="_Toc448503654"/>
      <w:bookmarkEnd w:id="38"/>
      <w:bookmarkEnd w:id="39"/>
      <w:bookmarkEnd w:id="40"/>
      <w:r>
        <w:rPr>
          <w:rFonts w:cs="Arial"/>
          <w:sz w:val="20"/>
          <w:szCs w:val="20"/>
        </w:rPr>
        <w:t>M</w:t>
      </w:r>
      <w:r w:rsidRPr="00213A08">
        <w:rPr>
          <w:rFonts w:cs="Arial"/>
          <w:sz w:val="20"/>
          <w:szCs w:val="20"/>
        </w:rPr>
        <w:t xml:space="preserve">ethods for the determination of propionates in </w:t>
      </w:r>
      <w:r>
        <w:rPr>
          <w:rFonts w:cs="Arial"/>
          <w:sz w:val="20"/>
          <w:szCs w:val="20"/>
        </w:rPr>
        <w:t xml:space="preserve">food, provided by </w:t>
      </w:r>
      <w:r w:rsidR="00571405">
        <w:rPr>
          <w:rFonts w:cs="Arial"/>
          <w:sz w:val="20"/>
          <w:szCs w:val="20"/>
        </w:rPr>
        <w:t>A</w:t>
      </w:r>
      <w:r>
        <w:rPr>
          <w:rFonts w:cs="Arial"/>
          <w:sz w:val="20"/>
          <w:szCs w:val="20"/>
        </w:rPr>
        <w:t>pplicant:</w:t>
      </w:r>
    </w:p>
    <w:p w14:paraId="413B13D2" w14:textId="1763098E" w:rsidR="00213A08" w:rsidRPr="00213A08" w:rsidRDefault="00213A08" w:rsidP="00213A08">
      <w:pPr>
        <w:numPr>
          <w:ilvl w:val="0"/>
          <w:numId w:val="20"/>
        </w:numPr>
        <w:rPr>
          <w:rFonts w:cs="Arial"/>
          <w:sz w:val="20"/>
          <w:szCs w:val="20"/>
        </w:rPr>
      </w:pPr>
      <w:r w:rsidRPr="00213A08">
        <w:rPr>
          <w:rFonts w:cs="Arial"/>
          <w:sz w:val="20"/>
          <w:szCs w:val="20"/>
        </w:rPr>
        <w:t>simplified technique for the determination of propionates in bread by isolation using micro-diffusion (</w:t>
      </w:r>
      <w:proofErr w:type="spellStart"/>
      <w:r w:rsidRPr="00213A08">
        <w:rPr>
          <w:rFonts w:cs="Arial"/>
          <w:sz w:val="20"/>
          <w:szCs w:val="20"/>
        </w:rPr>
        <w:t>Karasz</w:t>
      </w:r>
      <w:proofErr w:type="spellEnd"/>
      <w:r w:rsidRPr="00213A08">
        <w:rPr>
          <w:rFonts w:cs="Arial"/>
          <w:sz w:val="20"/>
          <w:szCs w:val="20"/>
        </w:rPr>
        <w:t xml:space="preserve"> and </w:t>
      </w:r>
      <w:proofErr w:type="spellStart"/>
      <w:r w:rsidRPr="00213A08">
        <w:rPr>
          <w:rFonts w:cs="Arial"/>
          <w:sz w:val="20"/>
          <w:szCs w:val="20"/>
        </w:rPr>
        <w:t>Hallenbeck</w:t>
      </w:r>
      <w:proofErr w:type="spellEnd"/>
      <w:r w:rsidRPr="00213A08">
        <w:rPr>
          <w:rFonts w:cs="Arial"/>
          <w:sz w:val="20"/>
          <w:szCs w:val="20"/>
        </w:rPr>
        <w:t>, 1972)</w:t>
      </w:r>
    </w:p>
    <w:p w14:paraId="12744079" w14:textId="77777777" w:rsidR="00213A08" w:rsidRPr="00213A08" w:rsidRDefault="00213A08" w:rsidP="00213A08">
      <w:pPr>
        <w:numPr>
          <w:ilvl w:val="0"/>
          <w:numId w:val="20"/>
        </w:numPr>
        <w:rPr>
          <w:rFonts w:cs="Arial"/>
          <w:sz w:val="20"/>
          <w:szCs w:val="20"/>
        </w:rPr>
      </w:pPr>
      <w:r w:rsidRPr="00213A08">
        <w:rPr>
          <w:rFonts w:cs="Arial"/>
          <w:sz w:val="20"/>
          <w:szCs w:val="20"/>
        </w:rPr>
        <w:t xml:space="preserve"> gas chromatographic method to determine the content of propionic acid in rye bread and margarine (</w:t>
      </w:r>
      <w:proofErr w:type="spellStart"/>
      <w:r w:rsidRPr="00213A08">
        <w:rPr>
          <w:rFonts w:cs="Arial"/>
          <w:sz w:val="20"/>
          <w:szCs w:val="20"/>
        </w:rPr>
        <w:t>Graveland</w:t>
      </w:r>
      <w:proofErr w:type="spellEnd"/>
      <w:r w:rsidRPr="00213A08">
        <w:rPr>
          <w:rFonts w:cs="Arial"/>
          <w:sz w:val="20"/>
          <w:szCs w:val="20"/>
        </w:rPr>
        <w:t>, 1972)</w:t>
      </w:r>
    </w:p>
    <w:p w14:paraId="10DA2BFD" w14:textId="77777777" w:rsidR="00213A08" w:rsidRPr="00213A08" w:rsidRDefault="00213A08" w:rsidP="00213A08">
      <w:pPr>
        <w:numPr>
          <w:ilvl w:val="0"/>
          <w:numId w:val="20"/>
        </w:numPr>
        <w:rPr>
          <w:rFonts w:cs="Arial"/>
          <w:sz w:val="20"/>
          <w:szCs w:val="20"/>
        </w:rPr>
      </w:pPr>
      <w:r w:rsidRPr="00213A08">
        <w:rPr>
          <w:rFonts w:cs="Arial"/>
          <w:sz w:val="20"/>
          <w:szCs w:val="20"/>
        </w:rPr>
        <w:t xml:space="preserve">gas chromatographic determination of propionic acid in “sweet oven products” or </w:t>
      </w:r>
      <w:proofErr w:type="spellStart"/>
      <w:r w:rsidRPr="00213A08">
        <w:rPr>
          <w:rFonts w:cs="Arial"/>
          <w:sz w:val="20"/>
          <w:szCs w:val="20"/>
        </w:rPr>
        <w:t>prodotti</w:t>
      </w:r>
      <w:proofErr w:type="spellEnd"/>
      <w:r w:rsidRPr="00213A08">
        <w:rPr>
          <w:rFonts w:cs="Arial"/>
          <w:sz w:val="20"/>
          <w:szCs w:val="20"/>
        </w:rPr>
        <w:t xml:space="preserve"> </w:t>
      </w:r>
      <w:proofErr w:type="spellStart"/>
      <w:r w:rsidRPr="00213A08">
        <w:rPr>
          <w:rFonts w:cs="Arial"/>
          <w:sz w:val="20"/>
          <w:szCs w:val="20"/>
        </w:rPr>
        <w:t>dolciari</w:t>
      </w:r>
      <w:proofErr w:type="spellEnd"/>
      <w:r w:rsidRPr="00213A08">
        <w:rPr>
          <w:rFonts w:cs="Arial"/>
          <w:sz w:val="20"/>
          <w:szCs w:val="20"/>
        </w:rPr>
        <w:t xml:space="preserve"> al </w:t>
      </w:r>
      <w:proofErr w:type="spellStart"/>
      <w:r w:rsidRPr="00213A08">
        <w:rPr>
          <w:rFonts w:cs="Arial"/>
          <w:sz w:val="20"/>
          <w:szCs w:val="20"/>
        </w:rPr>
        <w:t>forno</w:t>
      </w:r>
      <w:proofErr w:type="spellEnd"/>
      <w:r w:rsidRPr="00213A08">
        <w:rPr>
          <w:rFonts w:cs="Arial"/>
          <w:sz w:val="20"/>
          <w:szCs w:val="20"/>
        </w:rPr>
        <w:t xml:space="preserve"> (</w:t>
      </w:r>
      <w:proofErr w:type="spellStart"/>
      <w:r w:rsidRPr="00213A08">
        <w:rPr>
          <w:rFonts w:cs="Arial"/>
          <w:sz w:val="20"/>
          <w:szCs w:val="20"/>
        </w:rPr>
        <w:t>Cuzzoni</w:t>
      </w:r>
      <w:proofErr w:type="spellEnd"/>
      <w:r w:rsidRPr="00213A08">
        <w:rPr>
          <w:rFonts w:cs="Arial"/>
          <w:sz w:val="20"/>
          <w:szCs w:val="20"/>
        </w:rPr>
        <w:t>, 1964)</w:t>
      </w:r>
    </w:p>
    <w:p w14:paraId="1CD64E12" w14:textId="77777777" w:rsidR="00213A08" w:rsidRPr="00213A08" w:rsidRDefault="00213A08" w:rsidP="00213A08">
      <w:pPr>
        <w:numPr>
          <w:ilvl w:val="0"/>
          <w:numId w:val="20"/>
        </w:numPr>
        <w:rPr>
          <w:rFonts w:cs="Arial"/>
          <w:sz w:val="20"/>
          <w:szCs w:val="20"/>
        </w:rPr>
      </w:pPr>
      <w:r w:rsidRPr="00213A08">
        <w:rPr>
          <w:rFonts w:cs="Arial"/>
          <w:sz w:val="20"/>
          <w:szCs w:val="20"/>
        </w:rPr>
        <w:t>gas chromatographic determination to determine the content of propionic acid in various types of bread and sourdough (Luck et al., 1975)</w:t>
      </w:r>
    </w:p>
    <w:p w14:paraId="647DD51D" w14:textId="77777777" w:rsidR="00213A08" w:rsidRPr="00213A08" w:rsidRDefault="00213A08" w:rsidP="00213A08">
      <w:pPr>
        <w:numPr>
          <w:ilvl w:val="0"/>
          <w:numId w:val="20"/>
        </w:numPr>
        <w:rPr>
          <w:rFonts w:cs="Arial"/>
          <w:sz w:val="20"/>
          <w:szCs w:val="20"/>
        </w:rPr>
      </w:pPr>
      <w:r w:rsidRPr="00213A08">
        <w:rPr>
          <w:rFonts w:cs="Arial"/>
          <w:sz w:val="20"/>
          <w:szCs w:val="20"/>
        </w:rPr>
        <w:t>isothermal gas chromatographic determination of the propionic acid after mechanical extraction from bread and cake (</w:t>
      </w:r>
      <w:proofErr w:type="spellStart"/>
      <w:r w:rsidRPr="00213A08">
        <w:rPr>
          <w:rFonts w:cs="Arial"/>
          <w:sz w:val="20"/>
          <w:szCs w:val="20"/>
        </w:rPr>
        <w:t>Isshiki</w:t>
      </w:r>
      <w:proofErr w:type="spellEnd"/>
      <w:r w:rsidRPr="00213A08">
        <w:rPr>
          <w:rFonts w:cs="Arial"/>
          <w:sz w:val="20"/>
          <w:szCs w:val="20"/>
        </w:rPr>
        <w:t xml:space="preserve"> et al., 1981)</w:t>
      </w:r>
    </w:p>
    <w:p w14:paraId="4A65ABCD" w14:textId="77777777" w:rsidR="00213A08" w:rsidRPr="00213A08" w:rsidRDefault="00213A08" w:rsidP="00213A08">
      <w:pPr>
        <w:numPr>
          <w:ilvl w:val="0"/>
          <w:numId w:val="20"/>
        </w:numPr>
        <w:rPr>
          <w:rFonts w:cs="Arial"/>
          <w:sz w:val="20"/>
          <w:szCs w:val="20"/>
        </w:rPr>
      </w:pPr>
      <w:r w:rsidRPr="00213A08">
        <w:rPr>
          <w:rFonts w:cs="Arial"/>
          <w:sz w:val="20"/>
          <w:szCs w:val="20"/>
        </w:rPr>
        <w:t>specific chromatographic method for the determination of propionate in white rye and whole grain bread (</w:t>
      </w:r>
      <w:proofErr w:type="spellStart"/>
      <w:r w:rsidRPr="00213A08">
        <w:rPr>
          <w:rFonts w:cs="Arial"/>
          <w:sz w:val="20"/>
          <w:szCs w:val="20"/>
        </w:rPr>
        <w:t>Lamkin</w:t>
      </w:r>
      <w:proofErr w:type="spellEnd"/>
      <w:r w:rsidRPr="00213A08">
        <w:rPr>
          <w:rFonts w:cs="Arial"/>
          <w:sz w:val="20"/>
          <w:szCs w:val="20"/>
        </w:rPr>
        <w:t xml:space="preserve"> et al., 1987)</w:t>
      </w:r>
    </w:p>
    <w:p w14:paraId="397CB163" w14:textId="77777777" w:rsidR="00213A08" w:rsidRPr="00213A08" w:rsidRDefault="00213A08" w:rsidP="00213A08">
      <w:pPr>
        <w:numPr>
          <w:ilvl w:val="0"/>
          <w:numId w:val="20"/>
        </w:numPr>
        <w:rPr>
          <w:rFonts w:cs="Arial"/>
          <w:sz w:val="20"/>
          <w:szCs w:val="20"/>
        </w:rPr>
      </w:pPr>
      <w:proofErr w:type="gramStart"/>
      <w:r w:rsidRPr="00213A08">
        <w:rPr>
          <w:rFonts w:cs="Arial"/>
          <w:sz w:val="20"/>
          <w:szCs w:val="20"/>
        </w:rPr>
        <w:t>gas</w:t>
      </w:r>
      <w:proofErr w:type="gramEnd"/>
      <w:r w:rsidRPr="00213A08">
        <w:rPr>
          <w:rFonts w:cs="Arial"/>
          <w:sz w:val="20"/>
          <w:szCs w:val="20"/>
        </w:rPr>
        <w:t xml:space="preserve"> chromatographic determination of propionic acid and propionates in bakery products (</w:t>
      </w:r>
      <w:proofErr w:type="spellStart"/>
      <w:r w:rsidRPr="00213A08">
        <w:rPr>
          <w:rFonts w:cs="Arial"/>
          <w:sz w:val="20"/>
          <w:szCs w:val="20"/>
        </w:rPr>
        <w:t>Khaldun</w:t>
      </w:r>
      <w:proofErr w:type="spellEnd"/>
      <w:r w:rsidRPr="00213A08">
        <w:rPr>
          <w:rFonts w:cs="Arial"/>
          <w:sz w:val="20"/>
          <w:szCs w:val="20"/>
        </w:rPr>
        <w:t xml:space="preserve"> et al., 2010).</w:t>
      </w:r>
    </w:p>
    <w:p w14:paraId="7FADFB9A" w14:textId="77777777" w:rsidR="00213A08" w:rsidRPr="00213A08" w:rsidRDefault="00213A08" w:rsidP="00213A08">
      <w:pPr>
        <w:numPr>
          <w:ilvl w:val="0"/>
          <w:numId w:val="20"/>
        </w:numPr>
        <w:rPr>
          <w:rFonts w:cs="Arial"/>
          <w:sz w:val="20"/>
          <w:szCs w:val="20"/>
        </w:rPr>
      </w:pPr>
      <w:proofErr w:type="gramStart"/>
      <w:r w:rsidRPr="00213A08">
        <w:rPr>
          <w:rFonts w:cs="Arial"/>
          <w:sz w:val="20"/>
          <w:szCs w:val="20"/>
        </w:rPr>
        <w:t>method</w:t>
      </w:r>
      <w:proofErr w:type="gramEnd"/>
      <w:r w:rsidRPr="00213A08">
        <w:rPr>
          <w:rFonts w:cs="Arial"/>
          <w:sz w:val="20"/>
          <w:szCs w:val="20"/>
        </w:rPr>
        <w:t xml:space="preserve"> developed for the determination of eleven preservatives (including propionic acid) in food samples by GC-FIP (</w:t>
      </w:r>
      <w:proofErr w:type="spellStart"/>
      <w:r w:rsidRPr="00213A08">
        <w:rPr>
          <w:rFonts w:cs="Arial"/>
          <w:sz w:val="20"/>
          <w:szCs w:val="20"/>
        </w:rPr>
        <w:t>Gu</w:t>
      </w:r>
      <w:proofErr w:type="spellEnd"/>
      <w:r w:rsidRPr="00213A08">
        <w:rPr>
          <w:rFonts w:cs="Arial"/>
          <w:sz w:val="20"/>
          <w:szCs w:val="20"/>
        </w:rPr>
        <w:t xml:space="preserve"> et al., 2012).</w:t>
      </w:r>
    </w:p>
    <w:p w14:paraId="509A3E94" w14:textId="77777777" w:rsidR="00213A08" w:rsidRPr="00213A08" w:rsidRDefault="00213A08" w:rsidP="00213A08">
      <w:pPr>
        <w:numPr>
          <w:ilvl w:val="0"/>
          <w:numId w:val="20"/>
        </w:numPr>
        <w:rPr>
          <w:rFonts w:cs="Arial"/>
          <w:sz w:val="20"/>
          <w:szCs w:val="20"/>
        </w:rPr>
      </w:pPr>
      <w:r w:rsidRPr="00213A08">
        <w:rPr>
          <w:rFonts w:cs="Arial"/>
          <w:sz w:val="20"/>
          <w:szCs w:val="20"/>
        </w:rPr>
        <w:t>HPLC method (hydrogen ion exchange column) for the simultaneous determination of ten organic acids (including propionic acid) has been described (Chen et al., 2012).</w:t>
      </w:r>
    </w:p>
    <w:p w14:paraId="485F825D" w14:textId="77777777" w:rsidR="00213A08" w:rsidRPr="00213A08" w:rsidRDefault="00213A08" w:rsidP="00213A08">
      <w:pPr>
        <w:numPr>
          <w:ilvl w:val="0"/>
          <w:numId w:val="20"/>
        </w:numPr>
        <w:rPr>
          <w:rFonts w:cs="Arial"/>
          <w:sz w:val="20"/>
          <w:szCs w:val="20"/>
        </w:rPr>
      </w:pPr>
      <w:r w:rsidRPr="00213A08">
        <w:rPr>
          <w:rFonts w:cs="Arial"/>
          <w:sz w:val="20"/>
          <w:szCs w:val="20"/>
        </w:rPr>
        <w:t>HPLC method for the quantitative determination of sodium propionate and calcium propionate in different foodstuff (cake, dry soybean, sausage, noodle, etc.) has been described (Liang, 2009)</w:t>
      </w:r>
    </w:p>
    <w:p w14:paraId="13191862" w14:textId="77777777" w:rsidR="00213A08" w:rsidRPr="00213A08" w:rsidRDefault="00213A08" w:rsidP="00213A08">
      <w:pPr>
        <w:numPr>
          <w:ilvl w:val="0"/>
          <w:numId w:val="20"/>
        </w:numPr>
        <w:rPr>
          <w:rFonts w:cs="Arial"/>
          <w:sz w:val="20"/>
          <w:szCs w:val="20"/>
        </w:rPr>
      </w:pPr>
      <w:proofErr w:type="gramStart"/>
      <w:r w:rsidRPr="00213A08">
        <w:rPr>
          <w:rFonts w:cs="Arial"/>
          <w:sz w:val="20"/>
          <w:szCs w:val="20"/>
        </w:rPr>
        <w:t>quantitative</w:t>
      </w:r>
      <w:proofErr w:type="gramEnd"/>
      <w:r w:rsidRPr="00213A08">
        <w:rPr>
          <w:rFonts w:cs="Arial"/>
          <w:sz w:val="20"/>
          <w:szCs w:val="20"/>
        </w:rPr>
        <w:t xml:space="preserve"> determination of sodium propionate and calcium propionate (transformed into propionic acid) in food has been reported by capillary gas chromatography (Gao and Zhao, 2012).</w:t>
      </w:r>
    </w:p>
    <w:p w14:paraId="44C91EF9" w14:textId="64A2D778" w:rsidR="00213A08" w:rsidRDefault="00213A08" w:rsidP="00213A08">
      <w:pPr>
        <w:numPr>
          <w:ilvl w:val="0"/>
          <w:numId w:val="20"/>
        </w:numPr>
        <w:rPr>
          <w:rFonts w:cs="Arial"/>
          <w:sz w:val="20"/>
          <w:szCs w:val="20"/>
        </w:rPr>
      </w:pPr>
      <w:proofErr w:type="gramStart"/>
      <w:r w:rsidRPr="00213A08">
        <w:rPr>
          <w:rFonts w:cs="Arial"/>
          <w:sz w:val="20"/>
          <w:szCs w:val="20"/>
        </w:rPr>
        <w:t>a</w:t>
      </w:r>
      <w:proofErr w:type="gramEnd"/>
      <w:r w:rsidRPr="00213A08">
        <w:rPr>
          <w:rFonts w:cs="Arial"/>
          <w:sz w:val="20"/>
          <w:szCs w:val="20"/>
        </w:rPr>
        <w:t xml:space="preserve"> new method for the quantitative determination of calcium propionate in cakes by ion chromatography with suppressed conductivity detection has been investigated (Dai et al., 2013).</w:t>
      </w:r>
    </w:p>
    <w:p w14:paraId="27723D35" w14:textId="78E77050" w:rsidR="00213A08" w:rsidRDefault="00213A08" w:rsidP="00213A08">
      <w:pPr>
        <w:ind w:left="720"/>
        <w:rPr>
          <w:rFonts w:cs="Arial"/>
          <w:sz w:val="20"/>
          <w:szCs w:val="20"/>
        </w:rPr>
      </w:pPr>
    </w:p>
    <w:p w14:paraId="24E5338F" w14:textId="47E604DE" w:rsidR="006C1E85" w:rsidRDefault="006C1E85" w:rsidP="006C1E85">
      <w:pPr>
        <w:rPr>
          <w:rFonts w:cs="Arial"/>
          <w:sz w:val="20"/>
          <w:szCs w:val="20"/>
        </w:rPr>
      </w:pPr>
      <w:r w:rsidRPr="006C1E85">
        <w:rPr>
          <w:rFonts w:cs="Arial"/>
          <w:sz w:val="20"/>
          <w:szCs w:val="20"/>
          <w:lang w:val="en-NZ"/>
        </w:rPr>
        <w:t xml:space="preserve">Commission Regulation (EU) </w:t>
      </w:r>
      <w:r>
        <w:rPr>
          <w:rFonts w:cs="Arial"/>
          <w:sz w:val="20"/>
          <w:szCs w:val="20"/>
          <w:lang w:val="en-NZ"/>
        </w:rPr>
        <w:t>specifications for</w:t>
      </w:r>
      <w:r w:rsidRPr="006C1E85">
        <w:rPr>
          <w:rFonts w:cs="Arial"/>
          <w:sz w:val="20"/>
          <w:szCs w:val="20"/>
          <w:lang w:val="en-NZ"/>
        </w:rPr>
        <w:t xml:space="preserve"> propionic acid (E 280), sodium propionate (E 281), calcium propionate (E 282) and potassium propionate (E 283) </w:t>
      </w:r>
      <w:proofErr w:type="gramStart"/>
      <w:r>
        <w:rPr>
          <w:rFonts w:cs="Arial"/>
          <w:sz w:val="20"/>
          <w:szCs w:val="20"/>
          <w:lang w:val="en-NZ"/>
        </w:rPr>
        <w:t>(</w:t>
      </w:r>
      <w:r w:rsidRPr="006C1E85">
        <w:rPr>
          <w:rFonts w:cs="Arial"/>
          <w:sz w:val="20"/>
          <w:szCs w:val="20"/>
          <w:lang w:val="en-NZ"/>
        </w:rPr>
        <w:t xml:space="preserve"> No</w:t>
      </w:r>
      <w:proofErr w:type="gramEnd"/>
      <w:r w:rsidRPr="006C1E85">
        <w:rPr>
          <w:rFonts w:cs="Arial"/>
          <w:sz w:val="20"/>
          <w:szCs w:val="20"/>
          <w:lang w:val="en-NZ"/>
        </w:rPr>
        <w:t xml:space="preserve"> 231/2012</w:t>
      </w:r>
      <w:r w:rsidRPr="006C1E85">
        <w:rPr>
          <w:rFonts w:cs="Arial"/>
          <w:sz w:val="20"/>
          <w:szCs w:val="20"/>
          <w:vertAlign w:val="superscript"/>
          <w:lang w:val="en-NZ"/>
        </w:rPr>
        <w:endnoteReference w:id="3"/>
      </w:r>
      <w:r>
        <w:rPr>
          <w:rFonts w:cs="Arial"/>
          <w:sz w:val="20"/>
          <w:szCs w:val="20"/>
          <w:lang w:val="en-NZ"/>
        </w:rPr>
        <w:t>).</w:t>
      </w:r>
    </w:p>
    <w:p w14:paraId="053C647B" w14:textId="3EB0036F" w:rsidR="006C1E85" w:rsidRDefault="006C1E85" w:rsidP="006C1E85">
      <w:pPr>
        <w:rPr>
          <w:rFonts w:cs="Arial"/>
          <w:sz w:val="20"/>
          <w:szCs w:val="20"/>
        </w:rPr>
      </w:pPr>
      <w:r>
        <w:rPr>
          <w:rFonts w:cs="Arial"/>
          <w:sz w:val="20"/>
          <w:szCs w:val="20"/>
        </w:rPr>
        <w:t xml:space="preserve">Available at (L 83/87 – L 83/89): </w:t>
      </w:r>
      <w:hyperlink r:id="rId25" w:history="1">
        <w:r w:rsidRPr="006C1E85">
          <w:rPr>
            <w:rStyle w:val="Hyperlink"/>
            <w:rFonts w:cs="Arial"/>
            <w:sz w:val="20"/>
            <w:szCs w:val="20"/>
          </w:rPr>
          <w:t>http://faolex.fao.org/docs/pdf/eur111209.pdf</w:t>
        </w:r>
      </w:hyperlink>
    </w:p>
    <w:p w14:paraId="2274A665" w14:textId="77777777" w:rsidR="006C1E85" w:rsidRDefault="006C1E85" w:rsidP="00213A08">
      <w:pPr>
        <w:ind w:left="720"/>
        <w:rPr>
          <w:rFonts w:cs="Arial"/>
          <w:sz w:val="20"/>
          <w:szCs w:val="20"/>
        </w:rPr>
      </w:pPr>
    </w:p>
    <w:p w14:paraId="1FD198FB" w14:textId="2C46672C" w:rsidR="0043785A" w:rsidRDefault="0043785A" w:rsidP="0043785A">
      <w:pPr>
        <w:rPr>
          <w:rFonts w:cs="Arial"/>
          <w:sz w:val="20"/>
          <w:szCs w:val="20"/>
        </w:rPr>
      </w:pPr>
      <w:r>
        <w:rPr>
          <w:rFonts w:cs="Arial"/>
          <w:sz w:val="20"/>
          <w:szCs w:val="20"/>
        </w:rPr>
        <w:t xml:space="preserve">JECFA </w:t>
      </w:r>
      <w:r w:rsidRPr="0043785A">
        <w:rPr>
          <w:rFonts w:cs="Arial"/>
          <w:sz w:val="20"/>
          <w:szCs w:val="20"/>
          <w:lang w:val="en-NZ"/>
        </w:rPr>
        <w:t xml:space="preserve">specifications </w:t>
      </w:r>
      <w:r>
        <w:rPr>
          <w:rFonts w:cs="Arial"/>
          <w:sz w:val="20"/>
          <w:szCs w:val="20"/>
          <w:lang w:val="en-NZ"/>
        </w:rPr>
        <w:t>for</w:t>
      </w:r>
      <w:r w:rsidRPr="0043785A">
        <w:rPr>
          <w:rFonts w:cs="Arial"/>
          <w:sz w:val="20"/>
          <w:szCs w:val="20"/>
          <w:lang w:val="en-NZ"/>
        </w:rPr>
        <w:t xml:space="preserve"> propionic acid (E 280), sodium propionate (E 281), calcium propionate (E 282) a</w:t>
      </w:r>
      <w:r>
        <w:rPr>
          <w:rFonts w:cs="Arial"/>
          <w:sz w:val="20"/>
          <w:szCs w:val="20"/>
          <w:lang w:val="en-NZ"/>
        </w:rPr>
        <w:t xml:space="preserve">nd potassium propionate (E 283). </w:t>
      </w:r>
      <w:r w:rsidRPr="0043785A">
        <w:rPr>
          <w:rFonts w:cs="Arial"/>
          <w:sz w:val="20"/>
          <w:szCs w:val="20"/>
          <w:lang w:val="en-NZ"/>
        </w:rPr>
        <w:t xml:space="preserve">JECFA (2006) </w:t>
      </w:r>
    </w:p>
    <w:p w14:paraId="1FEE8056" w14:textId="0EFA68E8" w:rsidR="0043785A" w:rsidRDefault="0043785A" w:rsidP="0043785A">
      <w:pPr>
        <w:rPr>
          <w:rFonts w:cs="Arial"/>
          <w:sz w:val="20"/>
          <w:szCs w:val="20"/>
        </w:rPr>
      </w:pPr>
      <w:proofErr w:type="gramStart"/>
      <w:r>
        <w:rPr>
          <w:rFonts w:cs="Arial"/>
          <w:sz w:val="20"/>
          <w:szCs w:val="20"/>
        </w:rPr>
        <w:t>Propionic acid.</w:t>
      </w:r>
      <w:proofErr w:type="gramEnd"/>
      <w:r>
        <w:rPr>
          <w:rFonts w:cs="Arial"/>
          <w:sz w:val="20"/>
          <w:szCs w:val="20"/>
        </w:rPr>
        <w:t xml:space="preserve"> Available at: </w:t>
      </w:r>
      <w:hyperlink r:id="rId26" w:history="1">
        <w:r w:rsidRPr="00BF54D4">
          <w:rPr>
            <w:rStyle w:val="Hyperlink"/>
            <w:rFonts w:cs="Arial"/>
            <w:sz w:val="20"/>
            <w:szCs w:val="20"/>
          </w:rPr>
          <w:t>http://www.fao.org/food/food-safety-quality/scientific-advice/jecfa/jecfa-additives/result/en/</w:t>
        </w:r>
      </w:hyperlink>
    </w:p>
    <w:p w14:paraId="79FA44EC" w14:textId="50B8A9DD" w:rsidR="0043785A" w:rsidRDefault="0043785A" w:rsidP="0043785A">
      <w:pPr>
        <w:rPr>
          <w:rFonts w:cs="Arial"/>
          <w:sz w:val="20"/>
          <w:szCs w:val="20"/>
        </w:rPr>
      </w:pPr>
      <w:proofErr w:type="gramStart"/>
      <w:r>
        <w:rPr>
          <w:rFonts w:cs="Arial"/>
          <w:sz w:val="20"/>
          <w:szCs w:val="20"/>
          <w:lang w:val="en-NZ"/>
        </w:rPr>
        <w:t>S</w:t>
      </w:r>
      <w:r w:rsidRPr="0043785A">
        <w:rPr>
          <w:rFonts w:cs="Arial"/>
          <w:sz w:val="20"/>
          <w:szCs w:val="20"/>
          <w:lang w:val="en-NZ"/>
        </w:rPr>
        <w:t>odium propionate</w:t>
      </w:r>
      <w:r>
        <w:rPr>
          <w:rFonts w:cs="Arial"/>
          <w:sz w:val="20"/>
          <w:szCs w:val="20"/>
          <w:lang w:val="en-NZ"/>
        </w:rPr>
        <w:t>.</w:t>
      </w:r>
      <w:proofErr w:type="gramEnd"/>
      <w:r w:rsidRPr="0043785A">
        <w:rPr>
          <w:rFonts w:cs="Arial"/>
          <w:sz w:val="20"/>
          <w:szCs w:val="20"/>
        </w:rPr>
        <w:t xml:space="preserve"> Available at:</w:t>
      </w:r>
      <w:r>
        <w:rPr>
          <w:rFonts w:cs="Arial"/>
          <w:sz w:val="20"/>
          <w:szCs w:val="20"/>
        </w:rPr>
        <w:t xml:space="preserve"> </w:t>
      </w:r>
      <w:hyperlink r:id="rId27" w:history="1">
        <w:r w:rsidRPr="0043785A">
          <w:rPr>
            <w:rStyle w:val="Hyperlink"/>
            <w:rFonts w:cs="Arial"/>
            <w:sz w:val="20"/>
            <w:szCs w:val="20"/>
          </w:rPr>
          <w:t>http://www.fao.org/food/food-safety-quality/scientific-advice/jecfa/jecfa-additives/result/en/</w:t>
        </w:r>
      </w:hyperlink>
    </w:p>
    <w:p w14:paraId="7494723C" w14:textId="4468889B" w:rsidR="0043785A" w:rsidRDefault="0043785A" w:rsidP="0043785A">
      <w:pPr>
        <w:rPr>
          <w:rFonts w:cs="Arial"/>
          <w:sz w:val="20"/>
          <w:szCs w:val="20"/>
        </w:rPr>
      </w:pPr>
      <w:proofErr w:type="gramStart"/>
      <w:r>
        <w:rPr>
          <w:rFonts w:cs="Arial"/>
          <w:sz w:val="20"/>
          <w:szCs w:val="20"/>
        </w:rPr>
        <w:t>C</w:t>
      </w:r>
      <w:r w:rsidRPr="0043785A">
        <w:rPr>
          <w:rFonts w:cs="Arial"/>
          <w:sz w:val="20"/>
          <w:szCs w:val="20"/>
        </w:rPr>
        <w:t>alcium propionate</w:t>
      </w:r>
      <w:r w:rsidRPr="0043785A">
        <w:rPr>
          <w:rFonts w:cs="Arial"/>
          <w:sz w:val="20"/>
          <w:szCs w:val="20"/>
          <w:lang w:val="en-NZ"/>
        </w:rPr>
        <w:t>.</w:t>
      </w:r>
      <w:proofErr w:type="gramEnd"/>
      <w:r w:rsidRPr="0043785A">
        <w:rPr>
          <w:rFonts w:cs="Arial"/>
          <w:sz w:val="20"/>
          <w:szCs w:val="20"/>
        </w:rPr>
        <w:t xml:space="preserve"> Available at:</w:t>
      </w:r>
      <w:r>
        <w:rPr>
          <w:rFonts w:cs="Arial"/>
          <w:sz w:val="20"/>
          <w:szCs w:val="20"/>
        </w:rPr>
        <w:t xml:space="preserve"> </w:t>
      </w:r>
      <w:hyperlink r:id="rId28" w:history="1">
        <w:r w:rsidRPr="0043785A">
          <w:rPr>
            <w:rStyle w:val="Hyperlink"/>
            <w:rFonts w:cs="Arial"/>
            <w:sz w:val="20"/>
            <w:szCs w:val="20"/>
          </w:rPr>
          <w:t>http://www.fao.org/food/food-safety-quality/scientific-advice/jecfa/jecfa-additives/result/en/</w:t>
        </w:r>
      </w:hyperlink>
    </w:p>
    <w:p w14:paraId="6E651323" w14:textId="6D6FF839" w:rsidR="0043785A" w:rsidRDefault="0043785A" w:rsidP="0043785A">
      <w:pPr>
        <w:rPr>
          <w:rFonts w:cs="Arial"/>
          <w:sz w:val="20"/>
          <w:szCs w:val="20"/>
        </w:rPr>
      </w:pPr>
      <w:proofErr w:type="gramStart"/>
      <w:r>
        <w:rPr>
          <w:rFonts w:cs="Arial"/>
          <w:sz w:val="20"/>
          <w:szCs w:val="20"/>
          <w:lang w:val="en-NZ"/>
        </w:rPr>
        <w:t>P</w:t>
      </w:r>
      <w:r w:rsidRPr="0043785A">
        <w:rPr>
          <w:rFonts w:cs="Arial"/>
          <w:sz w:val="20"/>
          <w:szCs w:val="20"/>
          <w:lang w:val="en-NZ"/>
        </w:rPr>
        <w:t>otassium propionate.</w:t>
      </w:r>
      <w:proofErr w:type="gramEnd"/>
      <w:r w:rsidRPr="0043785A">
        <w:rPr>
          <w:rFonts w:cs="Arial"/>
          <w:sz w:val="20"/>
          <w:szCs w:val="20"/>
        </w:rPr>
        <w:t xml:space="preserve"> Available at:</w:t>
      </w:r>
      <w:r>
        <w:rPr>
          <w:rFonts w:cs="Arial"/>
          <w:sz w:val="20"/>
          <w:szCs w:val="20"/>
        </w:rPr>
        <w:t xml:space="preserve"> </w:t>
      </w:r>
      <w:hyperlink r:id="rId29" w:history="1">
        <w:r w:rsidRPr="00BF54D4">
          <w:rPr>
            <w:rStyle w:val="Hyperlink"/>
            <w:rFonts w:cs="Arial"/>
            <w:sz w:val="20"/>
            <w:szCs w:val="20"/>
          </w:rPr>
          <w:t>http://www.fao.org/food/food-safety-quality/scientific-advice/jecfa/jecfa-additives/result/en/</w:t>
        </w:r>
      </w:hyperlink>
    </w:p>
    <w:p w14:paraId="133CC917" w14:textId="77777777" w:rsidR="0043785A" w:rsidRPr="00213A08" w:rsidRDefault="0043785A" w:rsidP="0043785A">
      <w:pPr>
        <w:rPr>
          <w:rFonts w:cs="Arial"/>
          <w:sz w:val="20"/>
          <w:szCs w:val="20"/>
        </w:rPr>
      </w:pPr>
    </w:p>
    <w:p w14:paraId="3F0946CB" w14:textId="6E416211" w:rsidR="002A784B" w:rsidRPr="002A784B" w:rsidRDefault="002A784B" w:rsidP="002A784B">
      <w:pPr>
        <w:rPr>
          <w:rFonts w:cs="Arial"/>
          <w:sz w:val="20"/>
          <w:szCs w:val="20"/>
        </w:rPr>
      </w:pPr>
      <w:r w:rsidRPr="002A784B">
        <w:rPr>
          <w:rFonts w:cs="Arial"/>
          <w:sz w:val="20"/>
          <w:szCs w:val="20"/>
        </w:rPr>
        <w:t xml:space="preserve">Codex (2007) Guidelines on the Application of General Principals of Food Hygiene on the Control of </w:t>
      </w:r>
      <w:r w:rsidRPr="002A784B">
        <w:rPr>
          <w:rFonts w:cs="Arial"/>
          <w:i/>
          <w:sz w:val="20"/>
          <w:szCs w:val="20"/>
        </w:rPr>
        <w:t>Listeria monocytogenes</w:t>
      </w:r>
      <w:r w:rsidRPr="002A784B">
        <w:rPr>
          <w:rFonts w:cs="Arial"/>
          <w:sz w:val="20"/>
          <w:szCs w:val="20"/>
        </w:rPr>
        <w:t xml:space="preserve"> in Foods (CAC/GL 61 - 2007). </w:t>
      </w:r>
      <w:proofErr w:type="gramStart"/>
      <w:r w:rsidRPr="002A784B">
        <w:rPr>
          <w:rFonts w:cs="Arial"/>
          <w:sz w:val="20"/>
          <w:szCs w:val="20"/>
        </w:rPr>
        <w:t>Codex Alimentarius Commission, Geneva, Switzerland.</w:t>
      </w:r>
      <w:proofErr w:type="gramEnd"/>
      <w:r w:rsidR="001B6A6E">
        <w:rPr>
          <w:rFonts w:cs="Arial"/>
          <w:sz w:val="20"/>
          <w:szCs w:val="20"/>
        </w:rPr>
        <w:t xml:space="preserve"> Available at:</w:t>
      </w:r>
      <w:r w:rsidRPr="002A784B">
        <w:rPr>
          <w:rFonts w:cs="Arial"/>
          <w:sz w:val="20"/>
          <w:szCs w:val="20"/>
        </w:rPr>
        <w:t xml:space="preserve"> </w:t>
      </w:r>
      <w:hyperlink r:id="rId30" w:history="1">
        <w:r w:rsidRPr="002A784B">
          <w:rPr>
            <w:rStyle w:val="Hyperlink"/>
            <w:rFonts w:cs="Arial"/>
            <w:sz w:val="20"/>
            <w:szCs w:val="20"/>
          </w:rPr>
          <w:t>http://www.codexalimentarius.org/standards/list-of-standards/</w:t>
        </w:r>
      </w:hyperlink>
    </w:p>
    <w:p w14:paraId="61ED9FBA" w14:textId="77777777" w:rsidR="002A784B" w:rsidRPr="002A784B" w:rsidRDefault="002A784B" w:rsidP="002A784B">
      <w:pPr>
        <w:rPr>
          <w:rFonts w:cs="Arial"/>
          <w:sz w:val="20"/>
          <w:szCs w:val="20"/>
        </w:rPr>
      </w:pPr>
    </w:p>
    <w:p w14:paraId="2FF491A6" w14:textId="11729D9E" w:rsidR="004470BA" w:rsidRDefault="004470BA" w:rsidP="004470BA">
      <w:pPr>
        <w:rPr>
          <w:rFonts w:cs="Arial"/>
          <w:sz w:val="20"/>
          <w:szCs w:val="20"/>
        </w:rPr>
      </w:pPr>
      <w:r>
        <w:rPr>
          <w:rFonts w:cs="Arial"/>
          <w:sz w:val="20"/>
          <w:szCs w:val="20"/>
        </w:rPr>
        <w:t xml:space="preserve">EFSA (2014) </w:t>
      </w:r>
      <w:r w:rsidRPr="004470BA">
        <w:rPr>
          <w:rFonts w:cs="Arial"/>
          <w:sz w:val="20"/>
          <w:szCs w:val="20"/>
        </w:rPr>
        <w:t>Scientific Opinion on the re-evaluation of propionic aci</w:t>
      </w:r>
      <w:r w:rsidR="00170A4F">
        <w:rPr>
          <w:rFonts w:cs="Arial"/>
          <w:sz w:val="20"/>
          <w:szCs w:val="20"/>
        </w:rPr>
        <w:t>d (E 280), sodium propionate (E </w:t>
      </w:r>
      <w:r w:rsidRPr="004470BA">
        <w:rPr>
          <w:rFonts w:cs="Arial"/>
          <w:sz w:val="20"/>
          <w:szCs w:val="20"/>
        </w:rPr>
        <w:t>281), calcium propionate (E 282) and potassium propi</w:t>
      </w:r>
      <w:r w:rsidR="00170A4F">
        <w:rPr>
          <w:rFonts w:cs="Arial"/>
          <w:sz w:val="20"/>
          <w:szCs w:val="20"/>
        </w:rPr>
        <w:t>onate (E 283) as food additives.</w:t>
      </w:r>
      <w:r w:rsidR="00170A4F" w:rsidRPr="00170A4F">
        <w:t xml:space="preserve"> </w:t>
      </w:r>
      <w:r w:rsidR="00170A4F" w:rsidRPr="00170A4F">
        <w:rPr>
          <w:rFonts w:cs="Arial"/>
          <w:i/>
          <w:sz w:val="20"/>
          <w:szCs w:val="20"/>
        </w:rPr>
        <w:t>EFSA Journal</w:t>
      </w:r>
      <w:r w:rsidR="00170A4F">
        <w:rPr>
          <w:rFonts w:cs="Arial"/>
          <w:sz w:val="20"/>
          <w:szCs w:val="20"/>
        </w:rPr>
        <w:t xml:space="preserve">, </w:t>
      </w:r>
      <w:r w:rsidR="00170A4F" w:rsidRPr="00170A4F">
        <w:rPr>
          <w:rFonts w:cs="Arial"/>
          <w:b/>
          <w:sz w:val="20"/>
          <w:szCs w:val="20"/>
        </w:rPr>
        <w:t>12</w:t>
      </w:r>
      <w:r w:rsidR="00170A4F" w:rsidRPr="00170A4F">
        <w:rPr>
          <w:rFonts w:cs="Arial"/>
          <w:sz w:val="20"/>
          <w:szCs w:val="20"/>
        </w:rPr>
        <w:t>(7):3779</w:t>
      </w:r>
      <w:r w:rsidR="00170A4F">
        <w:rPr>
          <w:rFonts w:cs="Arial"/>
          <w:sz w:val="20"/>
          <w:szCs w:val="20"/>
        </w:rPr>
        <w:t xml:space="preserve">. </w:t>
      </w:r>
      <w:r w:rsidR="001B6A6E">
        <w:rPr>
          <w:rFonts w:cs="Arial"/>
          <w:sz w:val="20"/>
          <w:szCs w:val="20"/>
        </w:rPr>
        <w:t xml:space="preserve">Available at: </w:t>
      </w:r>
      <w:hyperlink r:id="rId31" w:history="1">
        <w:r w:rsidR="005B77F5" w:rsidRPr="00D91914">
          <w:rPr>
            <w:rStyle w:val="Hyperlink"/>
            <w:rFonts w:cs="Arial"/>
            <w:sz w:val="20"/>
            <w:szCs w:val="20"/>
          </w:rPr>
          <w:t>http://www.efsa.europa.eu/en/efsajournal/pub/3779</w:t>
        </w:r>
      </w:hyperlink>
    </w:p>
    <w:p w14:paraId="0EC696EB" w14:textId="77777777" w:rsidR="00FE0F15" w:rsidRDefault="00FE0F15" w:rsidP="002A784B">
      <w:pPr>
        <w:rPr>
          <w:rFonts w:cs="Arial"/>
          <w:sz w:val="20"/>
          <w:szCs w:val="20"/>
        </w:rPr>
      </w:pPr>
    </w:p>
    <w:p w14:paraId="7415956F" w14:textId="4FADB645" w:rsidR="002A784B" w:rsidRPr="002A784B" w:rsidRDefault="002A784B" w:rsidP="002A784B">
      <w:pPr>
        <w:rPr>
          <w:rFonts w:cs="Arial"/>
          <w:sz w:val="20"/>
          <w:szCs w:val="20"/>
        </w:rPr>
      </w:pPr>
      <w:proofErr w:type="gramStart"/>
      <w:r>
        <w:rPr>
          <w:rFonts w:cs="Arial"/>
          <w:sz w:val="20"/>
          <w:szCs w:val="20"/>
        </w:rPr>
        <w:t xml:space="preserve">Glass KA, McDonnell LM, </w:t>
      </w:r>
      <w:proofErr w:type="spellStart"/>
      <w:r>
        <w:rPr>
          <w:rFonts w:cs="Arial"/>
          <w:sz w:val="20"/>
          <w:szCs w:val="20"/>
        </w:rPr>
        <w:t>Rassel</w:t>
      </w:r>
      <w:proofErr w:type="spellEnd"/>
      <w:r>
        <w:rPr>
          <w:rFonts w:cs="Arial"/>
          <w:sz w:val="20"/>
          <w:szCs w:val="20"/>
        </w:rPr>
        <w:t xml:space="preserve"> RC, </w:t>
      </w:r>
      <w:proofErr w:type="spellStart"/>
      <w:r w:rsidRPr="002A784B">
        <w:rPr>
          <w:rFonts w:cs="Arial"/>
          <w:sz w:val="20"/>
          <w:szCs w:val="20"/>
        </w:rPr>
        <w:t>Z</w:t>
      </w:r>
      <w:r>
        <w:rPr>
          <w:rFonts w:cs="Arial"/>
          <w:sz w:val="20"/>
          <w:szCs w:val="20"/>
        </w:rPr>
        <w:t>ierke</w:t>
      </w:r>
      <w:proofErr w:type="spellEnd"/>
      <w:r>
        <w:rPr>
          <w:rFonts w:cs="Arial"/>
          <w:sz w:val="20"/>
          <w:szCs w:val="20"/>
        </w:rPr>
        <w:t xml:space="preserve"> KL (2007)</w:t>
      </w:r>
      <w:r w:rsidRPr="002A784B">
        <w:rPr>
          <w:rFonts w:cs="Arial"/>
          <w:sz w:val="20"/>
          <w:szCs w:val="20"/>
        </w:rPr>
        <w:t xml:space="preserve"> Controlling </w:t>
      </w:r>
      <w:r w:rsidRPr="002A784B">
        <w:rPr>
          <w:rFonts w:cs="Arial"/>
          <w:i/>
          <w:sz w:val="20"/>
          <w:szCs w:val="20"/>
        </w:rPr>
        <w:t>Listeria monocytogenes</w:t>
      </w:r>
      <w:r>
        <w:rPr>
          <w:rFonts w:cs="Arial"/>
          <w:sz w:val="20"/>
          <w:szCs w:val="20"/>
        </w:rPr>
        <w:t xml:space="preserve"> on sliced ham and turkey products u</w:t>
      </w:r>
      <w:r w:rsidRPr="002A784B">
        <w:rPr>
          <w:rFonts w:cs="Arial"/>
          <w:sz w:val="20"/>
          <w:szCs w:val="20"/>
        </w:rPr>
        <w:t>sing benzoate, propionate, and sorbate.</w:t>
      </w:r>
      <w:proofErr w:type="gramEnd"/>
      <w:r w:rsidRPr="002A784B">
        <w:rPr>
          <w:rFonts w:cs="Arial"/>
          <w:sz w:val="20"/>
          <w:szCs w:val="20"/>
        </w:rPr>
        <w:t xml:space="preserve"> </w:t>
      </w:r>
      <w:r w:rsidRPr="00475205">
        <w:rPr>
          <w:rFonts w:cs="Arial"/>
          <w:i/>
          <w:sz w:val="20"/>
          <w:szCs w:val="20"/>
        </w:rPr>
        <w:t>Journal of Food Protection</w:t>
      </w:r>
      <w:r w:rsidRPr="002A784B">
        <w:rPr>
          <w:rFonts w:cs="Arial"/>
          <w:sz w:val="20"/>
          <w:szCs w:val="20"/>
        </w:rPr>
        <w:t>,</w:t>
      </w:r>
      <w:r>
        <w:rPr>
          <w:rFonts w:cs="Arial"/>
          <w:sz w:val="20"/>
          <w:szCs w:val="20"/>
        </w:rPr>
        <w:t xml:space="preserve"> </w:t>
      </w:r>
      <w:r w:rsidRPr="00475205">
        <w:rPr>
          <w:rFonts w:cs="Arial"/>
          <w:b/>
          <w:sz w:val="20"/>
          <w:szCs w:val="20"/>
        </w:rPr>
        <w:t>70</w:t>
      </w:r>
      <w:r>
        <w:rPr>
          <w:rFonts w:cs="Arial"/>
          <w:sz w:val="20"/>
          <w:szCs w:val="20"/>
        </w:rPr>
        <w:t>(10):</w:t>
      </w:r>
      <w:r w:rsidRPr="002A784B">
        <w:rPr>
          <w:rFonts w:cs="Arial"/>
          <w:sz w:val="20"/>
          <w:szCs w:val="20"/>
        </w:rPr>
        <w:t>2306–2312.</w:t>
      </w:r>
    </w:p>
    <w:p w14:paraId="7B12AE9E" w14:textId="77777777" w:rsidR="002A784B" w:rsidRPr="002A784B" w:rsidRDefault="002A784B" w:rsidP="002A784B">
      <w:pPr>
        <w:rPr>
          <w:rFonts w:cs="Arial"/>
          <w:sz w:val="20"/>
          <w:szCs w:val="20"/>
        </w:rPr>
      </w:pPr>
    </w:p>
    <w:p w14:paraId="16C1E7CD" w14:textId="143FF500" w:rsidR="002A784B" w:rsidRPr="002A784B" w:rsidRDefault="002A784B" w:rsidP="002A784B">
      <w:pPr>
        <w:autoSpaceDE w:val="0"/>
        <w:autoSpaceDN w:val="0"/>
        <w:adjustRightInd w:val="0"/>
        <w:rPr>
          <w:rFonts w:cs="Arial"/>
          <w:sz w:val="20"/>
          <w:szCs w:val="20"/>
        </w:rPr>
      </w:pPr>
      <w:proofErr w:type="gramStart"/>
      <w:r>
        <w:rPr>
          <w:rFonts w:cs="Arial"/>
          <w:sz w:val="20"/>
          <w:szCs w:val="20"/>
        </w:rPr>
        <w:t xml:space="preserve">Glass KA, McDonnell LM, </w:t>
      </w:r>
      <w:proofErr w:type="spellStart"/>
      <w:r>
        <w:rPr>
          <w:rFonts w:cs="Arial"/>
          <w:sz w:val="20"/>
          <w:szCs w:val="20"/>
        </w:rPr>
        <w:t>Vontayson</w:t>
      </w:r>
      <w:proofErr w:type="spellEnd"/>
      <w:r>
        <w:rPr>
          <w:rFonts w:cs="Arial"/>
          <w:sz w:val="20"/>
          <w:szCs w:val="20"/>
        </w:rPr>
        <w:t xml:space="preserve"> R, </w:t>
      </w:r>
      <w:proofErr w:type="spellStart"/>
      <w:r>
        <w:rPr>
          <w:rFonts w:cs="Arial"/>
          <w:sz w:val="20"/>
          <w:szCs w:val="20"/>
        </w:rPr>
        <w:t>Wanless</w:t>
      </w:r>
      <w:proofErr w:type="spellEnd"/>
      <w:r>
        <w:rPr>
          <w:rFonts w:cs="Arial"/>
          <w:sz w:val="20"/>
          <w:szCs w:val="20"/>
        </w:rPr>
        <w:t xml:space="preserve"> B, </w:t>
      </w:r>
      <w:proofErr w:type="spellStart"/>
      <w:r>
        <w:rPr>
          <w:rFonts w:cs="Arial"/>
          <w:sz w:val="20"/>
          <w:szCs w:val="20"/>
        </w:rPr>
        <w:t>Badvela</w:t>
      </w:r>
      <w:proofErr w:type="spellEnd"/>
      <w:r>
        <w:rPr>
          <w:rFonts w:cs="Arial"/>
          <w:sz w:val="20"/>
          <w:szCs w:val="20"/>
        </w:rPr>
        <w:t xml:space="preserve"> M (2013)</w:t>
      </w:r>
      <w:r w:rsidRPr="002A784B">
        <w:rPr>
          <w:rFonts w:cs="Arial"/>
          <w:sz w:val="20"/>
          <w:szCs w:val="20"/>
        </w:rPr>
        <w:t xml:space="preserve"> Inhibition of </w:t>
      </w:r>
      <w:r w:rsidRPr="002A784B">
        <w:rPr>
          <w:rFonts w:cs="Arial"/>
          <w:i/>
          <w:sz w:val="20"/>
          <w:szCs w:val="20"/>
        </w:rPr>
        <w:t>Listeria monocytogenes</w:t>
      </w:r>
      <w:r w:rsidR="00A06984">
        <w:rPr>
          <w:rFonts w:cs="Arial"/>
          <w:sz w:val="20"/>
          <w:szCs w:val="20"/>
        </w:rPr>
        <w:t xml:space="preserve"> by propionic acid-</w:t>
      </w:r>
      <w:r w:rsidRPr="002A784B">
        <w:rPr>
          <w:rFonts w:cs="Arial"/>
          <w:sz w:val="20"/>
          <w:szCs w:val="20"/>
        </w:rPr>
        <w:t>based ingredients in cured deli-style turkey.</w:t>
      </w:r>
      <w:proofErr w:type="gramEnd"/>
      <w:r w:rsidRPr="002A784B">
        <w:rPr>
          <w:rFonts w:cs="Arial"/>
          <w:sz w:val="20"/>
          <w:szCs w:val="20"/>
        </w:rPr>
        <w:t xml:space="preserve"> </w:t>
      </w:r>
      <w:r w:rsidRPr="00475205">
        <w:rPr>
          <w:rFonts w:cs="Arial"/>
          <w:i/>
          <w:iCs/>
          <w:sz w:val="20"/>
          <w:szCs w:val="20"/>
        </w:rPr>
        <w:t>Journal of Food Protection</w:t>
      </w:r>
      <w:r>
        <w:rPr>
          <w:rFonts w:cs="Arial"/>
          <w:iCs/>
          <w:sz w:val="20"/>
          <w:szCs w:val="20"/>
        </w:rPr>
        <w:t xml:space="preserve">, </w:t>
      </w:r>
      <w:r w:rsidRPr="00475205">
        <w:rPr>
          <w:rFonts w:cs="Arial"/>
          <w:b/>
          <w:iCs/>
          <w:sz w:val="20"/>
          <w:szCs w:val="20"/>
        </w:rPr>
        <w:t>76</w:t>
      </w:r>
      <w:r>
        <w:rPr>
          <w:rFonts w:cs="Arial"/>
          <w:iCs/>
          <w:sz w:val="20"/>
          <w:szCs w:val="20"/>
        </w:rPr>
        <w:t>(12):</w:t>
      </w:r>
      <w:r w:rsidRPr="002A784B">
        <w:rPr>
          <w:rFonts w:cs="Arial"/>
          <w:iCs/>
          <w:sz w:val="20"/>
          <w:szCs w:val="20"/>
        </w:rPr>
        <w:t>2074–2078</w:t>
      </w:r>
      <w:r>
        <w:rPr>
          <w:rFonts w:cs="Arial"/>
          <w:iCs/>
          <w:sz w:val="20"/>
          <w:szCs w:val="20"/>
        </w:rPr>
        <w:t>.</w:t>
      </w:r>
    </w:p>
    <w:p w14:paraId="2F242674" w14:textId="77777777" w:rsidR="00F360A4" w:rsidRDefault="00F360A4" w:rsidP="0069542F">
      <w:pPr>
        <w:rPr>
          <w:rFonts w:cs="Arial"/>
          <w:sz w:val="20"/>
          <w:szCs w:val="20"/>
          <w:lang w:bidi="ar-SA"/>
        </w:rPr>
      </w:pPr>
    </w:p>
    <w:p w14:paraId="07402E11" w14:textId="1AE8B46D" w:rsidR="00882AF3" w:rsidRDefault="00874871" w:rsidP="0069542F">
      <w:pPr>
        <w:rPr>
          <w:rFonts w:cs="Arial"/>
          <w:sz w:val="20"/>
          <w:szCs w:val="20"/>
          <w:lang w:bidi="ar-SA"/>
        </w:rPr>
      </w:pPr>
      <w:proofErr w:type="gramStart"/>
      <w:r>
        <w:rPr>
          <w:rFonts w:cs="Arial"/>
          <w:sz w:val="20"/>
          <w:szCs w:val="20"/>
          <w:lang w:bidi="ar-SA"/>
        </w:rPr>
        <w:lastRenderedPageBreak/>
        <w:t>SCF (1992)</w:t>
      </w:r>
      <w:r w:rsidRPr="00874871">
        <w:rPr>
          <w:rFonts w:cs="Arial"/>
          <w:sz w:val="20"/>
          <w:szCs w:val="20"/>
          <w:lang w:bidi="ar-SA"/>
        </w:rPr>
        <w:t xml:space="preserve"> Report of the Scientific Committee for Food (Twenty-sixth series).</w:t>
      </w:r>
      <w:proofErr w:type="gramEnd"/>
      <w:r w:rsidRPr="00874871">
        <w:rPr>
          <w:rFonts w:cs="Arial"/>
          <w:sz w:val="20"/>
          <w:szCs w:val="20"/>
          <w:lang w:bidi="ar-SA"/>
        </w:rPr>
        <w:t xml:space="preserve"> </w:t>
      </w:r>
      <w:proofErr w:type="gramStart"/>
      <w:r w:rsidRPr="00874871">
        <w:rPr>
          <w:rFonts w:cs="Arial"/>
          <w:sz w:val="20"/>
          <w:szCs w:val="20"/>
          <w:lang w:bidi="ar-SA"/>
        </w:rPr>
        <w:t>Second series of food additives of various technological functions.</w:t>
      </w:r>
      <w:proofErr w:type="gramEnd"/>
      <w:r w:rsidRPr="00874871">
        <w:rPr>
          <w:rFonts w:cs="Arial"/>
          <w:sz w:val="20"/>
          <w:szCs w:val="20"/>
          <w:lang w:bidi="ar-SA"/>
        </w:rPr>
        <w:t xml:space="preserve"> Opinion expressed on 19 October 1990. Available </w:t>
      </w:r>
      <w:r>
        <w:rPr>
          <w:rFonts w:cs="Arial"/>
          <w:sz w:val="20"/>
          <w:szCs w:val="20"/>
          <w:lang w:bidi="ar-SA"/>
        </w:rPr>
        <w:t>at</w:t>
      </w:r>
      <w:r w:rsidRPr="00874871">
        <w:rPr>
          <w:rFonts w:cs="Arial"/>
          <w:sz w:val="20"/>
          <w:szCs w:val="20"/>
          <w:lang w:bidi="ar-SA"/>
        </w:rPr>
        <w:t xml:space="preserve">: </w:t>
      </w:r>
      <w:hyperlink r:id="rId32" w:history="1">
        <w:r w:rsidRPr="007C5822">
          <w:rPr>
            <w:rStyle w:val="Hyperlink"/>
            <w:rFonts w:cs="Arial"/>
            <w:sz w:val="20"/>
            <w:szCs w:val="20"/>
            <w:lang w:bidi="ar-SA"/>
          </w:rPr>
          <w:t>http://ec.europa.eu/food/fs/sc/scf/reports/scf_reports_26.pdf</w:t>
        </w:r>
      </w:hyperlink>
    </w:p>
    <w:p w14:paraId="16AD310E" w14:textId="77777777" w:rsidR="00882AF3" w:rsidRDefault="00882AF3" w:rsidP="0069542F">
      <w:pPr>
        <w:rPr>
          <w:rFonts w:cs="Arial"/>
          <w:sz w:val="20"/>
          <w:szCs w:val="20"/>
          <w:lang w:bidi="ar-SA"/>
        </w:rPr>
      </w:pPr>
    </w:p>
    <w:p w14:paraId="6C5E7EFB" w14:textId="4027FDA7" w:rsidR="00874871" w:rsidRDefault="00882AF3" w:rsidP="0069542F">
      <w:pPr>
        <w:rPr>
          <w:rFonts w:cs="Arial"/>
          <w:sz w:val="20"/>
          <w:szCs w:val="20"/>
          <w:lang w:bidi="ar-SA"/>
        </w:rPr>
      </w:pPr>
      <w:proofErr w:type="gramStart"/>
      <w:r>
        <w:rPr>
          <w:rFonts w:cs="Arial"/>
          <w:sz w:val="20"/>
          <w:szCs w:val="20"/>
          <w:lang w:bidi="ar-SA"/>
        </w:rPr>
        <w:t xml:space="preserve">WHO (1974) </w:t>
      </w:r>
      <w:r w:rsidRPr="00882AF3">
        <w:rPr>
          <w:rFonts w:cs="Arial"/>
          <w:sz w:val="20"/>
          <w:szCs w:val="20"/>
          <w:lang w:bidi="ar-SA"/>
        </w:rPr>
        <w:t>Toxicological evaluation of some food additives including anticaking agents, antimicrobials, antioxidants, emuls</w:t>
      </w:r>
      <w:r w:rsidR="001B3B0E">
        <w:rPr>
          <w:rFonts w:cs="Arial"/>
          <w:sz w:val="20"/>
          <w:szCs w:val="20"/>
          <w:lang w:bidi="ar-SA"/>
        </w:rPr>
        <w:t>ifiers, and thickening agents.</w:t>
      </w:r>
      <w:proofErr w:type="gramEnd"/>
      <w:r w:rsidR="001B3B0E">
        <w:rPr>
          <w:rFonts w:cs="Arial"/>
          <w:sz w:val="20"/>
          <w:szCs w:val="20"/>
          <w:lang w:bidi="ar-SA"/>
        </w:rPr>
        <w:t xml:space="preserve"> </w:t>
      </w:r>
      <w:proofErr w:type="gramStart"/>
      <w:r w:rsidRPr="00882AF3">
        <w:rPr>
          <w:rFonts w:cs="Arial"/>
          <w:sz w:val="20"/>
          <w:szCs w:val="20"/>
          <w:lang w:bidi="ar-SA"/>
        </w:rPr>
        <w:t>WH</w:t>
      </w:r>
      <w:r>
        <w:rPr>
          <w:rFonts w:cs="Arial"/>
          <w:sz w:val="20"/>
          <w:szCs w:val="20"/>
          <w:lang w:bidi="ar-SA"/>
        </w:rPr>
        <w:t>O Food Additives Series, No. 5.</w:t>
      </w:r>
      <w:proofErr w:type="gramEnd"/>
      <w:r w:rsidR="00874871">
        <w:rPr>
          <w:rFonts w:cs="Arial"/>
          <w:sz w:val="20"/>
          <w:szCs w:val="20"/>
          <w:lang w:bidi="ar-SA"/>
        </w:rPr>
        <w:t xml:space="preserve"> Available at:</w:t>
      </w:r>
      <w:r w:rsidR="001B6A6E">
        <w:rPr>
          <w:rFonts w:cs="Arial"/>
          <w:sz w:val="20"/>
          <w:szCs w:val="20"/>
          <w:lang w:bidi="ar-SA"/>
        </w:rPr>
        <w:t xml:space="preserve"> </w:t>
      </w:r>
      <w:hyperlink r:id="rId33" w:history="1">
        <w:r w:rsidR="00874871" w:rsidRPr="007C5822">
          <w:rPr>
            <w:rStyle w:val="Hyperlink"/>
            <w:rFonts w:cs="Arial"/>
            <w:sz w:val="20"/>
            <w:szCs w:val="20"/>
            <w:lang w:bidi="ar-SA"/>
          </w:rPr>
          <w:t>http://www.inchem.org/documents/jecfa/jecmono/v05je16.htm</w:t>
        </w:r>
      </w:hyperlink>
    </w:p>
    <w:p w14:paraId="1BB7919C" w14:textId="77777777" w:rsidR="00874871" w:rsidRDefault="00874871" w:rsidP="0069542F">
      <w:pPr>
        <w:rPr>
          <w:rFonts w:cs="Arial"/>
          <w:sz w:val="20"/>
          <w:szCs w:val="20"/>
          <w:lang w:bidi="ar-SA"/>
        </w:rPr>
      </w:pPr>
    </w:p>
    <w:p w14:paraId="04BFBEA1" w14:textId="704D3203" w:rsidR="001646C7" w:rsidRDefault="0077026F" w:rsidP="0077026F">
      <w:pPr>
        <w:rPr>
          <w:rFonts w:cs="Arial"/>
          <w:sz w:val="20"/>
          <w:szCs w:val="20"/>
          <w:lang w:bidi="ar-SA"/>
        </w:rPr>
      </w:pPr>
      <w:proofErr w:type="gramStart"/>
      <w:r>
        <w:rPr>
          <w:rFonts w:cs="Arial"/>
          <w:sz w:val="20"/>
          <w:szCs w:val="20"/>
          <w:lang w:bidi="ar-SA"/>
        </w:rPr>
        <w:t>WHO (20</w:t>
      </w:r>
      <w:r w:rsidR="0062058F">
        <w:rPr>
          <w:rFonts w:cs="Arial"/>
          <w:sz w:val="20"/>
          <w:szCs w:val="20"/>
          <w:lang w:bidi="ar-SA"/>
        </w:rPr>
        <w:t>09</w:t>
      </w:r>
      <w:r>
        <w:rPr>
          <w:rFonts w:cs="Arial"/>
          <w:sz w:val="20"/>
          <w:szCs w:val="20"/>
          <w:lang w:bidi="ar-SA"/>
        </w:rPr>
        <w:t>)</w:t>
      </w:r>
      <w:r w:rsidRPr="0077026F">
        <w:rPr>
          <w:rFonts w:cs="Arial"/>
          <w:sz w:val="20"/>
          <w:szCs w:val="20"/>
          <w:lang w:bidi="ar-SA"/>
        </w:rPr>
        <w:t xml:space="preserve"> Principles and methods for the risk assessment of chemicals in food</w:t>
      </w:r>
      <w:r>
        <w:rPr>
          <w:rFonts w:cs="Arial"/>
          <w:sz w:val="20"/>
          <w:szCs w:val="20"/>
          <w:lang w:bidi="ar-SA"/>
        </w:rPr>
        <w:t>.</w:t>
      </w:r>
      <w:proofErr w:type="gramEnd"/>
      <w:r>
        <w:rPr>
          <w:rFonts w:cs="Arial"/>
          <w:sz w:val="20"/>
          <w:szCs w:val="20"/>
          <w:lang w:bidi="ar-SA"/>
        </w:rPr>
        <w:t xml:space="preserve"> </w:t>
      </w:r>
      <w:proofErr w:type="gramStart"/>
      <w:r w:rsidRPr="0077026F">
        <w:rPr>
          <w:rFonts w:cs="Arial"/>
          <w:sz w:val="20"/>
          <w:szCs w:val="20"/>
          <w:lang w:bidi="ar-SA"/>
        </w:rPr>
        <w:t>Envir</w:t>
      </w:r>
      <w:r w:rsidR="0062058F">
        <w:rPr>
          <w:rFonts w:cs="Arial"/>
          <w:sz w:val="20"/>
          <w:szCs w:val="20"/>
          <w:lang w:bidi="ar-SA"/>
        </w:rPr>
        <w:t>onmental Health Criteria</w:t>
      </w:r>
      <w:r>
        <w:rPr>
          <w:rFonts w:cs="Arial"/>
          <w:sz w:val="20"/>
          <w:szCs w:val="20"/>
          <w:lang w:bidi="ar-SA"/>
        </w:rPr>
        <w:t>; 240.</w:t>
      </w:r>
      <w:proofErr w:type="gramEnd"/>
      <w:r w:rsidR="001646C7">
        <w:rPr>
          <w:rFonts w:cs="Arial"/>
          <w:sz w:val="20"/>
          <w:szCs w:val="20"/>
          <w:lang w:bidi="ar-SA"/>
        </w:rPr>
        <w:t xml:space="preserve"> </w:t>
      </w:r>
      <w:r w:rsidR="000C68B1">
        <w:rPr>
          <w:rFonts w:cs="Arial"/>
          <w:sz w:val="20"/>
          <w:szCs w:val="20"/>
          <w:lang w:bidi="ar-SA"/>
        </w:rPr>
        <w:t xml:space="preserve">Available at: </w:t>
      </w:r>
      <w:hyperlink r:id="rId34" w:history="1">
        <w:r w:rsidR="000C68B1" w:rsidRPr="007C5822">
          <w:rPr>
            <w:rStyle w:val="Hyperlink"/>
            <w:rFonts w:cs="Arial"/>
            <w:sz w:val="20"/>
            <w:szCs w:val="20"/>
            <w:lang w:bidi="ar-SA"/>
          </w:rPr>
          <w:t>http://www.who.int/foodsafety/publications/chemical-food/en/</w:t>
        </w:r>
      </w:hyperlink>
    </w:p>
    <w:p w14:paraId="65BD1A46" w14:textId="77777777" w:rsidR="000C68B1" w:rsidRPr="002A784B" w:rsidRDefault="000C68B1" w:rsidP="0077026F">
      <w:pPr>
        <w:rPr>
          <w:rFonts w:cs="Arial"/>
          <w:sz w:val="20"/>
          <w:szCs w:val="20"/>
          <w:lang w:bidi="ar-SA"/>
        </w:rPr>
      </w:pPr>
    </w:p>
    <w:sectPr w:rsidR="000C68B1" w:rsidRPr="002A784B" w:rsidSect="00A67223">
      <w:pgSz w:w="11906" w:h="16838"/>
      <w:pgMar w:top="1440" w:right="1440" w:bottom="1440" w:left="993"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E03E9" w14:textId="77777777" w:rsidR="00766D85" w:rsidRDefault="00766D85">
      <w:r>
        <w:separator/>
      </w:r>
    </w:p>
  </w:endnote>
  <w:endnote w:type="continuationSeparator" w:id="0">
    <w:p w14:paraId="52CD3C12" w14:textId="77777777" w:rsidR="00766D85" w:rsidRDefault="00766D85">
      <w:r>
        <w:continuationSeparator/>
      </w:r>
    </w:p>
  </w:endnote>
  <w:endnote w:type="continuationNotice" w:id="1">
    <w:p w14:paraId="0D6BF6B8" w14:textId="77777777" w:rsidR="00766D85" w:rsidRDefault="00766D85"/>
  </w:endnote>
  <w:endnote w:id="2">
    <w:p w14:paraId="60F4AEAB" w14:textId="77777777" w:rsidR="00A130D3" w:rsidRDefault="00A130D3" w:rsidP="00DA4DA0">
      <w:pPr>
        <w:pStyle w:val="EndnoteText"/>
      </w:pPr>
      <w:r w:rsidRPr="00983D52">
        <w:t xml:space="preserve">Commission Regulation (EU) No 231/2012 of 9 March 2012 laying down specifications for food additives listed in Annexes II and III to Regulation (EC) No 1333/2008 of the European Parliament and of the Council. </w:t>
      </w:r>
      <w:proofErr w:type="gramStart"/>
      <w:r w:rsidRPr="00983D52">
        <w:t>OJ L 83, 22.3.2012.</w:t>
      </w:r>
      <w:proofErr w:type="gramEnd"/>
    </w:p>
    <w:p w14:paraId="324B949B" w14:textId="77777777" w:rsidR="00A130D3" w:rsidRDefault="00A130D3" w:rsidP="00DA4DA0">
      <w:pPr>
        <w:pStyle w:val="EndnoteText"/>
      </w:pPr>
    </w:p>
    <w:p w14:paraId="1890BA2E" w14:textId="5E3E1ED9" w:rsidR="00A130D3" w:rsidRDefault="00A130D3" w:rsidP="00DA4DA0">
      <w:pPr>
        <w:pStyle w:val="EndnoteText"/>
      </w:pPr>
      <w:proofErr w:type="spellStart"/>
      <w:r>
        <w:t>Fennema’s</w:t>
      </w:r>
      <w:proofErr w:type="spellEnd"/>
      <w:r>
        <w:t xml:space="preserve"> Food Chemistry, fourth edition (2008). CRC press, Boca Raton, p.707</w:t>
      </w:r>
    </w:p>
    <w:p w14:paraId="4359C29B" w14:textId="77777777" w:rsidR="00A130D3" w:rsidRPr="00983D52" w:rsidRDefault="00A130D3" w:rsidP="00DA4DA0">
      <w:pPr>
        <w:pStyle w:val="EndnoteText"/>
        <w:rPr>
          <w:lang w:val="en-AU"/>
        </w:rPr>
      </w:pPr>
    </w:p>
    <w:p w14:paraId="54832D58" w14:textId="76849712" w:rsidR="00A130D3" w:rsidRDefault="00A130D3" w:rsidP="00DA4DA0">
      <w:pPr>
        <w:pStyle w:val="EndnoteText"/>
        <w:rPr>
          <w:lang w:val="en-AU"/>
        </w:rPr>
      </w:pPr>
      <w:r w:rsidRPr="00983D52">
        <w:rPr>
          <w:lang w:val="en-AU"/>
        </w:rPr>
        <w:t xml:space="preserve">“Intervention Strategies: Control of </w:t>
      </w:r>
      <w:r w:rsidRPr="007C27DF">
        <w:rPr>
          <w:i/>
          <w:lang w:val="en-AU"/>
        </w:rPr>
        <w:t>Listeria monocytogenes</w:t>
      </w:r>
      <w:r w:rsidRPr="00983D52">
        <w:rPr>
          <w:lang w:val="en-AU"/>
        </w:rPr>
        <w:t xml:space="preserve"> in Processed Meat</w:t>
      </w:r>
      <w:r>
        <w:rPr>
          <w:lang w:val="en-AU"/>
        </w:rPr>
        <w:t xml:space="preserve"> </w:t>
      </w:r>
      <w:r w:rsidRPr="00983D52">
        <w:rPr>
          <w:lang w:val="en-AU"/>
        </w:rPr>
        <w:t xml:space="preserve">and Poultry by Combinations of Antimicrobials”. </w:t>
      </w:r>
      <w:proofErr w:type="gramStart"/>
      <w:r w:rsidRPr="00983D52">
        <w:rPr>
          <w:lang w:val="en-AU"/>
        </w:rPr>
        <w:t>2005. United States Department of</w:t>
      </w:r>
      <w:r>
        <w:rPr>
          <w:lang w:val="en-AU"/>
        </w:rPr>
        <w:t xml:space="preserve"> </w:t>
      </w:r>
      <w:r w:rsidRPr="00983D52">
        <w:rPr>
          <w:lang w:val="en-AU"/>
        </w:rPr>
        <w:t>Agriculture.</w:t>
      </w:r>
      <w:proofErr w:type="gramEnd"/>
    </w:p>
    <w:p w14:paraId="476F6162" w14:textId="77777777" w:rsidR="00A130D3" w:rsidRDefault="00A130D3" w:rsidP="00DA4DA0">
      <w:pPr>
        <w:pStyle w:val="EndnoteText"/>
        <w:rPr>
          <w:lang w:val="en-AU"/>
        </w:rPr>
      </w:pPr>
    </w:p>
    <w:p w14:paraId="267EEDCB" w14:textId="024B4444" w:rsidR="00A130D3" w:rsidRPr="00983D52" w:rsidRDefault="00A130D3" w:rsidP="00DA4DA0">
      <w:pPr>
        <w:pStyle w:val="EndnoteText"/>
        <w:rPr>
          <w:lang w:val="en-AU"/>
        </w:rPr>
      </w:pPr>
      <w:r w:rsidRPr="00983D52">
        <w:rPr>
          <w:lang w:val="en-AU"/>
        </w:rPr>
        <w:t xml:space="preserve">Glass and Claus, AMIF Final Report, June 2006. </w:t>
      </w:r>
      <w:proofErr w:type="gramStart"/>
      <w:r w:rsidRPr="00983D52">
        <w:rPr>
          <w:lang w:val="en-AU"/>
        </w:rPr>
        <w:t xml:space="preserve">“Controlling </w:t>
      </w:r>
      <w:r w:rsidRPr="007C27DF">
        <w:rPr>
          <w:i/>
          <w:lang w:val="en-AU"/>
        </w:rPr>
        <w:t>L. monocytogenes</w:t>
      </w:r>
      <w:r>
        <w:rPr>
          <w:lang w:val="en-AU"/>
        </w:rPr>
        <w:t xml:space="preserve"> </w:t>
      </w:r>
      <w:r w:rsidRPr="00983D52">
        <w:rPr>
          <w:lang w:val="en-AU"/>
        </w:rPr>
        <w:t>in RTE Meats Using Benzoate, Propionate and Sorbate”.</w:t>
      </w:r>
      <w:proofErr w:type="gramEnd"/>
      <w:r w:rsidRPr="00983D52">
        <w:rPr>
          <w:lang w:val="en-AU"/>
        </w:rPr>
        <w:t xml:space="preserve"> </w:t>
      </w:r>
      <w:proofErr w:type="gramStart"/>
      <w:r w:rsidRPr="00983D52">
        <w:rPr>
          <w:lang w:val="en-AU"/>
        </w:rPr>
        <w:t>University of Wisconsin-Madison</w:t>
      </w:r>
      <w:r>
        <w:rPr>
          <w:lang w:val="en-AU"/>
        </w:rPr>
        <w:t>.</w:t>
      </w:r>
      <w:proofErr w:type="gramEnd"/>
    </w:p>
    <w:p w14:paraId="7D4D9EEB" w14:textId="77777777" w:rsidR="00A130D3" w:rsidRDefault="00A130D3" w:rsidP="00DA4DA0">
      <w:pPr>
        <w:pStyle w:val="EndnoteText"/>
        <w:rPr>
          <w:lang w:val="en-AU"/>
        </w:rPr>
      </w:pPr>
    </w:p>
    <w:p w14:paraId="3EFADF14" w14:textId="7FAD345D" w:rsidR="00A130D3" w:rsidRPr="004A66E4" w:rsidRDefault="00A130D3" w:rsidP="00DA4DA0">
      <w:pPr>
        <w:pStyle w:val="EndnoteText"/>
        <w:rPr>
          <w:lang w:val="en-AU"/>
        </w:rPr>
      </w:pPr>
      <w:proofErr w:type="spellStart"/>
      <w:r w:rsidRPr="00983D52">
        <w:rPr>
          <w:lang w:val="en-AU"/>
        </w:rPr>
        <w:t>Mellefont</w:t>
      </w:r>
      <w:proofErr w:type="spellEnd"/>
      <w:r w:rsidRPr="00983D52">
        <w:rPr>
          <w:lang w:val="en-AU"/>
        </w:rPr>
        <w:t xml:space="preserve"> L A</w:t>
      </w:r>
      <w:r>
        <w:rPr>
          <w:lang w:val="en-AU"/>
        </w:rPr>
        <w:t>,</w:t>
      </w:r>
      <w:r w:rsidRPr="00983D52">
        <w:rPr>
          <w:lang w:val="en-AU"/>
        </w:rPr>
        <w:t xml:space="preserve"> Ross T</w:t>
      </w:r>
      <w:r>
        <w:rPr>
          <w:lang w:val="en-AU"/>
        </w:rPr>
        <w:t xml:space="preserve"> (</w:t>
      </w:r>
      <w:r w:rsidRPr="00983D52">
        <w:rPr>
          <w:lang w:val="en-AU"/>
        </w:rPr>
        <w:t>2007</w:t>
      </w:r>
      <w:r>
        <w:rPr>
          <w:lang w:val="en-AU"/>
        </w:rPr>
        <w:t>)</w:t>
      </w:r>
      <w:r w:rsidRPr="00983D52">
        <w:rPr>
          <w:lang w:val="en-AU"/>
        </w:rPr>
        <w:t xml:space="preserve"> Effect of Potassium Lactate and a Potassium</w:t>
      </w:r>
      <w:r>
        <w:rPr>
          <w:lang w:val="en-AU"/>
        </w:rPr>
        <w:t xml:space="preserve"> </w:t>
      </w:r>
      <w:r w:rsidRPr="00983D52">
        <w:rPr>
          <w:lang w:val="en-AU"/>
        </w:rPr>
        <w:t xml:space="preserve">Lactate-Sodium Diacetate Blend on </w:t>
      </w:r>
      <w:r w:rsidRPr="007C27DF">
        <w:rPr>
          <w:i/>
          <w:lang w:val="en-AU"/>
        </w:rPr>
        <w:t>Listeria monocytogenes</w:t>
      </w:r>
      <w:r w:rsidRPr="00983D52">
        <w:rPr>
          <w:lang w:val="en-AU"/>
        </w:rPr>
        <w:t xml:space="preserve"> Growth in Modified</w:t>
      </w:r>
      <w:r>
        <w:rPr>
          <w:lang w:val="en-AU"/>
        </w:rPr>
        <w:t xml:space="preserve"> </w:t>
      </w:r>
      <w:r w:rsidRPr="00983D52">
        <w:rPr>
          <w:lang w:val="en-AU"/>
        </w:rPr>
        <w:t xml:space="preserve">Atmosphere Packaged Sliced Ham. </w:t>
      </w:r>
      <w:r w:rsidRPr="007C27DF">
        <w:rPr>
          <w:i/>
          <w:lang w:val="en-AU"/>
        </w:rPr>
        <w:t>Journal of Food Protection</w:t>
      </w:r>
      <w:r w:rsidRPr="00983D52">
        <w:rPr>
          <w:lang w:val="en-AU"/>
        </w:rPr>
        <w:t xml:space="preserve">, </w:t>
      </w:r>
      <w:r w:rsidRPr="007C27DF">
        <w:rPr>
          <w:b/>
          <w:lang w:val="en-AU"/>
        </w:rPr>
        <w:t>70</w:t>
      </w:r>
      <w:r>
        <w:rPr>
          <w:lang w:val="en-AU"/>
        </w:rPr>
        <w:t>(</w:t>
      </w:r>
      <w:r w:rsidRPr="00983D52">
        <w:rPr>
          <w:lang w:val="en-AU"/>
        </w:rPr>
        <w:t>10</w:t>
      </w:r>
      <w:r>
        <w:rPr>
          <w:lang w:val="en-AU"/>
        </w:rPr>
        <w:t xml:space="preserve">): </w:t>
      </w:r>
      <w:r w:rsidRPr="00983D52">
        <w:rPr>
          <w:lang w:val="en-AU"/>
        </w:rPr>
        <w:t>2297</w:t>
      </w:r>
      <w:r>
        <w:rPr>
          <w:lang w:val="en-AU"/>
        </w:rPr>
        <w:t>–</w:t>
      </w:r>
      <w:r w:rsidRPr="00983D52">
        <w:rPr>
          <w:lang w:val="en-AU"/>
        </w:rPr>
        <w:t>2305</w:t>
      </w:r>
      <w:r>
        <w:rPr>
          <w:lang w:val="en-AU"/>
        </w:rPr>
        <w:t>.</w:t>
      </w:r>
    </w:p>
  </w:endnote>
  <w:endnote w:id="3">
    <w:p w14:paraId="5494F587" w14:textId="77777777" w:rsidR="00A130D3" w:rsidRDefault="00A130D3" w:rsidP="006C1E85">
      <w:pPr>
        <w:pStyle w:val="EndnoteText"/>
      </w:pPr>
      <w:r w:rsidRPr="00983D52">
        <w:t xml:space="preserve">Commission Regulation (EU) No 231/2012 of 9 March 2012 laying down specifications for food additives listed in Annexes II and III to Regulation (EC) No 1333/2008 of the European Parliament and of the Council. </w:t>
      </w:r>
      <w:proofErr w:type="gramStart"/>
      <w:r w:rsidRPr="00983D52">
        <w:t>OJ L 83, 22.3.2012.</w:t>
      </w:r>
      <w:proofErr w:type="gramEnd"/>
    </w:p>
    <w:p w14:paraId="719C0BEA" w14:textId="77777777" w:rsidR="00A130D3" w:rsidRDefault="00A130D3" w:rsidP="006C1E85">
      <w:pPr>
        <w:pStyle w:val="EndnoteText"/>
      </w:pPr>
    </w:p>
    <w:p w14:paraId="0A8201FA" w14:textId="77777777" w:rsidR="00A130D3" w:rsidRDefault="00A130D3" w:rsidP="006C1E85">
      <w:pPr>
        <w:pStyle w:val="EndnoteText"/>
      </w:pPr>
      <w:proofErr w:type="spellStart"/>
      <w:r>
        <w:t>Fennema’s</w:t>
      </w:r>
      <w:proofErr w:type="spellEnd"/>
      <w:r>
        <w:t xml:space="preserve"> Food Chemistry, fourth edition (2008). CRC press, Boca Raton, p.707</w:t>
      </w:r>
    </w:p>
    <w:p w14:paraId="389291F0" w14:textId="77777777" w:rsidR="00A130D3" w:rsidRPr="00983D52" w:rsidRDefault="00A130D3" w:rsidP="006C1E85">
      <w:pPr>
        <w:pStyle w:val="EndnoteText"/>
        <w:rPr>
          <w:lang w:val="en-AU"/>
        </w:rPr>
      </w:pPr>
    </w:p>
    <w:p w14:paraId="69F56DEA" w14:textId="77777777" w:rsidR="00A130D3" w:rsidRDefault="00A130D3" w:rsidP="006C1E85">
      <w:pPr>
        <w:pStyle w:val="EndnoteText"/>
        <w:rPr>
          <w:lang w:val="en-AU"/>
        </w:rPr>
      </w:pPr>
      <w:r w:rsidRPr="00983D52">
        <w:rPr>
          <w:lang w:val="en-AU"/>
        </w:rPr>
        <w:t xml:space="preserve">“Intervention Strategies: Control of </w:t>
      </w:r>
      <w:r w:rsidRPr="00587972">
        <w:rPr>
          <w:i/>
          <w:lang w:val="en-AU"/>
        </w:rPr>
        <w:t>Listeria monocytogenes</w:t>
      </w:r>
      <w:r w:rsidRPr="00983D52">
        <w:rPr>
          <w:lang w:val="en-AU"/>
        </w:rPr>
        <w:t xml:space="preserve"> in Processed Meat</w:t>
      </w:r>
      <w:r>
        <w:rPr>
          <w:lang w:val="en-AU"/>
        </w:rPr>
        <w:t xml:space="preserve"> </w:t>
      </w:r>
      <w:r w:rsidRPr="00983D52">
        <w:rPr>
          <w:lang w:val="en-AU"/>
        </w:rPr>
        <w:t xml:space="preserve">and Poultry by Combinations of Antimicrobials”. </w:t>
      </w:r>
      <w:proofErr w:type="gramStart"/>
      <w:r w:rsidRPr="00983D52">
        <w:rPr>
          <w:lang w:val="en-AU"/>
        </w:rPr>
        <w:t>2005. United States Department of</w:t>
      </w:r>
      <w:r>
        <w:rPr>
          <w:lang w:val="en-AU"/>
        </w:rPr>
        <w:t xml:space="preserve"> </w:t>
      </w:r>
      <w:r w:rsidRPr="00983D52">
        <w:rPr>
          <w:lang w:val="en-AU"/>
        </w:rPr>
        <w:t>Agriculture.</w:t>
      </w:r>
      <w:proofErr w:type="gramEnd"/>
    </w:p>
    <w:p w14:paraId="0786A006" w14:textId="77777777" w:rsidR="00A130D3" w:rsidRDefault="00A130D3" w:rsidP="006C1E85">
      <w:pPr>
        <w:pStyle w:val="EndnoteText"/>
        <w:rPr>
          <w:lang w:val="en-AU"/>
        </w:rPr>
      </w:pPr>
    </w:p>
    <w:p w14:paraId="52B5BCE0" w14:textId="77777777" w:rsidR="00A130D3" w:rsidRPr="00983D52" w:rsidRDefault="00A130D3" w:rsidP="006C1E85">
      <w:pPr>
        <w:pStyle w:val="EndnoteText"/>
        <w:rPr>
          <w:lang w:val="en-AU"/>
        </w:rPr>
      </w:pPr>
      <w:r w:rsidRPr="00983D52">
        <w:rPr>
          <w:lang w:val="en-AU"/>
        </w:rPr>
        <w:t xml:space="preserve">Glass and Claus, AMIF Final Report, June 2006. </w:t>
      </w:r>
      <w:proofErr w:type="gramStart"/>
      <w:r w:rsidRPr="00983D52">
        <w:rPr>
          <w:lang w:val="en-AU"/>
        </w:rPr>
        <w:t xml:space="preserve">“Controlling </w:t>
      </w:r>
      <w:r w:rsidRPr="00587972">
        <w:rPr>
          <w:i/>
          <w:lang w:val="en-AU"/>
        </w:rPr>
        <w:t>L. monocytogenes</w:t>
      </w:r>
      <w:r>
        <w:rPr>
          <w:lang w:val="en-AU"/>
        </w:rPr>
        <w:t xml:space="preserve"> </w:t>
      </w:r>
      <w:r w:rsidRPr="00983D52">
        <w:rPr>
          <w:lang w:val="en-AU"/>
        </w:rPr>
        <w:t>in RTE Meats Using Benzoate, Propionate and Sorbate”.</w:t>
      </w:r>
      <w:proofErr w:type="gramEnd"/>
      <w:r w:rsidRPr="00983D52">
        <w:rPr>
          <w:lang w:val="en-AU"/>
        </w:rPr>
        <w:t xml:space="preserve"> </w:t>
      </w:r>
      <w:proofErr w:type="gramStart"/>
      <w:r w:rsidRPr="00983D52">
        <w:rPr>
          <w:lang w:val="en-AU"/>
        </w:rPr>
        <w:t>University of Wisconsin-Madison</w:t>
      </w:r>
      <w:r>
        <w:rPr>
          <w:lang w:val="en-AU"/>
        </w:rPr>
        <w:t>.</w:t>
      </w:r>
      <w:proofErr w:type="gramEnd"/>
    </w:p>
    <w:p w14:paraId="211BCE25" w14:textId="77777777" w:rsidR="00A130D3" w:rsidRDefault="00A130D3" w:rsidP="006C1E85">
      <w:pPr>
        <w:pStyle w:val="EndnoteText"/>
        <w:rPr>
          <w:lang w:val="en-AU"/>
        </w:rPr>
      </w:pPr>
    </w:p>
    <w:p w14:paraId="42C02314" w14:textId="77777777" w:rsidR="00A130D3" w:rsidRPr="004A66E4" w:rsidRDefault="00A130D3" w:rsidP="006C1E85">
      <w:pPr>
        <w:pStyle w:val="EndnoteText"/>
        <w:rPr>
          <w:lang w:val="en-AU"/>
        </w:rPr>
      </w:pPr>
      <w:proofErr w:type="spellStart"/>
      <w:r w:rsidRPr="00983D52">
        <w:rPr>
          <w:lang w:val="en-AU"/>
        </w:rPr>
        <w:t>Mellefont</w:t>
      </w:r>
      <w:proofErr w:type="spellEnd"/>
      <w:r w:rsidRPr="00983D52">
        <w:rPr>
          <w:lang w:val="en-AU"/>
        </w:rPr>
        <w:t xml:space="preserve"> L A</w:t>
      </w:r>
      <w:r>
        <w:rPr>
          <w:lang w:val="en-AU"/>
        </w:rPr>
        <w:t>,</w:t>
      </w:r>
      <w:r w:rsidRPr="00983D52">
        <w:rPr>
          <w:lang w:val="en-AU"/>
        </w:rPr>
        <w:t xml:space="preserve"> Ross T</w:t>
      </w:r>
      <w:r>
        <w:rPr>
          <w:lang w:val="en-AU"/>
        </w:rPr>
        <w:t xml:space="preserve"> (</w:t>
      </w:r>
      <w:r w:rsidRPr="00983D52">
        <w:rPr>
          <w:lang w:val="en-AU"/>
        </w:rPr>
        <w:t>2007</w:t>
      </w:r>
      <w:r>
        <w:rPr>
          <w:lang w:val="en-AU"/>
        </w:rPr>
        <w:t>)</w:t>
      </w:r>
      <w:r w:rsidRPr="00983D52">
        <w:rPr>
          <w:lang w:val="en-AU"/>
        </w:rPr>
        <w:t xml:space="preserve"> Effect of Potassium Lactate and a Potassium</w:t>
      </w:r>
      <w:r>
        <w:rPr>
          <w:lang w:val="en-AU"/>
        </w:rPr>
        <w:t xml:space="preserve"> </w:t>
      </w:r>
      <w:r w:rsidRPr="00983D52">
        <w:rPr>
          <w:lang w:val="en-AU"/>
        </w:rPr>
        <w:t xml:space="preserve">Lactate-Sodium Diacetate Blend on </w:t>
      </w:r>
      <w:r w:rsidRPr="00587972">
        <w:rPr>
          <w:i/>
          <w:lang w:val="en-AU"/>
        </w:rPr>
        <w:t>Listeria monocytogenes</w:t>
      </w:r>
      <w:r w:rsidRPr="00983D52">
        <w:rPr>
          <w:lang w:val="en-AU"/>
        </w:rPr>
        <w:t xml:space="preserve"> Growth in Modified</w:t>
      </w:r>
      <w:r>
        <w:rPr>
          <w:lang w:val="en-AU"/>
        </w:rPr>
        <w:t xml:space="preserve"> </w:t>
      </w:r>
      <w:r w:rsidRPr="00983D52">
        <w:rPr>
          <w:lang w:val="en-AU"/>
        </w:rPr>
        <w:t xml:space="preserve">Atmosphere Packaged Sliced Ham. </w:t>
      </w:r>
      <w:r w:rsidRPr="00587972">
        <w:rPr>
          <w:i/>
          <w:lang w:val="en-AU"/>
        </w:rPr>
        <w:t>Journal of Food Protection</w:t>
      </w:r>
      <w:r w:rsidRPr="00983D52">
        <w:rPr>
          <w:lang w:val="en-AU"/>
        </w:rPr>
        <w:t xml:space="preserve">, </w:t>
      </w:r>
      <w:r w:rsidRPr="00587972">
        <w:rPr>
          <w:b/>
          <w:lang w:val="en-AU"/>
        </w:rPr>
        <w:t>70</w:t>
      </w:r>
      <w:r>
        <w:rPr>
          <w:lang w:val="en-AU"/>
        </w:rPr>
        <w:t>(</w:t>
      </w:r>
      <w:r w:rsidRPr="00983D52">
        <w:rPr>
          <w:lang w:val="en-AU"/>
        </w:rPr>
        <w:t>10</w:t>
      </w:r>
      <w:r>
        <w:rPr>
          <w:lang w:val="en-AU"/>
        </w:rPr>
        <w:t xml:space="preserve">): </w:t>
      </w:r>
      <w:r w:rsidRPr="00983D52">
        <w:rPr>
          <w:lang w:val="en-AU"/>
        </w:rPr>
        <w:t>2297</w:t>
      </w:r>
      <w:r>
        <w:rPr>
          <w:lang w:val="en-AU"/>
        </w:rPr>
        <w:t>–</w:t>
      </w:r>
      <w:r w:rsidRPr="00983D52">
        <w:rPr>
          <w:lang w:val="en-AU"/>
        </w:rPr>
        <w:t>2305</w:t>
      </w:r>
      <w:r>
        <w:rPr>
          <w:lang w:val="en-AU"/>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36E63" w14:textId="77777777" w:rsidR="00A130D3" w:rsidRDefault="00A130D3"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E36E64" w14:textId="77777777" w:rsidR="00A130D3" w:rsidRDefault="00A130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36E65" w14:textId="77777777" w:rsidR="00A130D3" w:rsidRDefault="00A130D3"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0FAB">
      <w:rPr>
        <w:rStyle w:val="PageNumber"/>
        <w:noProof/>
      </w:rPr>
      <w:t>1</w:t>
    </w:r>
    <w:r>
      <w:rPr>
        <w:rStyle w:val="PageNumber"/>
      </w:rPr>
      <w:fldChar w:fldCharType="end"/>
    </w:r>
  </w:p>
  <w:p w14:paraId="11E36E66" w14:textId="77777777" w:rsidR="00A130D3" w:rsidRDefault="00A130D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52797" w14:textId="77777777" w:rsidR="00076054" w:rsidRDefault="00076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AE2BE" w14:textId="77777777" w:rsidR="00766D85" w:rsidRDefault="00766D85">
      <w:r>
        <w:separator/>
      </w:r>
    </w:p>
  </w:footnote>
  <w:footnote w:type="continuationSeparator" w:id="0">
    <w:p w14:paraId="5D6DF1E8" w14:textId="77777777" w:rsidR="00766D85" w:rsidRDefault="00766D85">
      <w:r>
        <w:continuationSeparator/>
      </w:r>
    </w:p>
  </w:footnote>
  <w:footnote w:type="continuationNotice" w:id="1">
    <w:p w14:paraId="61A99A96" w14:textId="77777777" w:rsidR="00766D85" w:rsidRDefault="00766D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2628F" w14:textId="77777777" w:rsidR="00076054" w:rsidRDefault="000760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CF21E" w14:textId="77777777" w:rsidR="00076054" w:rsidRDefault="000760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36E67" w14:textId="77777777" w:rsidR="00A130D3" w:rsidRDefault="00A130D3">
    <w:pPr>
      <w:pStyle w:val="Header"/>
      <w:jc w:val="center"/>
      <w:rPr>
        <w:b/>
        <w:bCs/>
      </w:rPr>
    </w:pPr>
    <w:r>
      <w:rPr>
        <w:b/>
        <w:bCs/>
      </w:rPr>
      <w:t>BOARD-IN-CONFIDENCE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6C3"/>
    <w:multiLevelType w:val="hybridMultilevel"/>
    <w:tmpl w:val="DA40736C"/>
    <w:lvl w:ilvl="0" w:tplc="6B5AB52C">
      <w:start w:val="1"/>
      <w:numFmt w:val="bullet"/>
      <w:pStyle w:val="FS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963D77"/>
    <w:multiLevelType w:val="hybridMultilevel"/>
    <w:tmpl w:val="7632DC76"/>
    <w:lvl w:ilvl="0" w:tplc="AB405820">
      <w:start w:val="1"/>
      <w:numFmt w:val="bullet"/>
      <w:pStyle w:val="FSBullet3"/>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21742011"/>
    <w:multiLevelType w:val="hybridMultilevel"/>
    <w:tmpl w:val="BA6E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4017CB"/>
    <w:multiLevelType w:val="hybridMultilevel"/>
    <w:tmpl w:val="DAB4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054271"/>
    <w:multiLevelType w:val="hybridMultilevel"/>
    <w:tmpl w:val="7AC0B316"/>
    <w:lvl w:ilvl="0" w:tplc="FDFEA674">
      <w:start w:val="1"/>
      <w:numFmt w:val="bullet"/>
      <w:pStyle w:val="FSBullet1"/>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B2F73A4"/>
    <w:multiLevelType w:val="hybridMultilevel"/>
    <w:tmpl w:val="49EC6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5E9607C"/>
    <w:multiLevelType w:val="multilevel"/>
    <w:tmpl w:val="D7AC84A0"/>
    <w:lvl w:ilvl="0">
      <w:start w:val="2"/>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40B1010F"/>
    <w:multiLevelType w:val="hybridMultilevel"/>
    <w:tmpl w:val="8098A8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4680EF3"/>
    <w:multiLevelType w:val="hybridMultilevel"/>
    <w:tmpl w:val="FBCEA7F4"/>
    <w:lvl w:ilvl="0" w:tplc="239A32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657FCC"/>
    <w:multiLevelType w:val="hybridMultilevel"/>
    <w:tmpl w:val="FBDCC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E23B5C"/>
    <w:multiLevelType w:val="hybridMultilevel"/>
    <w:tmpl w:val="15E2C8B4"/>
    <w:lvl w:ilvl="0" w:tplc="B234E9C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nsid w:val="5F3A0BA3"/>
    <w:multiLevelType w:val="hybridMultilevel"/>
    <w:tmpl w:val="4A5AD9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63527C2C"/>
    <w:multiLevelType w:val="multilevel"/>
    <w:tmpl w:val="847053F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510565E"/>
    <w:multiLevelType w:val="multilevel"/>
    <w:tmpl w:val="55AC0DCC"/>
    <w:lvl w:ilvl="0">
      <w:start w:val="2"/>
      <w:numFmt w:val="decimal"/>
      <w:lvlText w:val="%1"/>
      <w:lvlJc w:val="left"/>
      <w:pPr>
        <w:ind w:left="405" w:hanging="40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655B20FA"/>
    <w:multiLevelType w:val="multilevel"/>
    <w:tmpl w:val="9CECA148"/>
    <w:lvl w:ilvl="0">
      <w:start w:val="3"/>
      <w:numFmt w:val="decimal"/>
      <w:lvlText w:val="%1"/>
      <w:lvlJc w:val="left"/>
      <w:pPr>
        <w:ind w:left="405" w:hanging="405"/>
      </w:pPr>
      <w:rPr>
        <w:rFonts w:cs="Times New Roman" w:hint="default"/>
        <w:b w:val="0"/>
        <w:sz w:val="22"/>
      </w:rPr>
    </w:lvl>
    <w:lvl w:ilvl="1">
      <w:start w:val="4"/>
      <w:numFmt w:val="decimal"/>
      <w:lvlText w:val="%1.%2"/>
      <w:lvlJc w:val="left"/>
      <w:pPr>
        <w:ind w:left="765" w:hanging="405"/>
      </w:pPr>
      <w:rPr>
        <w:rFonts w:cs="Times New Roman" w:hint="default"/>
        <w:b w:val="0"/>
        <w:sz w:val="22"/>
      </w:rPr>
    </w:lvl>
    <w:lvl w:ilvl="2">
      <w:start w:val="1"/>
      <w:numFmt w:val="decimal"/>
      <w:lvlText w:val="%1.%2.%3"/>
      <w:lvlJc w:val="left"/>
      <w:pPr>
        <w:ind w:left="1440" w:hanging="720"/>
      </w:pPr>
      <w:rPr>
        <w:rFonts w:cs="Times New Roman" w:hint="default"/>
        <w:b w:val="0"/>
        <w:sz w:val="22"/>
      </w:rPr>
    </w:lvl>
    <w:lvl w:ilvl="3">
      <w:start w:val="1"/>
      <w:numFmt w:val="decimal"/>
      <w:lvlText w:val="%1.%2.%3.%4"/>
      <w:lvlJc w:val="left"/>
      <w:pPr>
        <w:ind w:left="1800" w:hanging="720"/>
      </w:pPr>
      <w:rPr>
        <w:rFonts w:cs="Times New Roman" w:hint="default"/>
        <w:b w:val="0"/>
        <w:sz w:val="22"/>
      </w:rPr>
    </w:lvl>
    <w:lvl w:ilvl="4">
      <w:start w:val="1"/>
      <w:numFmt w:val="decimal"/>
      <w:lvlText w:val="%1.%2.%3.%4.%5"/>
      <w:lvlJc w:val="left"/>
      <w:pPr>
        <w:ind w:left="2520" w:hanging="1080"/>
      </w:pPr>
      <w:rPr>
        <w:rFonts w:cs="Times New Roman" w:hint="default"/>
        <w:b w:val="0"/>
        <w:sz w:val="22"/>
      </w:rPr>
    </w:lvl>
    <w:lvl w:ilvl="5">
      <w:start w:val="1"/>
      <w:numFmt w:val="decimal"/>
      <w:lvlText w:val="%1.%2.%3.%4.%5.%6"/>
      <w:lvlJc w:val="left"/>
      <w:pPr>
        <w:ind w:left="2880" w:hanging="1080"/>
      </w:pPr>
      <w:rPr>
        <w:rFonts w:cs="Times New Roman" w:hint="default"/>
        <w:b w:val="0"/>
        <w:sz w:val="22"/>
      </w:rPr>
    </w:lvl>
    <w:lvl w:ilvl="6">
      <w:start w:val="1"/>
      <w:numFmt w:val="decimal"/>
      <w:lvlText w:val="%1.%2.%3.%4.%5.%6.%7"/>
      <w:lvlJc w:val="left"/>
      <w:pPr>
        <w:ind w:left="3600" w:hanging="1440"/>
      </w:pPr>
      <w:rPr>
        <w:rFonts w:cs="Times New Roman" w:hint="default"/>
        <w:b w:val="0"/>
        <w:sz w:val="22"/>
      </w:rPr>
    </w:lvl>
    <w:lvl w:ilvl="7">
      <w:start w:val="1"/>
      <w:numFmt w:val="decimal"/>
      <w:lvlText w:val="%1.%2.%3.%4.%5.%6.%7.%8"/>
      <w:lvlJc w:val="left"/>
      <w:pPr>
        <w:ind w:left="3960" w:hanging="1440"/>
      </w:pPr>
      <w:rPr>
        <w:rFonts w:cs="Times New Roman" w:hint="default"/>
        <w:b w:val="0"/>
        <w:sz w:val="22"/>
      </w:rPr>
    </w:lvl>
    <w:lvl w:ilvl="8">
      <w:start w:val="1"/>
      <w:numFmt w:val="decimal"/>
      <w:lvlText w:val="%1.%2.%3.%4.%5.%6.%7.%8.%9"/>
      <w:lvlJc w:val="left"/>
      <w:pPr>
        <w:ind w:left="4680" w:hanging="1800"/>
      </w:pPr>
      <w:rPr>
        <w:rFonts w:cs="Times New Roman" w:hint="default"/>
        <w:b w:val="0"/>
        <w:sz w:val="22"/>
      </w:rPr>
    </w:lvl>
  </w:abstractNum>
  <w:abstractNum w:abstractNumId="15">
    <w:nsid w:val="659B2DED"/>
    <w:multiLevelType w:val="hybridMultilevel"/>
    <w:tmpl w:val="38625CB2"/>
    <w:lvl w:ilvl="0" w:tplc="14090001">
      <w:start w:val="1"/>
      <w:numFmt w:val="bullet"/>
      <w:lvlText w:val=""/>
      <w:lvlJc w:val="left"/>
      <w:pPr>
        <w:ind w:left="1346" w:hanging="360"/>
      </w:pPr>
      <w:rPr>
        <w:rFonts w:ascii="Symbol" w:hAnsi="Symbol" w:hint="default"/>
      </w:rPr>
    </w:lvl>
    <w:lvl w:ilvl="1" w:tplc="14090003" w:tentative="1">
      <w:start w:val="1"/>
      <w:numFmt w:val="bullet"/>
      <w:lvlText w:val="o"/>
      <w:lvlJc w:val="left"/>
      <w:pPr>
        <w:ind w:left="2066" w:hanging="360"/>
      </w:pPr>
      <w:rPr>
        <w:rFonts w:ascii="Courier New" w:hAnsi="Courier New" w:cs="Courier New" w:hint="default"/>
      </w:rPr>
    </w:lvl>
    <w:lvl w:ilvl="2" w:tplc="14090005" w:tentative="1">
      <w:start w:val="1"/>
      <w:numFmt w:val="bullet"/>
      <w:lvlText w:val=""/>
      <w:lvlJc w:val="left"/>
      <w:pPr>
        <w:ind w:left="2786" w:hanging="360"/>
      </w:pPr>
      <w:rPr>
        <w:rFonts w:ascii="Wingdings" w:hAnsi="Wingdings" w:hint="default"/>
      </w:rPr>
    </w:lvl>
    <w:lvl w:ilvl="3" w:tplc="14090001" w:tentative="1">
      <w:start w:val="1"/>
      <w:numFmt w:val="bullet"/>
      <w:lvlText w:val=""/>
      <w:lvlJc w:val="left"/>
      <w:pPr>
        <w:ind w:left="3506" w:hanging="360"/>
      </w:pPr>
      <w:rPr>
        <w:rFonts w:ascii="Symbol" w:hAnsi="Symbol" w:hint="default"/>
      </w:rPr>
    </w:lvl>
    <w:lvl w:ilvl="4" w:tplc="14090003" w:tentative="1">
      <w:start w:val="1"/>
      <w:numFmt w:val="bullet"/>
      <w:lvlText w:val="o"/>
      <w:lvlJc w:val="left"/>
      <w:pPr>
        <w:ind w:left="4226" w:hanging="360"/>
      </w:pPr>
      <w:rPr>
        <w:rFonts w:ascii="Courier New" w:hAnsi="Courier New" w:cs="Courier New" w:hint="default"/>
      </w:rPr>
    </w:lvl>
    <w:lvl w:ilvl="5" w:tplc="14090005" w:tentative="1">
      <w:start w:val="1"/>
      <w:numFmt w:val="bullet"/>
      <w:lvlText w:val=""/>
      <w:lvlJc w:val="left"/>
      <w:pPr>
        <w:ind w:left="4946" w:hanging="360"/>
      </w:pPr>
      <w:rPr>
        <w:rFonts w:ascii="Wingdings" w:hAnsi="Wingdings" w:hint="default"/>
      </w:rPr>
    </w:lvl>
    <w:lvl w:ilvl="6" w:tplc="14090001" w:tentative="1">
      <w:start w:val="1"/>
      <w:numFmt w:val="bullet"/>
      <w:lvlText w:val=""/>
      <w:lvlJc w:val="left"/>
      <w:pPr>
        <w:ind w:left="5666" w:hanging="360"/>
      </w:pPr>
      <w:rPr>
        <w:rFonts w:ascii="Symbol" w:hAnsi="Symbol" w:hint="default"/>
      </w:rPr>
    </w:lvl>
    <w:lvl w:ilvl="7" w:tplc="14090003" w:tentative="1">
      <w:start w:val="1"/>
      <w:numFmt w:val="bullet"/>
      <w:lvlText w:val="o"/>
      <w:lvlJc w:val="left"/>
      <w:pPr>
        <w:ind w:left="6386" w:hanging="360"/>
      </w:pPr>
      <w:rPr>
        <w:rFonts w:ascii="Courier New" w:hAnsi="Courier New" w:cs="Courier New" w:hint="default"/>
      </w:rPr>
    </w:lvl>
    <w:lvl w:ilvl="8" w:tplc="14090005" w:tentative="1">
      <w:start w:val="1"/>
      <w:numFmt w:val="bullet"/>
      <w:lvlText w:val=""/>
      <w:lvlJc w:val="left"/>
      <w:pPr>
        <w:ind w:left="7106" w:hanging="360"/>
      </w:pPr>
      <w:rPr>
        <w:rFonts w:ascii="Wingdings" w:hAnsi="Wingdings" w:hint="default"/>
      </w:rPr>
    </w:lvl>
  </w:abstractNum>
  <w:abstractNum w:abstractNumId="16">
    <w:nsid w:val="683D2CFC"/>
    <w:multiLevelType w:val="hybridMultilevel"/>
    <w:tmpl w:val="131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B06048A"/>
    <w:multiLevelType w:val="hybridMultilevel"/>
    <w:tmpl w:val="EB06D5B0"/>
    <w:lvl w:ilvl="0" w:tplc="239A32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B8B0652"/>
    <w:multiLevelType w:val="hybridMultilevel"/>
    <w:tmpl w:val="1B4C989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nsid w:val="6BE90B93"/>
    <w:multiLevelType w:val="hybridMultilevel"/>
    <w:tmpl w:val="928A4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BAE0958"/>
    <w:multiLevelType w:val="hybridMultilevel"/>
    <w:tmpl w:val="1540B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1"/>
  </w:num>
  <w:num w:numId="5">
    <w:abstractNumId w:val="12"/>
  </w:num>
  <w:num w:numId="6">
    <w:abstractNumId w:val="14"/>
  </w:num>
  <w:num w:numId="7">
    <w:abstractNumId w:val="13"/>
  </w:num>
  <w:num w:numId="8">
    <w:abstractNumId w:val="6"/>
  </w:num>
  <w:num w:numId="9">
    <w:abstractNumId w:val="7"/>
  </w:num>
  <w:num w:numId="10">
    <w:abstractNumId w:val="18"/>
  </w:num>
  <w:num w:numId="11">
    <w:abstractNumId w:val="16"/>
  </w:num>
  <w:num w:numId="12">
    <w:abstractNumId w:val="9"/>
  </w:num>
  <w:num w:numId="13">
    <w:abstractNumId w:val="19"/>
  </w:num>
  <w:num w:numId="14">
    <w:abstractNumId w:val="2"/>
  </w:num>
  <w:num w:numId="15">
    <w:abstractNumId w:val="8"/>
  </w:num>
  <w:num w:numId="16">
    <w:abstractNumId w:val="17"/>
  </w:num>
  <w:num w:numId="17">
    <w:abstractNumId w:val="5"/>
  </w:num>
  <w:num w:numId="18">
    <w:abstractNumId w:val="3"/>
  </w:num>
  <w:num w:numId="19">
    <w:abstractNumId w:val="20"/>
  </w:num>
  <w:num w:numId="20">
    <w:abstractNumId w:val="11"/>
  </w:num>
  <w:num w:numId="2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42"/>
    <w:rsid w:val="00001CF2"/>
    <w:rsid w:val="0000247B"/>
    <w:rsid w:val="0000424F"/>
    <w:rsid w:val="0000469B"/>
    <w:rsid w:val="00010E78"/>
    <w:rsid w:val="00013B74"/>
    <w:rsid w:val="00016615"/>
    <w:rsid w:val="000217E6"/>
    <w:rsid w:val="000238F5"/>
    <w:rsid w:val="0002592B"/>
    <w:rsid w:val="00026B5E"/>
    <w:rsid w:val="00035FF3"/>
    <w:rsid w:val="00044906"/>
    <w:rsid w:val="00045D51"/>
    <w:rsid w:val="00051021"/>
    <w:rsid w:val="00051DE2"/>
    <w:rsid w:val="00051ED9"/>
    <w:rsid w:val="00053D29"/>
    <w:rsid w:val="00057181"/>
    <w:rsid w:val="00062C53"/>
    <w:rsid w:val="00062C95"/>
    <w:rsid w:val="0006473A"/>
    <w:rsid w:val="00064B2D"/>
    <w:rsid w:val="00065F1F"/>
    <w:rsid w:val="00066E1D"/>
    <w:rsid w:val="00067111"/>
    <w:rsid w:val="0007185D"/>
    <w:rsid w:val="00073DCF"/>
    <w:rsid w:val="00074560"/>
    <w:rsid w:val="00076054"/>
    <w:rsid w:val="000769C4"/>
    <w:rsid w:val="00076D33"/>
    <w:rsid w:val="00080BBE"/>
    <w:rsid w:val="00082891"/>
    <w:rsid w:val="0008344D"/>
    <w:rsid w:val="000836D6"/>
    <w:rsid w:val="00085240"/>
    <w:rsid w:val="00091891"/>
    <w:rsid w:val="00092CDA"/>
    <w:rsid w:val="0009600B"/>
    <w:rsid w:val="000A0A4E"/>
    <w:rsid w:val="000A1285"/>
    <w:rsid w:val="000A27E9"/>
    <w:rsid w:val="000A2EA3"/>
    <w:rsid w:val="000A3B00"/>
    <w:rsid w:val="000A3D8B"/>
    <w:rsid w:val="000A3EBB"/>
    <w:rsid w:val="000A5DF8"/>
    <w:rsid w:val="000A6B2E"/>
    <w:rsid w:val="000A7777"/>
    <w:rsid w:val="000B1087"/>
    <w:rsid w:val="000B1645"/>
    <w:rsid w:val="000B2D6F"/>
    <w:rsid w:val="000B5147"/>
    <w:rsid w:val="000B57DC"/>
    <w:rsid w:val="000B6AF2"/>
    <w:rsid w:val="000B7027"/>
    <w:rsid w:val="000C27F3"/>
    <w:rsid w:val="000C3771"/>
    <w:rsid w:val="000C5ED1"/>
    <w:rsid w:val="000C6118"/>
    <w:rsid w:val="000C68B1"/>
    <w:rsid w:val="000D0AC7"/>
    <w:rsid w:val="000D6607"/>
    <w:rsid w:val="000D6FD4"/>
    <w:rsid w:val="000E0AE4"/>
    <w:rsid w:val="000E102D"/>
    <w:rsid w:val="000E35A3"/>
    <w:rsid w:val="000E39E2"/>
    <w:rsid w:val="000E3DBC"/>
    <w:rsid w:val="000E4880"/>
    <w:rsid w:val="000E5694"/>
    <w:rsid w:val="000F279D"/>
    <w:rsid w:val="000F28D0"/>
    <w:rsid w:val="000F6787"/>
    <w:rsid w:val="000F6A54"/>
    <w:rsid w:val="00103487"/>
    <w:rsid w:val="001117BF"/>
    <w:rsid w:val="00113068"/>
    <w:rsid w:val="00113CE3"/>
    <w:rsid w:val="001144A4"/>
    <w:rsid w:val="0011743A"/>
    <w:rsid w:val="00117522"/>
    <w:rsid w:val="00121FAE"/>
    <w:rsid w:val="00141DD1"/>
    <w:rsid w:val="00144287"/>
    <w:rsid w:val="001542D8"/>
    <w:rsid w:val="001646C7"/>
    <w:rsid w:val="00166847"/>
    <w:rsid w:val="00170A4F"/>
    <w:rsid w:val="0017294B"/>
    <w:rsid w:val="00180C41"/>
    <w:rsid w:val="00180ED4"/>
    <w:rsid w:val="0018279E"/>
    <w:rsid w:val="00182C4C"/>
    <w:rsid w:val="001901B7"/>
    <w:rsid w:val="00193536"/>
    <w:rsid w:val="001939F3"/>
    <w:rsid w:val="001969AA"/>
    <w:rsid w:val="001976FB"/>
    <w:rsid w:val="00197D8D"/>
    <w:rsid w:val="001A1A75"/>
    <w:rsid w:val="001A38B3"/>
    <w:rsid w:val="001A4D77"/>
    <w:rsid w:val="001A4DCF"/>
    <w:rsid w:val="001A7E9A"/>
    <w:rsid w:val="001B2CD4"/>
    <w:rsid w:val="001B3417"/>
    <w:rsid w:val="001B3B0E"/>
    <w:rsid w:val="001B6A6E"/>
    <w:rsid w:val="001C27A3"/>
    <w:rsid w:val="001C5295"/>
    <w:rsid w:val="001C6DA0"/>
    <w:rsid w:val="001C7440"/>
    <w:rsid w:val="001C793E"/>
    <w:rsid w:val="001D6024"/>
    <w:rsid w:val="001D73FA"/>
    <w:rsid w:val="001D7AFB"/>
    <w:rsid w:val="001E09FA"/>
    <w:rsid w:val="001E0C04"/>
    <w:rsid w:val="001E240B"/>
    <w:rsid w:val="001E6CF3"/>
    <w:rsid w:val="001E713D"/>
    <w:rsid w:val="001F0186"/>
    <w:rsid w:val="001F1376"/>
    <w:rsid w:val="001F402D"/>
    <w:rsid w:val="00203540"/>
    <w:rsid w:val="00203716"/>
    <w:rsid w:val="002038B1"/>
    <w:rsid w:val="0020537A"/>
    <w:rsid w:val="00206635"/>
    <w:rsid w:val="00210290"/>
    <w:rsid w:val="00212124"/>
    <w:rsid w:val="00213583"/>
    <w:rsid w:val="00213A08"/>
    <w:rsid w:val="0021612B"/>
    <w:rsid w:val="0022083A"/>
    <w:rsid w:val="00221163"/>
    <w:rsid w:val="00221AF4"/>
    <w:rsid w:val="00221B54"/>
    <w:rsid w:val="00221D07"/>
    <w:rsid w:val="0022206D"/>
    <w:rsid w:val="00222836"/>
    <w:rsid w:val="00222C19"/>
    <w:rsid w:val="00223541"/>
    <w:rsid w:val="002246D7"/>
    <w:rsid w:val="00227E4A"/>
    <w:rsid w:val="002301B6"/>
    <w:rsid w:val="00235C15"/>
    <w:rsid w:val="0023639C"/>
    <w:rsid w:val="00245147"/>
    <w:rsid w:val="0024582E"/>
    <w:rsid w:val="00245C56"/>
    <w:rsid w:val="002473E7"/>
    <w:rsid w:val="00251652"/>
    <w:rsid w:val="002547EF"/>
    <w:rsid w:val="002550D8"/>
    <w:rsid w:val="00256D65"/>
    <w:rsid w:val="00257716"/>
    <w:rsid w:val="00261235"/>
    <w:rsid w:val="00261743"/>
    <w:rsid w:val="00261EF3"/>
    <w:rsid w:val="00265209"/>
    <w:rsid w:val="00271F00"/>
    <w:rsid w:val="00272ADC"/>
    <w:rsid w:val="00273A80"/>
    <w:rsid w:val="002744A5"/>
    <w:rsid w:val="00275002"/>
    <w:rsid w:val="00281593"/>
    <w:rsid w:val="00282AF6"/>
    <w:rsid w:val="0028462F"/>
    <w:rsid w:val="0028511A"/>
    <w:rsid w:val="0029204E"/>
    <w:rsid w:val="0029302F"/>
    <w:rsid w:val="002939CA"/>
    <w:rsid w:val="00293B12"/>
    <w:rsid w:val="0029631C"/>
    <w:rsid w:val="002A010A"/>
    <w:rsid w:val="002A0194"/>
    <w:rsid w:val="002A330E"/>
    <w:rsid w:val="002A3FBC"/>
    <w:rsid w:val="002A42B1"/>
    <w:rsid w:val="002A5F8B"/>
    <w:rsid w:val="002A784B"/>
    <w:rsid w:val="002A7F6C"/>
    <w:rsid w:val="002B05E1"/>
    <w:rsid w:val="002B2670"/>
    <w:rsid w:val="002B42BF"/>
    <w:rsid w:val="002C7447"/>
    <w:rsid w:val="002D0C99"/>
    <w:rsid w:val="002D14A1"/>
    <w:rsid w:val="002D161C"/>
    <w:rsid w:val="002D6809"/>
    <w:rsid w:val="002D7591"/>
    <w:rsid w:val="002E0394"/>
    <w:rsid w:val="002E0696"/>
    <w:rsid w:val="002E3180"/>
    <w:rsid w:val="002E3843"/>
    <w:rsid w:val="002E4C93"/>
    <w:rsid w:val="002E4C95"/>
    <w:rsid w:val="002E75A9"/>
    <w:rsid w:val="002E789C"/>
    <w:rsid w:val="002F12D7"/>
    <w:rsid w:val="002F428B"/>
    <w:rsid w:val="002F4305"/>
    <w:rsid w:val="002F6488"/>
    <w:rsid w:val="00300EB5"/>
    <w:rsid w:val="0030605E"/>
    <w:rsid w:val="003112EA"/>
    <w:rsid w:val="00311407"/>
    <w:rsid w:val="00313939"/>
    <w:rsid w:val="00320839"/>
    <w:rsid w:val="00320B58"/>
    <w:rsid w:val="00320E90"/>
    <w:rsid w:val="0032125A"/>
    <w:rsid w:val="003213F9"/>
    <w:rsid w:val="00323538"/>
    <w:rsid w:val="00323DBF"/>
    <w:rsid w:val="00330590"/>
    <w:rsid w:val="003309A8"/>
    <w:rsid w:val="00332B12"/>
    <w:rsid w:val="00335D18"/>
    <w:rsid w:val="0034315A"/>
    <w:rsid w:val="003516A2"/>
    <w:rsid w:val="00351B07"/>
    <w:rsid w:val="00352CF2"/>
    <w:rsid w:val="00355F7B"/>
    <w:rsid w:val="00361164"/>
    <w:rsid w:val="00364841"/>
    <w:rsid w:val="00366048"/>
    <w:rsid w:val="0036755C"/>
    <w:rsid w:val="00367C0E"/>
    <w:rsid w:val="00367EB5"/>
    <w:rsid w:val="00371B29"/>
    <w:rsid w:val="0037591E"/>
    <w:rsid w:val="0037656B"/>
    <w:rsid w:val="00377671"/>
    <w:rsid w:val="003804F8"/>
    <w:rsid w:val="003828BC"/>
    <w:rsid w:val="00384E77"/>
    <w:rsid w:val="00391769"/>
    <w:rsid w:val="003953E1"/>
    <w:rsid w:val="003956B3"/>
    <w:rsid w:val="003A68BE"/>
    <w:rsid w:val="003B0E4B"/>
    <w:rsid w:val="003B1805"/>
    <w:rsid w:val="003B1CAC"/>
    <w:rsid w:val="003B3C9D"/>
    <w:rsid w:val="003B5D6C"/>
    <w:rsid w:val="003B61AB"/>
    <w:rsid w:val="003B78E0"/>
    <w:rsid w:val="003C3B51"/>
    <w:rsid w:val="003C4969"/>
    <w:rsid w:val="003C4F78"/>
    <w:rsid w:val="003D04D5"/>
    <w:rsid w:val="003D0E07"/>
    <w:rsid w:val="003D0F32"/>
    <w:rsid w:val="003D5384"/>
    <w:rsid w:val="003D68B2"/>
    <w:rsid w:val="003E41D5"/>
    <w:rsid w:val="003E46BA"/>
    <w:rsid w:val="003E650E"/>
    <w:rsid w:val="003E6B6F"/>
    <w:rsid w:val="003E7D22"/>
    <w:rsid w:val="003F34C9"/>
    <w:rsid w:val="003F6D03"/>
    <w:rsid w:val="003F74C1"/>
    <w:rsid w:val="00404F38"/>
    <w:rsid w:val="00405B1A"/>
    <w:rsid w:val="00407D6F"/>
    <w:rsid w:val="00410C76"/>
    <w:rsid w:val="00411907"/>
    <w:rsid w:val="00413CA8"/>
    <w:rsid w:val="00417EE3"/>
    <w:rsid w:val="004207EB"/>
    <w:rsid w:val="00425735"/>
    <w:rsid w:val="00432D5E"/>
    <w:rsid w:val="00435490"/>
    <w:rsid w:val="00437276"/>
    <w:rsid w:val="0043785A"/>
    <w:rsid w:val="00443A78"/>
    <w:rsid w:val="00445A1C"/>
    <w:rsid w:val="00445B1A"/>
    <w:rsid w:val="004470BA"/>
    <w:rsid w:val="00450BA3"/>
    <w:rsid w:val="00453172"/>
    <w:rsid w:val="00455EE4"/>
    <w:rsid w:val="0045601E"/>
    <w:rsid w:val="00456B54"/>
    <w:rsid w:val="004604A5"/>
    <w:rsid w:val="00464643"/>
    <w:rsid w:val="00471DA7"/>
    <w:rsid w:val="004728DB"/>
    <w:rsid w:val="004731E9"/>
    <w:rsid w:val="00474E1A"/>
    <w:rsid w:val="00475205"/>
    <w:rsid w:val="00475949"/>
    <w:rsid w:val="0047762F"/>
    <w:rsid w:val="0048192B"/>
    <w:rsid w:val="004826C2"/>
    <w:rsid w:val="004836B7"/>
    <w:rsid w:val="00486080"/>
    <w:rsid w:val="00486793"/>
    <w:rsid w:val="00487C4D"/>
    <w:rsid w:val="00490E08"/>
    <w:rsid w:val="00490FA7"/>
    <w:rsid w:val="004914E0"/>
    <w:rsid w:val="004945DA"/>
    <w:rsid w:val="00494FFB"/>
    <w:rsid w:val="0049766E"/>
    <w:rsid w:val="004A0F31"/>
    <w:rsid w:val="004A18B7"/>
    <w:rsid w:val="004A2037"/>
    <w:rsid w:val="004A3C31"/>
    <w:rsid w:val="004A3F7B"/>
    <w:rsid w:val="004A4B05"/>
    <w:rsid w:val="004B1CD6"/>
    <w:rsid w:val="004B43C8"/>
    <w:rsid w:val="004B471A"/>
    <w:rsid w:val="004B476D"/>
    <w:rsid w:val="004C063C"/>
    <w:rsid w:val="004C17FC"/>
    <w:rsid w:val="004C2CE7"/>
    <w:rsid w:val="004C4256"/>
    <w:rsid w:val="004D0D4C"/>
    <w:rsid w:val="004D22BE"/>
    <w:rsid w:val="004D5072"/>
    <w:rsid w:val="004E3DD6"/>
    <w:rsid w:val="004E4F73"/>
    <w:rsid w:val="004E5130"/>
    <w:rsid w:val="004E6BDA"/>
    <w:rsid w:val="004E7AE6"/>
    <w:rsid w:val="004F4F98"/>
    <w:rsid w:val="004F69F6"/>
    <w:rsid w:val="004F79AC"/>
    <w:rsid w:val="005017CF"/>
    <w:rsid w:val="005040A0"/>
    <w:rsid w:val="00505F4F"/>
    <w:rsid w:val="00510E04"/>
    <w:rsid w:val="00510F27"/>
    <w:rsid w:val="005158FB"/>
    <w:rsid w:val="005207D8"/>
    <w:rsid w:val="0052351D"/>
    <w:rsid w:val="00523AB6"/>
    <w:rsid w:val="00530E3D"/>
    <w:rsid w:val="0053464E"/>
    <w:rsid w:val="00537765"/>
    <w:rsid w:val="00545C68"/>
    <w:rsid w:val="00547A6E"/>
    <w:rsid w:val="0055138F"/>
    <w:rsid w:val="005578C3"/>
    <w:rsid w:val="00562917"/>
    <w:rsid w:val="00571405"/>
    <w:rsid w:val="00572C65"/>
    <w:rsid w:val="005759D0"/>
    <w:rsid w:val="005831C9"/>
    <w:rsid w:val="005841EE"/>
    <w:rsid w:val="00586228"/>
    <w:rsid w:val="005A18E4"/>
    <w:rsid w:val="005A1D97"/>
    <w:rsid w:val="005A5A86"/>
    <w:rsid w:val="005A6532"/>
    <w:rsid w:val="005A7AAF"/>
    <w:rsid w:val="005B1709"/>
    <w:rsid w:val="005B1EC0"/>
    <w:rsid w:val="005B251A"/>
    <w:rsid w:val="005B51FD"/>
    <w:rsid w:val="005B554A"/>
    <w:rsid w:val="005B596E"/>
    <w:rsid w:val="005B6AF4"/>
    <w:rsid w:val="005B77F5"/>
    <w:rsid w:val="005B7A73"/>
    <w:rsid w:val="005C04CB"/>
    <w:rsid w:val="005C30B7"/>
    <w:rsid w:val="005C3340"/>
    <w:rsid w:val="005D16AD"/>
    <w:rsid w:val="005D2286"/>
    <w:rsid w:val="005D651B"/>
    <w:rsid w:val="005D72E1"/>
    <w:rsid w:val="005E06A5"/>
    <w:rsid w:val="005E0F63"/>
    <w:rsid w:val="005E33DF"/>
    <w:rsid w:val="005E62D3"/>
    <w:rsid w:val="005E6E16"/>
    <w:rsid w:val="005E7787"/>
    <w:rsid w:val="005E7B35"/>
    <w:rsid w:val="005F1453"/>
    <w:rsid w:val="005F400E"/>
    <w:rsid w:val="005F7342"/>
    <w:rsid w:val="0060100A"/>
    <w:rsid w:val="006030F0"/>
    <w:rsid w:val="00603A08"/>
    <w:rsid w:val="006061CA"/>
    <w:rsid w:val="00607AFE"/>
    <w:rsid w:val="00610A3C"/>
    <w:rsid w:val="00610C98"/>
    <w:rsid w:val="00611A0C"/>
    <w:rsid w:val="00615192"/>
    <w:rsid w:val="0061734C"/>
    <w:rsid w:val="0062058F"/>
    <w:rsid w:val="00620738"/>
    <w:rsid w:val="00621E53"/>
    <w:rsid w:val="00624DF5"/>
    <w:rsid w:val="00627F48"/>
    <w:rsid w:val="00630C23"/>
    <w:rsid w:val="00631E36"/>
    <w:rsid w:val="00635161"/>
    <w:rsid w:val="006371BE"/>
    <w:rsid w:val="00640016"/>
    <w:rsid w:val="00641EE3"/>
    <w:rsid w:val="00642F5D"/>
    <w:rsid w:val="006443A5"/>
    <w:rsid w:val="006451F9"/>
    <w:rsid w:val="006460AB"/>
    <w:rsid w:val="0064698B"/>
    <w:rsid w:val="0065115E"/>
    <w:rsid w:val="00652105"/>
    <w:rsid w:val="00654BC8"/>
    <w:rsid w:val="00655CED"/>
    <w:rsid w:val="0065699B"/>
    <w:rsid w:val="006572D4"/>
    <w:rsid w:val="006620A8"/>
    <w:rsid w:val="00663FCF"/>
    <w:rsid w:val="006652A2"/>
    <w:rsid w:val="00665705"/>
    <w:rsid w:val="006663C8"/>
    <w:rsid w:val="006728E5"/>
    <w:rsid w:val="00672F19"/>
    <w:rsid w:val="00672F1F"/>
    <w:rsid w:val="006743C5"/>
    <w:rsid w:val="00675B8B"/>
    <w:rsid w:val="00675C3A"/>
    <w:rsid w:val="006766C5"/>
    <w:rsid w:val="00676E7A"/>
    <w:rsid w:val="00677743"/>
    <w:rsid w:val="006803EA"/>
    <w:rsid w:val="006853EF"/>
    <w:rsid w:val="00685501"/>
    <w:rsid w:val="0068703F"/>
    <w:rsid w:val="00687149"/>
    <w:rsid w:val="00687975"/>
    <w:rsid w:val="00687D70"/>
    <w:rsid w:val="00690206"/>
    <w:rsid w:val="006937FF"/>
    <w:rsid w:val="0069542F"/>
    <w:rsid w:val="006A0570"/>
    <w:rsid w:val="006A48A7"/>
    <w:rsid w:val="006A5BDA"/>
    <w:rsid w:val="006B1587"/>
    <w:rsid w:val="006B3A79"/>
    <w:rsid w:val="006B4600"/>
    <w:rsid w:val="006B4BA1"/>
    <w:rsid w:val="006B5EBE"/>
    <w:rsid w:val="006C1E85"/>
    <w:rsid w:val="006C5956"/>
    <w:rsid w:val="006C5CF5"/>
    <w:rsid w:val="006D60FC"/>
    <w:rsid w:val="006D787F"/>
    <w:rsid w:val="006E0A1C"/>
    <w:rsid w:val="006E4466"/>
    <w:rsid w:val="006E62EE"/>
    <w:rsid w:val="006F0382"/>
    <w:rsid w:val="006F4A82"/>
    <w:rsid w:val="006F6241"/>
    <w:rsid w:val="00701173"/>
    <w:rsid w:val="007016BE"/>
    <w:rsid w:val="00701BFF"/>
    <w:rsid w:val="00702333"/>
    <w:rsid w:val="0070373B"/>
    <w:rsid w:val="00704827"/>
    <w:rsid w:val="00716D7C"/>
    <w:rsid w:val="007223FB"/>
    <w:rsid w:val="00724FA4"/>
    <w:rsid w:val="00730638"/>
    <w:rsid w:val="00730800"/>
    <w:rsid w:val="00746D92"/>
    <w:rsid w:val="007575A8"/>
    <w:rsid w:val="007602AA"/>
    <w:rsid w:val="00762A3D"/>
    <w:rsid w:val="00762B9B"/>
    <w:rsid w:val="00763F24"/>
    <w:rsid w:val="007652EF"/>
    <w:rsid w:val="00766D85"/>
    <w:rsid w:val="0077026F"/>
    <w:rsid w:val="00772BDC"/>
    <w:rsid w:val="00773DF4"/>
    <w:rsid w:val="00780411"/>
    <w:rsid w:val="00780792"/>
    <w:rsid w:val="00790B57"/>
    <w:rsid w:val="00792055"/>
    <w:rsid w:val="0079293D"/>
    <w:rsid w:val="0079491D"/>
    <w:rsid w:val="007972B5"/>
    <w:rsid w:val="007A19C9"/>
    <w:rsid w:val="007A44B4"/>
    <w:rsid w:val="007A7D3D"/>
    <w:rsid w:val="007B1103"/>
    <w:rsid w:val="007B225D"/>
    <w:rsid w:val="007B26A6"/>
    <w:rsid w:val="007B3450"/>
    <w:rsid w:val="007B69C0"/>
    <w:rsid w:val="007B6C4D"/>
    <w:rsid w:val="007B6C72"/>
    <w:rsid w:val="007C11DD"/>
    <w:rsid w:val="007C174F"/>
    <w:rsid w:val="007C1C64"/>
    <w:rsid w:val="007C27DF"/>
    <w:rsid w:val="007C380A"/>
    <w:rsid w:val="007C4EAD"/>
    <w:rsid w:val="007D03EA"/>
    <w:rsid w:val="007D0741"/>
    <w:rsid w:val="007D101B"/>
    <w:rsid w:val="007D6E2A"/>
    <w:rsid w:val="007E45BE"/>
    <w:rsid w:val="007E4754"/>
    <w:rsid w:val="007E48BC"/>
    <w:rsid w:val="007E79F7"/>
    <w:rsid w:val="007F3630"/>
    <w:rsid w:val="007F4F94"/>
    <w:rsid w:val="007F512C"/>
    <w:rsid w:val="00807559"/>
    <w:rsid w:val="008079D0"/>
    <w:rsid w:val="008151B2"/>
    <w:rsid w:val="0081743E"/>
    <w:rsid w:val="008221AF"/>
    <w:rsid w:val="00822E47"/>
    <w:rsid w:val="00827A34"/>
    <w:rsid w:val="00833474"/>
    <w:rsid w:val="00837E9F"/>
    <w:rsid w:val="008415B0"/>
    <w:rsid w:val="00842345"/>
    <w:rsid w:val="008431BC"/>
    <w:rsid w:val="008450BC"/>
    <w:rsid w:val="00845B61"/>
    <w:rsid w:val="008463BC"/>
    <w:rsid w:val="0085334B"/>
    <w:rsid w:val="00860E48"/>
    <w:rsid w:val="00864A4E"/>
    <w:rsid w:val="00864A77"/>
    <w:rsid w:val="00870214"/>
    <w:rsid w:val="00870610"/>
    <w:rsid w:val="00874871"/>
    <w:rsid w:val="008754B5"/>
    <w:rsid w:val="008756AB"/>
    <w:rsid w:val="008772E1"/>
    <w:rsid w:val="008822FC"/>
    <w:rsid w:val="00882AF3"/>
    <w:rsid w:val="00883F70"/>
    <w:rsid w:val="00885C51"/>
    <w:rsid w:val="00885D65"/>
    <w:rsid w:val="00885EB0"/>
    <w:rsid w:val="008900E0"/>
    <w:rsid w:val="00891F4B"/>
    <w:rsid w:val="0089264A"/>
    <w:rsid w:val="00893A8B"/>
    <w:rsid w:val="00896B85"/>
    <w:rsid w:val="008A22BE"/>
    <w:rsid w:val="008A3C7B"/>
    <w:rsid w:val="008A4D0F"/>
    <w:rsid w:val="008A5885"/>
    <w:rsid w:val="008A6736"/>
    <w:rsid w:val="008A763B"/>
    <w:rsid w:val="008B7251"/>
    <w:rsid w:val="008B740C"/>
    <w:rsid w:val="008B78F9"/>
    <w:rsid w:val="008C0239"/>
    <w:rsid w:val="008C1B36"/>
    <w:rsid w:val="008C4A35"/>
    <w:rsid w:val="008C6ED9"/>
    <w:rsid w:val="008C77CB"/>
    <w:rsid w:val="008D06C6"/>
    <w:rsid w:val="008D0A3D"/>
    <w:rsid w:val="008D694A"/>
    <w:rsid w:val="008E15E1"/>
    <w:rsid w:val="008E349B"/>
    <w:rsid w:val="008E4059"/>
    <w:rsid w:val="008E4CD8"/>
    <w:rsid w:val="008E6250"/>
    <w:rsid w:val="008F1AB2"/>
    <w:rsid w:val="008F253F"/>
    <w:rsid w:val="00902AF6"/>
    <w:rsid w:val="009113AA"/>
    <w:rsid w:val="00912C8B"/>
    <w:rsid w:val="009140BE"/>
    <w:rsid w:val="009159C7"/>
    <w:rsid w:val="00920249"/>
    <w:rsid w:val="009222D0"/>
    <w:rsid w:val="00924137"/>
    <w:rsid w:val="00924C80"/>
    <w:rsid w:val="0092508E"/>
    <w:rsid w:val="0092665B"/>
    <w:rsid w:val="00932F14"/>
    <w:rsid w:val="00934A30"/>
    <w:rsid w:val="00934A98"/>
    <w:rsid w:val="00940375"/>
    <w:rsid w:val="00940638"/>
    <w:rsid w:val="0094247F"/>
    <w:rsid w:val="00942D60"/>
    <w:rsid w:val="009443F8"/>
    <w:rsid w:val="009552E9"/>
    <w:rsid w:val="0095600C"/>
    <w:rsid w:val="0095702B"/>
    <w:rsid w:val="0096523B"/>
    <w:rsid w:val="00966EE3"/>
    <w:rsid w:val="00967E28"/>
    <w:rsid w:val="00970FAB"/>
    <w:rsid w:val="00972D06"/>
    <w:rsid w:val="00973BF9"/>
    <w:rsid w:val="00974F9D"/>
    <w:rsid w:val="00982BCF"/>
    <w:rsid w:val="009832F3"/>
    <w:rsid w:val="00984909"/>
    <w:rsid w:val="0099454C"/>
    <w:rsid w:val="00995E9F"/>
    <w:rsid w:val="009972F0"/>
    <w:rsid w:val="009A1174"/>
    <w:rsid w:val="009A391C"/>
    <w:rsid w:val="009A40E9"/>
    <w:rsid w:val="009A50F2"/>
    <w:rsid w:val="009A638E"/>
    <w:rsid w:val="009A7048"/>
    <w:rsid w:val="009B08DE"/>
    <w:rsid w:val="009B2E45"/>
    <w:rsid w:val="009B7D05"/>
    <w:rsid w:val="009C7F65"/>
    <w:rsid w:val="009D07E0"/>
    <w:rsid w:val="009D184F"/>
    <w:rsid w:val="009D2BBD"/>
    <w:rsid w:val="009D4A13"/>
    <w:rsid w:val="009D7286"/>
    <w:rsid w:val="009E0A61"/>
    <w:rsid w:val="009E3010"/>
    <w:rsid w:val="009E3CC5"/>
    <w:rsid w:val="009E4A3C"/>
    <w:rsid w:val="009E4B52"/>
    <w:rsid w:val="009F007E"/>
    <w:rsid w:val="009F24E4"/>
    <w:rsid w:val="009F5767"/>
    <w:rsid w:val="009F7065"/>
    <w:rsid w:val="009F71F4"/>
    <w:rsid w:val="00A00ACF"/>
    <w:rsid w:val="00A0484A"/>
    <w:rsid w:val="00A06984"/>
    <w:rsid w:val="00A130D3"/>
    <w:rsid w:val="00A13276"/>
    <w:rsid w:val="00A2193C"/>
    <w:rsid w:val="00A21B99"/>
    <w:rsid w:val="00A268D6"/>
    <w:rsid w:val="00A27871"/>
    <w:rsid w:val="00A335B4"/>
    <w:rsid w:val="00A35B12"/>
    <w:rsid w:val="00A3682E"/>
    <w:rsid w:val="00A4175D"/>
    <w:rsid w:val="00A4280E"/>
    <w:rsid w:val="00A44F9B"/>
    <w:rsid w:val="00A47285"/>
    <w:rsid w:val="00A47AEA"/>
    <w:rsid w:val="00A56DC7"/>
    <w:rsid w:val="00A574A6"/>
    <w:rsid w:val="00A57D83"/>
    <w:rsid w:val="00A60E6F"/>
    <w:rsid w:val="00A63E03"/>
    <w:rsid w:val="00A66E01"/>
    <w:rsid w:val="00A67223"/>
    <w:rsid w:val="00A73370"/>
    <w:rsid w:val="00A735ED"/>
    <w:rsid w:val="00A74DD8"/>
    <w:rsid w:val="00A74FD1"/>
    <w:rsid w:val="00A7540B"/>
    <w:rsid w:val="00A76CF2"/>
    <w:rsid w:val="00A77BFA"/>
    <w:rsid w:val="00A77EB7"/>
    <w:rsid w:val="00A84A49"/>
    <w:rsid w:val="00A84A58"/>
    <w:rsid w:val="00A9129D"/>
    <w:rsid w:val="00A95D35"/>
    <w:rsid w:val="00AA19E6"/>
    <w:rsid w:val="00AA36C2"/>
    <w:rsid w:val="00AA664C"/>
    <w:rsid w:val="00AB33E1"/>
    <w:rsid w:val="00AB71BA"/>
    <w:rsid w:val="00AB7547"/>
    <w:rsid w:val="00AC149A"/>
    <w:rsid w:val="00AC394D"/>
    <w:rsid w:val="00AC590B"/>
    <w:rsid w:val="00AC62C4"/>
    <w:rsid w:val="00AE6712"/>
    <w:rsid w:val="00AF06FC"/>
    <w:rsid w:val="00AF0D6A"/>
    <w:rsid w:val="00AF3391"/>
    <w:rsid w:val="00AF387F"/>
    <w:rsid w:val="00B00E7F"/>
    <w:rsid w:val="00B038B5"/>
    <w:rsid w:val="00B12F1E"/>
    <w:rsid w:val="00B15F38"/>
    <w:rsid w:val="00B173DA"/>
    <w:rsid w:val="00B21DCC"/>
    <w:rsid w:val="00B22FDB"/>
    <w:rsid w:val="00B24A00"/>
    <w:rsid w:val="00B25F37"/>
    <w:rsid w:val="00B27BEA"/>
    <w:rsid w:val="00B37BF0"/>
    <w:rsid w:val="00B41365"/>
    <w:rsid w:val="00B42BC7"/>
    <w:rsid w:val="00B43A19"/>
    <w:rsid w:val="00B44422"/>
    <w:rsid w:val="00B45139"/>
    <w:rsid w:val="00B46EA0"/>
    <w:rsid w:val="00B52699"/>
    <w:rsid w:val="00B52AC9"/>
    <w:rsid w:val="00B617C0"/>
    <w:rsid w:val="00B70158"/>
    <w:rsid w:val="00B70B95"/>
    <w:rsid w:val="00B731D3"/>
    <w:rsid w:val="00B73928"/>
    <w:rsid w:val="00B73FF0"/>
    <w:rsid w:val="00B74352"/>
    <w:rsid w:val="00B7477A"/>
    <w:rsid w:val="00B839A3"/>
    <w:rsid w:val="00B85F5D"/>
    <w:rsid w:val="00B86A73"/>
    <w:rsid w:val="00B902BD"/>
    <w:rsid w:val="00B96A98"/>
    <w:rsid w:val="00B97C36"/>
    <w:rsid w:val="00BA1A6F"/>
    <w:rsid w:val="00BA24E2"/>
    <w:rsid w:val="00BA62E1"/>
    <w:rsid w:val="00BC02F1"/>
    <w:rsid w:val="00BC22F4"/>
    <w:rsid w:val="00BC3476"/>
    <w:rsid w:val="00BC486A"/>
    <w:rsid w:val="00BD2A39"/>
    <w:rsid w:val="00BD2A3A"/>
    <w:rsid w:val="00BD2E80"/>
    <w:rsid w:val="00BE07BA"/>
    <w:rsid w:val="00BE11B8"/>
    <w:rsid w:val="00BF3652"/>
    <w:rsid w:val="00BF4EF3"/>
    <w:rsid w:val="00BF7FF0"/>
    <w:rsid w:val="00C00171"/>
    <w:rsid w:val="00C00322"/>
    <w:rsid w:val="00C0123D"/>
    <w:rsid w:val="00C01F94"/>
    <w:rsid w:val="00C03897"/>
    <w:rsid w:val="00C057F4"/>
    <w:rsid w:val="00C07DAD"/>
    <w:rsid w:val="00C1147B"/>
    <w:rsid w:val="00C11A3D"/>
    <w:rsid w:val="00C12502"/>
    <w:rsid w:val="00C215F1"/>
    <w:rsid w:val="00C235EE"/>
    <w:rsid w:val="00C25937"/>
    <w:rsid w:val="00C3311B"/>
    <w:rsid w:val="00C3444D"/>
    <w:rsid w:val="00C36578"/>
    <w:rsid w:val="00C37382"/>
    <w:rsid w:val="00C40A8A"/>
    <w:rsid w:val="00C40AA5"/>
    <w:rsid w:val="00C46F70"/>
    <w:rsid w:val="00C476D0"/>
    <w:rsid w:val="00C52DD6"/>
    <w:rsid w:val="00C562DE"/>
    <w:rsid w:val="00C61AC1"/>
    <w:rsid w:val="00C63A1C"/>
    <w:rsid w:val="00C6508F"/>
    <w:rsid w:val="00C70414"/>
    <w:rsid w:val="00C724FB"/>
    <w:rsid w:val="00C809D8"/>
    <w:rsid w:val="00C82FD8"/>
    <w:rsid w:val="00C831CA"/>
    <w:rsid w:val="00C835A5"/>
    <w:rsid w:val="00C836E3"/>
    <w:rsid w:val="00C83F20"/>
    <w:rsid w:val="00C859D3"/>
    <w:rsid w:val="00C86577"/>
    <w:rsid w:val="00C87626"/>
    <w:rsid w:val="00C92C51"/>
    <w:rsid w:val="00C92E07"/>
    <w:rsid w:val="00C934B8"/>
    <w:rsid w:val="00C96868"/>
    <w:rsid w:val="00C974A9"/>
    <w:rsid w:val="00CA0416"/>
    <w:rsid w:val="00CA7ECC"/>
    <w:rsid w:val="00CB6CC7"/>
    <w:rsid w:val="00CB77A1"/>
    <w:rsid w:val="00CC2FB4"/>
    <w:rsid w:val="00CC560B"/>
    <w:rsid w:val="00CC75E2"/>
    <w:rsid w:val="00CC7F86"/>
    <w:rsid w:val="00CD46EB"/>
    <w:rsid w:val="00CD58FD"/>
    <w:rsid w:val="00CD6F45"/>
    <w:rsid w:val="00CD7EBF"/>
    <w:rsid w:val="00CE1AD7"/>
    <w:rsid w:val="00CE4204"/>
    <w:rsid w:val="00CF0141"/>
    <w:rsid w:val="00CF11C4"/>
    <w:rsid w:val="00CF212E"/>
    <w:rsid w:val="00CF6865"/>
    <w:rsid w:val="00CF6EC9"/>
    <w:rsid w:val="00CF7D11"/>
    <w:rsid w:val="00D021A6"/>
    <w:rsid w:val="00D056F1"/>
    <w:rsid w:val="00D1077A"/>
    <w:rsid w:val="00D11171"/>
    <w:rsid w:val="00D13263"/>
    <w:rsid w:val="00D16AB1"/>
    <w:rsid w:val="00D20F95"/>
    <w:rsid w:val="00D22F3C"/>
    <w:rsid w:val="00D23139"/>
    <w:rsid w:val="00D23CDC"/>
    <w:rsid w:val="00D23DB6"/>
    <w:rsid w:val="00D252AF"/>
    <w:rsid w:val="00D257CE"/>
    <w:rsid w:val="00D40890"/>
    <w:rsid w:val="00D421BC"/>
    <w:rsid w:val="00D43FE6"/>
    <w:rsid w:val="00D51A95"/>
    <w:rsid w:val="00D55C1C"/>
    <w:rsid w:val="00D60568"/>
    <w:rsid w:val="00D6164A"/>
    <w:rsid w:val="00D63A72"/>
    <w:rsid w:val="00D66616"/>
    <w:rsid w:val="00D70C7A"/>
    <w:rsid w:val="00D73EE9"/>
    <w:rsid w:val="00D76198"/>
    <w:rsid w:val="00D76208"/>
    <w:rsid w:val="00D77AFB"/>
    <w:rsid w:val="00D8178A"/>
    <w:rsid w:val="00D81D38"/>
    <w:rsid w:val="00D82682"/>
    <w:rsid w:val="00D82E3F"/>
    <w:rsid w:val="00D91361"/>
    <w:rsid w:val="00D9169D"/>
    <w:rsid w:val="00D9474F"/>
    <w:rsid w:val="00D9786C"/>
    <w:rsid w:val="00DA10A8"/>
    <w:rsid w:val="00DA4DA0"/>
    <w:rsid w:val="00DA74DC"/>
    <w:rsid w:val="00DB0B54"/>
    <w:rsid w:val="00DB1E08"/>
    <w:rsid w:val="00DB2973"/>
    <w:rsid w:val="00DB4BC3"/>
    <w:rsid w:val="00DB770E"/>
    <w:rsid w:val="00DB7757"/>
    <w:rsid w:val="00DC1B56"/>
    <w:rsid w:val="00DC2129"/>
    <w:rsid w:val="00DC3EE0"/>
    <w:rsid w:val="00DC6570"/>
    <w:rsid w:val="00DD2032"/>
    <w:rsid w:val="00DD2888"/>
    <w:rsid w:val="00DD3926"/>
    <w:rsid w:val="00DD3C5E"/>
    <w:rsid w:val="00DD62F3"/>
    <w:rsid w:val="00DE0D45"/>
    <w:rsid w:val="00DF25C3"/>
    <w:rsid w:val="00DF636B"/>
    <w:rsid w:val="00E02288"/>
    <w:rsid w:val="00E02D78"/>
    <w:rsid w:val="00E04062"/>
    <w:rsid w:val="00E04116"/>
    <w:rsid w:val="00E063C6"/>
    <w:rsid w:val="00E066BA"/>
    <w:rsid w:val="00E06A4E"/>
    <w:rsid w:val="00E2003B"/>
    <w:rsid w:val="00E203C2"/>
    <w:rsid w:val="00E2057F"/>
    <w:rsid w:val="00E279D8"/>
    <w:rsid w:val="00E319B1"/>
    <w:rsid w:val="00E333D2"/>
    <w:rsid w:val="00E41B7F"/>
    <w:rsid w:val="00E43B15"/>
    <w:rsid w:val="00E44E0D"/>
    <w:rsid w:val="00E454CA"/>
    <w:rsid w:val="00E46083"/>
    <w:rsid w:val="00E46498"/>
    <w:rsid w:val="00E51B51"/>
    <w:rsid w:val="00E527A3"/>
    <w:rsid w:val="00E5492F"/>
    <w:rsid w:val="00E62DEF"/>
    <w:rsid w:val="00E647AE"/>
    <w:rsid w:val="00E67012"/>
    <w:rsid w:val="00E70125"/>
    <w:rsid w:val="00E70A86"/>
    <w:rsid w:val="00E7171C"/>
    <w:rsid w:val="00E73301"/>
    <w:rsid w:val="00E75D51"/>
    <w:rsid w:val="00E777EC"/>
    <w:rsid w:val="00E80FCD"/>
    <w:rsid w:val="00E82077"/>
    <w:rsid w:val="00E834FC"/>
    <w:rsid w:val="00E91509"/>
    <w:rsid w:val="00E97D6E"/>
    <w:rsid w:val="00EA0871"/>
    <w:rsid w:val="00EA093C"/>
    <w:rsid w:val="00EA127A"/>
    <w:rsid w:val="00EA2AC7"/>
    <w:rsid w:val="00EA31BF"/>
    <w:rsid w:val="00EA5AE6"/>
    <w:rsid w:val="00EA7F2F"/>
    <w:rsid w:val="00EB2A9C"/>
    <w:rsid w:val="00EB5BB9"/>
    <w:rsid w:val="00EC00DE"/>
    <w:rsid w:val="00EC010F"/>
    <w:rsid w:val="00EC039A"/>
    <w:rsid w:val="00EC30E1"/>
    <w:rsid w:val="00EC389F"/>
    <w:rsid w:val="00EC788C"/>
    <w:rsid w:val="00ED172A"/>
    <w:rsid w:val="00ED4B15"/>
    <w:rsid w:val="00ED4C57"/>
    <w:rsid w:val="00ED4FDE"/>
    <w:rsid w:val="00ED5356"/>
    <w:rsid w:val="00ED5D43"/>
    <w:rsid w:val="00EE169C"/>
    <w:rsid w:val="00EE3AD9"/>
    <w:rsid w:val="00EE7736"/>
    <w:rsid w:val="00EF497C"/>
    <w:rsid w:val="00EF716A"/>
    <w:rsid w:val="00F06B9B"/>
    <w:rsid w:val="00F07638"/>
    <w:rsid w:val="00F07BBF"/>
    <w:rsid w:val="00F11508"/>
    <w:rsid w:val="00F11A57"/>
    <w:rsid w:val="00F11F6C"/>
    <w:rsid w:val="00F13FEB"/>
    <w:rsid w:val="00F14A9C"/>
    <w:rsid w:val="00F14BEC"/>
    <w:rsid w:val="00F1582A"/>
    <w:rsid w:val="00F21E9A"/>
    <w:rsid w:val="00F225C5"/>
    <w:rsid w:val="00F2587A"/>
    <w:rsid w:val="00F276E6"/>
    <w:rsid w:val="00F30A60"/>
    <w:rsid w:val="00F32966"/>
    <w:rsid w:val="00F32B4E"/>
    <w:rsid w:val="00F360A4"/>
    <w:rsid w:val="00F36EC1"/>
    <w:rsid w:val="00F3715D"/>
    <w:rsid w:val="00F37D42"/>
    <w:rsid w:val="00F420C8"/>
    <w:rsid w:val="00F42A4C"/>
    <w:rsid w:val="00F433AB"/>
    <w:rsid w:val="00F43C21"/>
    <w:rsid w:val="00F4658F"/>
    <w:rsid w:val="00F470DB"/>
    <w:rsid w:val="00F604DE"/>
    <w:rsid w:val="00F62C22"/>
    <w:rsid w:val="00F645AC"/>
    <w:rsid w:val="00F64C00"/>
    <w:rsid w:val="00F65ABF"/>
    <w:rsid w:val="00F66A55"/>
    <w:rsid w:val="00F70EB3"/>
    <w:rsid w:val="00F74762"/>
    <w:rsid w:val="00F74FE2"/>
    <w:rsid w:val="00F75A46"/>
    <w:rsid w:val="00F8090F"/>
    <w:rsid w:val="00F8206D"/>
    <w:rsid w:val="00F93B31"/>
    <w:rsid w:val="00F95532"/>
    <w:rsid w:val="00F95E4B"/>
    <w:rsid w:val="00F96B83"/>
    <w:rsid w:val="00FA56A8"/>
    <w:rsid w:val="00FA76FC"/>
    <w:rsid w:val="00FB7512"/>
    <w:rsid w:val="00FC0E93"/>
    <w:rsid w:val="00FC1D15"/>
    <w:rsid w:val="00FC332A"/>
    <w:rsid w:val="00FC337B"/>
    <w:rsid w:val="00FD7547"/>
    <w:rsid w:val="00FE0F15"/>
    <w:rsid w:val="00FF5F5C"/>
    <w:rsid w:val="00FF6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3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footnote text" w:uiPriority="99"/>
    <w:lsdException w:name="caption" w:semiHidden="1" w:unhideWhenUsed="1"/>
    <w:lsdException w:name="endnote text" w:uiPriority="99"/>
    <w:lsdException w:name="Title" w:uiPriority="10"/>
    <w:lsdException w:name="Default Paragraph Font" w:uiPriority="1"/>
    <w:lsdException w:name="Subtitle" w:uiPriority="11"/>
    <w:lsdException w:name="Hyperlink" w:uiPriority="99"/>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90206"/>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2"/>
    <w:qFormat/>
    <w:rsid w:val="00BF365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rsid w:val="00BF365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6B3A79"/>
    <w:pPr>
      <w:keepNext/>
      <w:widowControl/>
      <w:spacing w:before="240" w:after="240"/>
      <w:outlineLvl w:val="2"/>
    </w:pPr>
    <w:rPr>
      <w:rFonts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BF365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BF365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BF3652"/>
    <w:rPr>
      <w:rFonts w:ascii="Arial" w:eastAsiaTheme="majorEastAsia" w:hAnsi="Arial" w:cstheme="majorBidi"/>
      <w:b/>
      <w:bCs/>
      <w:sz w:val="36"/>
      <w:szCs w:val="28"/>
      <w:lang w:eastAsia="en-US"/>
    </w:rPr>
  </w:style>
  <w:style w:type="character" w:customStyle="1" w:styleId="Heading2Char">
    <w:name w:val="Heading 2 Char"/>
    <w:aliases w:val="FSHeading 2 Char,Section heading Char"/>
    <w:basedOn w:val="DefaultParagraphFont"/>
    <w:link w:val="Heading2"/>
    <w:uiPriority w:val="2"/>
    <w:rsid w:val="00BF3652"/>
    <w:rPr>
      <w:rFonts w:ascii="Arial" w:eastAsiaTheme="majorEastAsia" w:hAnsi="Arial" w:cs="Arial"/>
      <w:b/>
      <w:bCs/>
      <w:sz w:val="28"/>
      <w:szCs w:val="22"/>
      <w:lang w:eastAsia="en-US"/>
    </w:rPr>
  </w:style>
  <w:style w:type="character" w:customStyle="1" w:styleId="Heading3Char">
    <w:name w:val="Heading 3 Char"/>
    <w:aliases w:val="FSHeading 3 Char,Subheading 1 Char"/>
    <w:basedOn w:val="DefaultParagraphFont"/>
    <w:link w:val="Heading3"/>
    <w:uiPriority w:val="2"/>
    <w:rsid w:val="006B3A79"/>
    <w:rPr>
      <w:rFonts w:ascii="Arial" w:hAnsi="Arial" w:cstheme="majorBidi"/>
      <w:b/>
      <w:bCs/>
      <w:sz w:val="22"/>
      <w:szCs w:val="24"/>
      <w:lang w:eastAsia="en-AU"/>
    </w:rPr>
  </w:style>
  <w:style w:type="character" w:customStyle="1" w:styleId="Heading4Char">
    <w:name w:val="Heading 4 Char"/>
    <w:aliases w:val="FSHeading 4 Char,Subheading 2 Char"/>
    <w:basedOn w:val="DefaultParagraphFont"/>
    <w:link w:val="Heading4"/>
    <w:uiPriority w:val="2"/>
    <w:rsid w:val="00BF3652"/>
    <w:rPr>
      <w:rFonts w:ascii="Arial" w:eastAsiaTheme="majorEastAsia" w:hAnsi="Arial" w:cstheme="majorBidi"/>
      <w:b/>
      <w:bCs/>
      <w:i/>
      <w:iCs/>
      <w:sz w:val="22"/>
      <w:szCs w:val="22"/>
      <w:lang w:eastAsia="en-US"/>
    </w:rPr>
  </w:style>
  <w:style w:type="character" w:customStyle="1" w:styleId="Heading5Char">
    <w:name w:val="Heading 5 Char"/>
    <w:aliases w:val="FSHeading 5 Char,Subheading 3 Char"/>
    <w:basedOn w:val="DefaultParagraphFont"/>
    <w:link w:val="Heading5"/>
    <w:uiPriority w:val="2"/>
    <w:rsid w:val="00BF3652"/>
    <w:rPr>
      <w:rFonts w:ascii="Arial" w:eastAsiaTheme="majorEastAsia" w:hAnsi="Arial" w:cstheme="majorBidi"/>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690206"/>
    <w:rPr>
      <w:rFonts w:cs="Tahoma"/>
      <w:bCs/>
      <w:sz w:val="32"/>
    </w:rPr>
  </w:style>
  <w:style w:type="paragraph" w:customStyle="1" w:styleId="FSDash">
    <w:name w:val="FS Dash"/>
    <w:basedOn w:val="Normal"/>
    <w:qFormat/>
    <w:rsid w:val="007602AA"/>
    <w:pPr>
      <w:ind w:left="1134" w:hanging="567"/>
    </w:pPr>
  </w:style>
  <w:style w:type="paragraph" w:styleId="TOC1">
    <w:name w:val="toc 1"/>
    <w:basedOn w:val="Normal"/>
    <w:next w:val="Normal"/>
    <w:autoRedefine/>
    <w:uiPriority w:val="39"/>
    <w:qFormat/>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qFormat/>
    <w:rsid w:val="00035FF3"/>
    <w:pPr>
      <w:ind w:left="220"/>
    </w:pPr>
    <w:rPr>
      <w:rFonts w:asciiTheme="minorHAnsi" w:hAnsiTheme="minorHAnsi" w:cstheme="minorHAnsi"/>
      <w:smallCaps/>
      <w:sz w:val="20"/>
      <w:szCs w:val="20"/>
    </w:rPr>
  </w:style>
  <w:style w:type="paragraph" w:styleId="Footer">
    <w:name w:val="footer"/>
    <w:basedOn w:val="Normal"/>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qFormat/>
    <w:pPr>
      <w:ind w:left="440"/>
    </w:pPr>
    <w:rPr>
      <w:rFonts w:asciiTheme="minorHAnsi" w:hAnsiTheme="minorHAnsi" w:cstheme="minorHAnsi"/>
      <w:i/>
      <w:iCs/>
      <w:sz w:val="20"/>
      <w:szCs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customStyle="1" w:styleId="142Tableheading2">
    <w:name w:val="1.4.2 Table heading2"/>
    <w:basedOn w:val="Normal"/>
    <w:pPr>
      <w:keepNext/>
      <w:jc w:val="center"/>
    </w:pPr>
    <w:rPr>
      <w:iCs/>
      <w:smallCaps/>
      <w:sz w:val="20"/>
      <w:szCs w:val="20"/>
    </w:rPr>
  </w:style>
  <w:style w:type="paragraph" w:customStyle="1" w:styleId="Box1">
    <w:name w:val="Box 1"/>
    <w:basedOn w:val="Normal"/>
    <w:pPr>
      <w:tabs>
        <w:tab w:val="num" w:pos="120"/>
      </w:tabs>
      <w:ind w:left="113" w:hanging="113"/>
    </w:pPr>
    <w:rPr>
      <w:sz w:val="16"/>
    </w:rPr>
  </w:style>
  <w:style w:type="paragraph" w:customStyle="1" w:styleId="Box2">
    <w:name w:val="Box 2"/>
    <w:basedOn w:val="Normal"/>
    <w:pPr>
      <w:tabs>
        <w:tab w:val="left" w:pos="4608"/>
        <w:tab w:val="left" w:pos="9180"/>
        <w:tab w:val="left" w:pos="9216"/>
      </w:tabs>
      <w:jc w:val="center"/>
    </w:pPr>
    <w:rPr>
      <w:b/>
      <w:bCs/>
      <w:i/>
      <w:iCs/>
      <w:color w:val="000000"/>
      <w:sz w:val="16"/>
    </w:rPr>
  </w:style>
  <w:style w:type="paragraph" w:customStyle="1" w:styleId="Box3">
    <w:name w:val="Box 3"/>
    <w:basedOn w:val="Normal"/>
    <w:pPr>
      <w:tabs>
        <w:tab w:val="left" w:pos="4608"/>
        <w:tab w:val="left" w:pos="9180"/>
        <w:tab w:val="left" w:pos="9216"/>
      </w:tabs>
      <w:jc w:val="center"/>
    </w:pPr>
    <w:rPr>
      <w:b/>
      <w:bCs/>
      <w:i/>
      <w:iCs/>
      <w:color w:val="000000"/>
      <w:sz w:val="16"/>
    </w:rPr>
  </w:style>
  <w:style w:type="paragraph" w:customStyle="1" w:styleId="142tableheading1">
    <w:name w:val="1.4.2 table heading1"/>
    <w:basedOn w:val="142Tableheading2"/>
    <w:rPr>
      <w:b/>
      <w:bCs/>
      <w:iCs w:val="0"/>
    </w:rPr>
  </w:style>
  <w:style w:type="paragraph" w:customStyle="1" w:styleId="142tabletext1">
    <w:name w:val="1.4.2 table text1"/>
    <w:basedOn w:val="Normal"/>
    <w:pPr>
      <w:ind w:left="142" w:hanging="142"/>
    </w:pPr>
    <w:rPr>
      <w:smallCaps/>
      <w:sz w:val="20"/>
      <w:szCs w:val="20"/>
    </w:rPr>
  </w:style>
  <w:style w:type="paragraph" w:customStyle="1" w:styleId="142tabletext2">
    <w:name w:val="1.4.2 table text2"/>
    <w:basedOn w:val="142tabletext1"/>
    <w:pPr>
      <w:jc w:val="right"/>
    </w:pPr>
  </w:style>
  <w:style w:type="paragraph" w:customStyle="1" w:styleId="Clause">
    <w:name w:val="Clause"/>
    <w:basedOn w:val="Normal"/>
    <w:next w:val="Normal"/>
    <w:pPr>
      <w:tabs>
        <w:tab w:val="left" w:pos="851"/>
      </w:tabs>
    </w:pPr>
    <w:rPr>
      <w:szCs w:val="20"/>
    </w:rPr>
  </w:style>
  <w:style w:type="paragraph" w:customStyle="1" w:styleId="Clauseheading">
    <w:name w:val="Clause heading"/>
    <w:basedOn w:val="Normal"/>
    <w:next w:val="Normal"/>
    <w:pPr>
      <w:tabs>
        <w:tab w:val="left" w:pos="851"/>
      </w:tabs>
    </w:pPr>
    <w:rPr>
      <w:b/>
      <w:szCs w:val="20"/>
    </w:rPr>
  </w:style>
  <w:style w:type="paragraph" w:customStyle="1" w:styleId="ClauseList">
    <w:name w:val="Clause List"/>
    <w:basedOn w:val="Clause"/>
    <w:next w:val="Normal"/>
  </w:style>
  <w:style w:type="paragraph" w:customStyle="1" w:styleId="Definition">
    <w:name w:val="Definition"/>
    <w:basedOn w:val="Normal"/>
    <w:next w:val="Normal"/>
    <w:pPr>
      <w:ind w:left="1701" w:hanging="851"/>
    </w:pPr>
    <w:rPr>
      <w:szCs w:val="20"/>
    </w:rPr>
  </w:style>
  <w:style w:type="paragraph" w:customStyle="1" w:styleId="DivisionHeading">
    <w:name w:val="Division Heading"/>
    <w:basedOn w:val="Normal"/>
    <w:next w:val="Normal"/>
    <w:pPr>
      <w:tabs>
        <w:tab w:val="left" w:pos="851"/>
      </w:tabs>
      <w:jc w:val="center"/>
    </w:pPr>
    <w:rPr>
      <w:b/>
      <w:sz w:val="28"/>
      <w:szCs w:val="20"/>
    </w:rPr>
  </w:style>
  <w:style w:type="paragraph" w:customStyle="1" w:styleId="EditorialNoteLine1">
    <w:name w:val="Editorial Note Line 1"/>
    <w:basedOn w:val="Normal"/>
    <w:next w:val="Normal"/>
    <w:pPr>
      <w:pBdr>
        <w:top w:val="single" w:sz="6" w:space="0" w:color="auto"/>
        <w:left w:val="single" w:sz="6" w:space="0" w:color="auto"/>
        <w:bottom w:val="single" w:sz="6" w:space="0" w:color="auto"/>
        <w:right w:val="single" w:sz="6" w:space="0" w:color="auto"/>
      </w:pBdr>
      <w:tabs>
        <w:tab w:val="left" w:pos="851"/>
      </w:tabs>
    </w:pPr>
    <w:rPr>
      <w:b/>
      <w:szCs w:val="20"/>
    </w:rPr>
  </w:style>
  <w:style w:type="paragraph" w:customStyle="1" w:styleId="EditorialNotetext">
    <w:name w:val="Editorial Note text"/>
    <w:basedOn w:val="EditorialNoteLine1"/>
    <w:rPr>
      <w:b w:val="0"/>
    </w:rPr>
  </w:style>
  <w:style w:type="paragraph" w:customStyle="1" w:styleId="Footnote">
    <w:name w:val="Footnote"/>
    <w:basedOn w:val="Normal"/>
    <w:pPr>
      <w:tabs>
        <w:tab w:val="left" w:pos="851"/>
      </w:tabs>
    </w:pPr>
    <w:rPr>
      <w:sz w:val="20"/>
      <w:szCs w:val="20"/>
    </w:rPr>
  </w:style>
  <w:style w:type="paragraph" w:customStyle="1" w:styleId="MiscellaneousHeading">
    <w:name w:val="Miscellaneous Heading"/>
    <w:basedOn w:val="Normal"/>
    <w:next w:val="Normal"/>
    <w:rPr>
      <w:b/>
      <w:szCs w:val="20"/>
    </w:rPr>
  </w:style>
  <w:style w:type="paragraph" w:customStyle="1" w:styleId="Paragraph">
    <w:name w:val="Paragraph"/>
    <w:basedOn w:val="Clause"/>
    <w:next w:val="Normal"/>
    <w:pPr>
      <w:tabs>
        <w:tab w:val="clear" w:pos="851"/>
      </w:tabs>
      <w:ind w:left="1702" w:hanging="851"/>
    </w:pPr>
  </w:style>
  <w:style w:type="paragraph" w:customStyle="1" w:styleId="ScheduleHeading">
    <w:name w:val="Schedule Heading"/>
    <w:basedOn w:val="Normal"/>
    <w:next w:val="Normal"/>
    <w:pPr>
      <w:tabs>
        <w:tab w:val="left" w:pos="851"/>
      </w:tabs>
      <w:jc w:val="center"/>
    </w:pPr>
    <w:rPr>
      <w:b/>
      <w:caps/>
      <w:szCs w:val="20"/>
    </w:rPr>
  </w:style>
  <w:style w:type="paragraph" w:customStyle="1" w:styleId="Standardtitle">
    <w:name w:val="Standard title"/>
    <w:basedOn w:val="Normal"/>
    <w:pPr>
      <w:tabs>
        <w:tab w:val="left" w:pos="851"/>
      </w:tabs>
      <w:jc w:val="center"/>
    </w:pPr>
    <w:rPr>
      <w:b/>
      <w:i/>
      <w:iCs/>
      <w:caps/>
      <w:sz w:val="28"/>
      <w:szCs w:val="20"/>
    </w:rPr>
  </w:style>
  <w:style w:type="paragraph" w:customStyle="1" w:styleId="Subclause">
    <w:name w:val="Subclause"/>
    <w:basedOn w:val="Clause"/>
    <w:pPr>
      <w:ind w:hanging="11"/>
    </w:pPr>
  </w:style>
  <w:style w:type="paragraph" w:customStyle="1" w:styleId="Subparagraph">
    <w:name w:val="Subparagraph"/>
    <w:basedOn w:val="Paragraph"/>
    <w:next w:val="Normal"/>
    <w:pPr>
      <w:ind w:left="2553"/>
    </w:pPr>
  </w:style>
  <w:style w:type="paragraph" w:customStyle="1" w:styleId="Table1">
    <w:name w:val="Table 1"/>
    <w:basedOn w:val="Normal"/>
    <w:pPr>
      <w:spacing w:after="120"/>
      <w:jc w:val="center"/>
    </w:pPr>
    <w:rPr>
      <w:b/>
      <w:bCs/>
      <w:sz w:val="20"/>
      <w:szCs w:val="20"/>
    </w:rPr>
  </w:style>
  <w:style w:type="paragraph" w:customStyle="1" w:styleId="Table2">
    <w:name w:val="Table 2"/>
    <w:basedOn w:val="Normal"/>
    <w:pPr>
      <w:ind w:left="142" w:hanging="142"/>
    </w:pPr>
    <w:rPr>
      <w:bCs/>
      <w:sz w:val="20"/>
      <w:szCs w:val="20"/>
    </w:rPr>
  </w:style>
  <w:style w:type="paragraph" w:customStyle="1" w:styleId="TableHeading">
    <w:name w:val="Table Heading"/>
    <w:basedOn w:val="Normal"/>
    <w:next w:val="Normal"/>
    <w:pPr>
      <w:tabs>
        <w:tab w:val="left" w:pos="851"/>
      </w:tabs>
      <w:jc w:val="center"/>
    </w:pPr>
    <w:rPr>
      <w:b/>
      <w:szCs w:val="20"/>
    </w:rPr>
  </w:style>
  <w:style w:type="paragraph" w:customStyle="1" w:styleId="TitleBorder">
    <w:name w:val="TitleBorder"/>
    <w:basedOn w:val="Normal"/>
    <w:pPr>
      <w:pBdr>
        <w:bottom w:val="double" w:sz="6" w:space="0" w:color="auto"/>
      </w:pBdr>
      <w:tabs>
        <w:tab w:val="left" w:pos="851"/>
      </w:tabs>
    </w:pPr>
    <w:rPr>
      <w:b/>
      <w:szCs w:val="20"/>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paragraph" w:styleId="FootnoteText">
    <w:name w:val="footnote text"/>
    <w:aliases w:val="FSFootnote Text"/>
    <w:basedOn w:val="Normal"/>
    <w:link w:val="FootnoteTextChar"/>
    <w:uiPriority w:val="99"/>
    <w:rPr>
      <w:sz w:val="20"/>
      <w:szCs w:val="20"/>
    </w:rPr>
  </w:style>
  <w:style w:type="character" w:styleId="FootnoteReference">
    <w:name w:val="footnote reference"/>
    <w:basedOn w:val="DefaultParagraphFont"/>
    <w:rPr>
      <w:vertAlign w:val="superscript"/>
    </w:rPr>
  </w:style>
  <w:style w:type="paragraph" w:customStyle="1" w:styleId="FSDecisionHeading">
    <w:name w:val="FS Decision Heading"/>
    <w:basedOn w:val="Normal"/>
    <w:next w:val="FSDecisiontext"/>
    <w:qFormat/>
    <w:rsid w:val="003213F9"/>
    <w:pPr>
      <w:pBdr>
        <w:top w:val="single" w:sz="4" w:space="1" w:color="auto"/>
        <w:left w:val="single" w:sz="4" w:space="4" w:color="auto"/>
        <w:bottom w:val="single" w:sz="4" w:space="1" w:color="auto"/>
        <w:right w:val="single" w:sz="4" w:space="4" w:color="auto"/>
      </w:pBdr>
    </w:pPr>
    <w:rPr>
      <w:rFonts w:ascii="Arial Bold" w:hAnsi="Arial Bold"/>
      <w:b/>
      <w:bCs/>
    </w:rPr>
  </w:style>
  <w:style w:type="paragraph" w:customStyle="1" w:styleId="FSDecisiontext">
    <w:name w:val="FS Decision text"/>
    <w:basedOn w:val="Normal"/>
    <w:qFormat/>
    <w:rsid w:val="009F007E"/>
    <w:pPr>
      <w:pBdr>
        <w:top w:val="single" w:sz="4" w:space="1" w:color="auto"/>
        <w:left w:val="single" w:sz="4" w:space="4" w:color="auto"/>
        <w:bottom w:val="single" w:sz="4" w:space="1" w:color="auto"/>
        <w:right w:val="single" w:sz="4" w:space="4" w:color="auto"/>
      </w:pBdr>
    </w:p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unhideWhenUsed/>
    <w:qFormat/>
    <w:rsid w:val="00B731D3"/>
    <w:pPr>
      <w:outlineLvl w:val="9"/>
    </w:pPr>
  </w:style>
  <w:style w:type="paragraph" w:customStyle="1" w:styleId="FSBullet">
    <w:name w:val="FS Bullet"/>
    <w:basedOn w:val="Normal"/>
    <w:next w:val="Normal"/>
    <w:link w:val="FSBulletChar"/>
    <w:qFormat/>
    <w:rsid w:val="00E2003B"/>
    <w:pPr>
      <w:numPr>
        <w:numId w:val="1"/>
      </w:numPr>
      <w:ind w:left="567" w:hanging="567"/>
    </w:pPr>
    <w:rPr>
      <w:rFonts w:cs="Arial"/>
    </w:rPr>
  </w:style>
  <w:style w:type="character" w:customStyle="1" w:styleId="FSBulletChar">
    <w:name w:val="FS Bullet Char"/>
    <w:basedOn w:val="DefaultParagraphFont"/>
    <w:link w:val="FSBullet"/>
    <w:rsid w:val="00E2003B"/>
    <w:rPr>
      <w:rFonts w:ascii="Arial" w:hAnsi="Arial" w:cs="Arial"/>
      <w:sz w:val="22"/>
      <w:szCs w:val="24"/>
      <w:lang w:eastAsia="en-US" w:bidi="en-US"/>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rsid w:val="00AF387F"/>
    <w:rPr>
      <w:sz w:val="16"/>
      <w:szCs w:val="16"/>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paragraph" w:styleId="CommentSubject">
    <w:name w:val="annotation subject"/>
    <w:basedOn w:val="CommentText"/>
    <w:next w:val="CommentText"/>
    <w:link w:val="CommentSubjectChar"/>
    <w:rsid w:val="00AF387F"/>
    <w:rPr>
      <w:b/>
      <w:bCs/>
    </w:rPr>
  </w:style>
  <w:style w:type="character" w:customStyle="1" w:styleId="CommentSubjectChar">
    <w:name w:val="Comment Subject Char"/>
    <w:basedOn w:val="CommentTextChar"/>
    <w:link w:val="CommentSubject"/>
    <w:rsid w:val="00AF387F"/>
    <w:rPr>
      <w:rFonts w:ascii="Arial" w:hAnsi="Arial"/>
      <w:b/>
      <w:bCs/>
      <w:lang w:eastAsia="en-US" w:bidi="en-US"/>
    </w:rPr>
  </w:style>
  <w:style w:type="paragraph" w:styleId="DocumentMap">
    <w:name w:val="Document Map"/>
    <w:basedOn w:val="Normal"/>
    <w:link w:val="DocumentMapChar"/>
    <w:rsid w:val="00D22F3C"/>
    <w:rPr>
      <w:rFonts w:ascii="Tahoma" w:hAnsi="Tahoma" w:cs="Tahoma"/>
      <w:sz w:val="16"/>
      <w:szCs w:val="16"/>
    </w:rPr>
  </w:style>
  <w:style w:type="character" w:customStyle="1" w:styleId="DocumentMapChar">
    <w:name w:val="Document Map Char"/>
    <w:basedOn w:val="DefaultParagraphFont"/>
    <w:link w:val="DocumentMap"/>
    <w:rsid w:val="00D22F3C"/>
    <w:rPr>
      <w:rFonts w:ascii="Tahoma" w:hAnsi="Tahoma" w:cs="Tahoma"/>
      <w:sz w:val="16"/>
      <w:szCs w:val="16"/>
      <w:lang w:eastAsia="en-US" w:bidi="en-US"/>
    </w:rPr>
  </w:style>
  <w:style w:type="paragraph" w:customStyle="1" w:styleId="FSBullet1">
    <w:name w:val="FSBullet 1"/>
    <w:basedOn w:val="Normal"/>
    <w:next w:val="Normal"/>
    <w:link w:val="FSBullet1Char"/>
    <w:qFormat/>
    <w:rsid w:val="0029631C"/>
    <w:pPr>
      <w:widowControl/>
      <w:numPr>
        <w:numId w:val="2"/>
      </w:numPr>
      <w:ind w:left="567" w:hanging="567"/>
    </w:pPr>
    <w:rPr>
      <w:rFonts w:cs="Arial"/>
      <w:lang w:bidi="ar-SA"/>
    </w:rPr>
  </w:style>
  <w:style w:type="character" w:customStyle="1" w:styleId="FSBullet1Char">
    <w:name w:val="FSBullet 1 Char"/>
    <w:link w:val="FSBullet1"/>
    <w:rsid w:val="0029631C"/>
    <w:rPr>
      <w:rFonts w:ascii="Arial" w:hAnsi="Arial" w:cs="Arial"/>
      <w:sz w:val="22"/>
      <w:szCs w:val="24"/>
      <w:lang w:eastAsia="en-US"/>
    </w:rPr>
  </w:style>
  <w:style w:type="paragraph" w:customStyle="1" w:styleId="FSBullet2">
    <w:name w:val="FSBullet 2"/>
    <w:basedOn w:val="Normal"/>
    <w:qFormat/>
    <w:rsid w:val="0029631C"/>
    <w:pPr>
      <w:widowControl/>
      <w:numPr>
        <w:numId w:val="3"/>
      </w:numPr>
      <w:ind w:left="1134" w:hanging="567"/>
    </w:pPr>
    <w:rPr>
      <w:rFonts w:eastAsia="Calibri"/>
      <w:szCs w:val="22"/>
      <w:lang w:bidi="ar-SA"/>
    </w:rPr>
  </w:style>
  <w:style w:type="paragraph" w:customStyle="1" w:styleId="FSBullet3">
    <w:name w:val="FSBullet 3"/>
    <w:basedOn w:val="Normal"/>
    <w:qFormat/>
    <w:rsid w:val="0029631C"/>
    <w:pPr>
      <w:keepNext/>
      <w:widowControl/>
      <w:numPr>
        <w:numId w:val="4"/>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7D03EA"/>
    <w:rPr>
      <w:rFonts w:ascii="Arial" w:hAnsi="Arial"/>
      <w:sz w:val="22"/>
      <w:szCs w:val="24"/>
      <w:lang w:eastAsia="en-US" w:bidi="en-US"/>
    </w:rPr>
  </w:style>
  <w:style w:type="paragraph" w:styleId="ListParagraph">
    <w:name w:val="List Paragraph"/>
    <w:basedOn w:val="Normal"/>
    <w:uiPriority w:val="34"/>
    <w:qFormat/>
    <w:rsid w:val="00ED5D43"/>
    <w:pPr>
      <w:ind w:left="720"/>
      <w:contextualSpacing/>
    </w:pPr>
  </w:style>
  <w:style w:type="character" w:customStyle="1" w:styleId="FSBullet1Char1">
    <w:name w:val="FSBullet 1 Char1"/>
    <w:basedOn w:val="DefaultParagraphFont"/>
    <w:rsid w:val="00A60E6F"/>
    <w:rPr>
      <w:rFonts w:eastAsia="Times New Roman"/>
      <w:szCs w:val="24"/>
      <w:lang w:val="en-GB" w:bidi="en-US"/>
    </w:rPr>
  </w:style>
  <w:style w:type="table" w:styleId="MediumGrid1-Accent3">
    <w:name w:val="Medium Grid 1 Accent 3"/>
    <w:basedOn w:val="TableNormal"/>
    <w:uiPriority w:val="67"/>
    <w:rsid w:val="00AB71B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Grid-Accent5">
    <w:name w:val="Light Grid Accent 5"/>
    <w:basedOn w:val="TableNormal"/>
    <w:uiPriority w:val="62"/>
    <w:rsid w:val="00AC394D"/>
    <w:rPr>
      <w:rFonts w:ascii="Arial" w:eastAsiaTheme="minorHAnsi" w:hAnsi="Arial" w:cs="Arial"/>
      <w:sz w:val="22"/>
      <w:szCs w:val="22"/>
      <w:lang w:val="en-AU"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List2-Accent1">
    <w:name w:val="Medium List 2 Accent 1"/>
    <w:basedOn w:val="TableNormal"/>
    <w:uiPriority w:val="66"/>
    <w:rsid w:val="00C235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C235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2-Accent5">
    <w:name w:val="Medium List 2 Accent 5"/>
    <w:basedOn w:val="TableNormal"/>
    <w:uiPriority w:val="66"/>
    <w:rsid w:val="00C235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235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235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C235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List2-Accent3">
    <w:name w:val="Medium List 2 Accent 3"/>
    <w:basedOn w:val="TableNormal"/>
    <w:uiPriority w:val="66"/>
    <w:rsid w:val="00C235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on">
    <w:name w:val="Revision"/>
    <w:hidden/>
    <w:uiPriority w:val="99"/>
    <w:semiHidden/>
    <w:rsid w:val="00EE3AD9"/>
    <w:rPr>
      <w:rFonts w:ascii="Arial" w:hAnsi="Arial"/>
      <w:sz w:val="22"/>
      <w:szCs w:val="24"/>
      <w:lang w:eastAsia="en-US" w:bidi="en-US"/>
    </w:rPr>
  </w:style>
  <w:style w:type="paragraph" w:customStyle="1" w:styleId="Default">
    <w:name w:val="Default"/>
    <w:rsid w:val="00D9474F"/>
    <w:pPr>
      <w:autoSpaceDE w:val="0"/>
      <w:autoSpaceDN w:val="0"/>
      <w:adjustRightInd w:val="0"/>
    </w:pPr>
    <w:rPr>
      <w:rFonts w:ascii="Arial" w:hAnsi="Arial" w:cs="Arial"/>
      <w:color w:val="000000"/>
      <w:sz w:val="24"/>
      <w:szCs w:val="24"/>
    </w:rPr>
  </w:style>
  <w:style w:type="character" w:customStyle="1" w:styleId="FootnoteTextChar">
    <w:name w:val="Footnote Text Char"/>
    <w:aliases w:val="FSFootnote Text Char"/>
    <w:basedOn w:val="DefaultParagraphFont"/>
    <w:link w:val="FootnoteText"/>
    <w:uiPriority w:val="99"/>
    <w:rsid w:val="00E73301"/>
    <w:rPr>
      <w:rFonts w:ascii="Arial" w:hAnsi="Arial"/>
      <w:lang w:eastAsia="en-US" w:bidi="en-US"/>
    </w:rPr>
  </w:style>
  <w:style w:type="table" w:styleId="LightList-Accent1">
    <w:name w:val="Light List Accent 1"/>
    <w:basedOn w:val="TableNormal"/>
    <w:uiPriority w:val="61"/>
    <w:rsid w:val="002A784B"/>
    <w:rPr>
      <w:rFonts w:ascii="Arial" w:eastAsiaTheme="minorHAnsi" w:hAnsi="Arial" w:cs="Arial"/>
      <w:sz w:val="22"/>
      <w:szCs w:val="22"/>
      <w:lang w:val="en-AU"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Preformatted">
    <w:name w:val="HTML Preformatted"/>
    <w:basedOn w:val="Normal"/>
    <w:link w:val="HTMLPreformattedChar"/>
    <w:rsid w:val="0077026F"/>
    <w:rPr>
      <w:rFonts w:ascii="Consolas" w:hAnsi="Consolas" w:cs="Consolas"/>
      <w:sz w:val="20"/>
      <w:szCs w:val="20"/>
    </w:rPr>
  </w:style>
  <w:style w:type="character" w:customStyle="1" w:styleId="HTMLPreformattedChar">
    <w:name w:val="HTML Preformatted Char"/>
    <w:basedOn w:val="DefaultParagraphFont"/>
    <w:link w:val="HTMLPreformatted"/>
    <w:rsid w:val="0077026F"/>
    <w:rPr>
      <w:rFonts w:ascii="Consolas" w:hAnsi="Consolas" w:cs="Consolas"/>
      <w:lang w:eastAsia="en-US" w:bidi="en-US"/>
    </w:rPr>
  </w:style>
  <w:style w:type="paragraph" w:styleId="NormalWeb">
    <w:name w:val="Normal (Web)"/>
    <w:basedOn w:val="Normal"/>
    <w:rsid w:val="00DA4DA0"/>
    <w:rPr>
      <w:rFonts w:ascii="Times New Roman" w:hAnsi="Times New Roman"/>
      <w:sz w:val="24"/>
    </w:rPr>
  </w:style>
  <w:style w:type="paragraph" w:styleId="EndnoteText">
    <w:name w:val="endnote text"/>
    <w:basedOn w:val="Normal"/>
    <w:link w:val="EndnoteTextChar"/>
    <w:uiPriority w:val="99"/>
    <w:unhideWhenUsed/>
    <w:rsid w:val="00DA4DA0"/>
    <w:rPr>
      <w:sz w:val="20"/>
      <w:szCs w:val="20"/>
    </w:rPr>
  </w:style>
  <w:style w:type="character" w:customStyle="1" w:styleId="EndnoteTextChar">
    <w:name w:val="Endnote Text Char"/>
    <w:basedOn w:val="DefaultParagraphFont"/>
    <w:link w:val="EndnoteText"/>
    <w:uiPriority w:val="99"/>
    <w:rsid w:val="00DA4DA0"/>
    <w:rPr>
      <w:rFonts w:ascii="Arial" w:hAnsi="Arial"/>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footnote text" w:uiPriority="99"/>
    <w:lsdException w:name="caption" w:semiHidden="1" w:unhideWhenUsed="1"/>
    <w:lsdException w:name="endnote text" w:uiPriority="99"/>
    <w:lsdException w:name="Title" w:uiPriority="10"/>
    <w:lsdException w:name="Default Paragraph Font" w:uiPriority="1"/>
    <w:lsdException w:name="Subtitle" w:uiPriority="11"/>
    <w:lsdException w:name="Hyperlink" w:uiPriority="99"/>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90206"/>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2"/>
    <w:qFormat/>
    <w:rsid w:val="00BF365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rsid w:val="00BF365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6B3A79"/>
    <w:pPr>
      <w:keepNext/>
      <w:widowControl/>
      <w:spacing w:before="240" w:after="240"/>
      <w:outlineLvl w:val="2"/>
    </w:pPr>
    <w:rPr>
      <w:rFonts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BF365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BF365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BF3652"/>
    <w:rPr>
      <w:rFonts w:ascii="Arial" w:eastAsiaTheme="majorEastAsia" w:hAnsi="Arial" w:cstheme="majorBidi"/>
      <w:b/>
      <w:bCs/>
      <w:sz w:val="36"/>
      <w:szCs w:val="28"/>
      <w:lang w:eastAsia="en-US"/>
    </w:rPr>
  </w:style>
  <w:style w:type="character" w:customStyle="1" w:styleId="Heading2Char">
    <w:name w:val="Heading 2 Char"/>
    <w:aliases w:val="FSHeading 2 Char,Section heading Char"/>
    <w:basedOn w:val="DefaultParagraphFont"/>
    <w:link w:val="Heading2"/>
    <w:uiPriority w:val="2"/>
    <w:rsid w:val="00BF3652"/>
    <w:rPr>
      <w:rFonts w:ascii="Arial" w:eastAsiaTheme="majorEastAsia" w:hAnsi="Arial" w:cs="Arial"/>
      <w:b/>
      <w:bCs/>
      <w:sz w:val="28"/>
      <w:szCs w:val="22"/>
      <w:lang w:eastAsia="en-US"/>
    </w:rPr>
  </w:style>
  <w:style w:type="character" w:customStyle="1" w:styleId="Heading3Char">
    <w:name w:val="Heading 3 Char"/>
    <w:aliases w:val="FSHeading 3 Char,Subheading 1 Char"/>
    <w:basedOn w:val="DefaultParagraphFont"/>
    <w:link w:val="Heading3"/>
    <w:uiPriority w:val="2"/>
    <w:rsid w:val="006B3A79"/>
    <w:rPr>
      <w:rFonts w:ascii="Arial" w:hAnsi="Arial" w:cstheme="majorBidi"/>
      <w:b/>
      <w:bCs/>
      <w:sz w:val="22"/>
      <w:szCs w:val="24"/>
      <w:lang w:eastAsia="en-AU"/>
    </w:rPr>
  </w:style>
  <w:style w:type="character" w:customStyle="1" w:styleId="Heading4Char">
    <w:name w:val="Heading 4 Char"/>
    <w:aliases w:val="FSHeading 4 Char,Subheading 2 Char"/>
    <w:basedOn w:val="DefaultParagraphFont"/>
    <w:link w:val="Heading4"/>
    <w:uiPriority w:val="2"/>
    <w:rsid w:val="00BF3652"/>
    <w:rPr>
      <w:rFonts w:ascii="Arial" w:eastAsiaTheme="majorEastAsia" w:hAnsi="Arial" w:cstheme="majorBidi"/>
      <w:b/>
      <w:bCs/>
      <w:i/>
      <w:iCs/>
      <w:sz w:val="22"/>
      <w:szCs w:val="22"/>
      <w:lang w:eastAsia="en-US"/>
    </w:rPr>
  </w:style>
  <w:style w:type="character" w:customStyle="1" w:styleId="Heading5Char">
    <w:name w:val="Heading 5 Char"/>
    <w:aliases w:val="FSHeading 5 Char,Subheading 3 Char"/>
    <w:basedOn w:val="DefaultParagraphFont"/>
    <w:link w:val="Heading5"/>
    <w:uiPriority w:val="2"/>
    <w:rsid w:val="00BF3652"/>
    <w:rPr>
      <w:rFonts w:ascii="Arial" w:eastAsiaTheme="majorEastAsia" w:hAnsi="Arial" w:cstheme="majorBidi"/>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690206"/>
    <w:rPr>
      <w:rFonts w:cs="Tahoma"/>
      <w:bCs/>
      <w:sz w:val="32"/>
    </w:rPr>
  </w:style>
  <w:style w:type="paragraph" w:customStyle="1" w:styleId="FSDash">
    <w:name w:val="FS Dash"/>
    <w:basedOn w:val="Normal"/>
    <w:qFormat/>
    <w:rsid w:val="007602AA"/>
    <w:pPr>
      <w:ind w:left="1134" w:hanging="567"/>
    </w:pPr>
  </w:style>
  <w:style w:type="paragraph" w:styleId="TOC1">
    <w:name w:val="toc 1"/>
    <w:basedOn w:val="Normal"/>
    <w:next w:val="Normal"/>
    <w:autoRedefine/>
    <w:uiPriority w:val="39"/>
    <w:qFormat/>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qFormat/>
    <w:rsid w:val="00035FF3"/>
    <w:pPr>
      <w:ind w:left="220"/>
    </w:pPr>
    <w:rPr>
      <w:rFonts w:asciiTheme="minorHAnsi" w:hAnsiTheme="minorHAnsi" w:cstheme="minorHAnsi"/>
      <w:smallCaps/>
      <w:sz w:val="20"/>
      <w:szCs w:val="20"/>
    </w:rPr>
  </w:style>
  <w:style w:type="paragraph" w:styleId="Footer">
    <w:name w:val="footer"/>
    <w:basedOn w:val="Normal"/>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qFormat/>
    <w:pPr>
      <w:ind w:left="440"/>
    </w:pPr>
    <w:rPr>
      <w:rFonts w:asciiTheme="minorHAnsi" w:hAnsiTheme="minorHAnsi" w:cstheme="minorHAnsi"/>
      <w:i/>
      <w:iCs/>
      <w:sz w:val="20"/>
      <w:szCs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customStyle="1" w:styleId="142Tableheading2">
    <w:name w:val="1.4.2 Table heading2"/>
    <w:basedOn w:val="Normal"/>
    <w:pPr>
      <w:keepNext/>
      <w:jc w:val="center"/>
    </w:pPr>
    <w:rPr>
      <w:iCs/>
      <w:smallCaps/>
      <w:sz w:val="20"/>
      <w:szCs w:val="20"/>
    </w:rPr>
  </w:style>
  <w:style w:type="paragraph" w:customStyle="1" w:styleId="Box1">
    <w:name w:val="Box 1"/>
    <w:basedOn w:val="Normal"/>
    <w:pPr>
      <w:tabs>
        <w:tab w:val="num" w:pos="120"/>
      </w:tabs>
      <w:ind w:left="113" w:hanging="113"/>
    </w:pPr>
    <w:rPr>
      <w:sz w:val="16"/>
    </w:rPr>
  </w:style>
  <w:style w:type="paragraph" w:customStyle="1" w:styleId="Box2">
    <w:name w:val="Box 2"/>
    <w:basedOn w:val="Normal"/>
    <w:pPr>
      <w:tabs>
        <w:tab w:val="left" w:pos="4608"/>
        <w:tab w:val="left" w:pos="9180"/>
        <w:tab w:val="left" w:pos="9216"/>
      </w:tabs>
      <w:jc w:val="center"/>
    </w:pPr>
    <w:rPr>
      <w:b/>
      <w:bCs/>
      <w:i/>
      <w:iCs/>
      <w:color w:val="000000"/>
      <w:sz w:val="16"/>
    </w:rPr>
  </w:style>
  <w:style w:type="paragraph" w:customStyle="1" w:styleId="Box3">
    <w:name w:val="Box 3"/>
    <w:basedOn w:val="Normal"/>
    <w:pPr>
      <w:tabs>
        <w:tab w:val="left" w:pos="4608"/>
        <w:tab w:val="left" w:pos="9180"/>
        <w:tab w:val="left" w:pos="9216"/>
      </w:tabs>
      <w:jc w:val="center"/>
    </w:pPr>
    <w:rPr>
      <w:b/>
      <w:bCs/>
      <w:i/>
      <w:iCs/>
      <w:color w:val="000000"/>
      <w:sz w:val="16"/>
    </w:rPr>
  </w:style>
  <w:style w:type="paragraph" w:customStyle="1" w:styleId="142tableheading1">
    <w:name w:val="1.4.2 table heading1"/>
    <w:basedOn w:val="142Tableheading2"/>
    <w:rPr>
      <w:b/>
      <w:bCs/>
      <w:iCs w:val="0"/>
    </w:rPr>
  </w:style>
  <w:style w:type="paragraph" w:customStyle="1" w:styleId="142tabletext1">
    <w:name w:val="1.4.2 table text1"/>
    <w:basedOn w:val="Normal"/>
    <w:pPr>
      <w:ind w:left="142" w:hanging="142"/>
    </w:pPr>
    <w:rPr>
      <w:smallCaps/>
      <w:sz w:val="20"/>
      <w:szCs w:val="20"/>
    </w:rPr>
  </w:style>
  <w:style w:type="paragraph" w:customStyle="1" w:styleId="142tabletext2">
    <w:name w:val="1.4.2 table text2"/>
    <w:basedOn w:val="142tabletext1"/>
    <w:pPr>
      <w:jc w:val="right"/>
    </w:pPr>
  </w:style>
  <w:style w:type="paragraph" w:customStyle="1" w:styleId="Clause">
    <w:name w:val="Clause"/>
    <w:basedOn w:val="Normal"/>
    <w:next w:val="Normal"/>
    <w:pPr>
      <w:tabs>
        <w:tab w:val="left" w:pos="851"/>
      </w:tabs>
    </w:pPr>
    <w:rPr>
      <w:szCs w:val="20"/>
    </w:rPr>
  </w:style>
  <w:style w:type="paragraph" w:customStyle="1" w:styleId="Clauseheading">
    <w:name w:val="Clause heading"/>
    <w:basedOn w:val="Normal"/>
    <w:next w:val="Normal"/>
    <w:pPr>
      <w:tabs>
        <w:tab w:val="left" w:pos="851"/>
      </w:tabs>
    </w:pPr>
    <w:rPr>
      <w:b/>
      <w:szCs w:val="20"/>
    </w:rPr>
  </w:style>
  <w:style w:type="paragraph" w:customStyle="1" w:styleId="ClauseList">
    <w:name w:val="Clause List"/>
    <w:basedOn w:val="Clause"/>
    <w:next w:val="Normal"/>
  </w:style>
  <w:style w:type="paragraph" w:customStyle="1" w:styleId="Definition">
    <w:name w:val="Definition"/>
    <w:basedOn w:val="Normal"/>
    <w:next w:val="Normal"/>
    <w:pPr>
      <w:ind w:left="1701" w:hanging="851"/>
    </w:pPr>
    <w:rPr>
      <w:szCs w:val="20"/>
    </w:rPr>
  </w:style>
  <w:style w:type="paragraph" w:customStyle="1" w:styleId="DivisionHeading">
    <w:name w:val="Division Heading"/>
    <w:basedOn w:val="Normal"/>
    <w:next w:val="Normal"/>
    <w:pPr>
      <w:tabs>
        <w:tab w:val="left" w:pos="851"/>
      </w:tabs>
      <w:jc w:val="center"/>
    </w:pPr>
    <w:rPr>
      <w:b/>
      <w:sz w:val="28"/>
      <w:szCs w:val="20"/>
    </w:rPr>
  </w:style>
  <w:style w:type="paragraph" w:customStyle="1" w:styleId="EditorialNoteLine1">
    <w:name w:val="Editorial Note Line 1"/>
    <w:basedOn w:val="Normal"/>
    <w:next w:val="Normal"/>
    <w:pPr>
      <w:pBdr>
        <w:top w:val="single" w:sz="6" w:space="0" w:color="auto"/>
        <w:left w:val="single" w:sz="6" w:space="0" w:color="auto"/>
        <w:bottom w:val="single" w:sz="6" w:space="0" w:color="auto"/>
        <w:right w:val="single" w:sz="6" w:space="0" w:color="auto"/>
      </w:pBdr>
      <w:tabs>
        <w:tab w:val="left" w:pos="851"/>
      </w:tabs>
    </w:pPr>
    <w:rPr>
      <w:b/>
      <w:szCs w:val="20"/>
    </w:rPr>
  </w:style>
  <w:style w:type="paragraph" w:customStyle="1" w:styleId="EditorialNotetext">
    <w:name w:val="Editorial Note text"/>
    <w:basedOn w:val="EditorialNoteLine1"/>
    <w:rPr>
      <w:b w:val="0"/>
    </w:rPr>
  </w:style>
  <w:style w:type="paragraph" w:customStyle="1" w:styleId="Footnote">
    <w:name w:val="Footnote"/>
    <w:basedOn w:val="Normal"/>
    <w:pPr>
      <w:tabs>
        <w:tab w:val="left" w:pos="851"/>
      </w:tabs>
    </w:pPr>
    <w:rPr>
      <w:sz w:val="20"/>
      <w:szCs w:val="20"/>
    </w:rPr>
  </w:style>
  <w:style w:type="paragraph" w:customStyle="1" w:styleId="MiscellaneousHeading">
    <w:name w:val="Miscellaneous Heading"/>
    <w:basedOn w:val="Normal"/>
    <w:next w:val="Normal"/>
    <w:rPr>
      <w:b/>
      <w:szCs w:val="20"/>
    </w:rPr>
  </w:style>
  <w:style w:type="paragraph" w:customStyle="1" w:styleId="Paragraph">
    <w:name w:val="Paragraph"/>
    <w:basedOn w:val="Clause"/>
    <w:next w:val="Normal"/>
    <w:pPr>
      <w:tabs>
        <w:tab w:val="clear" w:pos="851"/>
      </w:tabs>
      <w:ind w:left="1702" w:hanging="851"/>
    </w:pPr>
  </w:style>
  <w:style w:type="paragraph" w:customStyle="1" w:styleId="ScheduleHeading">
    <w:name w:val="Schedule Heading"/>
    <w:basedOn w:val="Normal"/>
    <w:next w:val="Normal"/>
    <w:pPr>
      <w:tabs>
        <w:tab w:val="left" w:pos="851"/>
      </w:tabs>
      <w:jc w:val="center"/>
    </w:pPr>
    <w:rPr>
      <w:b/>
      <w:caps/>
      <w:szCs w:val="20"/>
    </w:rPr>
  </w:style>
  <w:style w:type="paragraph" w:customStyle="1" w:styleId="Standardtitle">
    <w:name w:val="Standard title"/>
    <w:basedOn w:val="Normal"/>
    <w:pPr>
      <w:tabs>
        <w:tab w:val="left" w:pos="851"/>
      </w:tabs>
      <w:jc w:val="center"/>
    </w:pPr>
    <w:rPr>
      <w:b/>
      <w:i/>
      <w:iCs/>
      <w:caps/>
      <w:sz w:val="28"/>
      <w:szCs w:val="20"/>
    </w:rPr>
  </w:style>
  <w:style w:type="paragraph" w:customStyle="1" w:styleId="Subclause">
    <w:name w:val="Subclause"/>
    <w:basedOn w:val="Clause"/>
    <w:pPr>
      <w:ind w:hanging="11"/>
    </w:pPr>
  </w:style>
  <w:style w:type="paragraph" w:customStyle="1" w:styleId="Subparagraph">
    <w:name w:val="Subparagraph"/>
    <w:basedOn w:val="Paragraph"/>
    <w:next w:val="Normal"/>
    <w:pPr>
      <w:ind w:left="2553"/>
    </w:pPr>
  </w:style>
  <w:style w:type="paragraph" w:customStyle="1" w:styleId="Table1">
    <w:name w:val="Table 1"/>
    <w:basedOn w:val="Normal"/>
    <w:pPr>
      <w:spacing w:after="120"/>
      <w:jc w:val="center"/>
    </w:pPr>
    <w:rPr>
      <w:b/>
      <w:bCs/>
      <w:sz w:val="20"/>
      <w:szCs w:val="20"/>
    </w:rPr>
  </w:style>
  <w:style w:type="paragraph" w:customStyle="1" w:styleId="Table2">
    <w:name w:val="Table 2"/>
    <w:basedOn w:val="Normal"/>
    <w:pPr>
      <w:ind w:left="142" w:hanging="142"/>
    </w:pPr>
    <w:rPr>
      <w:bCs/>
      <w:sz w:val="20"/>
      <w:szCs w:val="20"/>
    </w:rPr>
  </w:style>
  <w:style w:type="paragraph" w:customStyle="1" w:styleId="TableHeading">
    <w:name w:val="Table Heading"/>
    <w:basedOn w:val="Normal"/>
    <w:next w:val="Normal"/>
    <w:pPr>
      <w:tabs>
        <w:tab w:val="left" w:pos="851"/>
      </w:tabs>
      <w:jc w:val="center"/>
    </w:pPr>
    <w:rPr>
      <w:b/>
      <w:szCs w:val="20"/>
    </w:rPr>
  </w:style>
  <w:style w:type="paragraph" w:customStyle="1" w:styleId="TitleBorder">
    <w:name w:val="TitleBorder"/>
    <w:basedOn w:val="Normal"/>
    <w:pPr>
      <w:pBdr>
        <w:bottom w:val="double" w:sz="6" w:space="0" w:color="auto"/>
      </w:pBdr>
      <w:tabs>
        <w:tab w:val="left" w:pos="851"/>
      </w:tabs>
    </w:pPr>
    <w:rPr>
      <w:b/>
      <w:szCs w:val="20"/>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paragraph" w:styleId="FootnoteText">
    <w:name w:val="footnote text"/>
    <w:aliases w:val="FSFootnote Text"/>
    <w:basedOn w:val="Normal"/>
    <w:link w:val="FootnoteTextChar"/>
    <w:uiPriority w:val="99"/>
    <w:rPr>
      <w:sz w:val="20"/>
      <w:szCs w:val="20"/>
    </w:rPr>
  </w:style>
  <w:style w:type="character" w:styleId="FootnoteReference">
    <w:name w:val="footnote reference"/>
    <w:basedOn w:val="DefaultParagraphFont"/>
    <w:rPr>
      <w:vertAlign w:val="superscript"/>
    </w:rPr>
  </w:style>
  <w:style w:type="paragraph" w:customStyle="1" w:styleId="FSDecisionHeading">
    <w:name w:val="FS Decision Heading"/>
    <w:basedOn w:val="Normal"/>
    <w:next w:val="FSDecisiontext"/>
    <w:qFormat/>
    <w:rsid w:val="003213F9"/>
    <w:pPr>
      <w:pBdr>
        <w:top w:val="single" w:sz="4" w:space="1" w:color="auto"/>
        <w:left w:val="single" w:sz="4" w:space="4" w:color="auto"/>
        <w:bottom w:val="single" w:sz="4" w:space="1" w:color="auto"/>
        <w:right w:val="single" w:sz="4" w:space="4" w:color="auto"/>
      </w:pBdr>
    </w:pPr>
    <w:rPr>
      <w:rFonts w:ascii="Arial Bold" w:hAnsi="Arial Bold"/>
      <w:b/>
      <w:bCs/>
    </w:rPr>
  </w:style>
  <w:style w:type="paragraph" w:customStyle="1" w:styleId="FSDecisiontext">
    <w:name w:val="FS Decision text"/>
    <w:basedOn w:val="Normal"/>
    <w:qFormat/>
    <w:rsid w:val="009F007E"/>
    <w:pPr>
      <w:pBdr>
        <w:top w:val="single" w:sz="4" w:space="1" w:color="auto"/>
        <w:left w:val="single" w:sz="4" w:space="4" w:color="auto"/>
        <w:bottom w:val="single" w:sz="4" w:space="1" w:color="auto"/>
        <w:right w:val="single" w:sz="4" w:space="4" w:color="auto"/>
      </w:pBdr>
    </w:p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unhideWhenUsed/>
    <w:qFormat/>
    <w:rsid w:val="00B731D3"/>
    <w:pPr>
      <w:outlineLvl w:val="9"/>
    </w:pPr>
  </w:style>
  <w:style w:type="paragraph" w:customStyle="1" w:styleId="FSBullet">
    <w:name w:val="FS Bullet"/>
    <w:basedOn w:val="Normal"/>
    <w:next w:val="Normal"/>
    <w:link w:val="FSBulletChar"/>
    <w:qFormat/>
    <w:rsid w:val="00E2003B"/>
    <w:pPr>
      <w:numPr>
        <w:numId w:val="1"/>
      </w:numPr>
      <w:ind w:left="567" w:hanging="567"/>
    </w:pPr>
    <w:rPr>
      <w:rFonts w:cs="Arial"/>
    </w:rPr>
  </w:style>
  <w:style w:type="character" w:customStyle="1" w:styleId="FSBulletChar">
    <w:name w:val="FS Bullet Char"/>
    <w:basedOn w:val="DefaultParagraphFont"/>
    <w:link w:val="FSBullet"/>
    <w:rsid w:val="00E2003B"/>
    <w:rPr>
      <w:rFonts w:ascii="Arial" w:hAnsi="Arial" w:cs="Arial"/>
      <w:sz w:val="22"/>
      <w:szCs w:val="24"/>
      <w:lang w:eastAsia="en-US" w:bidi="en-US"/>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rsid w:val="00AF387F"/>
    <w:rPr>
      <w:sz w:val="16"/>
      <w:szCs w:val="16"/>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paragraph" w:styleId="CommentSubject">
    <w:name w:val="annotation subject"/>
    <w:basedOn w:val="CommentText"/>
    <w:next w:val="CommentText"/>
    <w:link w:val="CommentSubjectChar"/>
    <w:rsid w:val="00AF387F"/>
    <w:rPr>
      <w:b/>
      <w:bCs/>
    </w:rPr>
  </w:style>
  <w:style w:type="character" w:customStyle="1" w:styleId="CommentSubjectChar">
    <w:name w:val="Comment Subject Char"/>
    <w:basedOn w:val="CommentTextChar"/>
    <w:link w:val="CommentSubject"/>
    <w:rsid w:val="00AF387F"/>
    <w:rPr>
      <w:rFonts w:ascii="Arial" w:hAnsi="Arial"/>
      <w:b/>
      <w:bCs/>
      <w:lang w:eastAsia="en-US" w:bidi="en-US"/>
    </w:rPr>
  </w:style>
  <w:style w:type="paragraph" w:styleId="DocumentMap">
    <w:name w:val="Document Map"/>
    <w:basedOn w:val="Normal"/>
    <w:link w:val="DocumentMapChar"/>
    <w:rsid w:val="00D22F3C"/>
    <w:rPr>
      <w:rFonts w:ascii="Tahoma" w:hAnsi="Tahoma" w:cs="Tahoma"/>
      <w:sz w:val="16"/>
      <w:szCs w:val="16"/>
    </w:rPr>
  </w:style>
  <w:style w:type="character" w:customStyle="1" w:styleId="DocumentMapChar">
    <w:name w:val="Document Map Char"/>
    <w:basedOn w:val="DefaultParagraphFont"/>
    <w:link w:val="DocumentMap"/>
    <w:rsid w:val="00D22F3C"/>
    <w:rPr>
      <w:rFonts w:ascii="Tahoma" w:hAnsi="Tahoma" w:cs="Tahoma"/>
      <w:sz w:val="16"/>
      <w:szCs w:val="16"/>
      <w:lang w:eastAsia="en-US" w:bidi="en-US"/>
    </w:rPr>
  </w:style>
  <w:style w:type="paragraph" w:customStyle="1" w:styleId="FSBullet1">
    <w:name w:val="FSBullet 1"/>
    <w:basedOn w:val="Normal"/>
    <w:next w:val="Normal"/>
    <w:link w:val="FSBullet1Char"/>
    <w:qFormat/>
    <w:rsid w:val="0029631C"/>
    <w:pPr>
      <w:widowControl/>
      <w:numPr>
        <w:numId w:val="2"/>
      </w:numPr>
      <w:ind w:left="567" w:hanging="567"/>
    </w:pPr>
    <w:rPr>
      <w:rFonts w:cs="Arial"/>
      <w:lang w:bidi="ar-SA"/>
    </w:rPr>
  </w:style>
  <w:style w:type="character" w:customStyle="1" w:styleId="FSBullet1Char">
    <w:name w:val="FSBullet 1 Char"/>
    <w:link w:val="FSBullet1"/>
    <w:rsid w:val="0029631C"/>
    <w:rPr>
      <w:rFonts w:ascii="Arial" w:hAnsi="Arial" w:cs="Arial"/>
      <w:sz w:val="22"/>
      <w:szCs w:val="24"/>
      <w:lang w:eastAsia="en-US"/>
    </w:rPr>
  </w:style>
  <w:style w:type="paragraph" w:customStyle="1" w:styleId="FSBullet2">
    <w:name w:val="FSBullet 2"/>
    <w:basedOn w:val="Normal"/>
    <w:qFormat/>
    <w:rsid w:val="0029631C"/>
    <w:pPr>
      <w:widowControl/>
      <w:numPr>
        <w:numId w:val="3"/>
      </w:numPr>
      <w:ind w:left="1134" w:hanging="567"/>
    </w:pPr>
    <w:rPr>
      <w:rFonts w:eastAsia="Calibri"/>
      <w:szCs w:val="22"/>
      <w:lang w:bidi="ar-SA"/>
    </w:rPr>
  </w:style>
  <w:style w:type="paragraph" w:customStyle="1" w:styleId="FSBullet3">
    <w:name w:val="FSBullet 3"/>
    <w:basedOn w:val="Normal"/>
    <w:qFormat/>
    <w:rsid w:val="0029631C"/>
    <w:pPr>
      <w:keepNext/>
      <w:widowControl/>
      <w:numPr>
        <w:numId w:val="4"/>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7D03EA"/>
    <w:rPr>
      <w:rFonts w:ascii="Arial" w:hAnsi="Arial"/>
      <w:sz w:val="22"/>
      <w:szCs w:val="24"/>
      <w:lang w:eastAsia="en-US" w:bidi="en-US"/>
    </w:rPr>
  </w:style>
  <w:style w:type="paragraph" w:styleId="ListParagraph">
    <w:name w:val="List Paragraph"/>
    <w:basedOn w:val="Normal"/>
    <w:uiPriority w:val="34"/>
    <w:qFormat/>
    <w:rsid w:val="00ED5D43"/>
    <w:pPr>
      <w:ind w:left="720"/>
      <w:contextualSpacing/>
    </w:pPr>
  </w:style>
  <w:style w:type="character" w:customStyle="1" w:styleId="FSBullet1Char1">
    <w:name w:val="FSBullet 1 Char1"/>
    <w:basedOn w:val="DefaultParagraphFont"/>
    <w:rsid w:val="00A60E6F"/>
    <w:rPr>
      <w:rFonts w:eastAsia="Times New Roman"/>
      <w:szCs w:val="24"/>
      <w:lang w:val="en-GB" w:bidi="en-US"/>
    </w:rPr>
  </w:style>
  <w:style w:type="table" w:styleId="MediumGrid1-Accent3">
    <w:name w:val="Medium Grid 1 Accent 3"/>
    <w:basedOn w:val="TableNormal"/>
    <w:uiPriority w:val="67"/>
    <w:rsid w:val="00AB71B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Grid-Accent5">
    <w:name w:val="Light Grid Accent 5"/>
    <w:basedOn w:val="TableNormal"/>
    <w:uiPriority w:val="62"/>
    <w:rsid w:val="00AC394D"/>
    <w:rPr>
      <w:rFonts w:ascii="Arial" w:eastAsiaTheme="minorHAnsi" w:hAnsi="Arial" w:cs="Arial"/>
      <w:sz w:val="22"/>
      <w:szCs w:val="22"/>
      <w:lang w:val="en-AU"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List2-Accent1">
    <w:name w:val="Medium List 2 Accent 1"/>
    <w:basedOn w:val="TableNormal"/>
    <w:uiPriority w:val="66"/>
    <w:rsid w:val="00C235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C235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2-Accent5">
    <w:name w:val="Medium List 2 Accent 5"/>
    <w:basedOn w:val="TableNormal"/>
    <w:uiPriority w:val="66"/>
    <w:rsid w:val="00C235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235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235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C235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List2-Accent3">
    <w:name w:val="Medium List 2 Accent 3"/>
    <w:basedOn w:val="TableNormal"/>
    <w:uiPriority w:val="66"/>
    <w:rsid w:val="00C235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on">
    <w:name w:val="Revision"/>
    <w:hidden/>
    <w:uiPriority w:val="99"/>
    <w:semiHidden/>
    <w:rsid w:val="00EE3AD9"/>
    <w:rPr>
      <w:rFonts w:ascii="Arial" w:hAnsi="Arial"/>
      <w:sz w:val="22"/>
      <w:szCs w:val="24"/>
      <w:lang w:eastAsia="en-US" w:bidi="en-US"/>
    </w:rPr>
  </w:style>
  <w:style w:type="paragraph" w:customStyle="1" w:styleId="Default">
    <w:name w:val="Default"/>
    <w:rsid w:val="00D9474F"/>
    <w:pPr>
      <w:autoSpaceDE w:val="0"/>
      <w:autoSpaceDN w:val="0"/>
      <w:adjustRightInd w:val="0"/>
    </w:pPr>
    <w:rPr>
      <w:rFonts w:ascii="Arial" w:hAnsi="Arial" w:cs="Arial"/>
      <w:color w:val="000000"/>
      <w:sz w:val="24"/>
      <w:szCs w:val="24"/>
    </w:rPr>
  </w:style>
  <w:style w:type="character" w:customStyle="1" w:styleId="FootnoteTextChar">
    <w:name w:val="Footnote Text Char"/>
    <w:aliases w:val="FSFootnote Text Char"/>
    <w:basedOn w:val="DefaultParagraphFont"/>
    <w:link w:val="FootnoteText"/>
    <w:uiPriority w:val="99"/>
    <w:rsid w:val="00E73301"/>
    <w:rPr>
      <w:rFonts w:ascii="Arial" w:hAnsi="Arial"/>
      <w:lang w:eastAsia="en-US" w:bidi="en-US"/>
    </w:rPr>
  </w:style>
  <w:style w:type="table" w:styleId="LightList-Accent1">
    <w:name w:val="Light List Accent 1"/>
    <w:basedOn w:val="TableNormal"/>
    <w:uiPriority w:val="61"/>
    <w:rsid w:val="002A784B"/>
    <w:rPr>
      <w:rFonts w:ascii="Arial" w:eastAsiaTheme="minorHAnsi" w:hAnsi="Arial" w:cs="Arial"/>
      <w:sz w:val="22"/>
      <w:szCs w:val="22"/>
      <w:lang w:val="en-AU"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Preformatted">
    <w:name w:val="HTML Preformatted"/>
    <w:basedOn w:val="Normal"/>
    <w:link w:val="HTMLPreformattedChar"/>
    <w:rsid w:val="0077026F"/>
    <w:rPr>
      <w:rFonts w:ascii="Consolas" w:hAnsi="Consolas" w:cs="Consolas"/>
      <w:sz w:val="20"/>
      <w:szCs w:val="20"/>
    </w:rPr>
  </w:style>
  <w:style w:type="character" w:customStyle="1" w:styleId="HTMLPreformattedChar">
    <w:name w:val="HTML Preformatted Char"/>
    <w:basedOn w:val="DefaultParagraphFont"/>
    <w:link w:val="HTMLPreformatted"/>
    <w:rsid w:val="0077026F"/>
    <w:rPr>
      <w:rFonts w:ascii="Consolas" w:hAnsi="Consolas" w:cs="Consolas"/>
      <w:lang w:eastAsia="en-US" w:bidi="en-US"/>
    </w:rPr>
  </w:style>
  <w:style w:type="paragraph" w:styleId="NormalWeb">
    <w:name w:val="Normal (Web)"/>
    <w:basedOn w:val="Normal"/>
    <w:rsid w:val="00DA4DA0"/>
    <w:rPr>
      <w:rFonts w:ascii="Times New Roman" w:hAnsi="Times New Roman"/>
      <w:sz w:val="24"/>
    </w:rPr>
  </w:style>
  <w:style w:type="paragraph" w:styleId="EndnoteText">
    <w:name w:val="endnote text"/>
    <w:basedOn w:val="Normal"/>
    <w:link w:val="EndnoteTextChar"/>
    <w:uiPriority w:val="99"/>
    <w:unhideWhenUsed/>
    <w:rsid w:val="00DA4DA0"/>
    <w:rPr>
      <w:sz w:val="20"/>
      <w:szCs w:val="20"/>
    </w:rPr>
  </w:style>
  <w:style w:type="character" w:customStyle="1" w:styleId="EndnoteTextChar">
    <w:name w:val="Endnote Text Char"/>
    <w:basedOn w:val="DefaultParagraphFont"/>
    <w:link w:val="EndnoteText"/>
    <w:uiPriority w:val="99"/>
    <w:rsid w:val="00DA4DA0"/>
    <w:rPr>
      <w:rFonts w:ascii="Arial" w:hAnsi="Arial"/>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843881">
      <w:bodyDiv w:val="1"/>
      <w:marLeft w:val="0"/>
      <w:marRight w:val="0"/>
      <w:marTop w:val="0"/>
      <w:marBottom w:val="0"/>
      <w:divBdr>
        <w:top w:val="none" w:sz="0" w:space="0" w:color="auto"/>
        <w:left w:val="none" w:sz="0" w:space="0" w:color="auto"/>
        <w:bottom w:val="none" w:sz="0" w:space="0" w:color="auto"/>
        <w:right w:val="none" w:sz="0" w:space="0" w:color="auto"/>
      </w:divBdr>
    </w:div>
    <w:div w:id="575674543">
      <w:bodyDiv w:val="1"/>
      <w:marLeft w:val="0"/>
      <w:marRight w:val="0"/>
      <w:marTop w:val="0"/>
      <w:marBottom w:val="0"/>
      <w:divBdr>
        <w:top w:val="none" w:sz="0" w:space="0" w:color="auto"/>
        <w:left w:val="none" w:sz="0" w:space="0" w:color="auto"/>
        <w:bottom w:val="none" w:sz="0" w:space="0" w:color="auto"/>
        <w:right w:val="none" w:sz="0" w:space="0" w:color="auto"/>
      </w:divBdr>
    </w:div>
    <w:div w:id="870873925">
      <w:bodyDiv w:val="1"/>
      <w:marLeft w:val="0"/>
      <w:marRight w:val="0"/>
      <w:marTop w:val="0"/>
      <w:marBottom w:val="0"/>
      <w:divBdr>
        <w:top w:val="none" w:sz="0" w:space="0" w:color="auto"/>
        <w:left w:val="none" w:sz="0" w:space="0" w:color="auto"/>
        <w:bottom w:val="none" w:sz="0" w:space="0" w:color="auto"/>
        <w:right w:val="none" w:sz="0" w:space="0" w:color="auto"/>
      </w:divBdr>
    </w:div>
    <w:div w:id="16022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http://www.fao.org/food/food-safety-quality/scientific-advice/jecfa/jecfa-additives/result/en/" TargetMode="External"/><Relationship Id="rId39" Type="http://schemas.openxmlformats.org/officeDocument/2006/relationships/customXml" Target="../customXml/item4.xml"/><Relationship Id="rId21" Type="http://schemas.openxmlformats.org/officeDocument/2006/relationships/image" Target="media/image6.png"/><Relationship Id="rId34" Type="http://schemas.openxmlformats.org/officeDocument/2006/relationships/hyperlink" Target="http://www.who.int/foodsafety/publications/chemical-food/en/"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faolex.fao.org/docs/pdf/eur111209.pdf" TargetMode="External"/><Relationship Id="rId33" Type="http://schemas.openxmlformats.org/officeDocument/2006/relationships/hyperlink" Target="http://www.inchem.org/documents/jecfa/jecmono/v05je16.htm" TargetMode="Externa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5.png"/><Relationship Id="rId29" Type="http://schemas.openxmlformats.org/officeDocument/2006/relationships/hyperlink" Target="http://www.fao.org/food/food-safety-quality/scientific-advice/jecfa/jecfa-additives/result/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hyperlink" Target="http://ec.europa.eu/food/fs/sc/scf/reports/scf_reports_26.pdf" TargetMode="External"/><Relationship Id="rId37"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hyperlink" Target="http://www.fao.org/food/food-safety-quality/scientific-advice/jecfa/jecfa-additives/result/en/"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yperlink" Target="http://www.efsa.europa.eu/en/efsajournal/pub/377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hyperlink" Target="http://www.fao.org/food/food-safety-quality/scientific-advice/jecfa/jecfa-additives/result/en/" TargetMode="External"/><Relationship Id="rId30" Type="http://schemas.openxmlformats.org/officeDocument/2006/relationships/hyperlink" Target="http://www.codexalimentarius.org/standards/list-of-standards/"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Pt>
            <c:idx val="0"/>
            <c:invertIfNegative val="0"/>
            <c:bubble3D val="0"/>
            <c:spPr>
              <a:solidFill>
                <a:schemeClr val="accent2"/>
              </a:solidFill>
            </c:spPr>
          </c:dPt>
          <c:dPt>
            <c:idx val="1"/>
            <c:invertIfNegative val="0"/>
            <c:bubble3D val="0"/>
            <c:spPr>
              <a:solidFill>
                <a:schemeClr val="accent2"/>
              </a:solidFill>
            </c:spPr>
          </c:dPt>
          <c:dPt>
            <c:idx val="2"/>
            <c:invertIfNegative val="0"/>
            <c:bubble3D val="0"/>
            <c:spPr>
              <a:solidFill>
                <a:schemeClr val="accent2"/>
              </a:solidFill>
            </c:spPr>
          </c:dPt>
          <c:dPt>
            <c:idx val="3"/>
            <c:invertIfNegative val="0"/>
            <c:bubble3D val="0"/>
            <c:spPr>
              <a:solidFill>
                <a:schemeClr val="accent2"/>
              </a:solidFill>
            </c:spPr>
          </c:dPt>
          <c:dPt>
            <c:idx val="4"/>
            <c:invertIfNegative val="0"/>
            <c:bubble3D val="0"/>
            <c:spPr>
              <a:solidFill>
                <a:schemeClr val="tx2">
                  <a:lumMod val="40000"/>
                  <a:lumOff val="60000"/>
                </a:schemeClr>
              </a:solidFill>
            </c:spPr>
          </c:dPt>
          <c:dPt>
            <c:idx val="5"/>
            <c:invertIfNegative val="0"/>
            <c:bubble3D val="0"/>
            <c:spPr>
              <a:solidFill>
                <a:schemeClr val="tx2">
                  <a:lumMod val="40000"/>
                  <a:lumOff val="60000"/>
                </a:schemeClr>
              </a:solidFill>
            </c:spPr>
          </c:dPt>
          <c:dPt>
            <c:idx val="6"/>
            <c:invertIfNegative val="0"/>
            <c:bubble3D val="0"/>
            <c:spPr>
              <a:solidFill>
                <a:schemeClr val="tx2">
                  <a:lumMod val="40000"/>
                  <a:lumOff val="60000"/>
                </a:schemeClr>
              </a:solidFill>
            </c:spPr>
          </c:dPt>
          <c:dPt>
            <c:idx val="7"/>
            <c:invertIfNegative val="0"/>
            <c:bubble3D val="0"/>
            <c:spPr>
              <a:solidFill>
                <a:schemeClr val="tx2">
                  <a:lumMod val="40000"/>
                  <a:lumOff val="60000"/>
                </a:schemeClr>
              </a:solidFill>
            </c:spPr>
          </c:dPt>
          <c:dPt>
            <c:idx val="8"/>
            <c:invertIfNegative val="0"/>
            <c:bubble3D val="0"/>
            <c:spPr>
              <a:solidFill>
                <a:schemeClr val="accent4">
                  <a:lumMod val="60000"/>
                  <a:lumOff val="40000"/>
                </a:schemeClr>
              </a:solidFill>
            </c:spPr>
          </c:dPt>
          <c:dPt>
            <c:idx val="9"/>
            <c:invertIfNegative val="0"/>
            <c:bubble3D val="0"/>
            <c:spPr>
              <a:solidFill>
                <a:schemeClr val="accent4">
                  <a:lumMod val="60000"/>
                  <a:lumOff val="40000"/>
                </a:schemeClr>
              </a:solidFill>
            </c:spPr>
          </c:dPt>
          <c:dPt>
            <c:idx val="10"/>
            <c:invertIfNegative val="0"/>
            <c:bubble3D val="0"/>
            <c:spPr>
              <a:solidFill>
                <a:schemeClr val="accent4">
                  <a:lumMod val="60000"/>
                  <a:lumOff val="40000"/>
                </a:schemeClr>
              </a:solidFill>
            </c:spPr>
          </c:dPt>
          <c:dLbls>
            <c:showLegendKey val="0"/>
            <c:showVal val="1"/>
            <c:showCatName val="0"/>
            <c:showSerName val="0"/>
            <c:showPercent val="0"/>
            <c:showBubbleSize val="0"/>
            <c:showLeaderLines val="0"/>
          </c:dLbls>
          <c:cat>
            <c:strRef>
              <c:f>Sheet1!$B$3:$B$13</c:f>
              <c:strCache>
                <c:ptCount val="11"/>
                <c:pt idx="0">
                  <c:v>Meat (incl. poultry)</c:v>
                </c:pt>
                <c:pt idx="1">
                  <c:v>Dairy</c:v>
                </c:pt>
                <c:pt idx="2">
                  <c:v>Processed</c:v>
                </c:pt>
                <c:pt idx="3">
                  <c:v>Other</c:v>
                </c:pt>
                <c:pt idx="4">
                  <c:v>Fruit/veg/herbs</c:v>
                </c:pt>
                <c:pt idx="5">
                  <c:v>Nuts</c:v>
                </c:pt>
                <c:pt idx="6">
                  <c:v>Meat (incl. poultry)</c:v>
                </c:pt>
                <c:pt idx="7">
                  <c:v>Other</c:v>
                </c:pt>
                <c:pt idx="8">
                  <c:v>Dairy</c:v>
                </c:pt>
                <c:pt idx="9">
                  <c:v>Fruit/veg/herbs</c:v>
                </c:pt>
                <c:pt idx="10">
                  <c:v>Other</c:v>
                </c:pt>
              </c:strCache>
            </c:strRef>
          </c:cat>
          <c:val>
            <c:numRef>
              <c:f>Sheet1!$C$3:$C$13</c:f>
              <c:numCache>
                <c:formatCode>General</c:formatCode>
                <c:ptCount val="11"/>
                <c:pt idx="0">
                  <c:v>43</c:v>
                </c:pt>
                <c:pt idx="1">
                  <c:v>22</c:v>
                </c:pt>
                <c:pt idx="2">
                  <c:v>13</c:v>
                </c:pt>
                <c:pt idx="3">
                  <c:v>10</c:v>
                </c:pt>
                <c:pt idx="4">
                  <c:v>8</c:v>
                </c:pt>
                <c:pt idx="5">
                  <c:v>6</c:v>
                </c:pt>
                <c:pt idx="6">
                  <c:v>5</c:v>
                </c:pt>
                <c:pt idx="7">
                  <c:v>19</c:v>
                </c:pt>
                <c:pt idx="8">
                  <c:v>20</c:v>
                </c:pt>
                <c:pt idx="9">
                  <c:v>6</c:v>
                </c:pt>
                <c:pt idx="10">
                  <c:v>3</c:v>
                </c:pt>
              </c:numCache>
            </c:numRef>
          </c:val>
        </c:ser>
        <c:dLbls>
          <c:showLegendKey val="0"/>
          <c:showVal val="0"/>
          <c:showCatName val="0"/>
          <c:showSerName val="0"/>
          <c:showPercent val="0"/>
          <c:showBubbleSize val="0"/>
        </c:dLbls>
        <c:gapWidth val="150"/>
        <c:axId val="42657664"/>
        <c:axId val="42659200"/>
      </c:barChart>
      <c:catAx>
        <c:axId val="42657664"/>
        <c:scaling>
          <c:orientation val="minMax"/>
        </c:scaling>
        <c:delete val="0"/>
        <c:axPos val="b"/>
        <c:majorTickMark val="out"/>
        <c:minorTickMark val="none"/>
        <c:tickLblPos val="nextTo"/>
        <c:crossAx val="42659200"/>
        <c:crosses val="autoZero"/>
        <c:auto val="1"/>
        <c:lblAlgn val="ctr"/>
        <c:lblOffset val="100"/>
        <c:noMultiLvlLbl val="0"/>
      </c:catAx>
      <c:valAx>
        <c:axId val="42659200"/>
        <c:scaling>
          <c:orientation val="minMax"/>
        </c:scaling>
        <c:delete val="0"/>
        <c:axPos val="l"/>
        <c:majorGridlines/>
        <c:numFmt formatCode="General" sourceLinked="1"/>
        <c:majorTickMark val="out"/>
        <c:minorTickMark val="none"/>
        <c:tickLblPos val="nextTo"/>
        <c:crossAx val="42657664"/>
        <c:crosses val="autoZero"/>
        <c:crossBetween val="between"/>
      </c:valAx>
    </c:plotArea>
    <c:plotVisOnly val="1"/>
    <c:dispBlanksAs val="gap"/>
    <c:showDLblsOverMax val="0"/>
  </c:chart>
  <c:spPr>
    <a:ln w="19050">
      <a:solidFill>
        <a:schemeClr val="tx1"/>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0.41697</cdr:x>
      <cdr:y>0.03624</cdr:y>
    </cdr:from>
    <cdr:to>
      <cdr:x>0.41697</cdr:x>
      <cdr:y>0.76336</cdr:y>
    </cdr:to>
    <cdr:cxnSp macro="">
      <cdr:nvCxnSpPr>
        <cdr:cNvPr id="3" name="Straight Connector 2"/>
        <cdr:cNvCxnSpPr/>
      </cdr:nvCxnSpPr>
      <cdr:spPr>
        <a:xfrm xmlns:a="http://schemas.openxmlformats.org/drawingml/2006/main" flipV="1">
          <a:off x="2478331" y="151074"/>
          <a:ext cx="0" cy="3030738"/>
        </a:xfrm>
        <a:prstGeom xmlns:a="http://schemas.openxmlformats.org/drawingml/2006/main" prst="line">
          <a:avLst/>
        </a:prstGeom>
        <a:ln xmlns:a="http://schemas.openxmlformats.org/drawingml/2006/main" w="15875">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0.14702</cdr:x>
      <cdr:y>0.12479</cdr:y>
    </cdr:from>
    <cdr:to>
      <cdr:x>0.35589</cdr:x>
      <cdr:y>0.23295</cdr:y>
    </cdr:to>
    <cdr:sp macro="" textlink="">
      <cdr:nvSpPr>
        <cdr:cNvPr id="4" name="TextBox 3"/>
        <cdr:cNvSpPr txBox="1"/>
      </cdr:nvSpPr>
      <cdr:spPr>
        <a:xfrm xmlns:a="http://schemas.openxmlformats.org/drawingml/2006/main">
          <a:off x="1200151" y="714376"/>
          <a:ext cx="1704975" cy="619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NZ"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2FFA9FD6109347A9495CD5860AFAE6" ma:contentTypeVersion="4" ma:contentTypeDescription="Create a new document." ma:contentTypeScope="" ma:versionID="d855f31f1184c2f9c5330b102a35b1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7f7f394222715943dc44d7de31b8d340"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060923-2B51-413B-B78A-1AEB64A6C687}"/>
</file>

<file path=customXml/itemProps2.xml><?xml version="1.0" encoding="utf-8"?>
<ds:datastoreItem xmlns:ds="http://schemas.openxmlformats.org/officeDocument/2006/customXml" ds:itemID="{B8C82A3C-E8A9-4705-9042-4A0E76411833}"/>
</file>

<file path=customXml/itemProps3.xml><?xml version="1.0" encoding="utf-8"?>
<ds:datastoreItem xmlns:ds="http://schemas.openxmlformats.org/officeDocument/2006/customXml" ds:itemID="{6352135D-E217-4964-9308-C807D874672C}"/>
</file>

<file path=customXml/itemProps4.xml><?xml version="1.0" encoding="utf-8"?>
<ds:datastoreItem xmlns:ds="http://schemas.openxmlformats.org/officeDocument/2006/customXml" ds:itemID="{BCA54BCE-61B7-4D0C-9260-A01AB05F0F7B}"/>
</file>

<file path=docProps/app.xml><?xml version="1.0" encoding="utf-8"?>
<Properties xmlns="http://schemas.openxmlformats.org/officeDocument/2006/extended-properties" xmlns:vt="http://schemas.openxmlformats.org/officeDocument/2006/docPropsVTypes">
  <Template>Normal</Template>
  <TotalTime>0</TotalTime>
  <Pages>1</Pages>
  <Words>5343</Words>
  <Characters>30459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35731</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A1113 Propionates in Processed Meat CFS SD1</dc:title>
  <dc:creator/>
  <cp:lastModifiedBy/>
  <cp:revision>1</cp:revision>
  <dcterms:created xsi:type="dcterms:W3CDTF">2016-06-27T04:53:00Z</dcterms:created>
  <dcterms:modified xsi:type="dcterms:W3CDTF">2016-06-27T04:54:00Z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0x010100CB2FFA9FD6109347A9495CD5860AFAE6</vt:lpwstr>
  </property>
</Properties>
</file>