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44F5" w:rsidRPr="00FD128E" w:rsidRDefault="00E31628" w:rsidP="009F44F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At the request of FSANZ, Abbott Nutrition addresses below the safety and suitability of the use of short-chain fructooligosaccharides</w:t>
      </w:r>
      <w:r w:rsidR="00362D60">
        <w:rPr>
          <w:rFonts w:ascii="Times New Roman" w:hAnsi="Times New Roman" w:cs="Times New Roman"/>
          <w:sz w:val="24"/>
          <w:szCs w:val="24"/>
        </w:rPr>
        <w:t xml:space="preserve"> (scFOS)</w:t>
      </w:r>
      <w:r>
        <w:rPr>
          <w:rFonts w:ascii="Times New Roman" w:hAnsi="Times New Roman" w:cs="Times New Roman"/>
          <w:sz w:val="24"/>
          <w:szCs w:val="24"/>
        </w:rPr>
        <w:t xml:space="preserve"> in infant and follow</w:t>
      </w:r>
      <w:r w:rsidR="009F44F5">
        <w:rPr>
          <w:rFonts w:ascii="Times New Roman" w:hAnsi="Times New Roman" w:cs="Times New Roman"/>
          <w:sz w:val="24"/>
          <w:szCs w:val="24"/>
        </w:rPr>
        <w:t>-</w:t>
      </w:r>
      <w:r>
        <w:rPr>
          <w:rFonts w:ascii="Times New Roman" w:hAnsi="Times New Roman" w:cs="Times New Roman"/>
          <w:sz w:val="24"/>
          <w:szCs w:val="24"/>
        </w:rPr>
        <w:t xml:space="preserve">on formulas to meet </w:t>
      </w:r>
      <w:r w:rsidR="0096105D" w:rsidRPr="00FD128E">
        <w:rPr>
          <w:rFonts w:ascii="Times New Roman" w:hAnsi="Times New Roman" w:cs="Times New Roman"/>
          <w:sz w:val="24"/>
          <w:szCs w:val="24"/>
        </w:rPr>
        <w:t xml:space="preserve">clauses (d), (e) and (j) of the </w:t>
      </w:r>
      <w:r w:rsidR="009F44F5">
        <w:rPr>
          <w:rFonts w:ascii="Times New Roman" w:hAnsi="Times New Roman" w:cs="Times New Roman"/>
          <w:sz w:val="24"/>
          <w:szCs w:val="24"/>
        </w:rPr>
        <w:t>2011 Ministerial Policy G</w:t>
      </w:r>
      <w:r w:rsidR="009F44F5" w:rsidRPr="00FD128E">
        <w:rPr>
          <w:rFonts w:ascii="Times New Roman" w:hAnsi="Times New Roman" w:cs="Times New Roman"/>
          <w:sz w:val="24"/>
          <w:szCs w:val="24"/>
        </w:rPr>
        <w:t>uideline on the regulation of infant formula products.</w:t>
      </w:r>
    </w:p>
    <w:p w:rsidR="0096105D" w:rsidRPr="00FD128E" w:rsidRDefault="0096105D" w:rsidP="009F44F5">
      <w:pPr>
        <w:autoSpaceDE w:val="0"/>
        <w:autoSpaceDN w:val="0"/>
        <w:adjustRightInd w:val="0"/>
        <w:spacing w:after="0" w:line="240" w:lineRule="auto"/>
        <w:jc w:val="both"/>
        <w:rPr>
          <w:rFonts w:ascii="Times New Roman" w:hAnsi="Times New Roman" w:cs="Times New Roman"/>
          <w:sz w:val="24"/>
          <w:szCs w:val="24"/>
        </w:rPr>
      </w:pPr>
    </w:p>
    <w:p w:rsidR="0096105D" w:rsidRPr="00FD128E" w:rsidRDefault="00DD2805" w:rsidP="009F44F5">
      <w:pPr>
        <w:autoSpaceDE w:val="0"/>
        <w:autoSpaceDN w:val="0"/>
        <w:adjustRightInd w:val="0"/>
        <w:spacing w:after="0" w:line="240" w:lineRule="auto"/>
        <w:jc w:val="both"/>
        <w:rPr>
          <w:rFonts w:ascii="Times New Roman" w:hAnsi="Times New Roman" w:cs="Times New Roman"/>
          <w:i/>
          <w:sz w:val="24"/>
          <w:szCs w:val="24"/>
        </w:rPr>
      </w:pPr>
      <w:r w:rsidRPr="00FD128E">
        <w:rPr>
          <w:rFonts w:ascii="Times New Roman" w:hAnsi="Times New Roman" w:cs="Times New Roman"/>
          <w:i/>
          <w:sz w:val="24"/>
          <w:szCs w:val="24"/>
        </w:rPr>
        <w:t>d)</w:t>
      </w:r>
      <w:r w:rsidR="0096105D" w:rsidRPr="00FD128E">
        <w:rPr>
          <w:rFonts w:ascii="Times New Roman" w:hAnsi="Times New Roman" w:cs="Times New Roman"/>
          <w:i/>
          <w:sz w:val="24"/>
          <w:szCs w:val="24"/>
        </w:rPr>
        <w:t xml:space="preserve">  The composition of infant formula must be safe, suitable for the intended use and must strive to achieve as closely as possible t</w:t>
      </w:r>
      <w:r w:rsidRPr="00FD128E">
        <w:rPr>
          <w:rFonts w:ascii="Times New Roman" w:hAnsi="Times New Roman" w:cs="Times New Roman"/>
          <w:i/>
          <w:sz w:val="24"/>
          <w:szCs w:val="24"/>
        </w:rPr>
        <w:t>he normal growth and development (as measured by appropriate physiological, biochemical and/or functional outcomes) for healthy full term exclusively breastfed infants when infant formula used as the sole source of nutrition up to six months of age.</w:t>
      </w:r>
    </w:p>
    <w:p w:rsidR="00DD2805" w:rsidRPr="00FD128E" w:rsidRDefault="00DD2805" w:rsidP="009F44F5">
      <w:pPr>
        <w:autoSpaceDE w:val="0"/>
        <w:autoSpaceDN w:val="0"/>
        <w:adjustRightInd w:val="0"/>
        <w:spacing w:after="0" w:line="240" w:lineRule="auto"/>
        <w:jc w:val="both"/>
        <w:rPr>
          <w:rFonts w:ascii="Times New Roman" w:hAnsi="Times New Roman" w:cs="Times New Roman"/>
          <w:i/>
          <w:sz w:val="24"/>
          <w:szCs w:val="24"/>
        </w:rPr>
      </w:pPr>
    </w:p>
    <w:p w:rsidR="00DD2805" w:rsidRPr="00FD128E" w:rsidRDefault="00DD2805" w:rsidP="009F44F5">
      <w:pPr>
        <w:autoSpaceDE w:val="0"/>
        <w:autoSpaceDN w:val="0"/>
        <w:adjustRightInd w:val="0"/>
        <w:spacing w:after="0" w:line="240" w:lineRule="auto"/>
        <w:jc w:val="both"/>
        <w:rPr>
          <w:rFonts w:ascii="Times New Roman" w:hAnsi="Times New Roman" w:cs="Times New Roman"/>
          <w:i/>
          <w:sz w:val="24"/>
          <w:szCs w:val="24"/>
        </w:rPr>
      </w:pPr>
      <w:r w:rsidRPr="00FD128E">
        <w:rPr>
          <w:rFonts w:ascii="Times New Roman" w:hAnsi="Times New Roman" w:cs="Times New Roman"/>
          <w:i/>
          <w:sz w:val="24"/>
          <w:szCs w:val="24"/>
        </w:rPr>
        <w:t>e)  The composition of follow-on formula must be safe, suitable for the intended use and must strive to achieve as closely as possible the normal growth and development (as measured by appropriate physiological, biochemical and/or functional outcomes) for healthy full term exclusively breastfed infants when follow-on formula used as the principal source of liquid nourishment in a progressively diversified diet.</w:t>
      </w:r>
    </w:p>
    <w:p w:rsidR="00DD2805" w:rsidRPr="00FD128E" w:rsidRDefault="00DD2805" w:rsidP="009F44F5">
      <w:pPr>
        <w:autoSpaceDE w:val="0"/>
        <w:autoSpaceDN w:val="0"/>
        <w:adjustRightInd w:val="0"/>
        <w:spacing w:after="0" w:line="240" w:lineRule="auto"/>
        <w:jc w:val="both"/>
        <w:rPr>
          <w:rFonts w:ascii="Times New Roman" w:hAnsi="Times New Roman" w:cs="Times New Roman"/>
          <w:sz w:val="24"/>
          <w:szCs w:val="24"/>
        </w:rPr>
      </w:pPr>
    </w:p>
    <w:p w:rsidR="004B54C8" w:rsidRPr="00FD128E" w:rsidRDefault="004B6BE4" w:rsidP="009F44F5">
      <w:pPr>
        <w:autoSpaceDE w:val="0"/>
        <w:autoSpaceDN w:val="0"/>
        <w:adjustRightInd w:val="0"/>
        <w:spacing w:after="0" w:line="360" w:lineRule="auto"/>
        <w:jc w:val="both"/>
        <w:rPr>
          <w:rFonts w:ascii="Times New Roman" w:hAnsi="Times New Roman" w:cs="Times New Roman"/>
          <w:sz w:val="24"/>
          <w:szCs w:val="24"/>
        </w:rPr>
      </w:pPr>
      <w:r w:rsidRPr="00FD128E">
        <w:rPr>
          <w:rFonts w:ascii="Times New Roman" w:hAnsi="Times New Roman" w:cs="Times New Roman"/>
          <w:sz w:val="24"/>
          <w:szCs w:val="24"/>
        </w:rPr>
        <w:t xml:space="preserve">Exclusively breastfed infants consume total oligosaccharides roughly in the range of 5 to 10g per day, assuming typical concentrations in human milk and an approximate human milk intake of 750 mL per day (Raiten, Talbot, &amp; Waters, 1998).  </w:t>
      </w:r>
      <w:r w:rsidR="00D22393" w:rsidRPr="00FD128E">
        <w:rPr>
          <w:rFonts w:ascii="Times New Roman" w:hAnsi="Times New Roman" w:cs="Times New Roman"/>
          <w:sz w:val="24"/>
          <w:szCs w:val="24"/>
        </w:rPr>
        <w:t>The</w:t>
      </w:r>
      <w:r w:rsidRPr="00FD128E">
        <w:rPr>
          <w:rFonts w:ascii="Times New Roman" w:hAnsi="Times New Roman" w:cs="Times New Roman"/>
          <w:sz w:val="24"/>
          <w:szCs w:val="24"/>
        </w:rPr>
        <w:t>se human milk</w:t>
      </w:r>
      <w:r w:rsidR="00D22393" w:rsidRPr="00FD128E">
        <w:rPr>
          <w:rFonts w:ascii="Times New Roman" w:hAnsi="Times New Roman" w:cs="Times New Roman"/>
          <w:sz w:val="24"/>
          <w:szCs w:val="24"/>
        </w:rPr>
        <w:t xml:space="preserve"> </w:t>
      </w:r>
      <w:r w:rsidRPr="00FD128E">
        <w:rPr>
          <w:rFonts w:ascii="Times New Roman" w:hAnsi="Times New Roman" w:cs="Times New Roman"/>
          <w:sz w:val="24"/>
          <w:szCs w:val="24"/>
        </w:rPr>
        <w:t xml:space="preserve">oligosaccharides </w:t>
      </w:r>
      <w:r w:rsidR="00D22393" w:rsidRPr="00FD128E">
        <w:rPr>
          <w:rFonts w:ascii="Times New Roman" w:hAnsi="Times New Roman" w:cs="Times New Roman"/>
          <w:sz w:val="24"/>
          <w:szCs w:val="24"/>
        </w:rPr>
        <w:t xml:space="preserve">are not currently available to provide in infant formula.  </w:t>
      </w:r>
      <w:r w:rsidRPr="00FD128E">
        <w:rPr>
          <w:rFonts w:ascii="Times New Roman" w:hAnsi="Times New Roman" w:cs="Times New Roman"/>
          <w:sz w:val="24"/>
          <w:szCs w:val="24"/>
        </w:rPr>
        <w:t>However, a</w:t>
      </w:r>
      <w:r w:rsidR="00D22393" w:rsidRPr="00FD128E">
        <w:rPr>
          <w:rFonts w:ascii="Times New Roman" w:hAnsi="Times New Roman" w:cs="Times New Roman"/>
          <w:sz w:val="24"/>
          <w:szCs w:val="24"/>
        </w:rPr>
        <w:t xml:space="preserve"> recognized source of oligosaccharides with demonstrated safe use are</w:t>
      </w:r>
      <w:r w:rsidR="007F2BE6" w:rsidRPr="00FD128E">
        <w:rPr>
          <w:rFonts w:ascii="Times New Roman" w:hAnsi="Times New Roman" w:cs="Times New Roman"/>
          <w:sz w:val="24"/>
          <w:szCs w:val="24"/>
        </w:rPr>
        <w:t xml:space="preserve"> the</w:t>
      </w:r>
      <w:r w:rsidR="00EB3E25" w:rsidRPr="00FD128E">
        <w:rPr>
          <w:rFonts w:ascii="Times New Roman" w:hAnsi="Times New Roman" w:cs="Times New Roman"/>
          <w:sz w:val="24"/>
          <w:szCs w:val="24"/>
        </w:rPr>
        <w:t xml:space="preserve"> </w:t>
      </w:r>
      <w:r w:rsidR="00BE30EB" w:rsidRPr="00FD128E">
        <w:rPr>
          <w:rFonts w:ascii="Times New Roman" w:hAnsi="Times New Roman" w:cs="Times New Roman"/>
          <w:sz w:val="24"/>
          <w:szCs w:val="24"/>
        </w:rPr>
        <w:t>β</w:t>
      </w:r>
      <w:r w:rsidR="00D22393" w:rsidRPr="00FD128E">
        <w:rPr>
          <w:rFonts w:ascii="Times New Roman" w:hAnsi="Times New Roman" w:cs="Times New Roman"/>
          <w:sz w:val="24"/>
          <w:szCs w:val="24"/>
        </w:rPr>
        <w:t>-</w:t>
      </w:r>
      <w:r w:rsidR="00BE30EB" w:rsidRPr="00FD128E">
        <w:rPr>
          <w:rFonts w:ascii="Times New Roman" w:hAnsi="Times New Roman" w:cs="Times New Roman"/>
          <w:sz w:val="24"/>
          <w:szCs w:val="24"/>
        </w:rPr>
        <w:t xml:space="preserve">2,1 fructans. </w:t>
      </w:r>
      <w:r w:rsidR="00A64EC5">
        <w:rPr>
          <w:rFonts w:ascii="Times New Roman" w:hAnsi="Times New Roman" w:cs="Times New Roman"/>
          <w:sz w:val="24"/>
          <w:szCs w:val="24"/>
        </w:rPr>
        <w:t xml:space="preserve"> </w:t>
      </w:r>
      <w:r w:rsidR="007F2BE6" w:rsidRPr="00FD128E">
        <w:rPr>
          <w:rFonts w:ascii="Times New Roman" w:hAnsi="Times New Roman" w:cs="Times New Roman"/>
          <w:sz w:val="24"/>
          <w:szCs w:val="24"/>
        </w:rPr>
        <w:t xml:space="preserve"> </w:t>
      </w:r>
      <w:r w:rsidR="00762779" w:rsidRPr="00FD128E">
        <w:rPr>
          <w:rFonts w:ascii="Times New Roman" w:hAnsi="Times New Roman" w:cs="Times New Roman"/>
          <w:sz w:val="24"/>
          <w:szCs w:val="24"/>
        </w:rPr>
        <w:t>In</w:t>
      </w:r>
      <w:r w:rsidR="00C85E6F" w:rsidRPr="00FD128E">
        <w:rPr>
          <w:rFonts w:ascii="Times New Roman" w:hAnsi="Times New Roman" w:cs="Times New Roman"/>
          <w:sz w:val="24"/>
          <w:szCs w:val="24"/>
        </w:rPr>
        <w:t xml:space="preserve"> </w:t>
      </w:r>
      <w:r w:rsidR="00762779" w:rsidRPr="00FD128E">
        <w:rPr>
          <w:rFonts w:ascii="Times New Roman" w:hAnsi="Times New Roman" w:cs="Times New Roman"/>
          <w:sz w:val="24"/>
          <w:szCs w:val="24"/>
        </w:rPr>
        <w:t>Jap</w:t>
      </w:r>
      <w:r w:rsidR="004B54C8" w:rsidRPr="00FD128E">
        <w:rPr>
          <w:rFonts w:ascii="Times New Roman" w:hAnsi="Times New Roman" w:cs="Times New Roman"/>
          <w:sz w:val="24"/>
          <w:szCs w:val="24"/>
        </w:rPr>
        <w:t xml:space="preserve">an, </w:t>
      </w:r>
      <w:r w:rsidR="00762779" w:rsidRPr="00FD128E">
        <w:rPr>
          <w:rFonts w:ascii="Times New Roman" w:hAnsi="Times New Roman" w:cs="Times New Roman"/>
          <w:sz w:val="24"/>
          <w:szCs w:val="24"/>
        </w:rPr>
        <w:t>scFOS has been, used extensively in infant formu</w:t>
      </w:r>
      <w:r w:rsidR="004B54C8" w:rsidRPr="00FD128E">
        <w:rPr>
          <w:rFonts w:ascii="Times New Roman" w:hAnsi="Times New Roman" w:cs="Times New Roman"/>
          <w:sz w:val="24"/>
          <w:szCs w:val="24"/>
        </w:rPr>
        <w:t>la and foods for young children</w:t>
      </w:r>
      <w:r w:rsidR="00762779" w:rsidRPr="00FD128E">
        <w:rPr>
          <w:rFonts w:ascii="Times New Roman" w:hAnsi="Times New Roman" w:cs="Times New Roman"/>
          <w:sz w:val="24"/>
          <w:szCs w:val="24"/>
        </w:rPr>
        <w:t xml:space="preserve"> for many years, with the acceptable intake level of 4.2 g scFOS/day determined for infants less than one year of age based primarily on published safety and tolerance information from a large nationwide survey of infants in Japan (Yamamoto &amp; Yonekubo, 1993). </w:t>
      </w:r>
      <w:r w:rsidR="00A64EC5">
        <w:rPr>
          <w:rFonts w:ascii="Times New Roman" w:hAnsi="Times New Roman" w:cs="Times New Roman"/>
          <w:sz w:val="24"/>
          <w:szCs w:val="24"/>
        </w:rPr>
        <w:t xml:space="preserve"> I</w:t>
      </w:r>
      <w:r w:rsidR="00762779" w:rsidRPr="00FD128E">
        <w:rPr>
          <w:rFonts w:ascii="Times New Roman" w:hAnsi="Times New Roman" w:cs="Times New Roman"/>
          <w:sz w:val="24"/>
          <w:szCs w:val="24"/>
        </w:rPr>
        <w:t>n that survey of 20,742 infants (up to 4.5 months of age), physical growth, nutritional intake, faecal properties and general health parameters for both breast milk- and infant formula</w:t>
      </w:r>
      <w:r w:rsidR="00762779" w:rsidRPr="00FD128E">
        <w:rPr>
          <w:rFonts w:ascii="Calibri" w:hAnsi="Calibri" w:cs="Times New Roman"/>
          <w:sz w:val="24"/>
          <w:szCs w:val="24"/>
        </w:rPr>
        <w:t>‐</w:t>
      </w:r>
      <w:r w:rsidR="00762779" w:rsidRPr="00FD128E">
        <w:rPr>
          <w:rFonts w:ascii="Times New Roman" w:hAnsi="Times New Roman" w:cs="Times New Roman"/>
          <w:sz w:val="24"/>
          <w:szCs w:val="24"/>
        </w:rPr>
        <w:t xml:space="preserve">fed infants were reported. </w:t>
      </w:r>
      <w:r w:rsidR="00A64EC5">
        <w:rPr>
          <w:rFonts w:ascii="Times New Roman" w:hAnsi="Times New Roman" w:cs="Times New Roman"/>
          <w:sz w:val="24"/>
          <w:szCs w:val="24"/>
        </w:rPr>
        <w:t xml:space="preserve">  </w:t>
      </w:r>
      <w:r w:rsidR="00762779" w:rsidRPr="00FD128E">
        <w:rPr>
          <w:rFonts w:ascii="Times New Roman" w:hAnsi="Times New Roman" w:cs="Times New Roman"/>
          <w:sz w:val="24"/>
          <w:szCs w:val="24"/>
        </w:rPr>
        <w:t xml:space="preserve">No adverse effects were reported for any of the health parameters surveyed. </w:t>
      </w:r>
      <w:r w:rsidR="00A64EC5">
        <w:rPr>
          <w:rFonts w:ascii="Times New Roman" w:hAnsi="Times New Roman" w:cs="Times New Roman"/>
          <w:sz w:val="24"/>
          <w:szCs w:val="24"/>
        </w:rPr>
        <w:t xml:space="preserve"> </w:t>
      </w:r>
      <w:r w:rsidR="00762779" w:rsidRPr="00FD128E">
        <w:rPr>
          <w:rFonts w:ascii="Times New Roman" w:hAnsi="Times New Roman" w:cs="Times New Roman"/>
          <w:sz w:val="24"/>
          <w:szCs w:val="24"/>
        </w:rPr>
        <w:t>Based on the concentration of scFOS in infant formula in Japan at the time of the survey (3.2 g scFOS/L), infants were estimated to consume a mean and 90</w:t>
      </w:r>
      <w:r w:rsidR="00762779" w:rsidRPr="00FD128E">
        <w:rPr>
          <w:rFonts w:ascii="Times New Roman" w:hAnsi="Times New Roman" w:cs="Times New Roman"/>
          <w:sz w:val="24"/>
          <w:szCs w:val="24"/>
          <w:vertAlign w:val="superscript"/>
        </w:rPr>
        <w:t>th</w:t>
      </w:r>
      <w:r w:rsidR="00762779" w:rsidRPr="00FD128E">
        <w:rPr>
          <w:rFonts w:ascii="Times New Roman" w:hAnsi="Times New Roman" w:cs="Times New Roman"/>
          <w:sz w:val="24"/>
          <w:szCs w:val="24"/>
        </w:rPr>
        <w:t xml:space="preserve"> percentile intake of 3.0 and 4.2 g/day of scFOS, respectively. </w:t>
      </w:r>
    </w:p>
    <w:p w:rsidR="004B54C8" w:rsidRPr="00FD128E" w:rsidRDefault="004B54C8" w:rsidP="009F44F5">
      <w:pPr>
        <w:autoSpaceDE w:val="0"/>
        <w:autoSpaceDN w:val="0"/>
        <w:adjustRightInd w:val="0"/>
        <w:spacing w:after="0" w:line="240" w:lineRule="auto"/>
        <w:jc w:val="both"/>
        <w:rPr>
          <w:rFonts w:ascii="Times New Roman" w:hAnsi="Times New Roman" w:cs="Times New Roman"/>
          <w:sz w:val="24"/>
          <w:szCs w:val="24"/>
        </w:rPr>
      </w:pPr>
    </w:p>
    <w:p w:rsidR="00BE30EB" w:rsidRPr="00FD128E" w:rsidRDefault="00762779" w:rsidP="009F44F5">
      <w:pPr>
        <w:autoSpaceDE w:val="0"/>
        <w:autoSpaceDN w:val="0"/>
        <w:adjustRightInd w:val="0"/>
        <w:spacing w:after="0" w:line="360" w:lineRule="auto"/>
        <w:jc w:val="both"/>
        <w:rPr>
          <w:rFonts w:ascii="Times New Roman" w:hAnsi="Times New Roman" w:cs="Times New Roman"/>
          <w:sz w:val="24"/>
          <w:szCs w:val="24"/>
        </w:rPr>
      </w:pPr>
      <w:r w:rsidRPr="00FD128E">
        <w:rPr>
          <w:rFonts w:ascii="Times New Roman" w:hAnsi="Times New Roman" w:cs="Times New Roman"/>
          <w:sz w:val="24"/>
          <w:szCs w:val="24"/>
        </w:rPr>
        <w:t xml:space="preserve">A systematic review of randomized controlled trials evaluating the efficacy and safety of prebiotic supplementation in </w:t>
      </w:r>
      <w:r w:rsidR="007F2BE6" w:rsidRPr="00FD128E">
        <w:rPr>
          <w:rFonts w:ascii="Times New Roman" w:hAnsi="Times New Roman" w:cs="Times New Roman"/>
          <w:sz w:val="24"/>
          <w:szCs w:val="24"/>
        </w:rPr>
        <w:t>full</w:t>
      </w:r>
      <w:r w:rsidRPr="00FD128E">
        <w:rPr>
          <w:rFonts w:ascii="Calibri" w:hAnsi="Calibri" w:cs="Times New Roman"/>
          <w:sz w:val="24"/>
          <w:szCs w:val="24"/>
        </w:rPr>
        <w:t>‐</w:t>
      </w:r>
      <w:r w:rsidR="00646A2D">
        <w:rPr>
          <w:rFonts w:ascii="Times New Roman" w:hAnsi="Times New Roman" w:cs="Times New Roman"/>
          <w:sz w:val="24"/>
          <w:szCs w:val="24"/>
        </w:rPr>
        <w:t>term infants (Rao</w:t>
      </w:r>
      <w:r w:rsidRPr="00FD128E">
        <w:rPr>
          <w:rFonts w:ascii="Times New Roman" w:hAnsi="Times New Roman" w:cs="Times New Roman"/>
          <w:sz w:val="24"/>
          <w:szCs w:val="24"/>
        </w:rPr>
        <w:t xml:space="preserve"> et al., 2009), made no differentiation of the </w:t>
      </w:r>
      <w:r w:rsidRPr="00FD128E">
        <w:rPr>
          <w:rFonts w:ascii="Times New Roman" w:hAnsi="Times New Roman" w:cs="Times New Roman"/>
          <w:sz w:val="24"/>
          <w:szCs w:val="24"/>
        </w:rPr>
        <w:lastRenderedPageBreak/>
        <w:t>oligofructan types in the selection cri</w:t>
      </w:r>
      <w:r w:rsidR="004B54C8" w:rsidRPr="00FD128E">
        <w:rPr>
          <w:rFonts w:ascii="Times New Roman" w:hAnsi="Times New Roman" w:cs="Times New Roman"/>
          <w:sz w:val="24"/>
          <w:szCs w:val="24"/>
        </w:rPr>
        <w:t xml:space="preserve">teria, including the 2006 study </w:t>
      </w:r>
      <w:r w:rsidRPr="00FD128E">
        <w:rPr>
          <w:rFonts w:ascii="Times New Roman" w:hAnsi="Times New Roman" w:cs="Times New Roman"/>
          <w:sz w:val="24"/>
          <w:szCs w:val="24"/>
        </w:rPr>
        <w:t>of Bettler and Euler (oligofructose supplemented) alongside other prebiotics. The conclusion of Rao et</w:t>
      </w:r>
      <w:r w:rsidR="007F2BE6" w:rsidRPr="00FD128E">
        <w:rPr>
          <w:rFonts w:ascii="Times New Roman" w:hAnsi="Times New Roman" w:cs="Times New Roman"/>
          <w:sz w:val="24"/>
          <w:szCs w:val="24"/>
        </w:rPr>
        <w:t xml:space="preserve"> a</w:t>
      </w:r>
      <w:r w:rsidRPr="00FD128E">
        <w:rPr>
          <w:rFonts w:ascii="Times New Roman" w:hAnsi="Times New Roman" w:cs="Times New Roman"/>
          <w:sz w:val="24"/>
          <w:szCs w:val="24"/>
        </w:rPr>
        <w:t>l (2009) was that prebiotic</w:t>
      </w:r>
      <w:r w:rsidR="007F2BE6" w:rsidRPr="00FD128E">
        <w:rPr>
          <w:rFonts w:ascii="Times New Roman" w:hAnsi="Times New Roman" w:cs="Times New Roman"/>
          <w:sz w:val="24"/>
          <w:szCs w:val="24"/>
        </w:rPr>
        <w:t>-</w:t>
      </w:r>
      <w:r w:rsidRPr="00FD128E">
        <w:rPr>
          <w:rFonts w:ascii="Times New Roman" w:hAnsi="Times New Roman" w:cs="Times New Roman"/>
          <w:sz w:val="24"/>
          <w:szCs w:val="24"/>
        </w:rPr>
        <w:t xml:space="preserve">supplemented formula is well tolerated by term neonates, and that it results in beneficial changes to bacterial microflora, and stool consistency that is similar to those of breastfed infants, without </w:t>
      </w:r>
      <w:r w:rsidR="00D360BF">
        <w:rPr>
          <w:rFonts w:ascii="Times New Roman" w:hAnsi="Times New Roman" w:cs="Times New Roman"/>
          <w:sz w:val="24"/>
          <w:szCs w:val="24"/>
        </w:rPr>
        <w:t>compromising</w:t>
      </w:r>
      <w:r w:rsidRPr="00FD128E">
        <w:rPr>
          <w:rFonts w:ascii="Times New Roman" w:hAnsi="Times New Roman" w:cs="Times New Roman"/>
          <w:sz w:val="24"/>
          <w:szCs w:val="24"/>
        </w:rPr>
        <w:t xml:space="preserve"> weight gain. </w:t>
      </w:r>
      <w:r w:rsidR="00A64EC5">
        <w:rPr>
          <w:rFonts w:ascii="Times New Roman" w:hAnsi="Times New Roman" w:cs="Times New Roman"/>
          <w:sz w:val="24"/>
          <w:szCs w:val="24"/>
        </w:rPr>
        <w:t xml:space="preserve"> </w:t>
      </w:r>
      <w:r w:rsidRPr="00FD128E">
        <w:rPr>
          <w:rFonts w:ascii="Times New Roman" w:hAnsi="Times New Roman" w:cs="Times New Roman"/>
          <w:sz w:val="24"/>
          <w:szCs w:val="24"/>
        </w:rPr>
        <w:t xml:space="preserve">Several recent reviews of the roles of </w:t>
      </w:r>
      <w:r w:rsidR="00D360BF">
        <w:rPr>
          <w:rFonts w:ascii="Times New Roman" w:hAnsi="Times New Roman" w:cs="Times New Roman"/>
          <w:sz w:val="24"/>
          <w:szCs w:val="24"/>
        </w:rPr>
        <w:t>oligosaccharides</w:t>
      </w:r>
      <w:r w:rsidRPr="00FD128E">
        <w:rPr>
          <w:rFonts w:ascii="Times New Roman" w:hAnsi="Times New Roman" w:cs="Times New Roman"/>
          <w:sz w:val="24"/>
          <w:szCs w:val="24"/>
        </w:rPr>
        <w:t xml:space="preserve"> in infant formula recognize scFOS as one of the range of prebiotics substances suitable for </w:t>
      </w:r>
      <w:r w:rsidR="004B54C8" w:rsidRPr="00FD128E">
        <w:rPr>
          <w:rFonts w:ascii="Times New Roman" w:hAnsi="Times New Roman" w:cs="Times New Roman"/>
          <w:sz w:val="24"/>
          <w:szCs w:val="24"/>
        </w:rPr>
        <w:t xml:space="preserve">this </w:t>
      </w:r>
      <w:r w:rsidRPr="00FD128E">
        <w:rPr>
          <w:rFonts w:ascii="Times New Roman" w:hAnsi="Times New Roman" w:cs="Times New Roman"/>
          <w:sz w:val="24"/>
          <w:szCs w:val="24"/>
        </w:rPr>
        <w:t>purpose (Braegger et al., 2011; Sherman et al., 2009)</w:t>
      </w:r>
      <w:r w:rsidR="00656301" w:rsidRPr="00FD128E">
        <w:rPr>
          <w:rFonts w:ascii="Times New Roman" w:hAnsi="Times New Roman" w:cs="Times New Roman"/>
          <w:sz w:val="24"/>
          <w:szCs w:val="24"/>
        </w:rPr>
        <w:t>.</w:t>
      </w:r>
      <w:r w:rsidR="00EF6B88" w:rsidRPr="00FD128E">
        <w:rPr>
          <w:rFonts w:ascii="Times New Roman" w:hAnsi="Times New Roman" w:cs="Times New Roman"/>
          <w:sz w:val="24"/>
          <w:szCs w:val="24"/>
        </w:rPr>
        <w:t xml:space="preserve">  Additionally, a</w:t>
      </w:r>
      <w:r w:rsidR="00EF6278" w:rsidRPr="00FD128E">
        <w:rPr>
          <w:rFonts w:ascii="Times New Roman" w:hAnsi="Times New Roman" w:cs="Times New Roman"/>
          <w:sz w:val="24"/>
          <w:szCs w:val="24"/>
        </w:rPr>
        <w:t xml:space="preserve"> study </w:t>
      </w:r>
      <w:r w:rsidR="00EF6B88" w:rsidRPr="00FD128E">
        <w:rPr>
          <w:rFonts w:ascii="Times New Roman" w:hAnsi="Times New Roman" w:cs="Times New Roman"/>
          <w:sz w:val="24"/>
          <w:szCs w:val="24"/>
        </w:rPr>
        <w:t xml:space="preserve">cited in the dossier that </w:t>
      </w:r>
      <w:r w:rsidR="00EF6278" w:rsidRPr="00FD128E">
        <w:rPr>
          <w:rFonts w:ascii="Times New Roman" w:hAnsi="Times New Roman" w:cs="Times New Roman"/>
          <w:sz w:val="24"/>
          <w:szCs w:val="24"/>
        </w:rPr>
        <w:t>evaluat</w:t>
      </w:r>
      <w:r w:rsidR="00EF6B88" w:rsidRPr="00FD128E">
        <w:rPr>
          <w:rFonts w:ascii="Times New Roman" w:hAnsi="Times New Roman" w:cs="Times New Roman"/>
          <w:sz w:val="24"/>
          <w:szCs w:val="24"/>
        </w:rPr>
        <w:t xml:space="preserve">ed the effects of infant consumption and tolerance to </w:t>
      </w:r>
      <w:r w:rsidR="00EF6278" w:rsidRPr="00FD128E">
        <w:rPr>
          <w:rFonts w:ascii="Times New Roman" w:hAnsi="Times New Roman" w:cs="Times New Roman"/>
          <w:sz w:val="24"/>
          <w:szCs w:val="24"/>
        </w:rPr>
        <w:t>oligofructose/i</w:t>
      </w:r>
      <w:r w:rsidR="00B43456" w:rsidRPr="00FD128E">
        <w:rPr>
          <w:rFonts w:ascii="Times New Roman" w:hAnsi="Times New Roman" w:cs="Times New Roman"/>
          <w:sz w:val="24"/>
          <w:szCs w:val="24"/>
        </w:rPr>
        <w:t xml:space="preserve">nulin </w:t>
      </w:r>
      <w:r w:rsidR="00EF6278" w:rsidRPr="00FD128E">
        <w:rPr>
          <w:rFonts w:ascii="Times New Roman" w:hAnsi="Times New Roman" w:cs="Times New Roman"/>
          <w:sz w:val="24"/>
          <w:szCs w:val="24"/>
        </w:rPr>
        <w:t xml:space="preserve">containing formulas </w:t>
      </w:r>
      <w:r w:rsidR="00EF6B88" w:rsidRPr="00FD128E">
        <w:rPr>
          <w:rFonts w:ascii="Times New Roman" w:hAnsi="Times New Roman" w:cs="Times New Roman"/>
          <w:sz w:val="24"/>
          <w:szCs w:val="24"/>
        </w:rPr>
        <w:t>was recently published by the Journal of Pediatric Gastroenterology and Nutrition (Ve</w:t>
      </w:r>
      <w:r w:rsidR="00973C6B">
        <w:rPr>
          <w:rFonts w:ascii="Times New Roman" w:hAnsi="Times New Roman" w:cs="Times New Roman"/>
          <w:sz w:val="24"/>
          <w:szCs w:val="24"/>
        </w:rPr>
        <w:t>ereman-Wauters et al</w:t>
      </w:r>
      <w:r w:rsidR="0027336E">
        <w:rPr>
          <w:rFonts w:ascii="Times New Roman" w:hAnsi="Times New Roman" w:cs="Times New Roman"/>
          <w:sz w:val="24"/>
          <w:szCs w:val="24"/>
        </w:rPr>
        <w:t>.</w:t>
      </w:r>
      <w:r w:rsidR="00973C6B">
        <w:rPr>
          <w:rFonts w:ascii="Times New Roman" w:hAnsi="Times New Roman" w:cs="Times New Roman"/>
          <w:sz w:val="24"/>
          <w:szCs w:val="24"/>
        </w:rPr>
        <w:t xml:space="preserve">, 2011).   </w:t>
      </w:r>
      <w:r w:rsidR="00EF6B88" w:rsidRPr="00FD128E">
        <w:rPr>
          <w:rFonts w:ascii="Times New Roman" w:hAnsi="Times New Roman" w:cs="Times New Roman"/>
          <w:sz w:val="24"/>
          <w:szCs w:val="24"/>
        </w:rPr>
        <w:t>This wor</w:t>
      </w:r>
      <w:r w:rsidR="00973C6B">
        <w:rPr>
          <w:rFonts w:ascii="Times New Roman" w:hAnsi="Times New Roman" w:cs="Times New Roman"/>
          <w:sz w:val="24"/>
          <w:szCs w:val="24"/>
        </w:rPr>
        <w:t>k demonstrates</w:t>
      </w:r>
      <w:r w:rsidR="00EF6B88" w:rsidRPr="00FD128E">
        <w:rPr>
          <w:rFonts w:ascii="Times New Roman" w:hAnsi="Times New Roman" w:cs="Times New Roman"/>
          <w:sz w:val="24"/>
          <w:szCs w:val="24"/>
        </w:rPr>
        <w:t xml:space="preserve"> the</w:t>
      </w:r>
      <w:r w:rsidR="00EF6278" w:rsidRPr="00FD128E">
        <w:rPr>
          <w:rFonts w:ascii="Times New Roman" w:hAnsi="Times New Roman" w:cs="Times New Roman"/>
          <w:sz w:val="24"/>
          <w:szCs w:val="24"/>
        </w:rPr>
        <w:t xml:space="preserve"> safety and suitability over a period of 28 days </w:t>
      </w:r>
      <w:r w:rsidR="00EF6B88" w:rsidRPr="00FD128E">
        <w:rPr>
          <w:rFonts w:ascii="Times New Roman" w:hAnsi="Times New Roman" w:cs="Times New Roman"/>
          <w:sz w:val="24"/>
          <w:szCs w:val="24"/>
        </w:rPr>
        <w:t xml:space="preserve">of a combination of short and long-chain inulin-derived fructooligosaccharides.  </w:t>
      </w:r>
      <w:r w:rsidR="00973C6B">
        <w:rPr>
          <w:rFonts w:ascii="Times New Roman" w:hAnsi="Times New Roman" w:cs="Times New Roman"/>
          <w:sz w:val="24"/>
          <w:szCs w:val="24"/>
        </w:rPr>
        <w:t>It also</w:t>
      </w:r>
      <w:r w:rsidR="00EF6B88" w:rsidRPr="00FD128E">
        <w:rPr>
          <w:rFonts w:ascii="Times New Roman" w:hAnsi="Times New Roman" w:cs="Times New Roman"/>
          <w:sz w:val="24"/>
          <w:szCs w:val="24"/>
        </w:rPr>
        <w:t xml:space="preserve"> confirmed that infants fed formulas with a combination of scFOS and lcFOS had softer stools</w:t>
      </w:r>
      <w:r w:rsidR="00973C6B">
        <w:rPr>
          <w:rFonts w:ascii="Times New Roman" w:hAnsi="Times New Roman" w:cs="Times New Roman"/>
          <w:sz w:val="24"/>
          <w:szCs w:val="24"/>
        </w:rPr>
        <w:t>, with no effects on hydration status,</w:t>
      </w:r>
      <w:r w:rsidR="00EF6B88" w:rsidRPr="00FD128E">
        <w:rPr>
          <w:rFonts w:ascii="Times New Roman" w:hAnsi="Times New Roman" w:cs="Times New Roman"/>
          <w:sz w:val="24"/>
          <w:szCs w:val="24"/>
        </w:rPr>
        <w:t xml:space="preserve"> when compared to those </w:t>
      </w:r>
      <w:r w:rsidR="00973C6B">
        <w:rPr>
          <w:rFonts w:ascii="Times New Roman" w:hAnsi="Times New Roman" w:cs="Times New Roman"/>
          <w:sz w:val="24"/>
          <w:szCs w:val="24"/>
        </w:rPr>
        <w:t xml:space="preserve">fed the control formula. </w:t>
      </w:r>
      <w:r w:rsidR="00A64EC5">
        <w:rPr>
          <w:rFonts w:ascii="Times New Roman" w:hAnsi="Times New Roman" w:cs="Times New Roman"/>
          <w:sz w:val="24"/>
          <w:szCs w:val="24"/>
        </w:rPr>
        <w:t xml:space="preserve"> </w:t>
      </w:r>
      <w:r w:rsidR="00973C6B">
        <w:rPr>
          <w:rFonts w:ascii="Times New Roman" w:hAnsi="Times New Roman" w:cs="Times New Roman"/>
          <w:sz w:val="24"/>
          <w:szCs w:val="24"/>
        </w:rPr>
        <w:t>Moreover</w:t>
      </w:r>
      <w:r w:rsidR="00EF6B88" w:rsidRPr="00FD128E">
        <w:rPr>
          <w:rFonts w:ascii="Times New Roman" w:hAnsi="Times New Roman" w:cs="Times New Roman"/>
          <w:sz w:val="24"/>
          <w:szCs w:val="24"/>
        </w:rPr>
        <w:t xml:space="preserve"> the total number of fecal bacteria was observed to increase, </w:t>
      </w:r>
      <w:r w:rsidR="00973C6B">
        <w:rPr>
          <w:rFonts w:ascii="Times New Roman" w:hAnsi="Times New Roman" w:cs="Times New Roman"/>
          <w:sz w:val="24"/>
          <w:szCs w:val="24"/>
        </w:rPr>
        <w:t>and more closely resembled</w:t>
      </w:r>
      <w:r w:rsidR="00EF6B88" w:rsidRPr="00FD128E">
        <w:rPr>
          <w:rFonts w:ascii="Times New Roman" w:hAnsi="Times New Roman" w:cs="Times New Roman"/>
          <w:sz w:val="24"/>
          <w:szCs w:val="24"/>
        </w:rPr>
        <w:t xml:space="preserve"> the pattern from human milk-fed infants.</w:t>
      </w:r>
    </w:p>
    <w:p w:rsidR="00656301" w:rsidRPr="00FD128E" w:rsidRDefault="00656301" w:rsidP="009F44F5">
      <w:pPr>
        <w:autoSpaceDE w:val="0"/>
        <w:autoSpaceDN w:val="0"/>
        <w:adjustRightInd w:val="0"/>
        <w:spacing w:after="0" w:line="240" w:lineRule="auto"/>
        <w:jc w:val="both"/>
        <w:rPr>
          <w:rFonts w:ascii="Times New Roman" w:hAnsi="Times New Roman" w:cs="Times New Roman"/>
          <w:sz w:val="24"/>
          <w:szCs w:val="24"/>
        </w:rPr>
      </w:pPr>
    </w:p>
    <w:p w:rsidR="00656301" w:rsidRPr="00FD128E" w:rsidRDefault="007104D6" w:rsidP="009F44F5">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Abbott Nutrition has conducted multiple </w:t>
      </w:r>
      <w:r w:rsidR="00A64EC5">
        <w:rPr>
          <w:rFonts w:ascii="Times New Roman" w:hAnsi="Times New Roman" w:cs="Times New Roman"/>
          <w:sz w:val="24"/>
          <w:szCs w:val="24"/>
        </w:rPr>
        <w:t>prospective,</w:t>
      </w:r>
      <w:r w:rsidR="005F4A1B">
        <w:rPr>
          <w:rFonts w:ascii="Times New Roman" w:hAnsi="Times New Roman" w:cs="Times New Roman"/>
          <w:sz w:val="24"/>
          <w:szCs w:val="24"/>
        </w:rPr>
        <w:t xml:space="preserve"> randomized</w:t>
      </w:r>
      <w:r w:rsidR="00A64EC5">
        <w:rPr>
          <w:rFonts w:ascii="Times New Roman" w:hAnsi="Times New Roman" w:cs="Times New Roman"/>
          <w:sz w:val="24"/>
          <w:szCs w:val="24"/>
        </w:rPr>
        <w:t>, controlled</w:t>
      </w:r>
      <w:r w:rsidR="005F4A1B">
        <w:rPr>
          <w:rFonts w:ascii="Times New Roman" w:hAnsi="Times New Roman" w:cs="Times New Roman"/>
          <w:sz w:val="24"/>
          <w:szCs w:val="24"/>
        </w:rPr>
        <w:t xml:space="preserve"> </w:t>
      </w:r>
      <w:r w:rsidR="00656301" w:rsidRPr="00FD128E">
        <w:rPr>
          <w:rFonts w:ascii="Times New Roman" w:hAnsi="Times New Roman" w:cs="Times New Roman"/>
          <w:sz w:val="24"/>
          <w:szCs w:val="24"/>
        </w:rPr>
        <w:t xml:space="preserve">clinical trials </w:t>
      </w:r>
      <w:r>
        <w:rPr>
          <w:rFonts w:ascii="Times New Roman" w:hAnsi="Times New Roman" w:cs="Times New Roman"/>
          <w:sz w:val="24"/>
          <w:szCs w:val="24"/>
        </w:rPr>
        <w:t>demonstrating</w:t>
      </w:r>
      <w:r w:rsidR="00656301" w:rsidRPr="00FD128E">
        <w:rPr>
          <w:rFonts w:ascii="Times New Roman" w:hAnsi="Times New Roman" w:cs="Times New Roman"/>
          <w:sz w:val="24"/>
          <w:szCs w:val="24"/>
        </w:rPr>
        <w:t xml:space="preserve"> that infant </w:t>
      </w:r>
      <w:r w:rsidR="00B43456" w:rsidRPr="00FD128E">
        <w:rPr>
          <w:rFonts w:ascii="Times New Roman" w:hAnsi="Times New Roman" w:cs="Times New Roman"/>
          <w:sz w:val="24"/>
          <w:szCs w:val="24"/>
        </w:rPr>
        <w:t xml:space="preserve">and toddler </w:t>
      </w:r>
      <w:r w:rsidR="00656301" w:rsidRPr="00FD128E">
        <w:rPr>
          <w:rFonts w:ascii="Times New Roman" w:hAnsi="Times New Roman" w:cs="Times New Roman"/>
          <w:sz w:val="24"/>
          <w:szCs w:val="24"/>
        </w:rPr>
        <w:t>growth, tolerance and formula intake were not different when infants consuming scFOS</w:t>
      </w:r>
      <w:r w:rsidR="00A64EC5">
        <w:rPr>
          <w:rFonts w:ascii="Times New Roman" w:hAnsi="Times New Roman" w:cs="Times New Roman"/>
          <w:sz w:val="24"/>
          <w:szCs w:val="24"/>
        </w:rPr>
        <w:t>-</w:t>
      </w:r>
      <w:r w:rsidR="00656301" w:rsidRPr="00FD128E">
        <w:rPr>
          <w:rFonts w:ascii="Times New Roman" w:hAnsi="Times New Roman" w:cs="Times New Roman"/>
          <w:sz w:val="24"/>
          <w:szCs w:val="24"/>
        </w:rPr>
        <w:t xml:space="preserve">containing formula </w:t>
      </w:r>
      <w:r w:rsidR="005F4A1B">
        <w:rPr>
          <w:rFonts w:ascii="Times New Roman" w:hAnsi="Times New Roman" w:cs="Times New Roman"/>
          <w:sz w:val="24"/>
          <w:szCs w:val="24"/>
        </w:rPr>
        <w:t xml:space="preserve">were </w:t>
      </w:r>
      <w:r>
        <w:rPr>
          <w:rFonts w:ascii="Times New Roman" w:hAnsi="Times New Roman" w:cs="Times New Roman"/>
          <w:sz w:val="24"/>
          <w:szCs w:val="24"/>
        </w:rPr>
        <w:t>c</w:t>
      </w:r>
      <w:r w:rsidR="00656301" w:rsidRPr="00FD128E">
        <w:rPr>
          <w:rFonts w:ascii="Times New Roman" w:hAnsi="Times New Roman" w:cs="Times New Roman"/>
          <w:sz w:val="24"/>
          <w:szCs w:val="24"/>
        </w:rPr>
        <w:t xml:space="preserve">ompared to those consuming either </w:t>
      </w:r>
      <w:r w:rsidR="005F4A1B">
        <w:rPr>
          <w:rFonts w:ascii="Times New Roman" w:hAnsi="Times New Roman" w:cs="Times New Roman"/>
          <w:sz w:val="24"/>
          <w:szCs w:val="24"/>
        </w:rPr>
        <w:t>a</w:t>
      </w:r>
      <w:r w:rsidR="00656301" w:rsidRPr="00FD128E">
        <w:rPr>
          <w:rFonts w:ascii="Times New Roman" w:hAnsi="Times New Roman" w:cs="Times New Roman"/>
          <w:sz w:val="24"/>
          <w:szCs w:val="24"/>
        </w:rPr>
        <w:t xml:space="preserve"> control formula without scFOS or human milk.  </w:t>
      </w:r>
      <w:r>
        <w:rPr>
          <w:rFonts w:ascii="Times New Roman" w:hAnsi="Times New Roman" w:cs="Times New Roman"/>
          <w:sz w:val="24"/>
          <w:szCs w:val="24"/>
        </w:rPr>
        <w:t>A review of the infant and toddler trials i</w:t>
      </w:r>
      <w:r w:rsidR="005F4A1B">
        <w:rPr>
          <w:rFonts w:ascii="Times New Roman" w:hAnsi="Times New Roman" w:cs="Times New Roman"/>
          <w:sz w:val="24"/>
          <w:szCs w:val="24"/>
        </w:rPr>
        <w:t xml:space="preserve">s shown in the Table </w:t>
      </w:r>
      <w:r w:rsidR="00C3745F">
        <w:rPr>
          <w:rFonts w:ascii="Times New Roman" w:hAnsi="Times New Roman" w:cs="Times New Roman"/>
          <w:sz w:val="24"/>
          <w:szCs w:val="24"/>
        </w:rPr>
        <w:t xml:space="preserve">1, </w:t>
      </w:r>
      <w:r w:rsidR="005F4A1B">
        <w:rPr>
          <w:rFonts w:ascii="Times New Roman" w:hAnsi="Times New Roman" w:cs="Times New Roman"/>
          <w:sz w:val="24"/>
          <w:szCs w:val="24"/>
        </w:rPr>
        <w:t xml:space="preserve">which displays growth results for over 300 infant and toddlers fed various levels of scFOS.  There were no significant differences in </w:t>
      </w:r>
      <w:r w:rsidR="0046531C">
        <w:rPr>
          <w:rFonts w:ascii="Times New Roman" w:hAnsi="Times New Roman" w:cs="Times New Roman"/>
          <w:sz w:val="24"/>
          <w:szCs w:val="24"/>
        </w:rPr>
        <w:t xml:space="preserve">infant </w:t>
      </w:r>
      <w:r w:rsidR="005F4A1B">
        <w:rPr>
          <w:rFonts w:ascii="Times New Roman" w:hAnsi="Times New Roman" w:cs="Times New Roman"/>
          <w:sz w:val="24"/>
          <w:szCs w:val="24"/>
        </w:rPr>
        <w:t>body weight gain over the duration of the studies</w:t>
      </w:r>
      <w:r w:rsidR="0046531C">
        <w:rPr>
          <w:rFonts w:ascii="Times New Roman" w:hAnsi="Times New Roman" w:cs="Times New Roman"/>
          <w:sz w:val="24"/>
          <w:szCs w:val="24"/>
        </w:rPr>
        <w:t xml:space="preserve"> when compared within study formula groups</w:t>
      </w:r>
      <w:r w:rsidR="005F4A1B">
        <w:rPr>
          <w:rFonts w:ascii="Times New Roman" w:hAnsi="Times New Roman" w:cs="Times New Roman"/>
          <w:sz w:val="24"/>
          <w:szCs w:val="24"/>
        </w:rPr>
        <w:t xml:space="preserve">, </w:t>
      </w:r>
      <w:r w:rsidR="0046531C">
        <w:rPr>
          <w:rFonts w:ascii="Times New Roman" w:hAnsi="Times New Roman" w:cs="Times New Roman"/>
          <w:sz w:val="24"/>
          <w:szCs w:val="24"/>
        </w:rPr>
        <w:t xml:space="preserve">and the values were in line with reported expected infant weight gains </w:t>
      </w:r>
      <w:r w:rsidR="00E903B8">
        <w:rPr>
          <w:rFonts w:ascii="Times New Roman" w:hAnsi="Times New Roman" w:cs="Times New Roman"/>
          <w:sz w:val="24"/>
          <w:szCs w:val="24"/>
        </w:rPr>
        <w:t xml:space="preserve">per age </w:t>
      </w:r>
      <w:r w:rsidR="0046531C">
        <w:rPr>
          <w:rFonts w:ascii="Times New Roman" w:hAnsi="Times New Roman" w:cs="Times New Roman"/>
          <w:sz w:val="24"/>
          <w:szCs w:val="24"/>
        </w:rPr>
        <w:t>(</w:t>
      </w:r>
      <w:r w:rsidR="00401BC9">
        <w:rPr>
          <w:rFonts w:ascii="Times New Roman" w:hAnsi="Times New Roman" w:cs="Times New Roman"/>
          <w:sz w:val="24"/>
          <w:szCs w:val="24"/>
        </w:rPr>
        <w:t>Guo et al</w:t>
      </w:r>
      <w:r w:rsidR="00C3745F">
        <w:rPr>
          <w:rFonts w:ascii="Times New Roman" w:hAnsi="Times New Roman" w:cs="Times New Roman"/>
          <w:sz w:val="24"/>
          <w:szCs w:val="24"/>
        </w:rPr>
        <w:t>.</w:t>
      </w:r>
      <w:r w:rsidR="00401BC9">
        <w:rPr>
          <w:rFonts w:ascii="Times New Roman" w:hAnsi="Times New Roman" w:cs="Times New Roman"/>
          <w:sz w:val="24"/>
          <w:szCs w:val="24"/>
        </w:rPr>
        <w:t>, 1991</w:t>
      </w:r>
      <w:r w:rsidR="0046531C">
        <w:rPr>
          <w:rFonts w:ascii="Times New Roman" w:hAnsi="Times New Roman" w:cs="Times New Roman"/>
          <w:sz w:val="24"/>
          <w:szCs w:val="24"/>
        </w:rPr>
        <w:t xml:space="preserve">).  </w:t>
      </w:r>
      <w:r w:rsidR="00656301" w:rsidRPr="00FD128E">
        <w:rPr>
          <w:rFonts w:ascii="Times New Roman" w:hAnsi="Times New Roman" w:cs="Times New Roman"/>
          <w:sz w:val="24"/>
          <w:szCs w:val="24"/>
        </w:rPr>
        <w:t>The</w:t>
      </w:r>
      <w:r w:rsidR="00E903B8">
        <w:rPr>
          <w:rFonts w:ascii="Times New Roman" w:hAnsi="Times New Roman" w:cs="Times New Roman"/>
          <w:sz w:val="24"/>
          <w:szCs w:val="24"/>
        </w:rPr>
        <w:t xml:space="preserve">se studies </w:t>
      </w:r>
      <w:r w:rsidR="000A7BA2">
        <w:rPr>
          <w:rFonts w:ascii="Times New Roman" w:hAnsi="Times New Roman" w:cs="Times New Roman"/>
          <w:sz w:val="24"/>
          <w:szCs w:val="24"/>
        </w:rPr>
        <w:t xml:space="preserve">are further elaborated in Application A1055 and </w:t>
      </w:r>
      <w:r w:rsidR="00E903B8">
        <w:rPr>
          <w:rFonts w:ascii="Times New Roman" w:hAnsi="Times New Roman" w:cs="Times New Roman"/>
          <w:sz w:val="24"/>
          <w:szCs w:val="24"/>
        </w:rPr>
        <w:t xml:space="preserve">demonstrate </w:t>
      </w:r>
      <w:r w:rsidR="00C3745F" w:rsidRPr="006A4631">
        <w:rPr>
          <w:rFonts w:ascii="Times New Roman" w:hAnsi="Times New Roman" w:cs="Times New Roman"/>
          <w:sz w:val="24"/>
          <w:szCs w:val="24"/>
        </w:rPr>
        <w:t xml:space="preserve">substantively </w:t>
      </w:r>
      <w:r w:rsidR="00E903B8" w:rsidRPr="006A4631">
        <w:rPr>
          <w:rFonts w:ascii="Times New Roman" w:hAnsi="Times New Roman" w:cs="Times New Roman"/>
          <w:sz w:val="24"/>
          <w:szCs w:val="24"/>
        </w:rPr>
        <w:t>t</w:t>
      </w:r>
      <w:r w:rsidR="00E903B8">
        <w:rPr>
          <w:rFonts w:ascii="Times New Roman" w:hAnsi="Times New Roman" w:cs="Times New Roman"/>
          <w:sz w:val="24"/>
          <w:szCs w:val="24"/>
        </w:rPr>
        <w:t xml:space="preserve">hat </w:t>
      </w:r>
      <w:r w:rsidR="00656301" w:rsidRPr="00FD128E">
        <w:rPr>
          <w:rFonts w:ascii="Times New Roman" w:hAnsi="Times New Roman" w:cs="Times New Roman"/>
          <w:sz w:val="24"/>
          <w:szCs w:val="24"/>
        </w:rPr>
        <w:t xml:space="preserve">formulas </w:t>
      </w:r>
      <w:r w:rsidR="00B43456" w:rsidRPr="00FD128E">
        <w:rPr>
          <w:rFonts w:ascii="Times New Roman" w:hAnsi="Times New Roman" w:cs="Times New Roman"/>
          <w:sz w:val="24"/>
          <w:szCs w:val="24"/>
        </w:rPr>
        <w:t xml:space="preserve">containing scFOS </w:t>
      </w:r>
      <w:r w:rsidR="00656301" w:rsidRPr="00FD128E">
        <w:rPr>
          <w:rFonts w:ascii="Times New Roman" w:hAnsi="Times New Roman" w:cs="Times New Roman"/>
          <w:sz w:val="24"/>
          <w:szCs w:val="24"/>
        </w:rPr>
        <w:t xml:space="preserve">are safe, </w:t>
      </w:r>
      <w:r w:rsidR="000A7BA2">
        <w:rPr>
          <w:rFonts w:ascii="Times New Roman" w:hAnsi="Times New Roman" w:cs="Times New Roman"/>
          <w:sz w:val="24"/>
          <w:szCs w:val="24"/>
        </w:rPr>
        <w:t xml:space="preserve">well tolerated, </w:t>
      </w:r>
      <w:r w:rsidR="00656301" w:rsidRPr="00FD128E">
        <w:rPr>
          <w:rFonts w:ascii="Times New Roman" w:hAnsi="Times New Roman" w:cs="Times New Roman"/>
          <w:sz w:val="24"/>
          <w:szCs w:val="24"/>
        </w:rPr>
        <w:t>suitable for the intended use and meet the standards set by recognized</w:t>
      </w:r>
      <w:r w:rsidR="00C3745F">
        <w:rPr>
          <w:rFonts w:ascii="Times New Roman" w:hAnsi="Times New Roman" w:cs="Times New Roman"/>
          <w:sz w:val="24"/>
          <w:szCs w:val="24"/>
        </w:rPr>
        <w:t xml:space="preserve"> </w:t>
      </w:r>
      <w:r w:rsidR="00C3745F" w:rsidRPr="006A4631">
        <w:rPr>
          <w:rFonts w:ascii="Times New Roman" w:hAnsi="Times New Roman" w:cs="Times New Roman"/>
          <w:sz w:val="24"/>
          <w:szCs w:val="24"/>
        </w:rPr>
        <w:t>international</w:t>
      </w:r>
      <w:r w:rsidR="00656301" w:rsidRPr="006A4631">
        <w:rPr>
          <w:rFonts w:ascii="Times New Roman" w:hAnsi="Times New Roman" w:cs="Times New Roman"/>
          <w:sz w:val="24"/>
          <w:szCs w:val="24"/>
        </w:rPr>
        <w:t xml:space="preserve"> </w:t>
      </w:r>
      <w:r w:rsidR="00656301" w:rsidRPr="00FD128E">
        <w:rPr>
          <w:rFonts w:ascii="Times New Roman" w:hAnsi="Times New Roman" w:cs="Times New Roman"/>
          <w:sz w:val="24"/>
          <w:szCs w:val="24"/>
        </w:rPr>
        <w:t xml:space="preserve">experts for healthy term breastfed infants. </w:t>
      </w:r>
      <w:r w:rsidR="000A7BA2">
        <w:rPr>
          <w:rFonts w:ascii="Times New Roman" w:hAnsi="Times New Roman" w:cs="Times New Roman"/>
          <w:sz w:val="24"/>
          <w:szCs w:val="24"/>
        </w:rPr>
        <w:t xml:space="preserve">  </w:t>
      </w:r>
    </w:p>
    <w:p w:rsidR="0096105D" w:rsidRPr="00FD128E" w:rsidRDefault="0096105D" w:rsidP="009F44F5">
      <w:pPr>
        <w:autoSpaceDE w:val="0"/>
        <w:autoSpaceDN w:val="0"/>
        <w:adjustRightInd w:val="0"/>
        <w:spacing w:after="0" w:line="240" w:lineRule="auto"/>
        <w:jc w:val="both"/>
        <w:rPr>
          <w:rFonts w:ascii="Times New Roman" w:hAnsi="Times New Roman" w:cs="Times New Roman"/>
          <w:sz w:val="24"/>
          <w:szCs w:val="24"/>
        </w:rPr>
      </w:pPr>
    </w:p>
    <w:p w:rsidR="00646A2D" w:rsidRPr="00FD128E" w:rsidRDefault="00646A2D" w:rsidP="009F44F5">
      <w:pPr>
        <w:autoSpaceDE w:val="0"/>
        <w:autoSpaceDN w:val="0"/>
        <w:adjustRightInd w:val="0"/>
        <w:spacing w:after="0" w:line="240" w:lineRule="auto"/>
        <w:jc w:val="both"/>
        <w:rPr>
          <w:rFonts w:ascii="Times New Roman" w:hAnsi="Times New Roman" w:cs="Times New Roman"/>
          <w:i/>
          <w:sz w:val="24"/>
          <w:szCs w:val="24"/>
        </w:rPr>
      </w:pPr>
      <w:r w:rsidRPr="00FD128E">
        <w:rPr>
          <w:rFonts w:ascii="Times New Roman" w:hAnsi="Times New Roman" w:cs="Times New Roman"/>
          <w:i/>
          <w:sz w:val="24"/>
          <w:szCs w:val="24"/>
        </w:rPr>
        <w:t xml:space="preserve">(j)  Substances subject to pre-market assessment for use in infant formula and follow-on formula should have a substantiated beneficial role in the normal growth and development of infants or </w:t>
      </w:r>
      <w:r w:rsidRPr="00FD128E">
        <w:rPr>
          <w:rFonts w:ascii="Times New Roman" w:hAnsi="Times New Roman" w:cs="Times New Roman"/>
          <w:i/>
          <w:sz w:val="24"/>
          <w:szCs w:val="24"/>
        </w:rPr>
        <w:lastRenderedPageBreak/>
        <w:t xml:space="preserve">children, or a technological role, taking into account, where relevant, the levels of comparable substances in breastmilk.  A substance’s role in normal growth and development is substantiated where there is appropriate evidence to link the physiological, biochemical and/or functional effects of the substance to specific health outcomes for infants, in infancy or childhood.  Particular caution should be applied by the authority where such links are less clear.   </w:t>
      </w:r>
    </w:p>
    <w:p w:rsidR="00646A2D" w:rsidRPr="00FD128E" w:rsidRDefault="00646A2D" w:rsidP="009F44F5">
      <w:pPr>
        <w:autoSpaceDE w:val="0"/>
        <w:autoSpaceDN w:val="0"/>
        <w:adjustRightInd w:val="0"/>
        <w:spacing w:after="0" w:line="240" w:lineRule="auto"/>
        <w:jc w:val="both"/>
        <w:rPr>
          <w:rFonts w:ascii="Times New Roman" w:hAnsi="Times New Roman" w:cs="Times New Roman"/>
          <w:i/>
          <w:sz w:val="24"/>
          <w:szCs w:val="24"/>
        </w:rPr>
      </w:pPr>
    </w:p>
    <w:p w:rsidR="00646A2D" w:rsidRPr="00FD128E" w:rsidRDefault="00646A2D" w:rsidP="009F44F5">
      <w:pPr>
        <w:autoSpaceDE w:val="0"/>
        <w:autoSpaceDN w:val="0"/>
        <w:adjustRightInd w:val="0"/>
        <w:spacing w:after="0" w:line="360" w:lineRule="auto"/>
        <w:jc w:val="both"/>
        <w:rPr>
          <w:rFonts w:ascii="Times New Roman" w:hAnsi="Times New Roman" w:cs="Times New Roman"/>
          <w:sz w:val="24"/>
          <w:szCs w:val="24"/>
        </w:rPr>
      </w:pPr>
      <w:r w:rsidRPr="00FD128E">
        <w:rPr>
          <w:rFonts w:ascii="Times New Roman" w:hAnsi="Times New Roman" w:cs="Times New Roman"/>
          <w:sz w:val="24"/>
          <w:szCs w:val="24"/>
        </w:rPr>
        <w:t>A wide variety of oligosaccharides have been detected in human milk, some of which  may contribute to the anti</w:t>
      </w:r>
      <w:r w:rsidRPr="00FD128E">
        <w:rPr>
          <w:rFonts w:ascii="Calibri" w:hAnsi="Calibri" w:cs="Times New Roman"/>
          <w:sz w:val="24"/>
          <w:szCs w:val="24"/>
        </w:rPr>
        <w:t>‐</w:t>
      </w:r>
      <w:r w:rsidRPr="00FD128E">
        <w:rPr>
          <w:rFonts w:ascii="Times New Roman" w:hAnsi="Times New Roman" w:cs="Times New Roman"/>
          <w:sz w:val="24"/>
          <w:szCs w:val="24"/>
        </w:rPr>
        <w:t>infective and allergy-preventive properties of human milk. The carbohydrates in greatest abundance in human milk comprise lactose (~7% of the milk) and oligosaccharides (1</w:t>
      </w:r>
      <w:r w:rsidRPr="00FD128E">
        <w:rPr>
          <w:rFonts w:ascii="Calibri" w:hAnsi="Calibri" w:cs="Times New Roman"/>
          <w:sz w:val="24"/>
          <w:szCs w:val="24"/>
        </w:rPr>
        <w:t>‐</w:t>
      </w:r>
      <w:r w:rsidRPr="00FD128E">
        <w:rPr>
          <w:rFonts w:ascii="Times New Roman" w:hAnsi="Times New Roman" w:cs="Times New Roman"/>
          <w:sz w:val="24"/>
          <w:szCs w:val="24"/>
        </w:rPr>
        <w:t>2%). Oligosaccharides with a degree of polymerization (DP) of 3</w:t>
      </w:r>
      <w:r w:rsidRPr="00FD128E">
        <w:rPr>
          <w:rFonts w:ascii="Calibri" w:hAnsi="Calibri" w:cs="Times New Roman"/>
          <w:sz w:val="24"/>
          <w:szCs w:val="24"/>
        </w:rPr>
        <w:t>‐</w:t>
      </w:r>
      <w:r w:rsidRPr="00FD128E">
        <w:rPr>
          <w:rFonts w:ascii="Times New Roman" w:hAnsi="Times New Roman" w:cs="Times New Roman"/>
          <w:sz w:val="24"/>
          <w:szCs w:val="24"/>
        </w:rPr>
        <w:t xml:space="preserve">10 are found in human milk. These human milk oligosaccharides account for the third largest component of human milk, with the peak concentration of around 25 g/L in the colostrum during the first few weeks following birth and decline thereafter in normal human milk. </w:t>
      </w:r>
    </w:p>
    <w:p w:rsidR="00646A2D" w:rsidRPr="00FD128E" w:rsidRDefault="00646A2D" w:rsidP="009F44F5">
      <w:pPr>
        <w:autoSpaceDE w:val="0"/>
        <w:autoSpaceDN w:val="0"/>
        <w:adjustRightInd w:val="0"/>
        <w:spacing w:after="0" w:line="360" w:lineRule="auto"/>
        <w:jc w:val="both"/>
        <w:rPr>
          <w:rFonts w:ascii="Times New Roman" w:hAnsi="Times New Roman" w:cs="Times New Roman"/>
          <w:sz w:val="24"/>
          <w:szCs w:val="24"/>
        </w:rPr>
      </w:pPr>
    </w:p>
    <w:p w:rsidR="0094424B" w:rsidRDefault="00646A2D" w:rsidP="009F44F5">
      <w:pPr>
        <w:autoSpaceDE w:val="0"/>
        <w:autoSpaceDN w:val="0"/>
        <w:adjustRightInd w:val="0"/>
        <w:spacing w:after="0" w:line="360" w:lineRule="auto"/>
        <w:jc w:val="both"/>
        <w:rPr>
          <w:rFonts w:ascii="Times New Roman" w:hAnsi="Times New Roman" w:cs="Times New Roman"/>
          <w:sz w:val="24"/>
          <w:szCs w:val="24"/>
        </w:rPr>
      </w:pPr>
      <w:r w:rsidRPr="00FD128E">
        <w:rPr>
          <w:rFonts w:ascii="Times New Roman" w:hAnsi="Times New Roman" w:cs="Times New Roman"/>
          <w:sz w:val="24"/>
          <w:szCs w:val="24"/>
        </w:rPr>
        <w:t>Because of the presence of oligosaccharides in human milk, the non-digestible substances scFOS and oligofructose have been developed for addition to infant formula and foods to mimic the effects of oligosaccharides that occur naturally in breast milk. These substances are not absorbed in the small intestine and reach the large intestine essentially intact. Breastfed infants generally</w:t>
      </w:r>
      <w:r w:rsidR="006A0207">
        <w:rPr>
          <w:rFonts w:ascii="Times New Roman" w:hAnsi="Times New Roman" w:cs="Times New Roman"/>
          <w:sz w:val="24"/>
          <w:szCs w:val="24"/>
        </w:rPr>
        <w:t xml:space="preserve"> have a specific pattern of intestinal bacteria</w:t>
      </w:r>
      <w:r w:rsidR="00076A2A">
        <w:rPr>
          <w:rFonts w:ascii="Times New Roman" w:hAnsi="Times New Roman" w:cs="Times New Roman"/>
          <w:sz w:val="24"/>
          <w:szCs w:val="24"/>
        </w:rPr>
        <w:t xml:space="preserve"> which </w:t>
      </w:r>
      <w:r w:rsidR="007B4167">
        <w:rPr>
          <w:rFonts w:ascii="Times New Roman" w:hAnsi="Times New Roman" w:cs="Times New Roman"/>
          <w:sz w:val="24"/>
          <w:szCs w:val="24"/>
        </w:rPr>
        <w:t xml:space="preserve">can </w:t>
      </w:r>
      <w:r w:rsidR="00076A2A">
        <w:rPr>
          <w:rFonts w:ascii="Times New Roman" w:hAnsi="Times New Roman" w:cs="Times New Roman"/>
          <w:sz w:val="24"/>
          <w:szCs w:val="24"/>
        </w:rPr>
        <w:t xml:space="preserve">impart </w:t>
      </w:r>
      <w:r w:rsidR="007B4167">
        <w:rPr>
          <w:rFonts w:ascii="Times New Roman" w:hAnsi="Times New Roman" w:cs="Times New Roman"/>
          <w:sz w:val="24"/>
          <w:szCs w:val="24"/>
        </w:rPr>
        <w:t>defensive</w:t>
      </w:r>
      <w:r w:rsidR="00076A2A">
        <w:rPr>
          <w:rFonts w:ascii="Times New Roman" w:hAnsi="Times New Roman" w:cs="Times New Roman"/>
          <w:sz w:val="24"/>
          <w:szCs w:val="24"/>
        </w:rPr>
        <w:t xml:space="preserve"> benefits in the gastrointestinal tract.  They also</w:t>
      </w:r>
      <w:r w:rsidRPr="00FD128E">
        <w:rPr>
          <w:rFonts w:ascii="Times New Roman" w:hAnsi="Times New Roman" w:cs="Times New Roman"/>
          <w:sz w:val="24"/>
          <w:szCs w:val="24"/>
        </w:rPr>
        <w:t xml:space="preserve"> have softer stools compared </w:t>
      </w:r>
      <w:r w:rsidR="00076A2A">
        <w:rPr>
          <w:rFonts w:ascii="Times New Roman" w:hAnsi="Times New Roman" w:cs="Times New Roman"/>
          <w:sz w:val="24"/>
          <w:szCs w:val="24"/>
        </w:rPr>
        <w:t xml:space="preserve">with formula fed infants and these </w:t>
      </w:r>
      <w:r w:rsidRPr="00FD128E">
        <w:rPr>
          <w:rFonts w:ascii="Times New Roman" w:hAnsi="Times New Roman" w:cs="Times New Roman"/>
          <w:sz w:val="24"/>
          <w:szCs w:val="24"/>
        </w:rPr>
        <w:t>difference</w:t>
      </w:r>
      <w:r w:rsidR="00076A2A">
        <w:rPr>
          <w:rFonts w:ascii="Times New Roman" w:hAnsi="Times New Roman" w:cs="Times New Roman"/>
          <w:sz w:val="24"/>
          <w:szCs w:val="24"/>
        </w:rPr>
        <w:t>s</w:t>
      </w:r>
      <w:r w:rsidRPr="00FD128E">
        <w:rPr>
          <w:rFonts w:ascii="Times New Roman" w:hAnsi="Times New Roman" w:cs="Times New Roman"/>
          <w:sz w:val="24"/>
          <w:szCs w:val="24"/>
        </w:rPr>
        <w:t xml:space="preserve"> may be due in part to the presence of oligosaccharides in breast milk. </w:t>
      </w:r>
      <w:r w:rsidR="007B4167">
        <w:rPr>
          <w:rFonts w:ascii="Times New Roman" w:hAnsi="Times New Roman" w:cs="Times New Roman"/>
          <w:sz w:val="24"/>
          <w:szCs w:val="24"/>
        </w:rPr>
        <w:t xml:space="preserve"> </w:t>
      </w:r>
      <w:r w:rsidR="00887E19">
        <w:rPr>
          <w:rFonts w:ascii="Times New Roman" w:hAnsi="Times New Roman" w:cs="Times New Roman"/>
          <w:sz w:val="24"/>
          <w:szCs w:val="24"/>
        </w:rPr>
        <w:t>In c</w:t>
      </w:r>
      <w:r>
        <w:rPr>
          <w:rFonts w:ascii="Times New Roman" w:hAnsi="Times New Roman" w:cs="Times New Roman"/>
          <w:sz w:val="24"/>
          <w:szCs w:val="24"/>
        </w:rPr>
        <w:t xml:space="preserve">urrently </w:t>
      </w:r>
      <w:r w:rsidR="00887E19">
        <w:rPr>
          <w:rFonts w:ascii="Times New Roman" w:hAnsi="Times New Roman" w:cs="Times New Roman"/>
          <w:sz w:val="24"/>
          <w:szCs w:val="24"/>
        </w:rPr>
        <w:t xml:space="preserve">marketed infant formulas, </w:t>
      </w:r>
      <w:r>
        <w:rPr>
          <w:rFonts w:ascii="Times New Roman" w:hAnsi="Times New Roman" w:cs="Times New Roman"/>
          <w:sz w:val="24"/>
          <w:szCs w:val="24"/>
        </w:rPr>
        <w:t>the inulin-derived fru</w:t>
      </w:r>
      <w:r w:rsidR="00887E19">
        <w:rPr>
          <w:rFonts w:ascii="Times New Roman" w:hAnsi="Times New Roman" w:cs="Times New Roman"/>
          <w:sz w:val="24"/>
          <w:szCs w:val="24"/>
        </w:rPr>
        <w:t>c</w:t>
      </w:r>
      <w:r>
        <w:rPr>
          <w:rFonts w:ascii="Times New Roman" w:hAnsi="Times New Roman" w:cs="Times New Roman"/>
          <w:sz w:val="24"/>
          <w:szCs w:val="24"/>
        </w:rPr>
        <w:t xml:space="preserve">tooligosaccharides </w:t>
      </w:r>
      <w:r w:rsidR="00887E19">
        <w:rPr>
          <w:rFonts w:ascii="Times New Roman" w:hAnsi="Times New Roman" w:cs="Times New Roman"/>
          <w:sz w:val="24"/>
          <w:szCs w:val="24"/>
        </w:rPr>
        <w:t xml:space="preserve">(both short- and long-chain) </w:t>
      </w:r>
      <w:r>
        <w:rPr>
          <w:rFonts w:ascii="Times New Roman" w:hAnsi="Times New Roman" w:cs="Times New Roman"/>
          <w:sz w:val="24"/>
          <w:szCs w:val="24"/>
        </w:rPr>
        <w:t xml:space="preserve">and the </w:t>
      </w:r>
      <w:r w:rsidR="00887E19">
        <w:rPr>
          <w:rFonts w:ascii="Times New Roman" w:hAnsi="Times New Roman" w:cs="Times New Roman"/>
          <w:sz w:val="24"/>
          <w:szCs w:val="24"/>
        </w:rPr>
        <w:t xml:space="preserve">short-chain </w:t>
      </w:r>
      <w:r>
        <w:rPr>
          <w:rFonts w:ascii="Times New Roman" w:hAnsi="Times New Roman" w:cs="Times New Roman"/>
          <w:sz w:val="24"/>
          <w:szCs w:val="24"/>
        </w:rPr>
        <w:t xml:space="preserve">galactooligosaccharides </w:t>
      </w:r>
      <w:r w:rsidR="00853BEA">
        <w:rPr>
          <w:rFonts w:ascii="Times New Roman" w:hAnsi="Times New Roman" w:cs="Times New Roman"/>
          <w:sz w:val="24"/>
          <w:szCs w:val="24"/>
        </w:rPr>
        <w:t>(</w:t>
      </w:r>
      <w:r w:rsidR="003C3EBA">
        <w:rPr>
          <w:rFonts w:ascii="Times New Roman" w:hAnsi="Times New Roman" w:cs="Times New Roman"/>
          <w:sz w:val="24"/>
          <w:szCs w:val="24"/>
        </w:rPr>
        <w:t>sc</w:t>
      </w:r>
      <w:r w:rsidR="00853BEA">
        <w:rPr>
          <w:rFonts w:ascii="Times New Roman" w:hAnsi="Times New Roman" w:cs="Times New Roman"/>
          <w:sz w:val="24"/>
          <w:szCs w:val="24"/>
        </w:rPr>
        <w:t xml:space="preserve">GOS) </w:t>
      </w:r>
      <w:r>
        <w:rPr>
          <w:rFonts w:ascii="Times New Roman" w:hAnsi="Times New Roman" w:cs="Times New Roman"/>
          <w:sz w:val="24"/>
          <w:szCs w:val="24"/>
        </w:rPr>
        <w:t>provide that functionality for infants fed formulas containing those oligosaccharides</w:t>
      </w:r>
      <w:r w:rsidR="007B4167">
        <w:rPr>
          <w:rFonts w:ascii="Times New Roman" w:hAnsi="Times New Roman" w:cs="Times New Roman"/>
          <w:sz w:val="24"/>
          <w:szCs w:val="24"/>
        </w:rPr>
        <w:t xml:space="preserve">.  </w:t>
      </w:r>
      <w:r>
        <w:rPr>
          <w:rFonts w:ascii="Times New Roman" w:hAnsi="Times New Roman" w:cs="Times New Roman"/>
          <w:sz w:val="24"/>
          <w:szCs w:val="24"/>
        </w:rPr>
        <w:t xml:space="preserve">The </w:t>
      </w:r>
      <w:r w:rsidRPr="00FD128E">
        <w:rPr>
          <w:rFonts w:ascii="Times New Roman" w:hAnsi="Times New Roman" w:cs="Times New Roman"/>
          <w:sz w:val="24"/>
          <w:szCs w:val="24"/>
        </w:rPr>
        <w:t xml:space="preserve">scFOS </w:t>
      </w:r>
      <w:r>
        <w:rPr>
          <w:rFonts w:ascii="Times New Roman" w:hAnsi="Times New Roman" w:cs="Times New Roman"/>
          <w:sz w:val="24"/>
          <w:szCs w:val="24"/>
        </w:rPr>
        <w:t xml:space="preserve">described in Application A1055 </w:t>
      </w:r>
      <w:r w:rsidRPr="00FD128E">
        <w:rPr>
          <w:rFonts w:ascii="Times New Roman" w:hAnsi="Times New Roman" w:cs="Times New Roman"/>
          <w:sz w:val="24"/>
          <w:szCs w:val="24"/>
        </w:rPr>
        <w:t>may be added</w:t>
      </w:r>
      <w:r>
        <w:rPr>
          <w:rFonts w:ascii="Times New Roman" w:hAnsi="Times New Roman" w:cs="Times New Roman"/>
          <w:sz w:val="24"/>
          <w:szCs w:val="24"/>
        </w:rPr>
        <w:t xml:space="preserve"> to infant formula to similarly provide this functionality</w:t>
      </w:r>
      <w:r w:rsidRPr="00FD128E">
        <w:rPr>
          <w:rFonts w:ascii="Times New Roman" w:hAnsi="Times New Roman" w:cs="Times New Roman"/>
          <w:sz w:val="24"/>
          <w:szCs w:val="24"/>
        </w:rPr>
        <w:t xml:space="preserve"> </w:t>
      </w:r>
      <w:r>
        <w:rPr>
          <w:rFonts w:ascii="Times New Roman" w:hAnsi="Times New Roman" w:cs="Times New Roman"/>
          <w:sz w:val="24"/>
          <w:szCs w:val="24"/>
        </w:rPr>
        <w:t>that</w:t>
      </w:r>
      <w:r w:rsidRPr="00FD128E">
        <w:rPr>
          <w:rFonts w:ascii="Times New Roman" w:hAnsi="Times New Roman" w:cs="Times New Roman"/>
          <w:sz w:val="24"/>
          <w:szCs w:val="24"/>
        </w:rPr>
        <w:t xml:space="preserve"> breastfed infants routinely obtain from human milk, and to soften stool consistency.</w:t>
      </w:r>
      <w:r>
        <w:rPr>
          <w:rFonts w:ascii="Times New Roman" w:hAnsi="Times New Roman" w:cs="Times New Roman"/>
          <w:sz w:val="24"/>
          <w:szCs w:val="24"/>
        </w:rPr>
        <w:t xml:space="preserve">  </w:t>
      </w:r>
      <w:r w:rsidR="0094424B">
        <w:rPr>
          <w:rFonts w:ascii="Times New Roman" w:hAnsi="Times New Roman" w:cs="Times New Roman"/>
          <w:sz w:val="24"/>
          <w:szCs w:val="24"/>
        </w:rPr>
        <w:t>The safety and suitability for the appropriateness of addition level</w:t>
      </w:r>
      <w:r w:rsidR="00963EF6">
        <w:rPr>
          <w:rFonts w:ascii="Times New Roman" w:hAnsi="Times New Roman" w:cs="Times New Roman"/>
          <w:sz w:val="24"/>
          <w:szCs w:val="24"/>
        </w:rPr>
        <w:t xml:space="preserve"> have</w:t>
      </w:r>
      <w:r w:rsidR="0003033B">
        <w:rPr>
          <w:rFonts w:ascii="Times New Roman" w:hAnsi="Times New Roman" w:cs="Times New Roman"/>
          <w:sz w:val="24"/>
          <w:szCs w:val="24"/>
        </w:rPr>
        <w:t xml:space="preserve"> been evaluated in </w:t>
      </w:r>
      <w:r w:rsidR="00963EF6">
        <w:rPr>
          <w:rFonts w:ascii="Times New Roman" w:hAnsi="Times New Roman" w:cs="Times New Roman"/>
          <w:sz w:val="24"/>
          <w:szCs w:val="24"/>
        </w:rPr>
        <w:t>clinical</w:t>
      </w:r>
      <w:r w:rsidR="0003033B">
        <w:rPr>
          <w:rFonts w:ascii="Times New Roman" w:hAnsi="Times New Roman" w:cs="Times New Roman"/>
          <w:sz w:val="24"/>
          <w:szCs w:val="24"/>
        </w:rPr>
        <w:t xml:space="preserve"> studies to ensure safe use in the intended population (see above (d), (e)).</w:t>
      </w:r>
    </w:p>
    <w:p w:rsidR="0094424B" w:rsidRDefault="0094424B" w:rsidP="009F44F5">
      <w:pPr>
        <w:autoSpaceDE w:val="0"/>
        <w:autoSpaceDN w:val="0"/>
        <w:adjustRightInd w:val="0"/>
        <w:spacing w:after="0" w:line="360" w:lineRule="auto"/>
        <w:jc w:val="both"/>
        <w:rPr>
          <w:rFonts w:ascii="Times New Roman" w:hAnsi="Times New Roman" w:cs="Times New Roman"/>
          <w:sz w:val="24"/>
          <w:szCs w:val="24"/>
        </w:rPr>
      </w:pPr>
    </w:p>
    <w:p w:rsidR="00FD128E" w:rsidRDefault="00C3745F" w:rsidP="009F44F5">
      <w:pPr>
        <w:autoSpaceDE w:val="0"/>
        <w:autoSpaceDN w:val="0"/>
        <w:adjustRightInd w:val="0"/>
        <w:spacing w:after="0" w:line="360" w:lineRule="auto"/>
        <w:jc w:val="both"/>
        <w:rPr>
          <w:rFonts w:ascii="Times New Roman" w:hAnsi="Times New Roman" w:cs="Times New Roman"/>
          <w:sz w:val="24"/>
          <w:szCs w:val="24"/>
        </w:rPr>
      </w:pPr>
      <w:bookmarkStart w:id="0" w:name="_GoBack"/>
      <w:r w:rsidRPr="006A4631">
        <w:rPr>
          <w:rFonts w:ascii="Times New Roman" w:hAnsi="Times New Roman" w:cs="Times New Roman"/>
          <w:sz w:val="24"/>
          <w:szCs w:val="24"/>
        </w:rPr>
        <w:t>It is of interest to note, r</w:t>
      </w:r>
      <w:r w:rsidR="003C3EBA" w:rsidRPr="006A4631">
        <w:rPr>
          <w:rFonts w:ascii="Times New Roman" w:hAnsi="Times New Roman" w:cs="Times New Roman"/>
          <w:sz w:val="24"/>
          <w:szCs w:val="24"/>
        </w:rPr>
        <w:t xml:space="preserve">ecent publications </w:t>
      </w:r>
      <w:r w:rsidRPr="006A4631">
        <w:rPr>
          <w:rFonts w:ascii="Times New Roman" w:hAnsi="Times New Roman" w:cs="Times New Roman"/>
          <w:sz w:val="24"/>
          <w:szCs w:val="24"/>
        </w:rPr>
        <w:t xml:space="preserve">now </w:t>
      </w:r>
      <w:r w:rsidR="003C3EBA" w:rsidRPr="006A4631">
        <w:rPr>
          <w:rFonts w:ascii="Times New Roman" w:hAnsi="Times New Roman" w:cs="Times New Roman"/>
          <w:sz w:val="24"/>
          <w:szCs w:val="24"/>
        </w:rPr>
        <w:t xml:space="preserve">refer more correctly to galacto-oligosaccharides </w:t>
      </w:r>
      <w:r w:rsidR="00725020" w:rsidRPr="006A4631">
        <w:rPr>
          <w:rFonts w:ascii="Times New Roman" w:hAnsi="Times New Roman" w:cs="Times New Roman"/>
          <w:sz w:val="24"/>
          <w:szCs w:val="24"/>
        </w:rPr>
        <w:t>(</w:t>
      </w:r>
      <w:r w:rsidR="003C3EBA" w:rsidRPr="006A4631">
        <w:rPr>
          <w:rFonts w:ascii="Times New Roman" w:hAnsi="Times New Roman" w:cs="Times New Roman"/>
          <w:sz w:val="24"/>
          <w:szCs w:val="24"/>
        </w:rPr>
        <w:t xml:space="preserve">GOS) as short-chain GOS (scGOS), whereas earlier literature simply used the term GOS.  </w:t>
      </w:r>
      <w:r w:rsidRPr="006A4631">
        <w:rPr>
          <w:rFonts w:ascii="Times New Roman" w:hAnsi="Times New Roman" w:cs="Times New Roman"/>
          <w:sz w:val="24"/>
          <w:szCs w:val="24"/>
        </w:rPr>
        <w:t xml:space="preserve">This </w:t>
      </w:r>
      <w:r w:rsidRPr="006A4631">
        <w:rPr>
          <w:rFonts w:ascii="Times New Roman" w:hAnsi="Times New Roman" w:cs="Times New Roman"/>
          <w:sz w:val="24"/>
          <w:szCs w:val="24"/>
        </w:rPr>
        <w:lastRenderedPageBreak/>
        <w:t xml:space="preserve">reflects the true nature of the lactose derived </w:t>
      </w:r>
      <w:r w:rsidR="00411E3F" w:rsidRPr="006A4631">
        <w:rPr>
          <w:rFonts w:ascii="Times New Roman" w:hAnsi="Times New Roman" w:cs="Times New Roman"/>
          <w:sz w:val="24"/>
          <w:szCs w:val="24"/>
        </w:rPr>
        <w:t>scGOS which are</w:t>
      </w:r>
      <w:r w:rsidR="00853BEA" w:rsidRPr="006A4631">
        <w:rPr>
          <w:rFonts w:ascii="Times New Roman" w:hAnsi="Times New Roman" w:cs="Times New Roman"/>
          <w:sz w:val="24"/>
          <w:szCs w:val="24"/>
        </w:rPr>
        <w:t xml:space="preserve"> manufactured using similar technology to scFOS, that is, cleavage of the disaccharide followed by elongation. </w:t>
      </w:r>
      <w:r w:rsidR="00DE1BD9" w:rsidRPr="006A4631">
        <w:rPr>
          <w:rFonts w:ascii="Times New Roman" w:hAnsi="Times New Roman" w:cs="Times New Roman"/>
          <w:sz w:val="24"/>
          <w:szCs w:val="24"/>
        </w:rPr>
        <w:t xml:space="preserve"> </w:t>
      </w:r>
      <w:r w:rsidR="00725020" w:rsidRPr="006A4631">
        <w:rPr>
          <w:rFonts w:ascii="Times New Roman" w:hAnsi="Times New Roman" w:cs="Times New Roman"/>
          <w:sz w:val="24"/>
          <w:szCs w:val="24"/>
        </w:rPr>
        <w:t>Furthermore,</w:t>
      </w:r>
      <w:r w:rsidR="00725020">
        <w:rPr>
          <w:rFonts w:ascii="Times New Roman" w:hAnsi="Times New Roman" w:cs="Times New Roman"/>
          <w:color w:val="FF0000"/>
          <w:sz w:val="24"/>
          <w:szCs w:val="24"/>
        </w:rPr>
        <w:t xml:space="preserve"> </w:t>
      </w:r>
      <w:bookmarkEnd w:id="0"/>
      <w:r w:rsidR="00DE1BD9">
        <w:rPr>
          <w:rFonts w:ascii="Times New Roman" w:hAnsi="Times New Roman" w:cs="Times New Roman"/>
          <w:sz w:val="24"/>
          <w:szCs w:val="24"/>
        </w:rPr>
        <w:t>s</w:t>
      </w:r>
      <w:r w:rsidR="00646A2D">
        <w:rPr>
          <w:rFonts w:ascii="Times New Roman" w:hAnsi="Times New Roman" w:cs="Times New Roman"/>
          <w:sz w:val="24"/>
          <w:szCs w:val="24"/>
        </w:rPr>
        <w:t xml:space="preserve">cFOS is enzymatically synthesized from sucrose, </w:t>
      </w:r>
      <w:r w:rsidR="00963EF6">
        <w:rPr>
          <w:rFonts w:ascii="Times New Roman" w:hAnsi="Times New Roman" w:cs="Times New Roman"/>
          <w:sz w:val="24"/>
          <w:szCs w:val="24"/>
        </w:rPr>
        <w:t xml:space="preserve">and </w:t>
      </w:r>
      <w:r w:rsidR="00646A2D">
        <w:rPr>
          <w:rFonts w:ascii="Times New Roman" w:hAnsi="Times New Roman" w:cs="Times New Roman"/>
          <w:sz w:val="24"/>
          <w:szCs w:val="24"/>
        </w:rPr>
        <w:t xml:space="preserve">has the technological advantage over the inulin-derived fructooligosaccharides in that it </w:t>
      </w:r>
      <w:r w:rsidR="00157102">
        <w:rPr>
          <w:rFonts w:ascii="Times New Roman" w:hAnsi="Times New Roman" w:cs="Times New Roman"/>
          <w:sz w:val="24"/>
          <w:szCs w:val="24"/>
        </w:rPr>
        <w:t>will not undergo</w:t>
      </w:r>
      <w:r w:rsidR="00646A2D">
        <w:rPr>
          <w:rFonts w:ascii="Times New Roman" w:hAnsi="Times New Roman" w:cs="Times New Roman"/>
          <w:sz w:val="24"/>
          <w:szCs w:val="24"/>
        </w:rPr>
        <w:t xml:space="preserve"> Maillard browning </w:t>
      </w:r>
      <w:r w:rsidR="00287B1A">
        <w:rPr>
          <w:rFonts w:ascii="Times New Roman" w:hAnsi="Times New Roman" w:cs="Times New Roman"/>
          <w:sz w:val="24"/>
          <w:szCs w:val="24"/>
        </w:rPr>
        <w:t xml:space="preserve">to </w:t>
      </w:r>
      <w:r w:rsidR="00711B00">
        <w:rPr>
          <w:rFonts w:ascii="Times New Roman" w:hAnsi="Times New Roman" w:cs="Times New Roman"/>
          <w:sz w:val="24"/>
          <w:szCs w:val="24"/>
        </w:rPr>
        <w:t>the same</w:t>
      </w:r>
      <w:r w:rsidR="00287B1A">
        <w:rPr>
          <w:rFonts w:ascii="Times New Roman" w:hAnsi="Times New Roman" w:cs="Times New Roman"/>
          <w:sz w:val="24"/>
          <w:szCs w:val="24"/>
        </w:rPr>
        <w:t xml:space="preserve"> extent during manufacture of infant formula </w:t>
      </w:r>
      <w:r w:rsidR="00157102">
        <w:rPr>
          <w:rFonts w:ascii="Times New Roman" w:hAnsi="Times New Roman" w:cs="Times New Roman"/>
          <w:sz w:val="24"/>
          <w:szCs w:val="24"/>
        </w:rPr>
        <w:t xml:space="preserve">because the </w:t>
      </w:r>
      <w:r w:rsidR="00287B1A">
        <w:rPr>
          <w:rFonts w:ascii="Times New Roman" w:hAnsi="Times New Roman" w:cs="Times New Roman"/>
          <w:sz w:val="24"/>
          <w:szCs w:val="24"/>
        </w:rPr>
        <w:t xml:space="preserve">end sugar  is a </w:t>
      </w:r>
      <w:r w:rsidR="00157102">
        <w:rPr>
          <w:rFonts w:ascii="Times New Roman" w:hAnsi="Times New Roman" w:cs="Times New Roman"/>
          <w:sz w:val="24"/>
          <w:szCs w:val="24"/>
        </w:rPr>
        <w:t>sucrose</w:t>
      </w:r>
      <w:r w:rsidR="00287B1A">
        <w:rPr>
          <w:rFonts w:ascii="Times New Roman" w:hAnsi="Times New Roman" w:cs="Times New Roman"/>
          <w:sz w:val="24"/>
          <w:szCs w:val="24"/>
        </w:rPr>
        <w:t xml:space="preserve"> moiety, a non-reducing sugar</w:t>
      </w:r>
      <w:r w:rsidR="00157102">
        <w:rPr>
          <w:rFonts w:ascii="Times New Roman" w:hAnsi="Times New Roman" w:cs="Times New Roman"/>
          <w:sz w:val="24"/>
          <w:szCs w:val="24"/>
        </w:rPr>
        <w:t xml:space="preserve"> </w:t>
      </w:r>
      <w:r w:rsidR="00646A2D">
        <w:rPr>
          <w:rFonts w:ascii="Times New Roman" w:hAnsi="Times New Roman" w:cs="Times New Roman"/>
          <w:sz w:val="24"/>
          <w:szCs w:val="24"/>
        </w:rPr>
        <w:t xml:space="preserve">which </w:t>
      </w:r>
      <w:r w:rsidR="00963EF6">
        <w:rPr>
          <w:rFonts w:ascii="Times New Roman" w:hAnsi="Times New Roman" w:cs="Times New Roman"/>
          <w:sz w:val="24"/>
          <w:szCs w:val="24"/>
        </w:rPr>
        <w:t>does not i</w:t>
      </w:r>
      <w:r w:rsidR="00157102">
        <w:rPr>
          <w:rFonts w:ascii="Times New Roman" w:hAnsi="Times New Roman" w:cs="Times New Roman"/>
          <w:sz w:val="24"/>
          <w:szCs w:val="24"/>
        </w:rPr>
        <w:t>nteract with amino groups</w:t>
      </w:r>
      <w:r w:rsidR="00287B1A">
        <w:rPr>
          <w:rFonts w:ascii="Times New Roman" w:hAnsi="Times New Roman" w:cs="Times New Roman"/>
          <w:sz w:val="24"/>
          <w:szCs w:val="24"/>
        </w:rPr>
        <w:t>.</w:t>
      </w:r>
    </w:p>
    <w:p w:rsidR="003870B3" w:rsidRDefault="003870B3" w:rsidP="009F44F5">
      <w:pPr>
        <w:autoSpaceDE w:val="0"/>
        <w:autoSpaceDN w:val="0"/>
        <w:adjustRightInd w:val="0"/>
        <w:spacing w:after="0" w:line="240" w:lineRule="auto"/>
        <w:jc w:val="both"/>
        <w:rPr>
          <w:rFonts w:ascii="Calibri" w:hAnsi="Calibri" w:cs="Calibri"/>
          <w:sz w:val="24"/>
          <w:szCs w:val="24"/>
        </w:rPr>
      </w:pPr>
    </w:p>
    <w:p w:rsidR="0096105D" w:rsidRPr="00C3745F" w:rsidRDefault="0096105D" w:rsidP="009F44F5">
      <w:pPr>
        <w:autoSpaceDE w:val="0"/>
        <w:autoSpaceDN w:val="0"/>
        <w:adjustRightInd w:val="0"/>
        <w:spacing w:after="0" w:line="240" w:lineRule="auto"/>
        <w:jc w:val="both"/>
        <w:rPr>
          <w:rFonts w:ascii="Times New Roman" w:hAnsi="Times New Roman" w:cs="Times New Roman"/>
          <w:b/>
          <w:sz w:val="24"/>
          <w:szCs w:val="24"/>
        </w:rPr>
      </w:pPr>
      <w:r w:rsidRPr="00C3745F">
        <w:rPr>
          <w:rFonts w:ascii="Times New Roman" w:hAnsi="Times New Roman" w:cs="Times New Roman"/>
          <w:b/>
          <w:sz w:val="24"/>
          <w:szCs w:val="24"/>
        </w:rPr>
        <w:t>References:</w:t>
      </w:r>
    </w:p>
    <w:p w:rsidR="00A328C0" w:rsidRPr="00FD128E" w:rsidRDefault="00A328C0" w:rsidP="009F44F5">
      <w:pPr>
        <w:autoSpaceDE w:val="0"/>
        <w:autoSpaceDN w:val="0"/>
        <w:adjustRightInd w:val="0"/>
        <w:spacing w:after="0" w:line="240" w:lineRule="auto"/>
        <w:jc w:val="both"/>
        <w:rPr>
          <w:rFonts w:ascii="Times New Roman" w:hAnsi="Times New Roman" w:cs="Times New Roman"/>
          <w:sz w:val="24"/>
          <w:szCs w:val="24"/>
        </w:rPr>
      </w:pPr>
    </w:p>
    <w:p w:rsidR="00A328C0" w:rsidRPr="00FD128E" w:rsidRDefault="00A328C0" w:rsidP="009F44F5">
      <w:pPr>
        <w:autoSpaceDE w:val="0"/>
        <w:autoSpaceDN w:val="0"/>
        <w:adjustRightInd w:val="0"/>
        <w:spacing w:after="0" w:line="240" w:lineRule="auto"/>
        <w:jc w:val="both"/>
        <w:rPr>
          <w:rFonts w:ascii="Times New Roman" w:hAnsi="Times New Roman" w:cs="Times New Roman"/>
          <w:sz w:val="24"/>
          <w:szCs w:val="24"/>
        </w:rPr>
      </w:pPr>
      <w:r w:rsidRPr="00FD128E">
        <w:rPr>
          <w:rFonts w:ascii="Times New Roman" w:hAnsi="Times New Roman" w:cs="Times New Roman"/>
          <w:sz w:val="24"/>
          <w:szCs w:val="24"/>
        </w:rPr>
        <w:t xml:space="preserve">Bettler, J., Euler, A.R. (2006). An Evaluation of the Growth of Term Infants Fed Formula Supplemented with Fructo-oligosaccharide. </w:t>
      </w:r>
      <w:r w:rsidRPr="00FD128E">
        <w:rPr>
          <w:rFonts w:ascii="Times New Roman" w:hAnsi="Times New Roman" w:cs="Times New Roman"/>
          <w:i/>
          <w:iCs/>
          <w:sz w:val="24"/>
          <w:szCs w:val="24"/>
        </w:rPr>
        <w:t xml:space="preserve">Int J Probiotics Prebiotics, </w:t>
      </w:r>
      <w:r w:rsidRPr="00FD128E">
        <w:rPr>
          <w:rFonts w:ascii="Times New Roman" w:hAnsi="Times New Roman" w:cs="Times New Roman"/>
          <w:i/>
          <w:sz w:val="24"/>
          <w:szCs w:val="24"/>
        </w:rPr>
        <w:t>1</w:t>
      </w:r>
      <w:r w:rsidRPr="00FD128E">
        <w:rPr>
          <w:rFonts w:ascii="Times New Roman" w:hAnsi="Times New Roman" w:cs="Times New Roman"/>
          <w:sz w:val="24"/>
          <w:szCs w:val="24"/>
        </w:rPr>
        <w:t>, 19-26</w:t>
      </w:r>
    </w:p>
    <w:p w:rsidR="00A328C0" w:rsidRDefault="00A328C0" w:rsidP="009F44F5">
      <w:pPr>
        <w:autoSpaceDE w:val="0"/>
        <w:autoSpaceDN w:val="0"/>
        <w:adjustRightInd w:val="0"/>
        <w:spacing w:before="240" w:after="0" w:line="240" w:lineRule="auto"/>
        <w:jc w:val="both"/>
        <w:rPr>
          <w:rFonts w:ascii="Times New Roman" w:hAnsi="Times New Roman" w:cs="Times New Roman"/>
          <w:sz w:val="24"/>
          <w:szCs w:val="24"/>
        </w:rPr>
      </w:pPr>
      <w:r w:rsidRPr="00FD128E">
        <w:rPr>
          <w:rFonts w:ascii="Times New Roman" w:hAnsi="Times New Roman" w:cs="Times New Roman"/>
          <w:sz w:val="24"/>
          <w:szCs w:val="24"/>
        </w:rPr>
        <w:t xml:space="preserve">Braegger, C., Chmielewska, A., Desci, Tl, et al. (2011)  Supplementation of Infant Formula with Probiotics and/or Prebiotics:  A Systematic Review and Comment by the ESPGHAN Committee on Nutrition.  </w:t>
      </w:r>
      <w:r w:rsidRPr="00FD128E">
        <w:rPr>
          <w:rFonts w:ascii="Times New Roman" w:hAnsi="Times New Roman" w:cs="Times New Roman"/>
          <w:i/>
          <w:sz w:val="24"/>
          <w:szCs w:val="24"/>
        </w:rPr>
        <w:t>J Pediatr Gastroenterol Nutr, 52</w:t>
      </w:r>
      <w:r w:rsidRPr="00FD128E">
        <w:rPr>
          <w:rFonts w:ascii="Times New Roman" w:hAnsi="Times New Roman" w:cs="Times New Roman"/>
          <w:sz w:val="24"/>
          <w:szCs w:val="24"/>
        </w:rPr>
        <w:t>(2), 238-250.</w:t>
      </w:r>
    </w:p>
    <w:p w:rsidR="003870B3" w:rsidRPr="00EF14AB" w:rsidRDefault="00EF14AB" w:rsidP="009F44F5">
      <w:pPr>
        <w:autoSpaceDE w:val="0"/>
        <w:autoSpaceDN w:val="0"/>
        <w:adjustRightInd w:val="0"/>
        <w:spacing w:before="240" w:after="0" w:line="240" w:lineRule="auto"/>
        <w:jc w:val="both"/>
        <w:rPr>
          <w:rFonts w:ascii="Times New Roman" w:hAnsi="Times New Roman" w:cs="Times New Roman"/>
          <w:sz w:val="24"/>
          <w:szCs w:val="24"/>
        </w:rPr>
      </w:pPr>
      <w:r>
        <w:rPr>
          <w:rFonts w:ascii="Times New Roman" w:hAnsi="Times New Roman" w:cs="Times New Roman"/>
          <w:sz w:val="24"/>
          <w:szCs w:val="24"/>
        </w:rPr>
        <w:t>Guo, S</w:t>
      </w:r>
      <w:r w:rsidR="003870B3">
        <w:rPr>
          <w:rFonts w:ascii="Times New Roman" w:hAnsi="Times New Roman" w:cs="Times New Roman"/>
          <w:sz w:val="24"/>
          <w:szCs w:val="24"/>
        </w:rPr>
        <w:t>.</w:t>
      </w:r>
      <w:r>
        <w:rPr>
          <w:rFonts w:ascii="Times New Roman" w:hAnsi="Times New Roman" w:cs="Times New Roman"/>
          <w:sz w:val="24"/>
          <w:szCs w:val="24"/>
        </w:rPr>
        <w:t xml:space="preserve">, Roche, A.F., Fomon, S.J., et al. (1991).  Reference Data on Gains in Weight and Length During the </w:t>
      </w:r>
      <w:r w:rsidRPr="00EF14AB">
        <w:rPr>
          <w:rFonts w:ascii="Times New Roman" w:hAnsi="Times New Roman" w:cs="Times New Roman"/>
          <w:sz w:val="24"/>
          <w:szCs w:val="24"/>
        </w:rPr>
        <w:t>First</w:t>
      </w:r>
      <w:r>
        <w:rPr>
          <w:rFonts w:ascii="Times New Roman" w:hAnsi="Times New Roman" w:cs="Times New Roman"/>
          <w:sz w:val="24"/>
          <w:szCs w:val="24"/>
        </w:rPr>
        <w:t xml:space="preserve"> Two Years of Life. </w:t>
      </w:r>
      <w:r>
        <w:rPr>
          <w:rFonts w:ascii="Times New Roman" w:hAnsi="Times New Roman" w:cs="Times New Roman"/>
          <w:i/>
          <w:sz w:val="24"/>
          <w:szCs w:val="24"/>
        </w:rPr>
        <w:t>J Pediatr 119,</w:t>
      </w:r>
      <w:r>
        <w:rPr>
          <w:rFonts w:ascii="Times New Roman" w:hAnsi="Times New Roman" w:cs="Times New Roman"/>
          <w:sz w:val="24"/>
          <w:szCs w:val="24"/>
        </w:rPr>
        <w:t xml:space="preserve"> 355-362.</w:t>
      </w:r>
    </w:p>
    <w:p w:rsidR="00DD2805" w:rsidRPr="00FD128E" w:rsidRDefault="00DD2805" w:rsidP="009F44F5">
      <w:pPr>
        <w:autoSpaceDE w:val="0"/>
        <w:autoSpaceDN w:val="0"/>
        <w:adjustRightInd w:val="0"/>
        <w:spacing w:after="0" w:line="240" w:lineRule="auto"/>
        <w:jc w:val="both"/>
        <w:rPr>
          <w:rFonts w:ascii="Times New Roman" w:hAnsi="Times New Roman" w:cs="Times New Roman"/>
          <w:sz w:val="24"/>
          <w:szCs w:val="24"/>
        </w:rPr>
      </w:pPr>
    </w:p>
    <w:p w:rsidR="00CD1522" w:rsidRPr="00FD128E" w:rsidRDefault="00DD2805" w:rsidP="009F44F5">
      <w:pPr>
        <w:autoSpaceDE w:val="0"/>
        <w:autoSpaceDN w:val="0"/>
        <w:adjustRightInd w:val="0"/>
        <w:spacing w:after="0" w:line="240" w:lineRule="auto"/>
        <w:jc w:val="both"/>
        <w:rPr>
          <w:rFonts w:ascii="Times New Roman" w:hAnsi="Times New Roman" w:cs="Times New Roman"/>
          <w:sz w:val="24"/>
          <w:szCs w:val="24"/>
        </w:rPr>
      </w:pPr>
      <w:r w:rsidRPr="00FD128E">
        <w:rPr>
          <w:rFonts w:ascii="Times New Roman" w:hAnsi="Times New Roman" w:cs="Times New Roman"/>
          <w:sz w:val="24"/>
          <w:szCs w:val="24"/>
        </w:rPr>
        <w:t>Raiten</w:t>
      </w:r>
      <w:r w:rsidR="00C70D4B" w:rsidRPr="00FD128E">
        <w:rPr>
          <w:rFonts w:ascii="Times New Roman" w:hAnsi="Times New Roman" w:cs="Times New Roman"/>
          <w:sz w:val="24"/>
          <w:szCs w:val="24"/>
        </w:rPr>
        <w:t>,</w:t>
      </w:r>
      <w:r w:rsidRPr="00FD128E">
        <w:rPr>
          <w:rFonts w:ascii="Times New Roman" w:hAnsi="Times New Roman" w:cs="Times New Roman"/>
          <w:sz w:val="24"/>
          <w:szCs w:val="24"/>
        </w:rPr>
        <w:t xml:space="preserve"> D</w:t>
      </w:r>
      <w:r w:rsidR="00C70D4B" w:rsidRPr="00FD128E">
        <w:rPr>
          <w:rFonts w:ascii="Times New Roman" w:hAnsi="Times New Roman" w:cs="Times New Roman"/>
          <w:sz w:val="24"/>
          <w:szCs w:val="24"/>
        </w:rPr>
        <w:t>.</w:t>
      </w:r>
      <w:r w:rsidRPr="00FD128E">
        <w:rPr>
          <w:rFonts w:ascii="Times New Roman" w:hAnsi="Times New Roman" w:cs="Times New Roman"/>
          <w:sz w:val="24"/>
          <w:szCs w:val="24"/>
        </w:rPr>
        <w:t>J</w:t>
      </w:r>
      <w:r w:rsidR="00C70D4B" w:rsidRPr="00FD128E">
        <w:rPr>
          <w:rFonts w:ascii="Times New Roman" w:hAnsi="Times New Roman" w:cs="Times New Roman"/>
          <w:sz w:val="24"/>
          <w:szCs w:val="24"/>
        </w:rPr>
        <w:t>.</w:t>
      </w:r>
      <w:r w:rsidRPr="00FD128E">
        <w:rPr>
          <w:rFonts w:ascii="Times New Roman" w:hAnsi="Times New Roman" w:cs="Times New Roman"/>
          <w:sz w:val="24"/>
          <w:szCs w:val="24"/>
        </w:rPr>
        <w:t>, Talbot</w:t>
      </w:r>
      <w:r w:rsidR="00C70D4B" w:rsidRPr="00FD128E">
        <w:rPr>
          <w:rFonts w:ascii="Times New Roman" w:hAnsi="Times New Roman" w:cs="Times New Roman"/>
          <w:sz w:val="24"/>
          <w:szCs w:val="24"/>
        </w:rPr>
        <w:t>,</w:t>
      </w:r>
      <w:r w:rsidRPr="00FD128E">
        <w:rPr>
          <w:rFonts w:ascii="Times New Roman" w:hAnsi="Times New Roman" w:cs="Times New Roman"/>
          <w:sz w:val="24"/>
          <w:szCs w:val="24"/>
        </w:rPr>
        <w:t xml:space="preserve"> J</w:t>
      </w:r>
      <w:r w:rsidR="00C70D4B" w:rsidRPr="00FD128E">
        <w:rPr>
          <w:rFonts w:ascii="Times New Roman" w:hAnsi="Times New Roman" w:cs="Times New Roman"/>
          <w:sz w:val="24"/>
          <w:szCs w:val="24"/>
        </w:rPr>
        <w:t>.</w:t>
      </w:r>
      <w:r w:rsidRPr="00FD128E">
        <w:rPr>
          <w:rFonts w:ascii="Times New Roman" w:hAnsi="Times New Roman" w:cs="Times New Roman"/>
          <w:sz w:val="24"/>
          <w:szCs w:val="24"/>
        </w:rPr>
        <w:t>M</w:t>
      </w:r>
      <w:r w:rsidR="00C70D4B" w:rsidRPr="00FD128E">
        <w:rPr>
          <w:rFonts w:ascii="Times New Roman" w:hAnsi="Times New Roman" w:cs="Times New Roman"/>
          <w:sz w:val="24"/>
          <w:szCs w:val="24"/>
        </w:rPr>
        <w:t>.</w:t>
      </w:r>
      <w:r w:rsidRPr="00FD128E">
        <w:rPr>
          <w:rFonts w:ascii="Times New Roman" w:hAnsi="Times New Roman" w:cs="Times New Roman"/>
          <w:sz w:val="24"/>
          <w:szCs w:val="24"/>
        </w:rPr>
        <w:t xml:space="preserve">, </w:t>
      </w:r>
      <w:r w:rsidR="00F82D86" w:rsidRPr="00FD128E">
        <w:rPr>
          <w:rFonts w:ascii="Times New Roman" w:hAnsi="Times New Roman" w:cs="Times New Roman"/>
          <w:sz w:val="24"/>
          <w:szCs w:val="24"/>
        </w:rPr>
        <w:t xml:space="preserve">&amp; </w:t>
      </w:r>
      <w:r w:rsidRPr="00FD128E">
        <w:rPr>
          <w:rFonts w:ascii="Times New Roman" w:hAnsi="Times New Roman" w:cs="Times New Roman"/>
          <w:sz w:val="24"/>
          <w:szCs w:val="24"/>
        </w:rPr>
        <w:t>Waters</w:t>
      </w:r>
      <w:r w:rsidR="00C70D4B" w:rsidRPr="00FD128E">
        <w:rPr>
          <w:rFonts w:ascii="Times New Roman" w:hAnsi="Times New Roman" w:cs="Times New Roman"/>
          <w:sz w:val="24"/>
          <w:szCs w:val="24"/>
        </w:rPr>
        <w:t>,</w:t>
      </w:r>
      <w:r w:rsidRPr="00FD128E">
        <w:rPr>
          <w:rFonts w:ascii="Times New Roman" w:hAnsi="Times New Roman" w:cs="Times New Roman"/>
          <w:sz w:val="24"/>
          <w:szCs w:val="24"/>
        </w:rPr>
        <w:t xml:space="preserve"> J</w:t>
      </w:r>
      <w:r w:rsidR="00C70D4B" w:rsidRPr="00FD128E">
        <w:rPr>
          <w:rFonts w:ascii="Times New Roman" w:hAnsi="Times New Roman" w:cs="Times New Roman"/>
          <w:sz w:val="24"/>
          <w:szCs w:val="24"/>
        </w:rPr>
        <w:t>.</w:t>
      </w:r>
      <w:r w:rsidRPr="00FD128E">
        <w:rPr>
          <w:rFonts w:ascii="Times New Roman" w:hAnsi="Times New Roman" w:cs="Times New Roman"/>
          <w:sz w:val="24"/>
          <w:szCs w:val="24"/>
        </w:rPr>
        <w:t xml:space="preserve">H. </w:t>
      </w:r>
      <w:r w:rsidR="00C70D4B" w:rsidRPr="00FD128E">
        <w:rPr>
          <w:rFonts w:ascii="Times New Roman" w:hAnsi="Times New Roman" w:cs="Times New Roman"/>
          <w:sz w:val="24"/>
          <w:szCs w:val="24"/>
        </w:rPr>
        <w:t>(</w:t>
      </w:r>
      <w:r w:rsidRPr="00FD128E">
        <w:rPr>
          <w:rFonts w:ascii="Times New Roman" w:hAnsi="Times New Roman" w:cs="Times New Roman"/>
          <w:sz w:val="24"/>
          <w:szCs w:val="24"/>
        </w:rPr>
        <w:t>1998</w:t>
      </w:r>
      <w:r w:rsidR="00C70D4B" w:rsidRPr="00FD128E">
        <w:rPr>
          <w:rFonts w:ascii="Times New Roman" w:hAnsi="Times New Roman" w:cs="Times New Roman"/>
          <w:sz w:val="24"/>
          <w:szCs w:val="24"/>
        </w:rPr>
        <w:t>)</w:t>
      </w:r>
      <w:r w:rsidR="00F82D86" w:rsidRPr="00FD128E">
        <w:rPr>
          <w:rFonts w:ascii="Times New Roman" w:hAnsi="Times New Roman" w:cs="Times New Roman"/>
          <w:sz w:val="24"/>
          <w:szCs w:val="24"/>
        </w:rPr>
        <w:t>.</w:t>
      </w:r>
      <w:r w:rsidRPr="00FD128E">
        <w:rPr>
          <w:rFonts w:ascii="Times New Roman" w:hAnsi="Times New Roman" w:cs="Times New Roman"/>
          <w:sz w:val="24"/>
          <w:szCs w:val="24"/>
        </w:rPr>
        <w:t xml:space="preserve"> </w:t>
      </w:r>
      <w:r w:rsidR="00F82D86" w:rsidRPr="00FD128E">
        <w:rPr>
          <w:rFonts w:ascii="Times New Roman" w:hAnsi="Times New Roman" w:cs="Times New Roman"/>
          <w:sz w:val="24"/>
          <w:szCs w:val="24"/>
        </w:rPr>
        <w:t>Executive Summary for the (LSRO) Report: Assessment of Nutrient R</w:t>
      </w:r>
      <w:r w:rsidRPr="00FD128E">
        <w:rPr>
          <w:rFonts w:ascii="Times New Roman" w:hAnsi="Times New Roman" w:cs="Times New Roman"/>
          <w:sz w:val="24"/>
          <w:szCs w:val="24"/>
        </w:rPr>
        <w:t xml:space="preserve">equirements for </w:t>
      </w:r>
      <w:r w:rsidR="00F82D86" w:rsidRPr="00FD128E">
        <w:rPr>
          <w:rFonts w:ascii="Times New Roman" w:hAnsi="Times New Roman" w:cs="Times New Roman"/>
          <w:sz w:val="24"/>
          <w:szCs w:val="24"/>
        </w:rPr>
        <w:t>I</w:t>
      </w:r>
      <w:r w:rsidRPr="00FD128E">
        <w:rPr>
          <w:rFonts w:ascii="Times New Roman" w:hAnsi="Times New Roman" w:cs="Times New Roman"/>
          <w:sz w:val="24"/>
          <w:szCs w:val="24"/>
        </w:rPr>
        <w:t>nfant</w:t>
      </w:r>
      <w:r w:rsidR="00F82D86" w:rsidRPr="00FD128E">
        <w:rPr>
          <w:rFonts w:ascii="Times New Roman" w:hAnsi="Times New Roman" w:cs="Times New Roman"/>
          <w:sz w:val="24"/>
          <w:szCs w:val="24"/>
        </w:rPr>
        <w:t xml:space="preserve"> F</w:t>
      </w:r>
      <w:r w:rsidRPr="00FD128E">
        <w:rPr>
          <w:rFonts w:ascii="Times New Roman" w:hAnsi="Times New Roman" w:cs="Times New Roman"/>
          <w:sz w:val="24"/>
          <w:szCs w:val="24"/>
        </w:rPr>
        <w:t xml:space="preserve">ormulas. </w:t>
      </w:r>
      <w:r w:rsidRPr="00FD128E">
        <w:rPr>
          <w:rFonts w:ascii="Times New Roman" w:hAnsi="Times New Roman" w:cs="Times New Roman"/>
          <w:i/>
          <w:iCs/>
          <w:sz w:val="24"/>
          <w:szCs w:val="24"/>
        </w:rPr>
        <w:t>J Nutr</w:t>
      </w:r>
      <w:r w:rsidR="001A1A1C" w:rsidRPr="00FD128E">
        <w:rPr>
          <w:rFonts w:ascii="Times New Roman" w:hAnsi="Times New Roman" w:cs="Times New Roman"/>
          <w:i/>
          <w:iCs/>
          <w:sz w:val="24"/>
          <w:szCs w:val="24"/>
        </w:rPr>
        <w:t>,</w:t>
      </w:r>
      <w:r w:rsidRPr="00FD128E">
        <w:rPr>
          <w:rFonts w:ascii="Times New Roman" w:hAnsi="Times New Roman" w:cs="Times New Roman"/>
          <w:i/>
          <w:iCs/>
          <w:sz w:val="24"/>
          <w:szCs w:val="24"/>
        </w:rPr>
        <w:t xml:space="preserve"> </w:t>
      </w:r>
      <w:r w:rsidRPr="00FD128E">
        <w:rPr>
          <w:rFonts w:ascii="Times New Roman" w:hAnsi="Times New Roman" w:cs="Times New Roman"/>
          <w:i/>
          <w:sz w:val="24"/>
          <w:szCs w:val="24"/>
        </w:rPr>
        <w:t>128</w:t>
      </w:r>
      <w:r w:rsidR="00F82D86" w:rsidRPr="00FD128E">
        <w:rPr>
          <w:rFonts w:ascii="Times New Roman" w:hAnsi="Times New Roman" w:cs="Times New Roman"/>
          <w:sz w:val="24"/>
          <w:szCs w:val="24"/>
        </w:rPr>
        <w:t xml:space="preserve">(11), </w:t>
      </w:r>
      <w:r w:rsidR="008056EC" w:rsidRPr="00FD128E">
        <w:rPr>
          <w:rFonts w:ascii="Times New Roman" w:hAnsi="Times New Roman" w:cs="Times New Roman"/>
          <w:sz w:val="24"/>
          <w:szCs w:val="24"/>
        </w:rPr>
        <w:t>Supplemental D</w:t>
      </w:r>
      <w:r w:rsidR="00F82D86" w:rsidRPr="00FD128E">
        <w:rPr>
          <w:rFonts w:ascii="Times New Roman" w:hAnsi="Times New Roman" w:cs="Times New Roman"/>
          <w:sz w:val="24"/>
          <w:szCs w:val="24"/>
        </w:rPr>
        <w:t>ata.</w:t>
      </w:r>
    </w:p>
    <w:p w:rsidR="00DD2805" w:rsidRPr="00FD128E" w:rsidRDefault="00DD2805" w:rsidP="009F44F5">
      <w:pPr>
        <w:autoSpaceDE w:val="0"/>
        <w:autoSpaceDN w:val="0"/>
        <w:adjustRightInd w:val="0"/>
        <w:spacing w:after="0" w:line="240" w:lineRule="auto"/>
        <w:jc w:val="both"/>
        <w:rPr>
          <w:rFonts w:ascii="Times New Roman" w:hAnsi="Times New Roman" w:cs="Times New Roman"/>
          <w:sz w:val="24"/>
          <w:szCs w:val="24"/>
        </w:rPr>
      </w:pPr>
    </w:p>
    <w:p w:rsidR="00D2657F" w:rsidRPr="00FD128E" w:rsidRDefault="00D2657F" w:rsidP="009F44F5">
      <w:pPr>
        <w:autoSpaceDE w:val="0"/>
        <w:autoSpaceDN w:val="0"/>
        <w:adjustRightInd w:val="0"/>
        <w:spacing w:after="0" w:line="240" w:lineRule="auto"/>
        <w:jc w:val="both"/>
        <w:rPr>
          <w:rFonts w:ascii="Times New Roman" w:hAnsi="Times New Roman" w:cs="Times New Roman"/>
          <w:sz w:val="24"/>
          <w:szCs w:val="24"/>
        </w:rPr>
      </w:pPr>
      <w:r w:rsidRPr="00FD128E">
        <w:rPr>
          <w:rFonts w:ascii="Times New Roman" w:hAnsi="Times New Roman" w:cs="Times New Roman"/>
          <w:sz w:val="24"/>
          <w:szCs w:val="24"/>
        </w:rPr>
        <w:t>Rao</w:t>
      </w:r>
      <w:r w:rsidR="000648F6" w:rsidRPr="00FD128E">
        <w:rPr>
          <w:rFonts w:ascii="Times New Roman" w:hAnsi="Times New Roman" w:cs="Times New Roman"/>
          <w:sz w:val="24"/>
          <w:szCs w:val="24"/>
        </w:rPr>
        <w:t>,</w:t>
      </w:r>
      <w:r w:rsidR="00C70D4B" w:rsidRPr="00FD128E">
        <w:rPr>
          <w:rFonts w:ascii="Times New Roman" w:hAnsi="Times New Roman" w:cs="Times New Roman"/>
          <w:sz w:val="24"/>
          <w:szCs w:val="24"/>
        </w:rPr>
        <w:t xml:space="preserve"> S</w:t>
      </w:r>
      <w:r w:rsidR="000648F6" w:rsidRPr="00FD128E">
        <w:rPr>
          <w:rFonts w:ascii="Times New Roman" w:hAnsi="Times New Roman" w:cs="Times New Roman"/>
          <w:sz w:val="24"/>
          <w:szCs w:val="24"/>
        </w:rPr>
        <w:t>.</w:t>
      </w:r>
      <w:r w:rsidR="00C70D4B" w:rsidRPr="00FD128E">
        <w:rPr>
          <w:rFonts w:ascii="Times New Roman" w:hAnsi="Times New Roman" w:cs="Times New Roman"/>
          <w:sz w:val="24"/>
          <w:szCs w:val="24"/>
        </w:rPr>
        <w:t>, Srinivasjois</w:t>
      </w:r>
      <w:r w:rsidR="000648F6" w:rsidRPr="00FD128E">
        <w:rPr>
          <w:rFonts w:ascii="Times New Roman" w:hAnsi="Times New Roman" w:cs="Times New Roman"/>
          <w:sz w:val="24"/>
          <w:szCs w:val="24"/>
        </w:rPr>
        <w:t>,</w:t>
      </w:r>
      <w:r w:rsidR="00C70D4B" w:rsidRPr="00FD128E">
        <w:rPr>
          <w:rFonts w:ascii="Times New Roman" w:hAnsi="Times New Roman" w:cs="Times New Roman"/>
          <w:sz w:val="24"/>
          <w:szCs w:val="24"/>
        </w:rPr>
        <w:t xml:space="preserve"> R</w:t>
      </w:r>
      <w:r w:rsidR="000648F6" w:rsidRPr="00FD128E">
        <w:rPr>
          <w:rFonts w:ascii="Times New Roman" w:hAnsi="Times New Roman" w:cs="Times New Roman"/>
          <w:sz w:val="24"/>
          <w:szCs w:val="24"/>
        </w:rPr>
        <w:t>.</w:t>
      </w:r>
      <w:r w:rsidR="00C70D4B" w:rsidRPr="00FD128E">
        <w:rPr>
          <w:rFonts w:ascii="Times New Roman" w:hAnsi="Times New Roman" w:cs="Times New Roman"/>
          <w:sz w:val="24"/>
          <w:szCs w:val="24"/>
        </w:rPr>
        <w:t>, Patole</w:t>
      </w:r>
      <w:r w:rsidR="000648F6" w:rsidRPr="00FD128E">
        <w:rPr>
          <w:rFonts w:ascii="Times New Roman" w:hAnsi="Times New Roman" w:cs="Times New Roman"/>
          <w:sz w:val="24"/>
          <w:szCs w:val="24"/>
        </w:rPr>
        <w:t>,</w:t>
      </w:r>
      <w:r w:rsidR="00C70D4B" w:rsidRPr="00FD128E">
        <w:rPr>
          <w:rFonts w:ascii="Times New Roman" w:hAnsi="Times New Roman" w:cs="Times New Roman"/>
          <w:sz w:val="24"/>
          <w:szCs w:val="24"/>
        </w:rPr>
        <w:t xml:space="preserve"> S. </w:t>
      </w:r>
      <w:r w:rsidR="000648F6" w:rsidRPr="00FD128E">
        <w:rPr>
          <w:rFonts w:ascii="Times New Roman" w:hAnsi="Times New Roman" w:cs="Times New Roman"/>
          <w:sz w:val="24"/>
          <w:szCs w:val="24"/>
        </w:rPr>
        <w:t>(</w:t>
      </w:r>
      <w:r w:rsidR="00C70D4B" w:rsidRPr="00FD128E">
        <w:rPr>
          <w:rFonts w:ascii="Times New Roman" w:hAnsi="Times New Roman" w:cs="Times New Roman"/>
          <w:sz w:val="24"/>
          <w:szCs w:val="24"/>
        </w:rPr>
        <w:t>2009</w:t>
      </w:r>
      <w:r w:rsidR="000648F6" w:rsidRPr="00FD128E">
        <w:rPr>
          <w:rFonts w:ascii="Times New Roman" w:hAnsi="Times New Roman" w:cs="Times New Roman"/>
          <w:sz w:val="24"/>
          <w:szCs w:val="24"/>
        </w:rPr>
        <w:t>)</w:t>
      </w:r>
      <w:r w:rsidR="00C70D4B" w:rsidRPr="00FD128E">
        <w:rPr>
          <w:rFonts w:ascii="Times New Roman" w:hAnsi="Times New Roman" w:cs="Times New Roman"/>
          <w:sz w:val="24"/>
          <w:szCs w:val="24"/>
        </w:rPr>
        <w:t>.</w:t>
      </w:r>
      <w:r w:rsidR="000648F6" w:rsidRPr="00FD128E">
        <w:rPr>
          <w:rFonts w:ascii="Times New Roman" w:hAnsi="Times New Roman" w:cs="Times New Roman"/>
          <w:sz w:val="24"/>
          <w:szCs w:val="24"/>
        </w:rPr>
        <w:t xml:space="preserve">  Prebiotic Supplementation in Full-term Neonates:  A Systematic Review of Randomized controlled Trials.  </w:t>
      </w:r>
      <w:r w:rsidR="001A1A1C" w:rsidRPr="00FD128E">
        <w:rPr>
          <w:rFonts w:ascii="Times New Roman" w:hAnsi="Times New Roman" w:cs="Times New Roman"/>
          <w:i/>
          <w:sz w:val="24"/>
          <w:szCs w:val="24"/>
        </w:rPr>
        <w:t xml:space="preserve">Arch Ped Adolescent  Med, </w:t>
      </w:r>
      <w:r w:rsidR="000648F6" w:rsidRPr="00FD128E">
        <w:rPr>
          <w:rFonts w:ascii="Times New Roman" w:hAnsi="Times New Roman" w:cs="Times New Roman"/>
          <w:i/>
          <w:sz w:val="24"/>
          <w:szCs w:val="24"/>
        </w:rPr>
        <w:t>163</w:t>
      </w:r>
      <w:r w:rsidR="000648F6" w:rsidRPr="00FD128E">
        <w:rPr>
          <w:rFonts w:ascii="Times New Roman" w:hAnsi="Times New Roman" w:cs="Times New Roman"/>
          <w:sz w:val="24"/>
          <w:szCs w:val="24"/>
        </w:rPr>
        <w:t xml:space="preserve"> (8), 755-764.</w:t>
      </w:r>
    </w:p>
    <w:p w:rsidR="00E14231" w:rsidRPr="00FD128E" w:rsidRDefault="00E14231" w:rsidP="009F44F5">
      <w:pPr>
        <w:autoSpaceDE w:val="0"/>
        <w:autoSpaceDN w:val="0"/>
        <w:adjustRightInd w:val="0"/>
        <w:spacing w:after="0" w:line="240" w:lineRule="auto"/>
        <w:jc w:val="both"/>
        <w:rPr>
          <w:rFonts w:ascii="Times New Roman" w:hAnsi="Times New Roman" w:cs="Times New Roman"/>
          <w:sz w:val="24"/>
          <w:szCs w:val="24"/>
        </w:rPr>
      </w:pPr>
    </w:p>
    <w:p w:rsidR="00D2657F" w:rsidRPr="00FD128E" w:rsidRDefault="00D2657F" w:rsidP="009F44F5">
      <w:pPr>
        <w:autoSpaceDE w:val="0"/>
        <w:autoSpaceDN w:val="0"/>
        <w:adjustRightInd w:val="0"/>
        <w:spacing w:after="0" w:line="240" w:lineRule="auto"/>
        <w:jc w:val="both"/>
        <w:rPr>
          <w:rFonts w:ascii="Times New Roman" w:hAnsi="Times New Roman" w:cs="Times New Roman"/>
          <w:sz w:val="24"/>
          <w:szCs w:val="24"/>
        </w:rPr>
      </w:pPr>
      <w:r w:rsidRPr="00FD128E">
        <w:rPr>
          <w:rFonts w:ascii="Times New Roman" w:hAnsi="Times New Roman" w:cs="Times New Roman"/>
          <w:sz w:val="24"/>
          <w:szCs w:val="24"/>
        </w:rPr>
        <w:t>Sherman</w:t>
      </w:r>
      <w:r w:rsidR="00962F18" w:rsidRPr="00FD128E">
        <w:rPr>
          <w:rFonts w:ascii="Times New Roman" w:hAnsi="Times New Roman" w:cs="Times New Roman"/>
          <w:sz w:val="24"/>
          <w:szCs w:val="24"/>
        </w:rPr>
        <w:t>, P. M., Cabana, M., Gibson, G.R., et al (2009).  Potential</w:t>
      </w:r>
      <w:r w:rsidR="005C2278" w:rsidRPr="00FD128E">
        <w:rPr>
          <w:rFonts w:ascii="Times New Roman" w:hAnsi="Times New Roman" w:cs="Times New Roman"/>
          <w:sz w:val="24"/>
          <w:szCs w:val="24"/>
        </w:rPr>
        <w:t xml:space="preserve"> Roles and clinical Utility of Prebiotics in Newborns, Infantsm and Children:  Proceedings from a Global Prebiotic Summit Meeting, New York City, June 27-28, 2008.  </w:t>
      </w:r>
      <w:r w:rsidR="005C2278" w:rsidRPr="00FD128E">
        <w:rPr>
          <w:rFonts w:ascii="Times New Roman" w:hAnsi="Times New Roman" w:cs="Times New Roman"/>
          <w:i/>
          <w:sz w:val="24"/>
          <w:szCs w:val="24"/>
        </w:rPr>
        <w:t xml:space="preserve"> J Pediatr, 155</w:t>
      </w:r>
      <w:r w:rsidR="005C2278" w:rsidRPr="00FD128E">
        <w:rPr>
          <w:rFonts w:ascii="Times New Roman" w:hAnsi="Times New Roman" w:cs="Times New Roman"/>
          <w:sz w:val="24"/>
          <w:szCs w:val="24"/>
        </w:rPr>
        <w:t>(5), S61-S70.</w:t>
      </w:r>
    </w:p>
    <w:p w:rsidR="00E14231" w:rsidRPr="00FD128E" w:rsidRDefault="00E14231" w:rsidP="009F44F5">
      <w:pPr>
        <w:autoSpaceDE w:val="0"/>
        <w:autoSpaceDN w:val="0"/>
        <w:adjustRightInd w:val="0"/>
        <w:spacing w:after="0" w:line="240" w:lineRule="auto"/>
        <w:jc w:val="both"/>
        <w:rPr>
          <w:rFonts w:ascii="Times New Roman" w:hAnsi="Times New Roman" w:cs="Times New Roman"/>
          <w:sz w:val="24"/>
          <w:szCs w:val="24"/>
        </w:rPr>
      </w:pPr>
    </w:p>
    <w:p w:rsidR="00D2657F" w:rsidRPr="00FD128E" w:rsidRDefault="00D2657F" w:rsidP="009F44F5">
      <w:pPr>
        <w:autoSpaceDE w:val="0"/>
        <w:autoSpaceDN w:val="0"/>
        <w:adjustRightInd w:val="0"/>
        <w:spacing w:after="0" w:line="240" w:lineRule="auto"/>
        <w:jc w:val="both"/>
        <w:rPr>
          <w:rFonts w:ascii="Times New Roman" w:hAnsi="Times New Roman" w:cs="Times New Roman"/>
          <w:sz w:val="24"/>
          <w:szCs w:val="24"/>
        </w:rPr>
      </w:pPr>
      <w:r w:rsidRPr="00FD128E">
        <w:rPr>
          <w:rFonts w:ascii="Times New Roman" w:hAnsi="Times New Roman" w:cs="Times New Roman"/>
          <w:sz w:val="24"/>
          <w:szCs w:val="24"/>
        </w:rPr>
        <w:t>Veereman-Wauters</w:t>
      </w:r>
      <w:r w:rsidR="00E14231" w:rsidRPr="00FD128E">
        <w:rPr>
          <w:rFonts w:ascii="Times New Roman" w:hAnsi="Times New Roman" w:cs="Times New Roman"/>
          <w:sz w:val="24"/>
          <w:szCs w:val="24"/>
        </w:rPr>
        <w:t xml:space="preserve"> </w:t>
      </w:r>
      <w:r w:rsidR="008056EC" w:rsidRPr="00FD128E">
        <w:rPr>
          <w:rFonts w:ascii="Times New Roman" w:hAnsi="Times New Roman" w:cs="Times New Roman"/>
          <w:sz w:val="24"/>
          <w:szCs w:val="24"/>
        </w:rPr>
        <w:t>,</w:t>
      </w:r>
      <w:r w:rsidR="00E14231" w:rsidRPr="00FD128E">
        <w:rPr>
          <w:rFonts w:ascii="Times New Roman" w:hAnsi="Times New Roman" w:cs="Times New Roman"/>
          <w:sz w:val="24"/>
          <w:szCs w:val="24"/>
        </w:rPr>
        <w:t>G</w:t>
      </w:r>
      <w:r w:rsidR="008056EC" w:rsidRPr="00FD128E">
        <w:rPr>
          <w:rFonts w:ascii="Times New Roman" w:hAnsi="Times New Roman" w:cs="Times New Roman"/>
          <w:sz w:val="24"/>
          <w:szCs w:val="24"/>
        </w:rPr>
        <w:t>.</w:t>
      </w:r>
      <w:r w:rsidR="00E14231" w:rsidRPr="00FD128E">
        <w:rPr>
          <w:rFonts w:ascii="Times New Roman" w:hAnsi="Times New Roman" w:cs="Times New Roman"/>
          <w:sz w:val="24"/>
          <w:szCs w:val="24"/>
        </w:rPr>
        <w:t>, Staelens</w:t>
      </w:r>
      <w:r w:rsidR="008056EC" w:rsidRPr="00FD128E">
        <w:rPr>
          <w:rFonts w:ascii="Times New Roman" w:hAnsi="Times New Roman" w:cs="Times New Roman"/>
          <w:sz w:val="24"/>
          <w:szCs w:val="24"/>
        </w:rPr>
        <w:t>,</w:t>
      </w:r>
      <w:r w:rsidR="00E14231" w:rsidRPr="00FD128E">
        <w:rPr>
          <w:rFonts w:ascii="Times New Roman" w:hAnsi="Times New Roman" w:cs="Times New Roman"/>
          <w:sz w:val="24"/>
          <w:szCs w:val="24"/>
        </w:rPr>
        <w:t xml:space="preserve"> S</w:t>
      </w:r>
      <w:r w:rsidR="008056EC" w:rsidRPr="00FD128E">
        <w:rPr>
          <w:rFonts w:ascii="Times New Roman" w:hAnsi="Times New Roman" w:cs="Times New Roman"/>
          <w:sz w:val="24"/>
          <w:szCs w:val="24"/>
        </w:rPr>
        <w:t>.</w:t>
      </w:r>
      <w:r w:rsidR="00E14231" w:rsidRPr="00FD128E">
        <w:rPr>
          <w:rFonts w:ascii="Times New Roman" w:hAnsi="Times New Roman" w:cs="Times New Roman"/>
          <w:sz w:val="24"/>
          <w:szCs w:val="24"/>
        </w:rPr>
        <w:t>, Van de Broek</w:t>
      </w:r>
      <w:r w:rsidR="008056EC" w:rsidRPr="00FD128E">
        <w:rPr>
          <w:rFonts w:ascii="Times New Roman" w:hAnsi="Times New Roman" w:cs="Times New Roman"/>
          <w:sz w:val="24"/>
          <w:szCs w:val="24"/>
        </w:rPr>
        <w:t>,</w:t>
      </w:r>
      <w:r w:rsidR="00E14231" w:rsidRPr="00FD128E">
        <w:rPr>
          <w:rFonts w:ascii="Times New Roman" w:hAnsi="Times New Roman" w:cs="Times New Roman"/>
          <w:sz w:val="24"/>
          <w:szCs w:val="24"/>
        </w:rPr>
        <w:t xml:space="preserve"> H</w:t>
      </w:r>
      <w:r w:rsidR="008056EC" w:rsidRPr="00FD128E">
        <w:rPr>
          <w:rFonts w:ascii="Times New Roman" w:hAnsi="Times New Roman" w:cs="Times New Roman"/>
          <w:sz w:val="24"/>
          <w:szCs w:val="24"/>
        </w:rPr>
        <w:t>.</w:t>
      </w:r>
      <w:r w:rsidR="00E14231" w:rsidRPr="00FD128E">
        <w:rPr>
          <w:rFonts w:ascii="Times New Roman" w:hAnsi="Times New Roman" w:cs="Times New Roman"/>
          <w:sz w:val="24"/>
          <w:szCs w:val="24"/>
        </w:rPr>
        <w:t xml:space="preserve">, et al. </w:t>
      </w:r>
      <w:r w:rsidR="008056EC" w:rsidRPr="00FD128E">
        <w:rPr>
          <w:rFonts w:ascii="Times New Roman" w:hAnsi="Times New Roman" w:cs="Times New Roman"/>
          <w:sz w:val="24"/>
          <w:szCs w:val="24"/>
        </w:rPr>
        <w:t>(</w:t>
      </w:r>
      <w:r w:rsidR="00E14231" w:rsidRPr="00FD128E">
        <w:rPr>
          <w:rFonts w:ascii="Times New Roman" w:hAnsi="Times New Roman" w:cs="Times New Roman"/>
          <w:sz w:val="24"/>
          <w:szCs w:val="24"/>
        </w:rPr>
        <w:t>2011</w:t>
      </w:r>
      <w:r w:rsidR="008056EC" w:rsidRPr="00FD128E">
        <w:rPr>
          <w:rFonts w:ascii="Times New Roman" w:hAnsi="Times New Roman" w:cs="Times New Roman"/>
          <w:sz w:val="24"/>
          <w:szCs w:val="24"/>
        </w:rPr>
        <w:t>)</w:t>
      </w:r>
      <w:r w:rsidR="009472EA" w:rsidRPr="00FD128E">
        <w:rPr>
          <w:rFonts w:ascii="Times New Roman" w:hAnsi="Times New Roman" w:cs="Times New Roman"/>
          <w:sz w:val="24"/>
          <w:szCs w:val="24"/>
        </w:rPr>
        <w:t>. Physiological and Bifidogenic Effects of Prebiotic Supplements in I</w:t>
      </w:r>
      <w:r w:rsidR="00E14231" w:rsidRPr="00FD128E">
        <w:rPr>
          <w:rFonts w:ascii="Times New Roman" w:hAnsi="Times New Roman" w:cs="Times New Roman"/>
          <w:sz w:val="24"/>
          <w:szCs w:val="24"/>
        </w:rPr>
        <w:t xml:space="preserve">nfant </w:t>
      </w:r>
      <w:r w:rsidR="009472EA" w:rsidRPr="00FD128E">
        <w:rPr>
          <w:rFonts w:ascii="Times New Roman" w:hAnsi="Times New Roman" w:cs="Times New Roman"/>
          <w:sz w:val="24"/>
          <w:szCs w:val="24"/>
        </w:rPr>
        <w:t>F</w:t>
      </w:r>
      <w:r w:rsidR="00E14231" w:rsidRPr="00FD128E">
        <w:rPr>
          <w:rFonts w:ascii="Times New Roman" w:hAnsi="Times New Roman" w:cs="Times New Roman"/>
          <w:sz w:val="24"/>
          <w:szCs w:val="24"/>
        </w:rPr>
        <w:t xml:space="preserve">ormulae.  </w:t>
      </w:r>
      <w:r w:rsidR="00E14231" w:rsidRPr="00FD128E">
        <w:rPr>
          <w:rFonts w:ascii="Times New Roman" w:hAnsi="Times New Roman" w:cs="Times New Roman"/>
          <w:i/>
          <w:sz w:val="24"/>
          <w:szCs w:val="24"/>
        </w:rPr>
        <w:t>J Pediatr Gastroenterol Nutr</w:t>
      </w:r>
      <w:r w:rsidR="008056EC" w:rsidRPr="00FD128E">
        <w:rPr>
          <w:rFonts w:ascii="Times New Roman" w:hAnsi="Times New Roman" w:cs="Times New Roman"/>
          <w:sz w:val="24"/>
          <w:szCs w:val="24"/>
        </w:rPr>
        <w:t xml:space="preserve">, </w:t>
      </w:r>
      <w:r w:rsidR="00E14231" w:rsidRPr="00FD128E">
        <w:rPr>
          <w:rFonts w:ascii="Times New Roman" w:hAnsi="Times New Roman" w:cs="Times New Roman"/>
          <w:i/>
          <w:sz w:val="24"/>
          <w:szCs w:val="24"/>
        </w:rPr>
        <w:t>52</w:t>
      </w:r>
      <w:r w:rsidR="00E14231" w:rsidRPr="00FD128E">
        <w:rPr>
          <w:rFonts w:ascii="Times New Roman" w:hAnsi="Times New Roman" w:cs="Times New Roman"/>
          <w:sz w:val="24"/>
          <w:szCs w:val="24"/>
        </w:rPr>
        <w:t>(6):763-771.</w:t>
      </w:r>
    </w:p>
    <w:p w:rsidR="00A328C0" w:rsidRPr="00FD128E" w:rsidRDefault="00A328C0" w:rsidP="009F44F5">
      <w:pPr>
        <w:autoSpaceDE w:val="0"/>
        <w:autoSpaceDN w:val="0"/>
        <w:adjustRightInd w:val="0"/>
        <w:spacing w:after="0" w:line="240" w:lineRule="auto"/>
        <w:jc w:val="both"/>
        <w:rPr>
          <w:rFonts w:ascii="Times New Roman" w:hAnsi="Times New Roman" w:cs="Times New Roman"/>
          <w:sz w:val="24"/>
          <w:szCs w:val="24"/>
        </w:rPr>
      </w:pPr>
    </w:p>
    <w:p w:rsidR="00A328C0" w:rsidRPr="00FD128E" w:rsidRDefault="00A328C0" w:rsidP="009F44F5">
      <w:pPr>
        <w:autoSpaceDE w:val="0"/>
        <w:autoSpaceDN w:val="0"/>
        <w:adjustRightInd w:val="0"/>
        <w:spacing w:after="0" w:line="240" w:lineRule="auto"/>
        <w:jc w:val="both"/>
        <w:rPr>
          <w:rFonts w:ascii="Times New Roman" w:hAnsi="Times New Roman" w:cs="Times New Roman"/>
          <w:sz w:val="24"/>
          <w:szCs w:val="24"/>
        </w:rPr>
      </w:pPr>
      <w:r w:rsidRPr="00FD128E">
        <w:rPr>
          <w:rFonts w:ascii="Times New Roman" w:hAnsi="Times New Roman" w:cs="Times New Roman"/>
          <w:sz w:val="24"/>
          <w:szCs w:val="24"/>
        </w:rPr>
        <w:t xml:space="preserve">Yamamoto, Y., Yonekubo, A. (1993). A Survey of Physical Growth, Nutritional Intake, Fecal Properties and Morbidity of Infants as Related to Feeding Methods. </w:t>
      </w:r>
      <w:r w:rsidRPr="00FD128E">
        <w:rPr>
          <w:rFonts w:ascii="Times New Roman" w:hAnsi="Times New Roman" w:cs="Times New Roman"/>
          <w:i/>
          <w:iCs/>
          <w:sz w:val="24"/>
          <w:szCs w:val="24"/>
        </w:rPr>
        <w:t xml:space="preserve">The Jap Soc Child Hlth Tokyo, </w:t>
      </w:r>
      <w:r w:rsidRPr="00FD128E">
        <w:rPr>
          <w:rFonts w:ascii="Times New Roman" w:hAnsi="Times New Roman" w:cs="Times New Roman"/>
          <w:i/>
          <w:sz w:val="24"/>
          <w:szCs w:val="24"/>
        </w:rPr>
        <w:t>52</w:t>
      </w:r>
      <w:r w:rsidRPr="00FD128E">
        <w:rPr>
          <w:rFonts w:ascii="Times New Roman" w:hAnsi="Times New Roman" w:cs="Times New Roman"/>
          <w:sz w:val="24"/>
          <w:szCs w:val="24"/>
        </w:rPr>
        <w:t>, 465-71.</w:t>
      </w:r>
    </w:p>
    <w:p w:rsidR="00A328C0" w:rsidRDefault="00A328C0" w:rsidP="009F44F5">
      <w:pPr>
        <w:autoSpaceDE w:val="0"/>
        <w:autoSpaceDN w:val="0"/>
        <w:adjustRightInd w:val="0"/>
        <w:spacing w:after="0" w:line="240" w:lineRule="auto"/>
        <w:jc w:val="both"/>
        <w:rPr>
          <w:rFonts w:ascii="Calibri" w:hAnsi="Calibri" w:cs="Calibri"/>
          <w:sz w:val="24"/>
          <w:szCs w:val="24"/>
        </w:rPr>
      </w:pPr>
    </w:p>
    <w:p w:rsidR="00E14231" w:rsidRDefault="00E14231" w:rsidP="009F44F5">
      <w:pPr>
        <w:autoSpaceDE w:val="0"/>
        <w:autoSpaceDN w:val="0"/>
        <w:adjustRightInd w:val="0"/>
        <w:spacing w:after="0" w:line="240" w:lineRule="auto"/>
        <w:jc w:val="both"/>
        <w:rPr>
          <w:rFonts w:ascii="Calibri" w:hAnsi="Calibri" w:cs="Calibri"/>
          <w:sz w:val="24"/>
          <w:szCs w:val="24"/>
        </w:rPr>
      </w:pPr>
    </w:p>
    <w:p w:rsidR="00EF02FD" w:rsidRDefault="00EF02FD" w:rsidP="009F44F5">
      <w:pPr>
        <w:jc w:val="both"/>
        <w:rPr>
          <w:rFonts w:ascii="Calibri" w:hAnsi="Calibri" w:cs="Calibri"/>
          <w:sz w:val="24"/>
          <w:szCs w:val="24"/>
        </w:rPr>
      </w:pPr>
    </w:p>
    <w:p w:rsidR="007451C3" w:rsidRDefault="007451C3">
      <w:pPr>
        <w:rPr>
          <w:rFonts w:ascii="Calibri" w:hAnsi="Calibri" w:cs="Calibri"/>
          <w:sz w:val="24"/>
          <w:szCs w:val="24"/>
        </w:rPr>
        <w:sectPr w:rsidR="007451C3" w:rsidSect="00813F27">
          <w:headerReference w:type="default" r:id="rId6"/>
          <w:footerReference w:type="default" r:id="rId7"/>
          <w:pgSz w:w="12240" w:h="15840" w:code="1"/>
          <w:pgMar w:top="1440" w:right="1440" w:bottom="1440" w:left="1440" w:header="720" w:footer="720" w:gutter="0"/>
          <w:cols w:space="720"/>
          <w:docGrid w:linePitch="360"/>
        </w:sectPr>
      </w:pPr>
    </w:p>
    <w:p w:rsidR="00EF02FD" w:rsidRDefault="00EF02FD">
      <w:pPr>
        <w:rPr>
          <w:rFonts w:ascii="Calibri" w:hAnsi="Calibri" w:cs="Calibri"/>
          <w:sz w:val="24"/>
          <w:szCs w:val="24"/>
        </w:rPr>
      </w:pPr>
    </w:p>
    <w:p w:rsidR="00EF02FD" w:rsidRDefault="00EF02FD" w:rsidP="00EF02FD">
      <w:pPr>
        <w:pStyle w:val="Heading1"/>
        <w:spacing w:line="360" w:lineRule="auto"/>
        <w:rPr>
          <w:b/>
          <w:bCs/>
          <w:smallCaps/>
          <w:u w:val="none"/>
        </w:rPr>
      </w:pPr>
      <w:r>
        <w:rPr>
          <w:rFonts w:ascii="Times New Roman Bold" w:hAnsi="Times New Roman Bold"/>
          <w:b/>
          <w:bCs/>
          <w:u w:val="none"/>
        </w:rPr>
        <w:t>Table</w:t>
      </w:r>
      <w:r w:rsidR="00C3745F">
        <w:rPr>
          <w:rFonts w:ascii="Times New Roman Bold" w:hAnsi="Times New Roman Bold"/>
          <w:b/>
          <w:bCs/>
          <w:u w:val="none"/>
        </w:rPr>
        <w:t xml:space="preserve"> 1:</w:t>
      </w:r>
      <w:r>
        <w:rPr>
          <w:rFonts w:ascii="Times New Roman Bold" w:hAnsi="Times New Roman Bold"/>
          <w:b/>
          <w:bCs/>
          <w:u w:val="none"/>
        </w:rPr>
        <w:t xml:space="preserve">  Abbott Studies Demonstrating </w:t>
      </w:r>
      <w:r w:rsidR="00683047">
        <w:rPr>
          <w:rFonts w:ascii="Times New Roman Bold" w:hAnsi="Times New Roman Bold"/>
          <w:b/>
          <w:bCs/>
          <w:u w:val="none"/>
        </w:rPr>
        <w:t xml:space="preserve">Normal </w:t>
      </w:r>
      <w:r>
        <w:rPr>
          <w:rFonts w:ascii="Times New Roman Bold" w:hAnsi="Times New Roman Bold"/>
          <w:b/>
          <w:bCs/>
          <w:u w:val="none"/>
        </w:rPr>
        <w:t>Growth of Infants Consuming Short-chain Fructooligosaccharides in Infant and Toddler Formulas</w:t>
      </w:r>
    </w:p>
    <w:tbl>
      <w:tblPr>
        <w:tblStyle w:val="TableGrid"/>
        <w:tblW w:w="16470" w:type="dxa"/>
        <w:tblInd w:w="-162" w:type="dxa"/>
        <w:tblLayout w:type="fixed"/>
        <w:tblLook w:val="04A0"/>
      </w:tblPr>
      <w:tblGrid>
        <w:gridCol w:w="1427"/>
        <w:gridCol w:w="1111"/>
        <w:gridCol w:w="1080"/>
        <w:gridCol w:w="972"/>
        <w:gridCol w:w="900"/>
        <w:gridCol w:w="990"/>
        <w:gridCol w:w="990"/>
        <w:gridCol w:w="900"/>
        <w:gridCol w:w="900"/>
        <w:gridCol w:w="900"/>
        <w:gridCol w:w="900"/>
        <w:gridCol w:w="990"/>
        <w:gridCol w:w="1080"/>
        <w:gridCol w:w="990"/>
        <w:gridCol w:w="1080"/>
        <w:gridCol w:w="1260"/>
      </w:tblGrid>
      <w:tr w:rsidR="007451C3" w:rsidRPr="00105D3A" w:rsidTr="00492B39">
        <w:tc>
          <w:tcPr>
            <w:tcW w:w="1427" w:type="dxa"/>
            <w:tcBorders>
              <w:top w:val="double" w:sz="4" w:space="0" w:color="auto"/>
              <w:left w:val="double" w:sz="4" w:space="0" w:color="auto"/>
              <w:bottom w:val="nil"/>
              <w:right w:val="double" w:sz="4" w:space="0" w:color="auto"/>
            </w:tcBorders>
          </w:tcPr>
          <w:p w:rsidR="007451C3" w:rsidRPr="00105D3A" w:rsidRDefault="007451C3" w:rsidP="00762779">
            <w:pPr>
              <w:autoSpaceDE w:val="0"/>
              <w:autoSpaceDN w:val="0"/>
              <w:adjustRightInd w:val="0"/>
              <w:rPr>
                <w:rFonts w:ascii="Calibri" w:hAnsi="Calibri" w:cs="Calibri"/>
                <w:b/>
                <w:sz w:val="16"/>
                <w:szCs w:val="16"/>
              </w:rPr>
            </w:pPr>
          </w:p>
        </w:tc>
        <w:tc>
          <w:tcPr>
            <w:tcW w:w="3163" w:type="dxa"/>
            <w:gridSpan w:val="3"/>
            <w:tcBorders>
              <w:top w:val="double" w:sz="4" w:space="0" w:color="auto"/>
              <w:left w:val="double" w:sz="4" w:space="0" w:color="auto"/>
              <w:right w:val="double" w:sz="4" w:space="0" w:color="auto"/>
            </w:tcBorders>
          </w:tcPr>
          <w:p w:rsidR="007451C3" w:rsidRPr="00105D3A" w:rsidRDefault="007451C3" w:rsidP="00FF049E">
            <w:pPr>
              <w:autoSpaceDE w:val="0"/>
              <w:autoSpaceDN w:val="0"/>
              <w:adjustRightInd w:val="0"/>
              <w:jc w:val="center"/>
              <w:rPr>
                <w:rFonts w:ascii="Calibri" w:hAnsi="Calibri" w:cs="Calibri"/>
                <w:b/>
                <w:sz w:val="16"/>
                <w:szCs w:val="16"/>
              </w:rPr>
            </w:pPr>
            <w:r w:rsidRPr="00105D3A">
              <w:rPr>
                <w:rFonts w:ascii="Calibri" w:hAnsi="Calibri" w:cs="Calibri"/>
                <w:b/>
                <w:sz w:val="16"/>
                <w:szCs w:val="16"/>
              </w:rPr>
              <w:t>Abbott, 2011d (2 wk)</w:t>
            </w:r>
          </w:p>
          <w:p w:rsidR="007451C3" w:rsidRPr="00105D3A" w:rsidRDefault="007451C3" w:rsidP="00FF049E">
            <w:pPr>
              <w:autoSpaceDE w:val="0"/>
              <w:autoSpaceDN w:val="0"/>
              <w:adjustRightInd w:val="0"/>
              <w:jc w:val="center"/>
              <w:rPr>
                <w:rFonts w:ascii="Calibri" w:hAnsi="Calibri" w:cs="Calibri"/>
                <w:b/>
                <w:sz w:val="16"/>
                <w:szCs w:val="16"/>
              </w:rPr>
            </w:pPr>
            <w:r w:rsidRPr="00105D3A">
              <w:rPr>
                <w:rFonts w:ascii="Calibri" w:hAnsi="Calibri" w:cs="Calibri"/>
                <w:b/>
                <w:sz w:val="16"/>
                <w:szCs w:val="16"/>
              </w:rPr>
              <w:t>Milk-based</w:t>
            </w:r>
          </w:p>
        </w:tc>
        <w:tc>
          <w:tcPr>
            <w:tcW w:w="2880" w:type="dxa"/>
            <w:gridSpan w:val="3"/>
            <w:tcBorders>
              <w:top w:val="double" w:sz="4" w:space="0" w:color="auto"/>
              <w:left w:val="double" w:sz="4" w:space="0" w:color="auto"/>
              <w:right w:val="double" w:sz="4" w:space="0" w:color="auto"/>
            </w:tcBorders>
          </w:tcPr>
          <w:p w:rsidR="007451C3" w:rsidRPr="00105D3A" w:rsidRDefault="007451C3" w:rsidP="002B6DC1">
            <w:pPr>
              <w:autoSpaceDE w:val="0"/>
              <w:autoSpaceDN w:val="0"/>
              <w:adjustRightInd w:val="0"/>
              <w:jc w:val="center"/>
              <w:rPr>
                <w:rFonts w:ascii="Calibri" w:hAnsi="Calibri" w:cs="Calibri"/>
                <w:b/>
                <w:sz w:val="16"/>
                <w:szCs w:val="16"/>
              </w:rPr>
            </w:pPr>
            <w:r w:rsidRPr="00105D3A">
              <w:rPr>
                <w:rFonts w:ascii="Calibri" w:hAnsi="Calibri" w:cs="Calibri"/>
                <w:b/>
                <w:sz w:val="16"/>
                <w:szCs w:val="16"/>
              </w:rPr>
              <w:t>Abbott, 2011d (16 wk)</w:t>
            </w:r>
          </w:p>
          <w:p w:rsidR="007451C3" w:rsidRPr="00105D3A" w:rsidRDefault="007451C3" w:rsidP="002B6DC1">
            <w:pPr>
              <w:autoSpaceDE w:val="0"/>
              <w:autoSpaceDN w:val="0"/>
              <w:adjustRightInd w:val="0"/>
              <w:jc w:val="center"/>
              <w:rPr>
                <w:rFonts w:ascii="Calibri" w:hAnsi="Calibri" w:cs="Calibri"/>
                <w:b/>
                <w:sz w:val="16"/>
                <w:szCs w:val="16"/>
              </w:rPr>
            </w:pPr>
            <w:r w:rsidRPr="00105D3A">
              <w:rPr>
                <w:rFonts w:ascii="Calibri" w:hAnsi="Calibri" w:cs="Calibri"/>
                <w:b/>
                <w:sz w:val="16"/>
                <w:szCs w:val="16"/>
              </w:rPr>
              <w:t>Milk-based</w:t>
            </w:r>
          </w:p>
        </w:tc>
        <w:tc>
          <w:tcPr>
            <w:tcW w:w="3600" w:type="dxa"/>
            <w:gridSpan w:val="4"/>
            <w:tcBorders>
              <w:top w:val="double" w:sz="4" w:space="0" w:color="auto"/>
              <w:left w:val="double" w:sz="4" w:space="0" w:color="auto"/>
              <w:right w:val="double" w:sz="4" w:space="0" w:color="auto"/>
            </w:tcBorders>
          </w:tcPr>
          <w:p w:rsidR="007451C3" w:rsidRDefault="007451C3" w:rsidP="00925106">
            <w:pPr>
              <w:autoSpaceDE w:val="0"/>
              <w:autoSpaceDN w:val="0"/>
              <w:adjustRightInd w:val="0"/>
              <w:jc w:val="center"/>
              <w:rPr>
                <w:rFonts w:cs="Calibri"/>
                <w:b/>
                <w:sz w:val="16"/>
                <w:szCs w:val="16"/>
              </w:rPr>
            </w:pPr>
            <w:r>
              <w:rPr>
                <w:rFonts w:cs="Calibri"/>
                <w:b/>
                <w:sz w:val="16"/>
                <w:szCs w:val="16"/>
              </w:rPr>
              <w:t>Abbott, 2011 (</w:t>
            </w:r>
            <w:r w:rsidR="003C58B7">
              <w:rPr>
                <w:rFonts w:cs="Calibri"/>
                <w:b/>
                <w:sz w:val="16"/>
                <w:szCs w:val="16"/>
              </w:rPr>
              <w:t xml:space="preserve">4 wk; </w:t>
            </w:r>
            <w:r>
              <w:rPr>
                <w:rFonts w:cs="Calibri"/>
                <w:b/>
                <w:sz w:val="16"/>
                <w:szCs w:val="16"/>
              </w:rPr>
              <w:t>Confidential submittal)</w:t>
            </w:r>
          </w:p>
          <w:p w:rsidR="007451C3" w:rsidRPr="00105D3A" w:rsidRDefault="007451C3" w:rsidP="00925106">
            <w:pPr>
              <w:autoSpaceDE w:val="0"/>
              <w:autoSpaceDN w:val="0"/>
              <w:adjustRightInd w:val="0"/>
              <w:jc w:val="center"/>
              <w:rPr>
                <w:rFonts w:cs="Calibri"/>
                <w:b/>
                <w:sz w:val="16"/>
                <w:szCs w:val="16"/>
              </w:rPr>
            </w:pPr>
            <w:r>
              <w:rPr>
                <w:rFonts w:cs="Calibri"/>
                <w:b/>
                <w:sz w:val="16"/>
                <w:szCs w:val="16"/>
              </w:rPr>
              <w:t>Milk-based</w:t>
            </w:r>
            <w:r w:rsidR="003C58B7">
              <w:rPr>
                <w:rFonts w:cs="Calibri"/>
                <w:b/>
                <w:sz w:val="16"/>
                <w:szCs w:val="16"/>
              </w:rPr>
              <w:t xml:space="preserve"> </w:t>
            </w:r>
          </w:p>
        </w:tc>
        <w:tc>
          <w:tcPr>
            <w:tcW w:w="3060" w:type="dxa"/>
            <w:gridSpan w:val="3"/>
            <w:tcBorders>
              <w:top w:val="double" w:sz="4" w:space="0" w:color="auto"/>
              <w:left w:val="double" w:sz="4" w:space="0" w:color="auto"/>
              <w:right w:val="double" w:sz="4" w:space="0" w:color="auto"/>
            </w:tcBorders>
          </w:tcPr>
          <w:p w:rsidR="007451C3" w:rsidRPr="00105D3A" w:rsidRDefault="007451C3" w:rsidP="00925106">
            <w:pPr>
              <w:autoSpaceDE w:val="0"/>
              <w:autoSpaceDN w:val="0"/>
              <w:adjustRightInd w:val="0"/>
              <w:jc w:val="center"/>
              <w:rPr>
                <w:rFonts w:cs="Calibri"/>
                <w:b/>
                <w:sz w:val="16"/>
                <w:szCs w:val="16"/>
              </w:rPr>
            </w:pPr>
            <w:r w:rsidRPr="00105D3A">
              <w:rPr>
                <w:rFonts w:cs="Calibri"/>
                <w:b/>
                <w:sz w:val="16"/>
                <w:szCs w:val="16"/>
              </w:rPr>
              <w:t>Abbott, 2011a (5 wk)</w:t>
            </w:r>
          </w:p>
          <w:p w:rsidR="007451C3" w:rsidRPr="00105D3A" w:rsidRDefault="007451C3" w:rsidP="00925106">
            <w:pPr>
              <w:autoSpaceDE w:val="0"/>
              <w:autoSpaceDN w:val="0"/>
              <w:adjustRightInd w:val="0"/>
              <w:jc w:val="center"/>
              <w:rPr>
                <w:rFonts w:cs="Calibri"/>
                <w:b/>
                <w:sz w:val="16"/>
                <w:szCs w:val="16"/>
              </w:rPr>
            </w:pPr>
            <w:r w:rsidRPr="00105D3A">
              <w:rPr>
                <w:rFonts w:cs="Calibri"/>
                <w:b/>
                <w:sz w:val="16"/>
                <w:szCs w:val="16"/>
              </w:rPr>
              <w:t>Soy-based</w:t>
            </w:r>
          </w:p>
        </w:tc>
        <w:tc>
          <w:tcPr>
            <w:tcW w:w="2340" w:type="dxa"/>
            <w:gridSpan w:val="2"/>
            <w:tcBorders>
              <w:top w:val="double" w:sz="4" w:space="0" w:color="auto"/>
              <w:left w:val="double" w:sz="4" w:space="0" w:color="auto"/>
              <w:right w:val="double" w:sz="4" w:space="0" w:color="auto"/>
            </w:tcBorders>
            <w:vAlign w:val="center"/>
          </w:tcPr>
          <w:p w:rsidR="007451C3" w:rsidRPr="00105D3A" w:rsidRDefault="007451C3" w:rsidP="002B6DC1">
            <w:pPr>
              <w:autoSpaceDE w:val="0"/>
              <w:autoSpaceDN w:val="0"/>
              <w:adjustRightInd w:val="0"/>
              <w:ind w:right="432"/>
              <w:jc w:val="center"/>
              <w:rPr>
                <w:rFonts w:cs="Calibri"/>
                <w:b/>
                <w:sz w:val="16"/>
                <w:szCs w:val="16"/>
              </w:rPr>
            </w:pPr>
            <w:r w:rsidRPr="00105D3A">
              <w:rPr>
                <w:rFonts w:cs="Calibri"/>
                <w:b/>
                <w:sz w:val="16"/>
                <w:szCs w:val="16"/>
              </w:rPr>
              <w:t>Abbott, 2011c (16 wk)</w:t>
            </w:r>
          </w:p>
          <w:p w:rsidR="007451C3" w:rsidRPr="00105D3A" w:rsidRDefault="007451C3" w:rsidP="002B6DC1">
            <w:pPr>
              <w:autoSpaceDE w:val="0"/>
              <w:autoSpaceDN w:val="0"/>
              <w:adjustRightInd w:val="0"/>
              <w:ind w:right="432"/>
              <w:jc w:val="center"/>
              <w:rPr>
                <w:rFonts w:cs="Calibri"/>
                <w:b/>
                <w:sz w:val="16"/>
                <w:szCs w:val="16"/>
              </w:rPr>
            </w:pPr>
            <w:r w:rsidRPr="00105D3A">
              <w:rPr>
                <w:rFonts w:cs="Calibri"/>
                <w:b/>
                <w:sz w:val="16"/>
                <w:szCs w:val="16"/>
              </w:rPr>
              <w:t>Milk-based</w:t>
            </w:r>
          </w:p>
        </w:tc>
      </w:tr>
      <w:tr w:rsidR="00E85035" w:rsidRPr="00E85035" w:rsidTr="00492B39">
        <w:tc>
          <w:tcPr>
            <w:tcW w:w="1427" w:type="dxa"/>
            <w:tcBorders>
              <w:top w:val="nil"/>
              <w:left w:val="double" w:sz="4" w:space="0" w:color="auto"/>
              <w:bottom w:val="nil"/>
              <w:right w:val="double" w:sz="4" w:space="0" w:color="auto"/>
            </w:tcBorders>
          </w:tcPr>
          <w:p w:rsidR="007451C3" w:rsidRPr="00E85035" w:rsidRDefault="007451C3" w:rsidP="00762779">
            <w:pPr>
              <w:autoSpaceDE w:val="0"/>
              <w:autoSpaceDN w:val="0"/>
              <w:adjustRightInd w:val="0"/>
              <w:rPr>
                <w:rFonts w:ascii="Calibri" w:hAnsi="Calibri" w:cs="Calibri"/>
                <w:b/>
                <w:sz w:val="16"/>
                <w:szCs w:val="16"/>
              </w:rPr>
            </w:pPr>
            <w:r w:rsidRPr="00E85035">
              <w:rPr>
                <w:rFonts w:ascii="Calibri" w:hAnsi="Calibri" w:cs="Calibri"/>
                <w:b/>
                <w:sz w:val="16"/>
                <w:szCs w:val="16"/>
              </w:rPr>
              <w:t>scFOS Level</w:t>
            </w:r>
            <w:r w:rsidR="003C58B7" w:rsidRPr="00E85035">
              <w:rPr>
                <w:rFonts w:ascii="Calibri" w:hAnsi="Calibri" w:cs="Calibri"/>
                <w:b/>
                <w:sz w:val="16"/>
                <w:szCs w:val="16"/>
              </w:rPr>
              <w:t xml:space="preserve"> (g/L)</w:t>
            </w:r>
          </w:p>
        </w:tc>
        <w:tc>
          <w:tcPr>
            <w:tcW w:w="1111" w:type="dxa"/>
            <w:tcBorders>
              <w:left w:val="double" w:sz="4" w:space="0" w:color="auto"/>
            </w:tcBorders>
          </w:tcPr>
          <w:p w:rsidR="007451C3" w:rsidRPr="00E85035" w:rsidRDefault="007451C3" w:rsidP="00FF049E">
            <w:pPr>
              <w:autoSpaceDE w:val="0"/>
              <w:autoSpaceDN w:val="0"/>
              <w:adjustRightInd w:val="0"/>
              <w:jc w:val="center"/>
              <w:rPr>
                <w:rFonts w:ascii="Calibri" w:hAnsi="Calibri" w:cs="Calibri"/>
                <w:b/>
                <w:sz w:val="16"/>
                <w:szCs w:val="16"/>
              </w:rPr>
            </w:pPr>
            <w:r w:rsidRPr="00E85035">
              <w:rPr>
                <w:rFonts w:ascii="Calibri" w:hAnsi="Calibri" w:cs="Calibri"/>
                <w:b/>
                <w:sz w:val="16"/>
                <w:szCs w:val="16"/>
              </w:rPr>
              <w:t>0</w:t>
            </w:r>
          </w:p>
        </w:tc>
        <w:tc>
          <w:tcPr>
            <w:tcW w:w="1080" w:type="dxa"/>
          </w:tcPr>
          <w:p w:rsidR="007451C3" w:rsidRPr="00E85035" w:rsidRDefault="007451C3" w:rsidP="00FF049E">
            <w:pPr>
              <w:autoSpaceDE w:val="0"/>
              <w:autoSpaceDN w:val="0"/>
              <w:adjustRightInd w:val="0"/>
              <w:jc w:val="center"/>
              <w:rPr>
                <w:rFonts w:ascii="Calibri" w:hAnsi="Calibri" w:cs="Calibri"/>
                <w:b/>
                <w:sz w:val="16"/>
                <w:szCs w:val="16"/>
              </w:rPr>
            </w:pPr>
            <w:r w:rsidRPr="00E85035">
              <w:rPr>
                <w:rFonts w:ascii="Calibri" w:eastAsia="Calibri" w:hAnsi="Calibri" w:cs="Times New Roman"/>
                <w:b/>
                <w:sz w:val="16"/>
                <w:szCs w:val="16"/>
              </w:rPr>
              <w:t>1.5</w:t>
            </w:r>
          </w:p>
        </w:tc>
        <w:tc>
          <w:tcPr>
            <w:tcW w:w="972" w:type="dxa"/>
            <w:tcBorders>
              <w:right w:val="double" w:sz="4" w:space="0" w:color="auto"/>
            </w:tcBorders>
          </w:tcPr>
          <w:p w:rsidR="007451C3" w:rsidRPr="00E85035" w:rsidRDefault="007451C3" w:rsidP="006E0272">
            <w:pPr>
              <w:autoSpaceDE w:val="0"/>
              <w:autoSpaceDN w:val="0"/>
              <w:adjustRightInd w:val="0"/>
              <w:jc w:val="center"/>
              <w:rPr>
                <w:rFonts w:ascii="Calibri" w:hAnsi="Calibri" w:cs="Calibri"/>
                <w:b/>
                <w:sz w:val="16"/>
                <w:szCs w:val="16"/>
              </w:rPr>
            </w:pPr>
            <w:r w:rsidRPr="00E85035">
              <w:rPr>
                <w:rFonts w:ascii="Calibri" w:eastAsia="Calibri" w:hAnsi="Calibri" w:cs="Times New Roman"/>
                <w:b/>
                <w:sz w:val="16"/>
                <w:szCs w:val="16"/>
              </w:rPr>
              <w:t>3</w:t>
            </w:r>
            <w:r w:rsidR="00BF7BE3">
              <w:rPr>
                <w:rFonts w:ascii="Calibri" w:eastAsia="Calibri" w:hAnsi="Calibri" w:cs="Times New Roman"/>
                <w:b/>
                <w:sz w:val="16"/>
                <w:szCs w:val="16"/>
              </w:rPr>
              <w:t>.0</w:t>
            </w:r>
          </w:p>
        </w:tc>
        <w:tc>
          <w:tcPr>
            <w:tcW w:w="900" w:type="dxa"/>
            <w:tcBorders>
              <w:left w:val="double" w:sz="4" w:space="0" w:color="auto"/>
            </w:tcBorders>
          </w:tcPr>
          <w:p w:rsidR="007451C3" w:rsidRPr="00E85035" w:rsidRDefault="007451C3" w:rsidP="00C3745F">
            <w:pPr>
              <w:autoSpaceDE w:val="0"/>
              <w:autoSpaceDN w:val="0"/>
              <w:adjustRightInd w:val="0"/>
              <w:jc w:val="center"/>
              <w:rPr>
                <w:rFonts w:ascii="Calibri" w:hAnsi="Calibri" w:cs="Calibri"/>
                <w:b/>
                <w:sz w:val="16"/>
                <w:szCs w:val="16"/>
              </w:rPr>
            </w:pPr>
            <w:r w:rsidRPr="00E85035">
              <w:rPr>
                <w:rFonts w:ascii="Calibri" w:eastAsia="Calibri" w:hAnsi="Calibri" w:cs="Times New Roman"/>
                <w:b/>
                <w:sz w:val="16"/>
                <w:szCs w:val="16"/>
              </w:rPr>
              <w:t>0</w:t>
            </w:r>
          </w:p>
        </w:tc>
        <w:tc>
          <w:tcPr>
            <w:tcW w:w="990" w:type="dxa"/>
          </w:tcPr>
          <w:p w:rsidR="007451C3" w:rsidRPr="00E85035" w:rsidRDefault="007451C3" w:rsidP="00C3745F">
            <w:pPr>
              <w:autoSpaceDE w:val="0"/>
              <w:autoSpaceDN w:val="0"/>
              <w:adjustRightInd w:val="0"/>
              <w:jc w:val="center"/>
              <w:rPr>
                <w:rFonts w:ascii="Calibri" w:hAnsi="Calibri" w:cs="Calibri"/>
                <w:b/>
                <w:sz w:val="16"/>
                <w:szCs w:val="16"/>
              </w:rPr>
            </w:pPr>
            <w:r w:rsidRPr="00E85035">
              <w:rPr>
                <w:rFonts w:ascii="Calibri" w:eastAsia="Calibri" w:hAnsi="Calibri" w:cs="Times New Roman"/>
                <w:b/>
                <w:sz w:val="16"/>
                <w:szCs w:val="16"/>
              </w:rPr>
              <w:t>1.5</w:t>
            </w:r>
          </w:p>
        </w:tc>
        <w:tc>
          <w:tcPr>
            <w:tcW w:w="990" w:type="dxa"/>
            <w:tcBorders>
              <w:right w:val="double" w:sz="4" w:space="0" w:color="auto"/>
            </w:tcBorders>
          </w:tcPr>
          <w:p w:rsidR="007451C3" w:rsidRPr="00E85035" w:rsidRDefault="007451C3" w:rsidP="00886E3A">
            <w:pPr>
              <w:autoSpaceDE w:val="0"/>
              <w:autoSpaceDN w:val="0"/>
              <w:adjustRightInd w:val="0"/>
              <w:jc w:val="center"/>
              <w:rPr>
                <w:b/>
                <w:sz w:val="16"/>
                <w:szCs w:val="16"/>
              </w:rPr>
            </w:pPr>
            <w:r w:rsidRPr="00E85035">
              <w:rPr>
                <w:b/>
                <w:sz w:val="16"/>
                <w:szCs w:val="16"/>
              </w:rPr>
              <w:t>Human Milk</w:t>
            </w:r>
          </w:p>
        </w:tc>
        <w:tc>
          <w:tcPr>
            <w:tcW w:w="900" w:type="dxa"/>
            <w:tcBorders>
              <w:left w:val="double" w:sz="4" w:space="0" w:color="auto"/>
            </w:tcBorders>
          </w:tcPr>
          <w:p w:rsidR="007451C3" w:rsidRPr="00E85035" w:rsidRDefault="007451C3" w:rsidP="00886E3A">
            <w:pPr>
              <w:autoSpaceDE w:val="0"/>
              <w:autoSpaceDN w:val="0"/>
              <w:adjustRightInd w:val="0"/>
              <w:jc w:val="center"/>
              <w:rPr>
                <w:b/>
                <w:sz w:val="16"/>
                <w:szCs w:val="16"/>
              </w:rPr>
            </w:pPr>
            <w:r w:rsidRPr="00E85035">
              <w:rPr>
                <w:b/>
                <w:sz w:val="16"/>
                <w:szCs w:val="16"/>
              </w:rPr>
              <w:t>0</w:t>
            </w:r>
          </w:p>
        </w:tc>
        <w:tc>
          <w:tcPr>
            <w:tcW w:w="900" w:type="dxa"/>
          </w:tcPr>
          <w:p w:rsidR="007451C3" w:rsidRPr="00E85035" w:rsidRDefault="007451C3" w:rsidP="00886E3A">
            <w:pPr>
              <w:autoSpaceDE w:val="0"/>
              <w:autoSpaceDN w:val="0"/>
              <w:adjustRightInd w:val="0"/>
              <w:jc w:val="center"/>
              <w:rPr>
                <w:b/>
                <w:sz w:val="16"/>
                <w:szCs w:val="16"/>
              </w:rPr>
            </w:pPr>
            <w:r w:rsidRPr="00E85035">
              <w:rPr>
                <w:b/>
                <w:sz w:val="16"/>
                <w:szCs w:val="16"/>
              </w:rPr>
              <w:t>2</w:t>
            </w:r>
            <w:r w:rsidR="00BF7BE3">
              <w:rPr>
                <w:b/>
                <w:sz w:val="16"/>
                <w:szCs w:val="16"/>
              </w:rPr>
              <w:t>.0</w:t>
            </w:r>
          </w:p>
        </w:tc>
        <w:tc>
          <w:tcPr>
            <w:tcW w:w="900" w:type="dxa"/>
          </w:tcPr>
          <w:p w:rsidR="007451C3" w:rsidRPr="00E85035" w:rsidRDefault="007451C3" w:rsidP="00886E3A">
            <w:pPr>
              <w:autoSpaceDE w:val="0"/>
              <w:autoSpaceDN w:val="0"/>
              <w:adjustRightInd w:val="0"/>
              <w:jc w:val="center"/>
              <w:rPr>
                <w:b/>
                <w:sz w:val="16"/>
                <w:szCs w:val="16"/>
              </w:rPr>
            </w:pPr>
            <w:r w:rsidRPr="00E85035">
              <w:rPr>
                <w:b/>
                <w:sz w:val="16"/>
                <w:szCs w:val="16"/>
              </w:rPr>
              <w:t>3</w:t>
            </w:r>
            <w:r w:rsidR="00BF7BE3">
              <w:rPr>
                <w:b/>
                <w:sz w:val="16"/>
                <w:szCs w:val="16"/>
              </w:rPr>
              <w:t>.0</w:t>
            </w:r>
          </w:p>
        </w:tc>
        <w:tc>
          <w:tcPr>
            <w:tcW w:w="900" w:type="dxa"/>
            <w:tcBorders>
              <w:right w:val="double" w:sz="4" w:space="0" w:color="auto"/>
            </w:tcBorders>
          </w:tcPr>
          <w:p w:rsidR="00886E3A" w:rsidRDefault="007451C3" w:rsidP="00886E3A">
            <w:pPr>
              <w:autoSpaceDE w:val="0"/>
              <w:autoSpaceDN w:val="0"/>
              <w:adjustRightInd w:val="0"/>
              <w:jc w:val="center"/>
              <w:rPr>
                <w:b/>
                <w:sz w:val="16"/>
                <w:szCs w:val="16"/>
              </w:rPr>
            </w:pPr>
            <w:r w:rsidRPr="00E85035">
              <w:rPr>
                <w:b/>
                <w:sz w:val="16"/>
                <w:szCs w:val="16"/>
              </w:rPr>
              <w:t>H</w:t>
            </w:r>
            <w:r w:rsidR="00886E3A">
              <w:rPr>
                <w:b/>
                <w:sz w:val="16"/>
                <w:szCs w:val="16"/>
              </w:rPr>
              <w:t>uman</w:t>
            </w:r>
          </w:p>
          <w:p w:rsidR="007451C3" w:rsidRPr="00E85035" w:rsidRDefault="007451C3" w:rsidP="00886E3A">
            <w:pPr>
              <w:autoSpaceDE w:val="0"/>
              <w:autoSpaceDN w:val="0"/>
              <w:adjustRightInd w:val="0"/>
              <w:jc w:val="center"/>
              <w:rPr>
                <w:b/>
                <w:sz w:val="16"/>
                <w:szCs w:val="16"/>
              </w:rPr>
            </w:pPr>
            <w:r w:rsidRPr="00E85035">
              <w:rPr>
                <w:b/>
                <w:sz w:val="16"/>
                <w:szCs w:val="16"/>
              </w:rPr>
              <w:t>M</w:t>
            </w:r>
            <w:r w:rsidR="00886E3A">
              <w:rPr>
                <w:b/>
                <w:sz w:val="16"/>
                <w:szCs w:val="16"/>
              </w:rPr>
              <w:t>ilk</w:t>
            </w:r>
          </w:p>
        </w:tc>
        <w:tc>
          <w:tcPr>
            <w:tcW w:w="990" w:type="dxa"/>
            <w:tcBorders>
              <w:left w:val="double" w:sz="4" w:space="0" w:color="auto"/>
            </w:tcBorders>
          </w:tcPr>
          <w:p w:rsidR="007451C3" w:rsidRPr="00E85035" w:rsidRDefault="007451C3" w:rsidP="00F022F4">
            <w:pPr>
              <w:autoSpaceDE w:val="0"/>
              <w:autoSpaceDN w:val="0"/>
              <w:adjustRightInd w:val="0"/>
              <w:jc w:val="center"/>
              <w:rPr>
                <w:b/>
                <w:sz w:val="16"/>
                <w:szCs w:val="16"/>
              </w:rPr>
            </w:pPr>
            <w:r w:rsidRPr="00E85035">
              <w:rPr>
                <w:b/>
                <w:sz w:val="16"/>
                <w:szCs w:val="16"/>
              </w:rPr>
              <w:t>0</w:t>
            </w:r>
          </w:p>
        </w:tc>
        <w:tc>
          <w:tcPr>
            <w:tcW w:w="1080" w:type="dxa"/>
          </w:tcPr>
          <w:p w:rsidR="007451C3" w:rsidRPr="00E85035" w:rsidRDefault="007451C3" w:rsidP="00F022F4">
            <w:pPr>
              <w:autoSpaceDE w:val="0"/>
              <w:autoSpaceDN w:val="0"/>
              <w:adjustRightInd w:val="0"/>
              <w:jc w:val="center"/>
              <w:rPr>
                <w:b/>
                <w:sz w:val="16"/>
                <w:szCs w:val="16"/>
              </w:rPr>
            </w:pPr>
            <w:r w:rsidRPr="00E85035">
              <w:rPr>
                <w:b/>
                <w:sz w:val="16"/>
                <w:szCs w:val="16"/>
              </w:rPr>
              <w:t>2.5</w:t>
            </w:r>
          </w:p>
        </w:tc>
        <w:tc>
          <w:tcPr>
            <w:tcW w:w="990" w:type="dxa"/>
            <w:tcBorders>
              <w:right w:val="double" w:sz="4" w:space="0" w:color="auto"/>
            </w:tcBorders>
          </w:tcPr>
          <w:p w:rsidR="007451C3" w:rsidRPr="00E85035" w:rsidRDefault="007451C3" w:rsidP="000128D7">
            <w:pPr>
              <w:autoSpaceDE w:val="0"/>
              <w:autoSpaceDN w:val="0"/>
              <w:adjustRightInd w:val="0"/>
              <w:jc w:val="center"/>
              <w:rPr>
                <w:b/>
                <w:sz w:val="16"/>
                <w:szCs w:val="16"/>
              </w:rPr>
            </w:pPr>
            <w:r w:rsidRPr="00E85035">
              <w:rPr>
                <w:b/>
                <w:sz w:val="16"/>
                <w:szCs w:val="16"/>
              </w:rPr>
              <w:t>2.5*</w:t>
            </w:r>
          </w:p>
        </w:tc>
        <w:tc>
          <w:tcPr>
            <w:tcW w:w="1080" w:type="dxa"/>
            <w:tcBorders>
              <w:left w:val="double" w:sz="4" w:space="0" w:color="auto"/>
            </w:tcBorders>
          </w:tcPr>
          <w:p w:rsidR="007451C3" w:rsidRPr="00E85035" w:rsidRDefault="007451C3" w:rsidP="006E0272">
            <w:pPr>
              <w:autoSpaceDE w:val="0"/>
              <w:autoSpaceDN w:val="0"/>
              <w:adjustRightInd w:val="0"/>
              <w:jc w:val="center"/>
              <w:rPr>
                <w:b/>
                <w:sz w:val="16"/>
                <w:szCs w:val="16"/>
              </w:rPr>
            </w:pPr>
            <w:r w:rsidRPr="00E85035">
              <w:rPr>
                <w:b/>
                <w:sz w:val="16"/>
                <w:szCs w:val="16"/>
              </w:rPr>
              <w:t>0</w:t>
            </w:r>
          </w:p>
        </w:tc>
        <w:tc>
          <w:tcPr>
            <w:tcW w:w="1260" w:type="dxa"/>
            <w:tcBorders>
              <w:right w:val="double" w:sz="4" w:space="0" w:color="auto"/>
            </w:tcBorders>
          </w:tcPr>
          <w:p w:rsidR="007451C3" w:rsidRPr="00E85035" w:rsidRDefault="007451C3" w:rsidP="006E0272">
            <w:pPr>
              <w:autoSpaceDE w:val="0"/>
              <w:autoSpaceDN w:val="0"/>
              <w:adjustRightInd w:val="0"/>
              <w:jc w:val="center"/>
              <w:rPr>
                <w:b/>
                <w:sz w:val="16"/>
                <w:szCs w:val="16"/>
              </w:rPr>
            </w:pPr>
            <w:r w:rsidRPr="00E85035">
              <w:rPr>
                <w:b/>
                <w:sz w:val="16"/>
                <w:szCs w:val="16"/>
              </w:rPr>
              <w:t>3.4</w:t>
            </w:r>
          </w:p>
        </w:tc>
      </w:tr>
      <w:tr w:rsidR="00E85035" w:rsidRPr="00105D3A" w:rsidTr="00492B39">
        <w:tc>
          <w:tcPr>
            <w:tcW w:w="1427" w:type="dxa"/>
            <w:tcBorders>
              <w:top w:val="nil"/>
              <w:left w:val="double" w:sz="4" w:space="0" w:color="auto"/>
              <w:bottom w:val="nil"/>
              <w:right w:val="double" w:sz="4" w:space="0" w:color="auto"/>
            </w:tcBorders>
          </w:tcPr>
          <w:p w:rsidR="007451C3" w:rsidRPr="00105D3A" w:rsidRDefault="007451C3" w:rsidP="00762779">
            <w:pPr>
              <w:autoSpaceDE w:val="0"/>
              <w:autoSpaceDN w:val="0"/>
              <w:adjustRightInd w:val="0"/>
              <w:rPr>
                <w:rFonts w:ascii="Calibri" w:hAnsi="Calibri" w:cs="Calibri"/>
                <w:sz w:val="16"/>
                <w:szCs w:val="16"/>
              </w:rPr>
            </w:pPr>
          </w:p>
        </w:tc>
        <w:tc>
          <w:tcPr>
            <w:tcW w:w="1111" w:type="dxa"/>
            <w:tcBorders>
              <w:left w:val="double" w:sz="4" w:space="0" w:color="auto"/>
            </w:tcBorders>
          </w:tcPr>
          <w:p w:rsidR="007451C3" w:rsidRPr="00105D3A" w:rsidRDefault="007451C3" w:rsidP="00FF049E">
            <w:pPr>
              <w:pStyle w:val="Header"/>
              <w:jc w:val="center"/>
              <w:rPr>
                <w:rFonts w:ascii="Calibri" w:eastAsia="Calibri" w:hAnsi="Calibri" w:cs="Times New Roman"/>
                <w:sz w:val="16"/>
                <w:szCs w:val="16"/>
              </w:rPr>
            </w:pPr>
          </w:p>
        </w:tc>
        <w:tc>
          <w:tcPr>
            <w:tcW w:w="1080" w:type="dxa"/>
          </w:tcPr>
          <w:p w:rsidR="007451C3" w:rsidRPr="00105D3A" w:rsidRDefault="007451C3" w:rsidP="00FF049E">
            <w:pPr>
              <w:autoSpaceDE w:val="0"/>
              <w:autoSpaceDN w:val="0"/>
              <w:adjustRightInd w:val="0"/>
              <w:jc w:val="center"/>
              <w:rPr>
                <w:rFonts w:ascii="Calibri" w:hAnsi="Calibri" w:cs="Calibri"/>
                <w:sz w:val="16"/>
                <w:szCs w:val="16"/>
              </w:rPr>
            </w:pPr>
          </w:p>
        </w:tc>
        <w:tc>
          <w:tcPr>
            <w:tcW w:w="972" w:type="dxa"/>
            <w:tcBorders>
              <w:right w:val="double" w:sz="4" w:space="0" w:color="auto"/>
            </w:tcBorders>
          </w:tcPr>
          <w:p w:rsidR="007451C3" w:rsidRPr="00105D3A" w:rsidRDefault="007451C3" w:rsidP="00762779">
            <w:pPr>
              <w:autoSpaceDE w:val="0"/>
              <w:autoSpaceDN w:val="0"/>
              <w:adjustRightInd w:val="0"/>
              <w:rPr>
                <w:rFonts w:ascii="Calibri" w:hAnsi="Calibri" w:cs="Calibri"/>
                <w:sz w:val="16"/>
                <w:szCs w:val="16"/>
              </w:rPr>
            </w:pPr>
          </w:p>
        </w:tc>
        <w:tc>
          <w:tcPr>
            <w:tcW w:w="900" w:type="dxa"/>
            <w:tcBorders>
              <w:left w:val="double" w:sz="4" w:space="0" w:color="auto"/>
            </w:tcBorders>
          </w:tcPr>
          <w:p w:rsidR="007451C3" w:rsidRPr="00105D3A" w:rsidRDefault="007451C3" w:rsidP="00762779">
            <w:pPr>
              <w:autoSpaceDE w:val="0"/>
              <w:autoSpaceDN w:val="0"/>
              <w:adjustRightInd w:val="0"/>
              <w:rPr>
                <w:rFonts w:ascii="Calibri" w:hAnsi="Calibri" w:cs="Calibri"/>
                <w:sz w:val="16"/>
                <w:szCs w:val="16"/>
              </w:rPr>
            </w:pPr>
          </w:p>
        </w:tc>
        <w:tc>
          <w:tcPr>
            <w:tcW w:w="990" w:type="dxa"/>
          </w:tcPr>
          <w:p w:rsidR="007451C3" w:rsidRPr="00105D3A" w:rsidRDefault="007451C3" w:rsidP="00762779">
            <w:pPr>
              <w:autoSpaceDE w:val="0"/>
              <w:autoSpaceDN w:val="0"/>
              <w:adjustRightInd w:val="0"/>
              <w:rPr>
                <w:rFonts w:ascii="Calibri" w:hAnsi="Calibri" w:cs="Calibri"/>
                <w:sz w:val="16"/>
                <w:szCs w:val="16"/>
              </w:rPr>
            </w:pPr>
          </w:p>
        </w:tc>
        <w:tc>
          <w:tcPr>
            <w:tcW w:w="990" w:type="dxa"/>
            <w:tcBorders>
              <w:right w:val="double" w:sz="4" w:space="0" w:color="auto"/>
            </w:tcBorders>
          </w:tcPr>
          <w:p w:rsidR="007451C3" w:rsidRPr="00105D3A" w:rsidRDefault="007451C3" w:rsidP="00762779">
            <w:pPr>
              <w:autoSpaceDE w:val="0"/>
              <w:autoSpaceDN w:val="0"/>
              <w:adjustRightInd w:val="0"/>
              <w:rPr>
                <w:rFonts w:ascii="Calibri" w:hAnsi="Calibri" w:cs="Calibri"/>
                <w:sz w:val="16"/>
                <w:szCs w:val="16"/>
              </w:rPr>
            </w:pPr>
          </w:p>
        </w:tc>
        <w:tc>
          <w:tcPr>
            <w:tcW w:w="900" w:type="dxa"/>
            <w:tcBorders>
              <w:left w:val="double" w:sz="4" w:space="0" w:color="auto"/>
            </w:tcBorders>
          </w:tcPr>
          <w:p w:rsidR="007451C3" w:rsidRPr="00105D3A" w:rsidRDefault="007451C3" w:rsidP="00762779">
            <w:pPr>
              <w:autoSpaceDE w:val="0"/>
              <w:autoSpaceDN w:val="0"/>
              <w:adjustRightInd w:val="0"/>
              <w:rPr>
                <w:rFonts w:cs="Calibri"/>
                <w:sz w:val="16"/>
                <w:szCs w:val="16"/>
              </w:rPr>
            </w:pPr>
          </w:p>
        </w:tc>
        <w:tc>
          <w:tcPr>
            <w:tcW w:w="900" w:type="dxa"/>
          </w:tcPr>
          <w:p w:rsidR="007451C3" w:rsidRPr="00105D3A" w:rsidRDefault="007451C3" w:rsidP="00762779">
            <w:pPr>
              <w:autoSpaceDE w:val="0"/>
              <w:autoSpaceDN w:val="0"/>
              <w:adjustRightInd w:val="0"/>
              <w:rPr>
                <w:rFonts w:cs="Calibri"/>
                <w:sz w:val="16"/>
                <w:szCs w:val="16"/>
              </w:rPr>
            </w:pPr>
          </w:p>
        </w:tc>
        <w:tc>
          <w:tcPr>
            <w:tcW w:w="900" w:type="dxa"/>
          </w:tcPr>
          <w:p w:rsidR="007451C3" w:rsidRPr="00105D3A" w:rsidRDefault="007451C3" w:rsidP="00762779">
            <w:pPr>
              <w:autoSpaceDE w:val="0"/>
              <w:autoSpaceDN w:val="0"/>
              <w:adjustRightInd w:val="0"/>
              <w:rPr>
                <w:rFonts w:cs="Calibri"/>
                <w:sz w:val="16"/>
                <w:szCs w:val="16"/>
              </w:rPr>
            </w:pPr>
          </w:p>
        </w:tc>
        <w:tc>
          <w:tcPr>
            <w:tcW w:w="900" w:type="dxa"/>
            <w:tcBorders>
              <w:right w:val="double" w:sz="4" w:space="0" w:color="auto"/>
            </w:tcBorders>
          </w:tcPr>
          <w:p w:rsidR="007451C3" w:rsidRPr="00105D3A" w:rsidRDefault="007451C3" w:rsidP="00762779">
            <w:pPr>
              <w:autoSpaceDE w:val="0"/>
              <w:autoSpaceDN w:val="0"/>
              <w:adjustRightInd w:val="0"/>
              <w:rPr>
                <w:rFonts w:cs="Calibri"/>
                <w:sz w:val="16"/>
                <w:szCs w:val="16"/>
              </w:rPr>
            </w:pPr>
          </w:p>
        </w:tc>
        <w:tc>
          <w:tcPr>
            <w:tcW w:w="990" w:type="dxa"/>
            <w:tcBorders>
              <w:left w:val="double" w:sz="4" w:space="0" w:color="auto"/>
            </w:tcBorders>
          </w:tcPr>
          <w:p w:rsidR="007451C3" w:rsidRPr="00105D3A" w:rsidRDefault="007451C3" w:rsidP="00762779">
            <w:pPr>
              <w:autoSpaceDE w:val="0"/>
              <w:autoSpaceDN w:val="0"/>
              <w:adjustRightInd w:val="0"/>
              <w:rPr>
                <w:rFonts w:cs="Calibri"/>
                <w:sz w:val="16"/>
                <w:szCs w:val="16"/>
              </w:rPr>
            </w:pPr>
          </w:p>
        </w:tc>
        <w:tc>
          <w:tcPr>
            <w:tcW w:w="1080" w:type="dxa"/>
          </w:tcPr>
          <w:p w:rsidR="007451C3" w:rsidRPr="00105D3A" w:rsidRDefault="007451C3" w:rsidP="00762779">
            <w:pPr>
              <w:autoSpaceDE w:val="0"/>
              <w:autoSpaceDN w:val="0"/>
              <w:adjustRightInd w:val="0"/>
              <w:rPr>
                <w:rFonts w:cs="Calibri"/>
                <w:sz w:val="16"/>
                <w:szCs w:val="16"/>
              </w:rPr>
            </w:pPr>
          </w:p>
        </w:tc>
        <w:tc>
          <w:tcPr>
            <w:tcW w:w="990" w:type="dxa"/>
            <w:tcBorders>
              <w:right w:val="double" w:sz="4" w:space="0" w:color="auto"/>
            </w:tcBorders>
          </w:tcPr>
          <w:p w:rsidR="007451C3" w:rsidRPr="00105D3A" w:rsidRDefault="007451C3" w:rsidP="00762779">
            <w:pPr>
              <w:autoSpaceDE w:val="0"/>
              <w:autoSpaceDN w:val="0"/>
              <w:adjustRightInd w:val="0"/>
              <w:rPr>
                <w:rFonts w:cs="Calibri"/>
                <w:sz w:val="16"/>
                <w:szCs w:val="16"/>
              </w:rPr>
            </w:pPr>
          </w:p>
        </w:tc>
        <w:tc>
          <w:tcPr>
            <w:tcW w:w="1080" w:type="dxa"/>
            <w:tcBorders>
              <w:left w:val="double" w:sz="4" w:space="0" w:color="auto"/>
            </w:tcBorders>
          </w:tcPr>
          <w:p w:rsidR="007451C3" w:rsidRPr="00105D3A" w:rsidRDefault="007451C3" w:rsidP="00762779">
            <w:pPr>
              <w:autoSpaceDE w:val="0"/>
              <w:autoSpaceDN w:val="0"/>
              <w:adjustRightInd w:val="0"/>
              <w:rPr>
                <w:rFonts w:cs="Calibri"/>
                <w:sz w:val="16"/>
                <w:szCs w:val="16"/>
              </w:rPr>
            </w:pPr>
          </w:p>
        </w:tc>
        <w:tc>
          <w:tcPr>
            <w:tcW w:w="1260" w:type="dxa"/>
            <w:tcBorders>
              <w:right w:val="double" w:sz="4" w:space="0" w:color="auto"/>
            </w:tcBorders>
          </w:tcPr>
          <w:p w:rsidR="007451C3" w:rsidRPr="00105D3A" w:rsidRDefault="007451C3" w:rsidP="00762779">
            <w:pPr>
              <w:autoSpaceDE w:val="0"/>
              <w:autoSpaceDN w:val="0"/>
              <w:adjustRightInd w:val="0"/>
              <w:rPr>
                <w:rFonts w:cs="Calibri"/>
                <w:sz w:val="16"/>
                <w:szCs w:val="16"/>
              </w:rPr>
            </w:pPr>
          </w:p>
        </w:tc>
      </w:tr>
      <w:tr w:rsidR="00E85035" w:rsidRPr="00105D3A" w:rsidTr="00846A4A">
        <w:trPr>
          <w:trHeight w:val="512"/>
        </w:trPr>
        <w:tc>
          <w:tcPr>
            <w:tcW w:w="1427" w:type="dxa"/>
            <w:tcBorders>
              <w:top w:val="nil"/>
              <w:left w:val="double" w:sz="4" w:space="0" w:color="auto"/>
              <w:bottom w:val="nil"/>
              <w:right w:val="double" w:sz="4" w:space="0" w:color="auto"/>
            </w:tcBorders>
            <w:vAlign w:val="center"/>
          </w:tcPr>
          <w:p w:rsidR="007451C3" w:rsidRPr="00E85035" w:rsidRDefault="007451C3" w:rsidP="00C3745F">
            <w:pPr>
              <w:rPr>
                <w:rFonts w:ascii="Calibri" w:eastAsia="Calibri" w:hAnsi="Calibri" w:cs="Times New Roman"/>
                <w:b/>
                <w:sz w:val="16"/>
                <w:szCs w:val="16"/>
              </w:rPr>
            </w:pPr>
            <w:r w:rsidRPr="00E85035">
              <w:rPr>
                <w:rFonts w:ascii="Calibri" w:eastAsia="Calibri" w:hAnsi="Calibri" w:cs="Times New Roman"/>
                <w:b/>
                <w:sz w:val="16"/>
                <w:szCs w:val="16"/>
              </w:rPr>
              <w:t>Enrolled (M/F) [completed]</w:t>
            </w:r>
          </w:p>
        </w:tc>
        <w:tc>
          <w:tcPr>
            <w:tcW w:w="1111" w:type="dxa"/>
            <w:tcBorders>
              <w:left w:val="double" w:sz="4" w:space="0" w:color="auto"/>
            </w:tcBorders>
          </w:tcPr>
          <w:p w:rsidR="007451C3" w:rsidRPr="00105D3A" w:rsidRDefault="007451C3" w:rsidP="003C2FAC">
            <w:pPr>
              <w:jc w:val="center"/>
              <w:rPr>
                <w:rFonts w:ascii="Calibri" w:eastAsia="Calibri" w:hAnsi="Calibri" w:cs="Times New Roman"/>
                <w:sz w:val="16"/>
                <w:szCs w:val="16"/>
              </w:rPr>
            </w:pPr>
            <w:r w:rsidRPr="00105D3A">
              <w:rPr>
                <w:rFonts w:ascii="Calibri" w:eastAsia="Calibri" w:hAnsi="Calibri" w:cs="Times New Roman"/>
                <w:sz w:val="16"/>
                <w:szCs w:val="16"/>
              </w:rPr>
              <w:t xml:space="preserve">23 (18/5) </w:t>
            </w:r>
          </w:p>
          <w:p w:rsidR="007451C3" w:rsidRPr="00105D3A" w:rsidRDefault="007451C3" w:rsidP="003C2FAC">
            <w:pPr>
              <w:pStyle w:val="Header"/>
              <w:jc w:val="center"/>
              <w:rPr>
                <w:rFonts w:ascii="Calibri" w:eastAsia="Calibri" w:hAnsi="Calibri" w:cs="Times New Roman"/>
                <w:sz w:val="16"/>
                <w:szCs w:val="16"/>
              </w:rPr>
            </w:pPr>
            <w:r w:rsidRPr="00105D3A">
              <w:rPr>
                <w:rFonts w:ascii="Calibri" w:eastAsia="Calibri" w:hAnsi="Calibri" w:cs="Times New Roman"/>
                <w:sz w:val="16"/>
                <w:szCs w:val="16"/>
              </w:rPr>
              <w:t>[20]</w:t>
            </w:r>
            <w:r w:rsidRPr="00105D3A">
              <w:rPr>
                <w:rFonts w:ascii="Calibri" w:eastAsia="Calibri" w:hAnsi="Calibri" w:cs="Times New Roman"/>
                <w:sz w:val="16"/>
                <w:szCs w:val="16"/>
                <w:vertAlign w:val="superscript"/>
              </w:rPr>
              <w:t xml:space="preserve"> </w:t>
            </w:r>
          </w:p>
        </w:tc>
        <w:tc>
          <w:tcPr>
            <w:tcW w:w="1080" w:type="dxa"/>
          </w:tcPr>
          <w:p w:rsidR="007451C3" w:rsidRPr="00105D3A" w:rsidRDefault="007451C3" w:rsidP="003C2FAC">
            <w:pPr>
              <w:jc w:val="center"/>
              <w:rPr>
                <w:rFonts w:ascii="Calibri" w:eastAsia="Calibri" w:hAnsi="Calibri" w:cs="Times New Roman"/>
                <w:sz w:val="16"/>
                <w:szCs w:val="16"/>
              </w:rPr>
            </w:pPr>
            <w:r w:rsidRPr="00105D3A">
              <w:rPr>
                <w:rFonts w:ascii="Calibri" w:eastAsia="Calibri" w:hAnsi="Calibri" w:cs="Times New Roman"/>
                <w:sz w:val="16"/>
                <w:szCs w:val="16"/>
              </w:rPr>
              <w:t xml:space="preserve">22 (13/9) </w:t>
            </w:r>
          </w:p>
          <w:p w:rsidR="007451C3" w:rsidRPr="00105D3A" w:rsidRDefault="007451C3" w:rsidP="003C2FAC">
            <w:pPr>
              <w:jc w:val="center"/>
              <w:rPr>
                <w:rFonts w:ascii="Calibri" w:eastAsia="Calibri" w:hAnsi="Calibri" w:cs="Times New Roman"/>
                <w:sz w:val="16"/>
                <w:szCs w:val="16"/>
              </w:rPr>
            </w:pPr>
            <w:r w:rsidRPr="00105D3A">
              <w:rPr>
                <w:rFonts w:ascii="Calibri" w:eastAsia="Calibri" w:hAnsi="Calibri" w:cs="Times New Roman"/>
                <w:sz w:val="16"/>
                <w:szCs w:val="16"/>
              </w:rPr>
              <w:t>[17]</w:t>
            </w:r>
          </w:p>
        </w:tc>
        <w:tc>
          <w:tcPr>
            <w:tcW w:w="972" w:type="dxa"/>
            <w:tcBorders>
              <w:right w:val="double" w:sz="4" w:space="0" w:color="auto"/>
            </w:tcBorders>
          </w:tcPr>
          <w:p w:rsidR="007451C3" w:rsidRPr="00105D3A" w:rsidRDefault="007451C3" w:rsidP="00846A4A">
            <w:pPr>
              <w:jc w:val="center"/>
              <w:rPr>
                <w:rFonts w:ascii="Calibri" w:eastAsia="Calibri" w:hAnsi="Calibri" w:cs="Times New Roman"/>
                <w:sz w:val="16"/>
                <w:szCs w:val="16"/>
              </w:rPr>
            </w:pPr>
            <w:r w:rsidRPr="00105D3A">
              <w:rPr>
                <w:rFonts w:ascii="Calibri" w:eastAsia="Calibri" w:hAnsi="Calibri" w:cs="Times New Roman"/>
                <w:sz w:val="16"/>
                <w:szCs w:val="16"/>
              </w:rPr>
              <w:t>21 (11/10)</w:t>
            </w:r>
          </w:p>
          <w:p w:rsidR="007451C3" w:rsidRPr="00105D3A" w:rsidRDefault="007451C3" w:rsidP="00846A4A">
            <w:pPr>
              <w:jc w:val="center"/>
              <w:rPr>
                <w:rFonts w:ascii="Calibri" w:eastAsia="Calibri" w:hAnsi="Calibri" w:cs="Times New Roman"/>
                <w:sz w:val="16"/>
                <w:szCs w:val="16"/>
              </w:rPr>
            </w:pPr>
            <w:r w:rsidRPr="00105D3A">
              <w:rPr>
                <w:rFonts w:ascii="Calibri" w:eastAsia="Calibri" w:hAnsi="Calibri" w:cs="Times New Roman"/>
                <w:sz w:val="16"/>
                <w:szCs w:val="16"/>
              </w:rPr>
              <w:t>[16]</w:t>
            </w:r>
          </w:p>
        </w:tc>
        <w:tc>
          <w:tcPr>
            <w:tcW w:w="900" w:type="dxa"/>
            <w:tcBorders>
              <w:left w:val="double" w:sz="4" w:space="0" w:color="auto"/>
            </w:tcBorders>
          </w:tcPr>
          <w:p w:rsidR="007451C3" w:rsidRPr="00105D3A" w:rsidRDefault="007451C3" w:rsidP="00762779">
            <w:pPr>
              <w:autoSpaceDE w:val="0"/>
              <w:autoSpaceDN w:val="0"/>
              <w:adjustRightInd w:val="0"/>
              <w:rPr>
                <w:rFonts w:ascii="Calibri" w:hAnsi="Calibri" w:cs="Calibri"/>
                <w:sz w:val="16"/>
                <w:szCs w:val="16"/>
              </w:rPr>
            </w:pPr>
            <w:r w:rsidRPr="00105D3A">
              <w:rPr>
                <w:rFonts w:ascii="Calibri" w:eastAsia="Calibri" w:hAnsi="Calibri" w:cs="Times New Roman"/>
                <w:sz w:val="16"/>
                <w:szCs w:val="16"/>
              </w:rPr>
              <w:t>52 (25/27) [34]</w:t>
            </w:r>
          </w:p>
        </w:tc>
        <w:tc>
          <w:tcPr>
            <w:tcW w:w="990" w:type="dxa"/>
          </w:tcPr>
          <w:p w:rsidR="007451C3" w:rsidRPr="00105D3A" w:rsidRDefault="007451C3" w:rsidP="00762779">
            <w:pPr>
              <w:autoSpaceDE w:val="0"/>
              <w:autoSpaceDN w:val="0"/>
              <w:adjustRightInd w:val="0"/>
              <w:rPr>
                <w:rFonts w:ascii="Calibri" w:hAnsi="Calibri" w:cs="Calibri"/>
                <w:sz w:val="16"/>
                <w:szCs w:val="16"/>
              </w:rPr>
            </w:pPr>
            <w:r w:rsidRPr="00105D3A">
              <w:rPr>
                <w:rFonts w:ascii="Calibri" w:eastAsia="Calibri" w:hAnsi="Calibri" w:cs="Times New Roman"/>
                <w:sz w:val="16"/>
                <w:szCs w:val="16"/>
              </w:rPr>
              <w:t>50 (23/27) [36]</w:t>
            </w:r>
          </w:p>
        </w:tc>
        <w:tc>
          <w:tcPr>
            <w:tcW w:w="990" w:type="dxa"/>
            <w:tcBorders>
              <w:right w:val="double" w:sz="4" w:space="0" w:color="auto"/>
            </w:tcBorders>
          </w:tcPr>
          <w:p w:rsidR="007451C3" w:rsidRPr="00105D3A" w:rsidRDefault="007451C3" w:rsidP="00762779">
            <w:pPr>
              <w:autoSpaceDE w:val="0"/>
              <w:autoSpaceDN w:val="0"/>
              <w:adjustRightInd w:val="0"/>
              <w:rPr>
                <w:rFonts w:ascii="Calibri" w:hAnsi="Calibri" w:cs="Calibri"/>
                <w:sz w:val="16"/>
                <w:szCs w:val="16"/>
              </w:rPr>
            </w:pPr>
            <w:r w:rsidRPr="00105D3A">
              <w:rPr>
                <w:rFonts w:ascii="Calibri" w:eastAsia="Calibri" w:hAnsi="Calibri" w:cs="Times New Roman"/>
                <w:sz w:val="16"/>
                <w:szCs w:val="16"/>
              </w:rPr>
              <w:t>25 (13/12) [23]</w:t>
            </w:r>
          </w:p>
        </w:tc>
        <w:tc>
          <w:tcPr>
            <w:tcW w:w="900" w:type="dxa"/>
            <w:tcBorders>
              <w:left w:val="double" w:sz="4" w:space="0" w:color="auto"/>
            </w:tcBorders>
          </w:tcPr>
          <w:p w:rsidR="007451C3" w:rsidRDefault="007451C3" w:rsidP="003C2675">
            <w:pPr>
              <w:pStyle w:val="Default"/>
              <w:jc w:val="center"/>
              <w:rPr>
                <w:rFonts w:asciiTheme="minorHAnsi" w:hAnsiTheme="minorHAnsi"/>
                <w:sz w:val="16"/>
                <w:szCs w:val="16"/>
              </w:rPr>
            </w:pPr>
            <w:r w:rsidRPr="007451C3">
              <w:rPr>
                <w:rFonts w:asciiTheme="minorHAnsi" w:hAnsiTheme="minorHAnsi"/>
                <w:sz w:val="16"/>
                <w:szCs w:val="16"/>
              </w:rPr>
              <w:t>24 (11/13)</w:t>
            </w:r>
          </w:p>
          <w:p w:rsidR="00846A4A" w:rsidRPr="007451C3" w:rsidRDefault="00846A4A" w:rsidP="003C2675">
            <w:pPr>
              <w:pStyle w:val="Default"/>
              <w:jc w:val="center"/>
              <w:rPr>
                <w:rFonts w:asciiTheme="minorHAnsi" w:hAnsiTheme="minorHAnsi"/>
                <w:sz w:val="16"/>
                <w:szCs w:val="16"/>
              </w:rPr>
            </w:pPr>
            <w:r>
              <w:rPr>
                <w:rFonts w:asciiTheme="minorHAnsi" w:hAnsiTheme="minorHAnsi"/>
                <w:sz w:val="16"/>
                <w:szCs w:val="16"/>
              </w:rPr>
              <w:t>[19]</w:t>
            </w:r>
          </w:p>
        </w:tc>
        <w:tc>
          <w:tcPr>
            <w:tcW w:w="900" w:type="dxa"/>
          </w:tcPr>
          <w:p w:rsidR="007451C3" w:rsidRDefault="007451C3" w:rsidP="003C2675">
            <w:pPr>
              <w:pStyle w:val="Default"/>
              <w:jc w:val="center"/>
              <w:rPr>
                <w:rFonts w:asciiTheme="minorHAnsi" w:hAnsiTheme="minorHAnsi"/>
                <w:sz w:val="16"/>
                <w:szCs w:val="16"/>
              </w:rPr>
            </w:pPr>
            <w:r w:rsidRPr="007451C3">
              <w:rPr>
                <w:rFonts w:asciiTheme="minorHAnsi" w:hAnsiTheme="minorHAnsi"/>
                <w:sz w:val="16"/>
                <w:szCs w:val="16"/>
              </w:rPr>
              <w:t>25 (14/11)</w:t>
            </w:r>
          </w:p>
          <w:p w:rsidR="00846A4A" w:rsidRPr="007451C3" w:rsidRDefault="00846A4A" w:rsidP="003C2675">
            <w:pPr>
              <w:pStyle w:val="Default"/>
              <w:jc w:val="center"/>
              <w:rPr>
                <w:rFonts w:asciiTheme="minorHAnsi" w:hAnsiTheme="minorHAnsi"/>
                <w:sz w:val="16"/>
                <w:szCs w:val="16"/>
              </w:rPr>
            </w:pPr>
            <w:r>
              <w:rPr>
                <w:rFonts w:asciiTheme="minorHAnsi" w:hAnsiTheme="minorHAnsi"/>
                <w:sz w:val="16"/>
                <w:szCs w:val="16"/>
              </w:rPr>
              <w:t>[18]</w:t>
            </w:r>
          </w:p>
        </w:tc>
        <w:tc>
          <w:tcPr>
            <w:tcW w:w="900" w:type="dxa"/>
          </w:tcPr>
          <w:p w:rsidR="007451C3" w:rsidRDefault="007451C3" w:rsidP="003C2675">
            <w:pPr>
              <w:pStyle w:val="Default"/>
              <w:jc w:val="center"/>
              <w:rPr>
                <w:rFonts w:asciiTheme="minorHAnsi" w:hAnsiTheme="minorHAnsi"/>
                <w:sz w:val="16"/>
                <w:szCs w:val="16"/>
              </w:rPr>
            </w:pPr>
            <w:r w:rsidRPr="007451C3">
              <w:rPr>
                <w:rFonts w:asciiTheme="minorHAnsi" w:hAnsiTheme="minorHAnsi"/>
                <w:sz w:val="16"/>
                <w:szCs w:val="16"/>
              </w:rPr>
              <w:t>26 (15/11)</w:t>
            </w:r>
          </w:p>
          <w:p w:rsidR="00846A4A" w:rsidRPr="007451C3" w:rsidRDefault="00846A4A" w:rsidP="003C2675">
            <w:pPr>
              <w:pStyle w:val="Default"/>
              <w:jc w:val="center"/>
              <w:rPr>
                <w:rFonts w:asciiTheme="minorHAnsi" w:hAnsiTheme="minorHAnsi"/>
                <w:sz w:val="16"/>
                <w:szCs w:val="16"/>
              </w:rPr>
            </w:pPr>
            <w:r>
              <w:rPr>
                <w:rFonts w:asciiTheme="minorHAnsi" w:hAnsiTheme="minorHAnsi"/>
                <w:sz w:val="16"/>
                <w:szCs w:val="16"/>
              </w:rPr>
              <w:t>[23]</w:t>
            </w:r>
          </w:p>
        </w:tc>
        <w:tc>
          <w:tcPr>
            <w:tcW w:w="900" w:type="dxa"/>
            <w:tcBorders>
              <w:right w:val="double" w:sz="4" w:space="0" w:color="auto"/>
            </w:tcBorders>
          </w:tcPr>
          <w:p w:rsidR="007451C3" w:rsidRDefault="007451C3" w:rsidP="003C2675">
            <w:pPr>
              <w:pStyle w:val="Default"/>
              <w:jc w:val="center"/>
              <w:rPr>
                <w:rFonts w:asciiTheme="minorHAnsi" w:hAnsiTheme="minorHAnsi"/>
                <w:sz w:val="16"/>
                <w:szCs w:val="16"/>
              </w:rPr>
            </w:pPr>
            <w:r w:rsidRPr="007451C3">
              <w:rPr>
                <w:rFonts w:asciiTheme="minorHAnsi" w:hAnsiTheme="minorHAnsi"/>
                <w:sz w:val="16"/>
                <w:szCs w:val="16"/>
              </w:rPr>
              <w:t>22 (13/9)</w:t>
            </w:r>
          </w:p>
          <w:p w:rsidR="00846A4A" w:rsidRPr="007451C3" w:rsidRDefault="00846A4A" w:rsidP="003C2675">
            <w:pPr>
              <w:pStyle w:val="Default"/>
              <w:jc w:val="center"/>
              <w:rPr>
                <w:rFonts w:asciiTheme="minorHAnsi" w:hAnsiTheme="minorHAnsi"/>
                <w:sz w:val="16"/>
                <w:szCs w:val="16"/>
              </w:rPr>
            </w:pPr>
            <w:r>
              <w:rPr>
                <w:rFonts w:asciiTheme="minorHAnsi" w:hAnsiTheme="minorHAnsi"/>
                <w:sz w:val="16"/>
                <w:szCs w:val="16"/>
              </w:rPr>
              <w:t>[19]</w:t>
            </w:r>
          </w:p>
        </w:tc>
        <w:tc>
          <w:tcPr>
            <w:tcW w:w="990" w:type="dxa"/>
            <w:tcBorders>
              <w:left w:val="double" w:sz="4" w:space="0" w:color="auto"/>
            </w:tcBorders>
          </w:tcPr>
          <w:p w:rsidR="007451C3" w:rsidRDefault="007451C3" w:rsidP="00C3745F">
            <w:pPr>
              <w:jc w:val="center"/>
              <w:rPr>
                <w:sz w:val="16"/>
                <w:szCs w:val="16"/>
              </w:rPr>
            </w:pPr>
            <w:r w:rsidRPr="00105D3A">
              <w:rPr>
                <w:sz w:val="16"/>
                <w:szCs w:val="16"/>
              </w:rPr>
              <w:t>6</w:t>
            </w:r>
            <w:r w:rsidR="000D65EA">
              <w:rPr>
                <w:sz w:val="16"/>
                <w:szCs w:val="16"/>
              </w:rPr>
              <w:t>2(31/31)</w:t>
            </w:r>
          </w:p>
          <w:p w:rsidR="00875C73" w:rsidRPr="00105D3A" w:rsidRDefault="00875C73" w:rsidP="00C3745F">
            <w:pPr>
              <w:jc w:val="center"/>
              <w:rPr>
                <w:sz w:val="16"/>
                <w:szCs w:val="16"/>
              </w:rPr>
            </w:pPr>
            <w:r>
              <w:rPr>
                <w:sz w:val="16"/>
                <w:szCs w:val="16"/>
              </w:rPr>
              <w:t>[50]</w:t>
            </w:r>
          </w:p>
        </w:tc>
        <w:tc>
          <w:tcPr>
            <w:tcW w:w="1080" w:type="dxa"/>
            <w:tcBorders>
              <w:bottom w:val="single" w:sz="4" w:space="0" w:color="auto"/>
            </w:tcBorders>
          </w:tcPr>
          <w:p w:rsidR="007451C3" w:rsidRDefault="007451C3" w:rsidP="00C3745F">
            <w:pPr>
              <w:jc w:val="center"/>
              <w:rPr>
                <w:sz w:val="16"/>
                <w:szCs w:val="16"/>
              </w:rPr>
            </w:pPr>
            <w:r w:rsidRPr="00105D3A">
              <w:rPr>
                <w:sz w:val="16"/>
                <w:szCs w:val="16"/>
              </w:rPr>
              <w:t>6</w:t>
            </w:r>
            <w:r w:rsidR="000D65EA">
              <w:rPr>
                <w:sz w:val="16"/>
                <w:szCs w:val="16"/>
              </w:rPr>
              <w:t>4 (32/32)</w:t>
            </w:r>
          </w:p>
          <w:p w:rsidR="00875C73" w:rsidRPr="00105D3A" w:rsidRDefault="00875C73" w:rsidP="00C3745F">
            <w:pPr>
              <w:jc w:val="center"/>
              <w:rPr>
                <w:sz w:val="16"/>
                <w:szCs w:val="16"/>
              </w:rPr>
            </w:pPr>
            <w:r>
              <w:rPr>
                <w:sz w:val="16"/>
                <w:szCs w:val="16"/>
              </w:rPr>
              <w:t>[55]</w:t>
            </w:r>
          </w:p>
        </w:tc>
        <w:tc>
          <w:tcPr>
            <w:tcW w:w="990" w:type="dxa"/>
            <w:tcBorders>
              <w:bottom w:val="single" w:sz="4" w:space="0" w:color="auto"/>
              <w:right w:val="double" w:sz="4" w:space="0" w:color="auto"/>
            </w:tcBorders>
          </w:tcPr>
          <w:p w:rsidR="007451C3" w:rsidRDefault="007451C3" w:rsidP="00C3745F">
            <w:pPr>
              <w:jc w:val="center"/>
              <w:rPr>
                <w:sz w:val="16"/>
                <w:szCs w:val="16"/>
              </w:rPr>
            </w:pPr>
            <w:r w:rsidRPr="00105D3A">
              <w:rPr>
                <w:sz w:val="16"/>
                <w:szCs w:val="16"/>
              </w:rPr>
              <w:t>6</w:t>
            </w:r>
            <w:r w:rsidR="000D65EA">
              <w:rPr>
                <w:sz w:val="16"/>
                <w:szCs w:val="16"/>
              </w:rPr>
              <w:t>2 (30/32)</w:t>
            </w:r>
          </w:p>
          <w:p w:rsidR="00875C73" w:rsidRPr="00105D3A" w:rsidRDefault="00875C73" w:rsidP="00C3745F">
            <w:pPr>
              <w:jc w:val="center"/>
              <w:rPr>
                <w:sz w:val="16"/>
                <w:szCs w:val="16"/>
              </w:rPr>
            </w:pPr>
            <w:r>
              <w:rPr>
                <w:sz w:val="16"/>
                <w:szCs w:val="16"/>
              </w:rPr>
              <w:t>[54]</w:t>
            </w:r>
          </w:p>
        </w:tc>
        <w:tc>
          <w:tcPr>
            <w:tcW w:w="1080" w:type="dxa"/>
            <w:tcBorders>
              <w:left w:val="double" w:sz="4" w:space="0" w:color="auto"/>
            </w:tcBorders>
          </w:tcPr>
          <w:p w:rsidR="0049000F" w:rsidRDefault="007451C3" w:rsidP="00C3745F">
            <w:pPr>
              <w:jc w:val="center"/>
              <w:rPr>
                <w:sz w:val="16"/>
                <w:szCs w:val="16"/>
              </w:rPr>
            </w:pPr>
            <w:r w:rsidRPr="00105D3A">
              <w:rPr>
                <w:sz w:val="16"/>
                <w:szCs w:val="16"/>
              </w:rPr>
              <w:t xml:space="preserve">144 </w:t>
            </w:r>
            <w:r w:rsidR="0049000F">
              <w:rPr>
                <w:sz w:val="16"/>
                <w:szCs w:val="16"/>
              </w:rPr>
              <w:t>(81/63)</w:t>
            </w:r>
          </w:p>
          <w:p w:rsidR="007451C3" w:rsidRPr="00105D3A" w:rsidRDefault="007451C3" w:rsidP="00C3745F">
            <w:pPr>
              <w:jc w:val="center"/>
              <w:rPr>
                <w:sz w:val="16"/>
                <w:szCs w:val="16"/>
              </w:rPr>
            </w:pPr>
            <w:r w:rsidRPr="00105D3A">
              <w:rPr>
                <w:sz w:val="16"/>
                <w:szCs w:val="16"/>
              </w:rPr>
              <w:t>[124]</w:t>
            </w:r>
          </w:p>
        </w:tc>
        <w:tc>
          <w:tcPr>
            <w:tcW w:w="1260" w:type="dxa"/>
            <w:tcBorders>
              <w:right w:val="double" w:sz="4" w:space="0" w:color="auto"/>
            </w:tcBorders>
          </w:tcPr>
          <w:p w:rsidR="0049000F" w:rsidRDefault="007451C3" w:rsidP="00C3745F">
            <w:pPr>
              <w:jc w:val="center"/>
              <w:rPr>
                <w:sz w:val="16"/>
                <w:szCs w:val="16"/>
              </w:rPr>
            </w:pPr>
            <w:r w:rsidRPr="00105D3A">
              <w:rPr>
                <w:sz w:val="16"/>
                <w:szCs w:val="16"/>
              </w:rPr>
              <w:t xml:space="preserve">139 </w:t>
            </w:r>
            <w:r w:rsidR="0049000F">
              <w:rPr>
                <w:sz w:val="16"/>
                <w:szCs w:val="16"/>
              </w:rPr>
              <w:t>(79/60)</w:t>
            </w:r>
          </w:p>
          <w:p w:rsidR="007451C3" w:rsidRPr="00105D3A" w:rsidRDefault="007451C3" w:rsidP="00C3745F">
            <w:pPr>
              <w:jc w:val="center"/>
              <w:rPr>
                <w:sz w:val="16"/>
                <w:szCs w:val="16"/>
              </w:rPr>
            </w:pPr>
            <w:r w:rsidRPr="00105D3A">
              <w:rPr>
                <w:sz w:val="16"/>
                <w:szCs w:val="16"/>
              </w:rPr>
              <w:t>[118]</w:t>
            </w:r>
          </w:p>
          <w:p w:rsidR="007451C3" w:rsidRPr="00105D3A" w:rsidRDefault="007451C3" w:rsidP="00C3745F">
            <w:pPr>
              <w:jc w:val="center"/>
              <w:rPr>
                <w:sz w:val="16"/>
                <w:szCs w:val="16"/>
              </w:rPr>
            </w:pPr>
          </w:p>
        </w:tc>
      </w:tr>
      <w:tr w:rsidR="00875C73" w:rsidRPr="00105D3A" w:rsidTr="00875C73">
        <w:tc>
          <w:tcPr>
            <w:tcW w:w="1427" w:type="dxa"/>
            <w:tcBorders>
              <w:top w:val="nil"/>
              <w:left w:val="double" w:sz="4" w:space="0" w:color="auto"/>
              <w:bottom w:val="nil"/>
              <w:right w:val="double" w:sz="4" w:space="0" w:color="auto"/>
            </w:tcBorders>
            <w:vAlign w:val="center"/>
          </w:tcPr>
          <w:p w:rsidR="00875C73" w:rsidRPr="00E85035" w:rsidRDefault="00875C73" w:rsidP="00C3745F">
            <w:pPr>
              <w:rPr>
                <w:rFonts w:ascii="Calibri" w:eastAsia="Calibri" w:hAnsi="Calibri" w:cs="Times New Roman"/>
                <w:b/>
                <w:sz w:val="16"/>
                <w:szCs w:val="16"/>
              </w:rPr>
            </w:pPr>
            <w:r w:rsidRPr="00E85035">
              <w:rPr>
                <w:rFonts w:ascii="Calibri" w:eastAsia="Calibri" w:hAnsi="Calibri" w:cs="Times New Roman"/>
                <w:b/>
                <w:sz w:val="16"/>
                <w:szCs w:val="16"/>
              </w:rPr>
              <w:t>Age at study entry (day)</w:t>
            </w:r>
          </w:p>
        </w:tc>
        <w:tc>
          <w:tcPr>
            <w:tcW w:w="1111" w:type="dxa"/>
            <w:tcBorders>
              <w:left w:val="double" w:sz="4" w:space="0" w:color="auto"/>
            </w:tcBorders>
            <w:vAlign w:val="center"/>
          </w:tcPr>
          <w:p w:rsidR="00875C73" w:rsidRPr="00105D3A" w:rsidRDefault="00875C73" w:rsidP="00380BA4">
            <w:pPr>
              <w:jc w:val="center"/>
              <w:rPr>
                <w:rFonts w:ascii="Calibri" w:eastAsia="Calibri" w:hAnsi="Calibri" w:cs="Times New Roman"/>
                <w:sz w:val="16"/>
                <w:szCs w:val="16"/>
                <w:vertAlign w:val="superscript"/>
              </w:rPr>
            </w:pPr>
            <w:r w:rsidRPr="00105D3A">
              <w:rPr>
                <w:rFonts w:ascii="Calibri" w:eastAsia="Calibri" w:hAnsi="Calibri" w:cs="Times New Roman"/>
                <w:sz w:val="16"/>
                <w:szCs w:val="16"/>
              </w:rPr>
              <w:t xml:space="preserve">39 ± 2 </w:t>
            </w:r>
            <w:r w:rsidRPr="00105D3A">
              <w:rPr>
                <w:rFonts w:ascii="Calibri" w:eastAsia="Calibri" w:hAnsi="Calibri" w:cs="Times New Roman"/>
                <w:sz w:val="16"/>
                <w:szCs w:val="16"/>
                <w:vertAlign w:val="superscript"/>
              </w:rPr>
              <w:t>a</w:t>
            </w:r>
          </w:p>
          <w:p w:rsidR="00875C73" w:rsidRPr="00105D3A" w:rsidRDefault="00875C73" w:rsidP="00380BA4">
            <w:pPr>
              <w:jc w:val="center"/>
              <w:rPr>
                <w:rFonts w:ascii="Calibri" w:eastAsia="Calibri" w:hAnsi="Calibri" w:cs="Times New Roman"/>
                <w:sz w:val="16"/>
                <w:szCs w:val="16"/>
              </w:rPr>
            </w:pPr>
          </w:p>
        </w:tc>
        <w:tc>
          <w:tcPr>
            <w:tcW w:w="1080" w:type="dxa"/>
            <w:vAlign w:val="center"/>
          </w:tcPr>
          <w:p w:rsidR="00875C73" w:rsidRPr="00105D3A" w:rsidRDefault="00875C73" w:rsidP="00BE4AF5">
            <w:pPr>
              <w:jc w:val="center"/>
              <w:rPr>
                <w:rFonts w:ascii="Calibri" w:eastAsia="Calibri" w:hAnsi="Calibri" w:cs="Times New Roman"/>
                <w:sz w:val="16"/>
                <w:szCs w:val="16"/>
                <w:vertAlign w:val="superscript"/>
              </w:rPr>
            </w:pPr>
            <w:r w:rsidRPr="00105D3A">
              <w:rPr>
                <w:rFonts w:ascii="Calibri" w:eastAsia="Calibri" w:hAnsi="Calibri" w:cs="Times New Roman"/>
                <w:sz w:val="16"/>
                <w:szCs w:val="16"/>
              </w:rPr>
              <w:t xml:space="preserve">41 ± 3  </w:t>
            </w:r>
            <w:r w:rsidRPr="00105D3A">
              <w:rPr>
                <w:rFonts w:ascii="Calibri" w:eastAsia="Calibri" w:hAnsi="Calibri" w:cs="Times New Roman"/>
                <w:sz w:val="16"/>
                <w:szCs w:val="16"/>
                <w:vertAlign w:val="superscript"/>
              </w:rPr>
              <w:t>a</w:t>
            </w:r>
          </w:p>
          <w:p w:rsidR="00875C73" w:rsidRPr="00105D3A" w:rsidRDefault="00875C73" w:rsidP="00BE4AF5">
            <w:pPr>
              <w:jc w:val="center"/>
              <w:rPr>
                <w:rFonts w:ascii="Calibri" w:eastAsia="Calibri" w:hAnsi="Calibri" w:cs="Times New Roman"/>
                <w:sz w:val="16"/>
                <w:szCs w:val="16"/>
              </w:rPr>
            </w:pPr>
          </w:p>
        </w:tc>
        <w:tc>
          <w:tcPr>
            <w:tcW w:w="972" w:type="dxa"/>
            <w:tcBorders>
              <w:right w:val="double" w:sz="4" w:space="0" w:color="auto"/>
            </w:tcBorders>
            <w:vAlign w:val="center"/>
          </w:tcPr>
          <w:p w:rsidR="00875C73" w:rsidRPr="00105D3A" w:rsidRDefault="00875C73" w:rsidP="00380BA4">
            <w:pPr>
              <w:jc w:val="center"/>
              <w:rPr>
                <w:rFonts w:ascii="Calibri" w:eastAsia="Calibri" w:hAnsi="Calibri" w:cs="Times New Roman"/>
                <w:sz w:val="16"/>
                <w:szCs w:val="16"/>
                <w:vertAlign w:val="superscript"/>
              </w:rPr>
            </w:pPr>
            <w:r w:rsidRPr="00105D3A">
              <w:rPr>
                <w:rFonts w:ascii="Calibri" w:eastAsia="Calibri" w:hAnsi="Calibri" w:cs="Times New Roman"/>
                <w:sz w:val="16"/>
                <w:szCs w:val="16"/>
              </w:rPr>
              <w:t xml:space="preserve">49 ± 3 </w:t>
            </w:r>
            <w:r w:rsidRPr="00105D3A">
              <w:rPr>
                <w:rFonts w:ascii="Calibri" w:eastAsia="Calibri" w:hAnsi="Calibri" w:cs="Times New Roman"/>
                <w:sz w:val="16"/>
                <w:szCs w:val="16"/>
                <w:vertAlign w:val="superscript"/>
              </w:rPr>
              <w:t>b</w:t>
            </w:r>
          </w:p>
          <w:p w:rsidR="00875C73" w:rsidRPr="00105D3A" w:rsidRDefault="00875C73" w:rsidP="00380BA4">
            <w:pPr>
              <w:jc w:val="center"/>
              <w:rPr>
                <w:rFonts w:ascii="Calibri" w:eastAsia="Calibri" w:hAnsi="Calibri" w:cs="Times New Roman"/>
                <w:sz w:val="16"/>
                <w:szCs w:val="16"/>
              </w:rPr>
            </w:pPr>
          </w:p>
        </w:tc>
        <w:tc>
          <w:tcPr>
            <w:tcW w:w="1890" w:type="dxa"/>
            <w:gridSpan w:val="2"/>
            <w:tcBorders>
              <w:left w:val="double" w:sz="4" w:space="0" w:color="auto"/>
            </w:tcBorders>
            <w:vAlign w:val="center"/>
          </w:tcPr>
          <w:p w:rsidR="00875C73" w:rsidRPr="00105D3A" w:rsidRDefault="00875C73" w:rsidP="00BE4AF5">
            <w:pPr>
              <w:autoSpaceDE w:val="0"/>
              <w:autoSpaceDN w:val="0"/>
              <w:adjustRightInd w:val="0"/>
              <w:jc w:val="center"/>
              <w:rPr>
                <w:rFonts w:ascii="Calibri" w:eastAsia="Calibri" w:hAnsi="Calibri" w:cs="Times New Roman"/>
                <w:sz w:val="16"/>
                <w:szCs w:val="16"/>
                <w:vertAlign w:val="superscript"/>
              </w:rPr>
            </w:pPr>
            <w:r w:rsidRPr="00105D3A">
              <w:rPr>
                <w:rFonts w:ascii="Calibri" w:eastAsia="Calibri" w:hAnsi="Calibri" w:cs="Times New Roman"/>
                <w:sz w:val="16"/>
                <w:szCs w:val="16"/>
              </w:rPr>
              <w:t>7 (1-18)</w:t>
            </w:r>
            <w:r w:rsidRPr="00105D3A">
              <w:rPr>
                <w:rFonts w:ascii="Calibri" w:eastAsia="Calibri" w:hAnsi="Calibri" w:cs="Times New Roman"/>
                <w:sz w:val="16"/>
                <w:szCs w:val="16"/>
                <w:vertAlign w:val="superscript"/>
              </w:rPr>
              <w:t xml:space="preserve"> a</w:t>
            </w:r>
          </w:p>
          <w:p w:rsidR="00875C73" w:rsidRPr="00105D3A" w:rsidRDefault="00875C73" w:rsidP="00BE4AF5">
            <w:pPr>
              <w:autoSpaceDE w:val="0"/>
              <w:autoSpaceDN w:val="0"/>
              <w:adjustRightInd w:val="0"/>
              <w:jc w:val="center"/>
              <w:rPr>
                <w:rFonts w:ascii="Calibri" w:hAnsi="Calibri" w:cs="Calibri"/>
                <w:sz w:val="16"/>
                <w:szCs w:val="16"/>
              </w:rPr>
            </w:pPr>
          </w:p>
        </w:tc>
        <w:tc>
          <w:tcPr>
            <w:tcW w:w="990" w:type="dxa"/>
            <w:tcBorders>
              <w:right w:val="double" w:sz="4" w:space="0" w:color="auto"/>
            </w:tcBorders>
            <w:vAlign w:val="center"/>
          </w:tcPr>
          <w:p w:rsidR="00875C73" w:rsidRPr="00105D3A" w:rsidRDefault="00875C73" w:rsidP="00BE4AF5">
            <w:pPr>
              <w:jc w:val="center"/>
              <w:rPr>
                <w:rFonts w:ascii="Calibri" w:eastAsia="Calibri" w:hAnsi="Calibri" w:cs="Times New Roman"/>
                <w:sz w:val="16"/>
                <w:szCs w:val="16"/>
                <w:vertAlign w:val="superscript"/>
              </w:rPr>
            </w:pPr>
            <w:r w:rsidRPr="00105D3A">
              <w:rPr>
                <w:rFonts w:ascii="Calibri" w:eastAsia="Calibri" w:hAnsi="Calibri" w:cs="Times New Roman"/>
                <w:sz w:val="16"/>
                <w:szCs w:val="16"/>
              </w:rPr>
              <w:t>0 (0 – 9)</w:t>
            </w:r>
            <w:r w:rsidRPr="00105D3A">
              <w:rPr>
                <w:rFonts w:ascii="Calibri" w:eastAsia="Calibri" w:hAnsi="Calibri" w:cs="Times New Roman"/>
                <w:sz w:val="16"/>
                <w:szCs w:val="16"/>
                <w:vertAlign w:val="superscript"/>
              </w:rPr>
              <w:t xml:space="preserve"> b</w:t>
            </w:r>
          </w:p>
          <w:p w:rsidR="00875C73" w:rsidRPr="00105D3A" w:rsidRDefault="00875C73" w:rsidP="00BE4AF5">
            <w:pPr>
              <w:jc w:val="center"/>
              <w:rPr>
                <w:rFonts w:ascii="Calibri" w:eastAsia="Calibri" w:hAnsi="Calibri" w:cs="Times New Roman"/>
                <w:sz w:val="16"/>
                <w:szCs w:val="16"/>
              </w:rPr>
            </w:pPr>
          </w:p>
        </w:tc>
        <w:tc>
          <w:tcPr>
            <w:tcW w:w="900" w:type="dxa"/>
            <w:tcBorders>
              <w:left w:val="double" w:sz="4" w:space="0" w:color="auto"/>
            </w:tcBorders>
          </w:tcPr>
          <w:p w:rsidR="00875C73" w:rsidRPr="00576F40" w:rsidRDefault="00875C73" w:rsidP="003C2675">
            <w:pPr>
              <w:pStyle w:val="Default"/>
              <w:jc w:val="center"/>
              <w:rPr>
                <w:rFonts w:asciiTheme="minorHAnsi" w:hAnsiTheme="minorHAnsi"/>
                <w:sz w:val="16"/>
                <w:szCs w:val="16"/>
              </w:rPr>
            </w:pPr>
            <w:r w:rsidRPr="00576F40">
              <w:rPr>
                <w:rFonts w:asciiTheme="minorHAnsi" w:hAnsiTheme="minorHAnsi"/>
                <w:sz w:val="16"/>
                <w:szCs w:val="16"/>
              </w:rPr>
              <w:t>2.5 ± 0.2</w:t>
            </w:r>
          </w:p>
        </w:tc>
        <w:tc>
          <w:tcPr>
            <w:tcW w:w="900" w:type="dxa"/>
          </w:tcPr>
          <w:p w:rsidR="00875C73" w:rsidRPr="00576F40" w:rsidRDefault="00875C73" w:rsidP="003C2675">
            <w:pPr>
              <w:pStyle w:val="Default"/>
              <w:jc w:val="center"/>
              <w:rPr>
                <w:rFonts w:asciiTheme="minorHAnsi" w:hAnsiTheme="minorHAnsi"/>
                <w:sz w:val="16"/>
                <w:szCs w:val="16"/>
              </w:rPr>
            </w:pPr>
            <w:r w:rsidRPr="00576F40">
              <w:rPr>
                <w:rFonts w:asciiTheme="minorHAnsi" w:hAnsiTheme="minorHAnsi"/>
                <w:sz w:val="16"/>
                <w:szCs w:val="16"/>
              </w:rPr>
              <w:t>2.2 ± 0.3</w:t>
            </w:r>
          </w:p>
        </w:tc>
        <w:tc>
          <w:tcPr>
            <w:tcW w:w="900" w:type="dxa"/>
          </w:tcPr>
          <w:p w:rsidR="00875C73" w:rsidRPr="00576F40" w:rsidRDefault="00875C73" w:rsidP="003C2675">
            <w:pPr>
              <w:pStyle w:val="Default"/>
              <w:jc w:val="center"/>
              <w:rPr>
                <w:rFonts w:asciiTheme="minorHAnsi" w:hAnsiTheme="minorHAnsi"/>
                <w:sz w:val="16"/>
                <w:szCs w:val="16"/>
              </w:rPr>
            </w:pPr>
            <w:r w:rsidRPr="00576F40">
              <w:rPr>
                <w:rFonts w:asciiTheme="minorHAnsi" w:hAnsiTheme="minorHAnsi"/>
                <w:sz w:val="16"/>
                <w:szCs w:val="16"/>
              </w:rPr>
              <w:t>2.3 ± 0.3</w:t>
            </w:r>
          </w:p>
        </w:tc>
        <w:tc>
          <w:tcPr>
            <w:tcW w:w="900" w:type="dxa"/>
            <w:tcBorders>
              <w:right w:val="double" w:sz="4" w:space="0" w:color="auto"/>
            </w:tcBorders>
          </w:tcPr>
          <w:p w:rsidR="00875C73" w:rsidRPr="00576F40" w:rsidRDefault="00875C73" w:rsidP="003C2675">
            <w:pPr>
              <w:pStyle w:val="Default"/>
              <w:jc w:val="center"/>
              <w:rPr>
                <w:rFonts w:asciiTheme="minorHAnsi" w:hAnsiTheme="minorHAnsi"/>
                <w:sz w:val="16"/>
                <w:szCs w:val="16"/>
              </w:rPr>
            </w:pPr>
            <w:r w:rsidRPr="00576F40">
              <w:rPr>
                <w:rFonts w:asciiTheme="minorHAnsi" w:hAnsiTheme="minorHAnsi"/>
                <w:sz w:val="16"/>
                <w:szCs w:val="16"/>
              </w:rPr>
              <w:t>1.6 ± 0.2</w:t>
            </w:r>
          </w:p>
        </w:tc>
        <w:tc>
          <w:tcPr>
            <w:tcW w:w="990" w:type="dxa"/>
            <w:tcBorders>
              <w:left w:val="double" w:sz="4" w:space="0" w:color="auto"/>
              <w:right w:val="single" w:sz="4" w:space="0" w:color="auto"/>
            </w:tcBorders>
          </w:tcPr>
          <w:p w:rsidR="00875C73" w:rsidRPr="00105D3A" w:rsidRDefault="00673F9B" w:rsidP="00C3745F">
            <w:pPr>
              <w:adjustRightInd w:val="0"/>
              <w:jc w:val="center"/>
              <w:rPr>
                <w:color w:val="000000"/>
                <w:sz w:val="16"/>
                <w:szCs w:val="16"/>
              </w:rPr>
            </w:pPr>
            <w:r>
              <w:rPr>
                <w:color w:val="000000"/>
                <w:sz w:val="16"/>
                <w:szCs w:val="16"/>
              </w:rPr>
              <w:t xml:space="preserve">5.3 </w:t>
            </w:r>
            <w:r w:rsidRPr="00576F40">
              <w:rPr>
                <w:sz w:val="16"/>
                <w:szCs w:val="16"/>
              </w:rPr>
              <w:t>±</w:t>
            </w:r>
            <w:r>
              <w:rPr>
                <w:color w:val="000000"/>
                <w:sz w:val="16"/>
                <w:szCs w:val="16"/>
              </w:rPr>
              <w:t xml:space="preserve"> 0.02</w:t>
            </w:r>
          </w:p>
        </w:tc>
        <w:tc>
          <w:tcPr>
            <w:tcW w:w="1080" w:type="dxa"/>
            <w:tcBorders>
              <w:left w:val="single" w:sz="4" w:space="0" w:color="auto"/>
              <w:right w:val="single" w:sz="4" w:space="0" w:color="auto"/>
            </w:tcBorders>
          </w:tcPr>
          <w:p w:rsidR="00875C73" w:rsidRPr="00105D3A" w:rsidRDefault="00673F9B" w:rsidP="00C3745F">
            <w:pPr>
              <w:adjustRightInd w:val="0"/>
              <w:jc w:val="center"/>
              <w:rPr>
                <w:color w:val="000000"/>
                <w:sz w:val="16"/>
                <w:szCs w:val="16"/>
              </w:rPr>
            </w:pPr>
            <w:r>
              <w:rPr>
                <w:color w:val="000000"/>
                <w:sz w:val="16"/>
                <w:szCs w:val="16"/>
              </w:rPr>
              <w:t xml:space="preserve">4.8 </w:t>
            </w:r>
            <w:r w:rsidRPr="00576F40">
              <w:rPr>
                <w:sz w:val="16"/>
                <w:szCs w:val="16"/>
              </w:rPr>
              <w:t>±</w:t>
            </w:r>
            <w:r>
              <w:rPr>
                <w:sz w:val="16"/>
                <w:szCs w:val="16"/>
              </w:rPr>
              <w:t xml:space="preserve"> 0.03</w:t>
            </w:r>
          </w:p>
        </w:tc>
        <w:tc>
          <w:tcPr>
            <w:tcW w:w="990" w:type="dxa"/>
            <w:tcBorders>
              <w:left w:val="single" w:sz="4" w:space="0" w:color="auto"/>
              <w:right w:val="double" w:sz="4" w:space="0" w:color="auto"/>
            </w:tcBorders>
          </w:tcPr>
          <w:p w:rsidR="00875C73" w:rsidRPr="00105D3A" w:rsidRDefault="00673F9B" w:rsidP="00C3745F">
            <w:pPr>
              <w:adjustRightInd w:val="0"/>
              <w:jc w:val="center"/>
              <w:rPr>
                <w:color w:val="000000"/>
                <w:sz w:val="16"/>
                <w:szCs w:val="16"/>
              </w:rPr>
            </w:pPr>
            <w:r>
              <w:rPr>
                <w:color w:val="000000"/>
                <w:sz w:val="16"/>
                <w:szCs w:val="16"/>
              </w:rPr>
              <w:t xml:space="preserve">5.3 </w:t>
            </w:r>
            <w:r w:rsidRPr="00576F40">
              <w:rPr>
                <w:sz w:val="16"/>
                <w:szCs w:val="16"/>
              </w:rPr>
              <w:t>±</w:t>
            </w:r>
            <w:r>
              <w:rPr>
                <w:sz w:val="16"/>
                <w:szCs w:val="16"/>
              </w:rPr>
              <w:t xml:space="preserve"> 0.02</w:t>
            </w:r>
          </w:p>
        </w:tc>
        <w:tc>
          <w:tcPr>
            <w:tcW w:w="2340" w:type="dxa"/>
            <w:gridSpan w:val="2"/>
            <w:tcBorders>
              <w:left w:val="double" w:sz="4" w:space="0" w:color="auto"/>
              <w:right w:val="double" w:sz="4" w:space="0" w:color="auto"/>
            </w:tcBorders>
            <w:vAlign w:val="center"/>
          </w:tcPr>
          <w:p w:rsidR="00875C73" w:rsidRDefault="00875C73" w:rsidP="00492B39">
            <w:pPr>
              <w:autoSpaceDE w:val="0"/>
              <w:autoSpaceDN w:val="0"/>
              <w:adjustRightInd w:val="0"/>
              <w:rPr>
                <w:rFonts w:cs="Calibri"/>
                <w:sz w:val="16"/>
                <w:szCs w:val="16"/>
              </w:rPr>
            </w:pPr>
            <w:r>
              <w:rPr>
                <w:rFonts w:cs="Calibri"/>
                <w:sz w:val="16"/>
                <w:szCs w:val="16"/>
              </w:rPr>
              <w:t>19.7 (median)    18.5 (median)</w:t>
            </w:r>
          </w:p>
          <w:p w:rsidR="00875C73" w:rsidRPr="00105D3A" w:rsidRDefault="00875C73" w:rsidP="00925106">
            <w:pPr>
              <w:autoSpaceDE w:val="0"/>
              <w:autoSpaceDN w:val="0"/>
              <w:adjustRightInd w:val="0"/>
              <w:jc w:val="center"/>
              <w:rPr>
                <w:rFonts w:cs="Calibri"/>
                <w:sz w:val="16"/>
                <w:szCs w:val="16"/>
              </w:rPr>
            </w:pPr>
            <w:r w:rsidRPr="00105D3A">
              <w:rPr>
                <w:rFonts w:cs="Calibri"/>
                <w:sz w:val="16"/>
                <w:szCs w:val="16"/>
              </w:rPr>
              <w:t>10 – 24 mon</w:t>
            </w:r>
            <w:r>
              <w:rPr>
                <w:rFonts w:cs="Calibri"/>
                <w:sz w:val="16"/>
                <w:szCs w:val="16"/>
              </w:rPr>
              <w:t>ths</w:t>
            </w:r>
          </w:p>
        </w:tc>
      </w:tr>
      <w:tr w:rsidR="00E85035" w:rsidRPr="00105D3A" w:rsidTr="00492B39">
        <w:tc>
          <w:tcPr>
            <w:tcW w:w="1427" w:type="dxa"/>
            <w:tcBorders>
              <w:top w:val="nil"/>
              <w:left w:val="double" w:sz="4" w:space="0" w:color="auto"/>
              <w:bottom w:val="nil"/>
              <w:right w:val="double" w:sz="4" w:space="0" w:color="auto"/>
            </w:tcBorders>
            <w:vAlign w:val="center"/>
          </w:tcPr>
          <w:p w:rsidR="00576F40" w:rsidRPr="00E85035" w:rsidRDefault="00576F40" w:rsidP="00C3745F">
            <w:pPr>
              <w:rPr>
                <w:rFonts w:ascii="Calibri" w:eastAsia="Calibri" w:hAnsi="Calibri" w:cs="Times New Roman"/>
                <w:b/>
                <w:sz w:val="16"/>
                <w:szCs w:val="16"/>
              </w:rPr>
            </w:pPr>
            <w:r w:rsidRPr="00E85035">
              <w:rPr>
                <w:rFonts w:ascii="Calibri" w:eastAsia="Calibri" w:hAnsi="Calibri" w:cs="Times New Roman"/>
                <w:b/>
                <w:sz w:val="16"/>
                <w:szCs w:val="16"/>
              </w:rPr>
              <w:t>Weight at study entry (g)</w:t>
            </w:r>
          </w:p>
        </w:tc>
        <w:tc>
          <w:tcPr>
            <w:tcW w:w="1111" w:type="dxa"/>
            <w:tcBorders>
              <w:left w:val="double" w:sz="4" w:space="0" w:color="auto"/>
            </w:tcBorders>
          </w:tcPr>
          <w:p w:rsidR="00576F40" w:rsidRPr="00105D3A" w:rsidRDefault="00576F40" w:rsidP="00FF049E">
            <w:pPr>
              <w:jc w:val="center"/>
              <w:rPr>
                <w:rFonts w:ascii="Calibri" w:eastAsia="Calibri" w:hAnsi="Calibri" w:cs="Times New Roman"/>
                <w:sz w:val="16"/>
                <w:szCs w:val="16"/>
              </w:rPr>
            </w:pPr>
            <w:r w:rsidRPr="00105D3A">
              <w:rPr>
                <w:rFonts w:ascii="Calibri" w:eastAsia="Calibri" w:hAnsi="Calibri" w:cs="Times New Roman"/>
                <w:sz w:val="16"/>
                <w:szCs w:val="16"/>
              </w:rPr>
              <w:t>4737 ± 206 (23)</w:t>
            </w:r>
          </w:p>
        </w:tc>
        <w:tc>
          <w:tcPr>
            <w:tcW w:w="1080" w:type="dxa"/>
          </w:tcPr>
          <w:p w:rsidR="00576F40" w:rsidRPr="00105D3A" w:rsidRDefault="00576F40" w:rsidP="00FF049E">
            <w:pPr>
              <w:jc w:val="center"/>
              <w:rPr>
                <w:rFonts w:ascii="Calibri" w:eastAsia="Calibri" w:hAnsi="Calibri" w:cs="Times New Roman"/>
                <w:sz w:val="16"/>
                <w:szCs w:val="16"/>
              </w:rPr>
            </w:pPr>
            <w:r w:rsidRPr="00105D3A">
              <w:rPr>
                <w:rFonts w:ascii="Calibri" w:eastAsia="Calibri" w:hAnsi="Calibri" w:cs="Times New Roman"/>
                <w:sz w:val="16"/>
                <w:szCs w:val="16"/>
              </w:rPr>
              <w:t>4692 ± 157 (22)</w:t>
            </w:r>
          </w:p>
        </w:tc>
        <w:tc>
          <w:tcPr>
            <w:tcW w:w="972" w:type="dxa"/>
            <w:tcBorders>
              <w:right w:val="double" w:sz="4" w:space="0" w:color="auto"/>
            </w:tcBorders>
            <w:vAlign w:val="center"/>
          </w:tcPr>
          <w:p w:rsidR="00576F40" w:rsidRPr="00105D3A" w:rsidRDefault="00576F40" w:rsidP="00C3745F">
            <w:pPr>
              <w:jc w:val="center"/>
              <w:rPr>
                <w:rFonts w:ascii="Calibri" w:eastAsia="Calibri" w:hAnsi="Calibri" w:cs="Times New Roman"/>
                <w:sz w:val="16"/>
                <w:szCs w:val="16"/>
              </w:rPr>
            </w:pPr>
            <w:r w:rsidRPr="00105D3A">
              <w:rPr>
                <w:rFonts w:ascii="Calibri" w:eastAsia="Calibri" w:hAnsi="Calibri" w:cs="Times New Roman"/>
                <w:sz w:val="16"/>
                <w:szCs w:val="16"/>
              </w:rPr>
              <w:t>4957 ±156 (21)</w:t>
            </w:r>
          </w:p>
        </w:tc>
        <w:tc>
          <w:tcPr>
            <w:tcW w:w="900" w:type="dxa"/>
            <w:tcBorders>
              <w:left w:val="double" w:sz="4" w:space="0" w:color="auto"/>
            </w:tcBorders>
            <w:vAlign w:val="center"/>
          </w:tcPr>
          <w:p w:rsidR="00576F40" w:rsidRPr="00105D3A" w:rsidRDefault="00576F40" w:rsidP="00C3745F">
            <w:pPr>
              <w:jc w:val="center"/>
              <w:rPr>
                <w:rFonts w:ascii="Calibri" w:eastAsia="Calibri" w:hAnsi="Calibri" w:cs="Times New Roman"/>
                <w:sz w:val="16"/>
                <w:szCs w:val="16"/>
              </w:rPr>
            </w:pPr>
            <w:r w:rsidRPr="00105D3A">
              <w:rPr>
                <w:rFonts w:ascii="Calibri" w:eastAsia="Calibri" w:hAnsi="Calibri" w:cs="Times New Roman"/>
                <w:sz w:val="16"/>
                <w:szCs w:val="16"/>
              </w:rPr>
              <w:t>3334 ± 66 (47)</w:t>
            </w:r>
          </w:p>
        </w:tc>
        <w:tc>
          <w:tcPr>
            <w:tcW w:w="990" w:type="dxa"/>
            <w:vAlign w:val="center"/>
          </w:tcPr>
          <w:p w:rsidR="00576F40" w:rsidRPr="00105D3A" w:rsidRDefault="00576F40" w:rsidP="00C3745F">
            <w:pPr>
              <w:jc w:val="center"/>
              <w:rPr>
                <w:rFonts w:ascii="Calibri" w:eastAsia="Calibri" w:hAnsi="Calibri" w:cs="Times New Roman"/>
                <w:sz w:val="16"/>
                <w:szCs w:val="16"/>
              </w:rPr>
            </w:pPr>
            <w:r w:rsidRPr="00105D3A">
              <w:rPr>
                <w:rFonts w:ascii="Calibri" w:eastAsia="Calibri" w:hAnsi="Calibri" w:cs="Times New Roman"/>
                <w:sz w:val="16"/>
                <w:szCs w:val="16"/>
              </w:rPr>
              <w:t>3474 ± 66 (49)</w:t>
            </w:r>
          </w:p>
        </w:tc>
        <w:tc>
          <w:tcPr>
            <w:tcW w:w="990" w:type="dxa"/>
            <w:tcBorders>
              <w:right w:val="double" w:sz="4" w:space="0" w:color="auto"/>
            </w:tcBorders>
            <w:vAlign w:val="center"/>
          </w:tcPr>
          <w:p w:rsidR="00576F40" w:rsidRPr="00105D3A" w:rsidRDefault="00576F40" w:rsidP="00C3745F">
            <w:pPr>
              <w:jc w:val="center"/>
              <w:rPr>
                <w:rFonts w:ascii="Calibri" w:eastAsia="Calibri" w:hAnsi="Calibri" w:cs="Times New Roman"/>
                <w:sz w:val="16"/>
                <w:szCs w:val="16"/>
              </w:rPr>
            </w:pPr>
            <w:r w:rsidRPr="00105D3A">
              <w:rPr>
                <w:rFonts w:ascii="Calibri" w:eastAsia="Calibri" w:hAnsi="Calibri" w:cs="Times New Roman"/>
                <w:sz w:val="16"/>
                <w:szCs w:val="16"/>
              </w:rPr>
              <w:t>3545 ± 98 (25)</w:t>
            </w:r>
          </w:p>
        </w:tc>
        <w:tc>
          <w:tcPr>
            <w:tcW w:w="900" w:type="dxa"/>
            <w:tcBorders>
              <w:left w:val="double" w:sz="4" w:space="0" w:color="auto"/>
            </w:tcBorders>
          </w:tcPr>
          <w:p w:rsidR="00576F40" w:rsidRDefault="00576F40" w:rsidP="003C2675">
            <w:pPr>
              <w:pStyle w:val="Default"/>
              <w:jc w:val="center"/>
              <w:rPr>
                <w:rFonts w:asciiTheme="minorHAnsi" w:hAnsiTheme="minorHAnsi"/>
                <w:sz w:val="16"/>
                <w:szCs w:val="16"/>
              </w:rPr>
            </w:pPr>
            <w:r w:rsidRPr="00576F40">
              <w:rPr>
                <w:rFonts w:asciiTheme="minorHAnsi" w:hAnsiTheme="minorHAnsi"/>
                <w:sz w:val="16"/>
                <w:szCs w:val="16"/>
              </w:rPr>
              <w:t>3204 ± 76</w:t>
            </w:r>
          </w:p>
          <w:p w:rsidR="002257F3" w:rsidRPr="00576F40" w:rsidRDefault="0079366C" w:rsidP="003C2675">
            <w:pPr>
              <w:pStyle w:val="Default"/>
              <w:jc w:val="center"/>
              <w:rPr>
                <w:rFonts w:asciiTheme="minorHAnsi" w:hAnsiTheme="minorHAnsi"/>
                <w:sz w:val="16"/>
                <w:szCs w:val="16"/>
              </w:rPr>
            </w:pPr>
            <w:r>
              <w:rPr>
                <w:rFonts w:asciiTheme="minorHAnsi" w:hAnsiTheme="minorHAnsi"/>
                <w:sz w:val="16"/>
                <w:szCs w:val="16"/>
              </w:rPr>
              <w:t>(24</w:t>
            </w:r>
            <w:r w:rsidR="002257F3">
              <w:rPr>
                <w:rFonts w:asciiTheme="minorHAnsi" w:hAnsiTheme="minorHAnsi"/>
                <w:sz w:val="16"/>
                <w:szCs w:val="16"/>
              </w:rPr>
              <w:t>)</w:t>
            </w:r>
          </w:p>
        </w:tc>
        <w:tc>
          <w:tcPr>
            <w:tcW w:w="900" w:type="dxa"/>
          </w:tcPr>
          <w:p w:rsidR="00576F40" w:rsidRDefault="00576F40" w:rsidP="003C2675">
            <w:pPr>
              <w:pStyle w:val="Default"/>
              <w:jc w:val="center"/>
              <w:rPr>
                <w:rFonts w:asciiTheme="minorHAnsi" w:hAnsiTheme="minorHAnsi"/>
                <w:sz w:val="16"/>
                <w:szCs w:val="16"/>
              </w:rPr>
            </w:pPr>
            <w:r w:rsidRPr="00576F40">
              <w:rPr>
                <w:rFonts w:asciiTheme="minorHAnsi" w:hAnsiTheme="minorHAnsi"/>
                <w:sz w:val="16"/>
                <w:szCs w:val="16"/>
              </w:rPr>
              <w:t>3387 ± 99</w:t>
            </w:r>
          </w:p>
          <w:p w:rsidR="002257F3" w:rsidRPr="00576F40" w:rsidRDefault="0079366C" w:rsidP="003C2675">
            <w:pPr>
              <w:pStyle w:val="Default"/>
              <w:jc w:val="center"/>
              <w:rPr>
                <w:rFonts w:asciiTheme="minorHAnsi" w:hAnsiTheme="minorHAnsi"/>
                <w:sz w:val="16"/>
                <w:szCs w:val="16"/>
              </w:rPr>
            </w:pPr>
            <w:r>
              <w:rPr>
                <w:rFonts w:asciiTheme="minorHAnsi" w:hAnsiTheme="minorHAnsi"/>
                <w:sz w:val="16"/>
                <w:szCs w:val="16"/>
              </w:rPr>
              <w:t>(25</w:t>
            </w:r>
            <w:r w:rsidR="002257F3">
              <w:rPr>
                <w:rFonts w:asciiTheme="minorHAnsi" w:hAnsiTheme="minorHAnsi"/>
                <w:sz w:val="16"/>
                <w:szCs w:val="16"/>
              </w:rPr>
              <w:t>)</w:t>
            </w:r>
          </w:p>
        </w:tc>
        <w:tc>
          <w:tcPr>
            <w:tcW w:w="900" w:type="dxa"/>
          </w:tcPr>
          <w:p w:rsidR="00576F40" w:rsidRDefault="00576F40" w:rsidP="003C2675">
            <w:pPr>
              <w:pStyle w:val="Default"/>
              <w:jc w:val="center"/>
              <w:rPr>
                <w:rFonts w:asciiTheme="minorHAnsi" w:hAnsiTheme="minorHAnsi"/>
                <w:sz w:val="16"/>
                <w:szCs w:val="16"/>
              </w:rPr>
            </w:pPr>
            <w:r w:rsidRPr="00576F40">
              <w:rPr>
                <w:rFonts w:asciiTheme="minorHAnsi" w:hAnsiTheme="minorHAnsi"/>
                <w:sz w:val="16"/>
                <w:szCs w:val="16"/>
              </w:rPr>
              <w:t>3367 ± 79</w:t>
            </w:r>
          </w:p>
          <w:p w:rsidR="002257F3" w:rsidRPr="00576F40" w:rsidRDefault="003C2675" w:rsidP="003C2675">
            <w:pPr>
              <w:pStyle w:val="Default"/>
              <w:jc w:val="center"/>
              <w:rPr>
                <w:rFonts w:asciiTheme="minorHAnsi" w:hAnsiTheme="minorHAnsi"/>
                <w:sz w:val="16"/>
                <w:szCs w:val="16"/>
              </w:rPr>
            </w:pPr>
            <w:r>
              <w:rPr>
                <w:rFonts w:asciiTheme="minorHAnsi" w:hAnsiTheme="minorHAnsi"/>
                <w:sz w:val="16"/>
                <w:szCs w:val="16"/>
              </w:rPr>
              <w:t>(26</w:t>
            </w:r>
            <w:r w:rsidR="002257F3">
              <w:rPr>
                <w:rFonts w:asciiTheme="minorHAnsi" w:hAnsiTheme="minorHAnsi"/>
                <w:sz w:val="16"/>
                <w:szCs w:val="16"/>
              </w:rPr>
              <w:t>)</w:t>
            </w:r>
          </w:p>
        </w:tc>
        <w:tc>
          <w:tcPr>
            <w:tcW w:w="900" w:type="dxa"/>
            <w:tcBorders>
              <w:right w:val="double" w:sz="4" w:space="0" w:color="auto"/>
            </w:tcBorders>
          </w:tcPr>
          <w:p w:rsidR="00576F40" w:rsidRDefault="00576F40" w:rsidP="003C2675">
            <w:pPr>
              <w:pStyle w:val="Default"/>
              <w:jc w:val="center"/>
              <w:rPr>
                <w:rFonts w:asciiTheme="minorHAnsi" w:hAnsiTheme="minorHAnsi"/>
                <w:sz w:val="16"/>
                <w:szCs w:val="16"/>
              </w:rPr>
            </w:pPr>
            <w:r w:rsidRPr="00576F40">
              <w:rPr>
                <w:rFonts w:asciiTheme="minorHAnsi" w:hAnsiTheme="minorHAnsi"/>
                <w:sz w:val="16"/>
                <w:szCs w:val="16"/>
              </w:rPr>
              <w:t>3361 ± 82</w:t>
            </w:r>
          </w:p>
          <w:p w:rsidR="002257F3" w:rsidRPr="00576F40" w:rsidRDefault="002257F3" w:rsidP="003C2675">
            <w:pPr>
              <w:pStyle w:val="Default"/>
              <w:jc w:val="center"/>
              <w:rPr>
                <w:rFonts w:asciiTheme="minorHAnsi" w:hAnsiTheme="minorHAnsi"/>
                <w:sz w:val="16"/>
                <w:szCs w:val="16"/>
              </w:rPr>
            </w:pPr>
            <w:r>
              <w:rPr>
                <w:rFonts w:asciiTheme="minorHAnsi" w:hAnsiTheme="minorHAnsi"/>
                <w:sz w:val="16"/>
                <w:szCs w:val="16"/>
              </w:rPr>
              <w:t>(</w:t>
            </w:r>
            <w:r w:rsidR="003C2675">
              <w:rPr>
                <w:rFonts w:asciiTheme="minorHAnsi" w:hAnsiTheme="minorHAnsi"/>
                <w:sz w:val="16"/>
                <w:szCs w:val="16"/>
              </w:rPr>
              <w:t>22</w:t>
            </w:r>
            <w:r>
              <w:rPr>
                <w:rFonts w:asciiTheme="minorHAnsi" w:hAnsiTheme="minorHAnsi"/>
                <w:sz w:val="16"/>
                <w:szCs w:val="16"/>
              </w:rPr>
              <w:t>)</w:t>
            </w:r>
          </w:p>
        </w:tc>
        <w:tc>
          <w:tcPr>
            <w:tcW w:w="990" w:type="dxa"/>
            <w:tcBorders>
              <w:left w:val="double" w:sz="4" w:space="0" w:color="auto"/>
            </w:tcBorders>
          </w:tcPr>
          <w:p w:rsidR="00576F40" w:rsidRPr="00105D3A" w:rsidRDefault="00576F40" w:rsidP="00C3745F">
            <w:pPr>
              <w:adjustRightInd w:val="0"/>
              <w:jc w:val="center"/>
              <w:rPr>
                <w:color w:val="000000"/>
                <w:sz w:val="16"/>
                <w:szCs w:val="16"/>
              </w:rPr>
            </w:pPr>
            <w:r w:rsidRPr="00105D3A">
              <w:rPr>
                <w:color w:val="000000"/>
                <w:sz w:val="16"/>
                <w:szCs w:val="16"/>
              </w:rPr>
              <w:t xml:space="preserve">3297 </w:t>
            </w:r>
            <w:r w:rsidRPr="00105D3A">
              <w:rPr>
                <w:rFonts w:ascii="Symbol" w:hAnsi="Symbol" w:cs="Symbol"/>
                <w:color w:val="000000"/>
                <w:sz w:val="16"/>
                <w:szCs w:val="16"/>
              </w:rPr>
              <w:t></w:t>
            </w:r>
            <w:r w:rsidRPr="00105D3A">
              <w:rPr>
                <w:rFonts w:ascii="Symbol" w:hAnsi="Symbol" w:cs="Symbol"/>
                <w:color w:val="000000"/>
                <w:sz w:val="16"/>
                <w:szCs w:val="16"/>
              </w:rPr>
              <w:t></w:t>
            </w:r>
            <w:r w:rsidRPr="00105D3A">
              <w:rPr>
                <w:color w:val="000000"/>
                <w:sz w:val="16"/>
                <w:szCs w:val="16"/>
              </w:rPr>
              <w:t xml:space="preserve"> 58 (62)</w:t>
            </w:r>
          </w:p>
        </w:tc>
        <w:tc>
          <w:tcPr>
            <w:tcW w:w="1080" w:type="dxa"/>
          </w:tcPr>
          <w:p w:rsidR="00576F40" w:rsidRPr="00105D3A" w:rsidRDefault="00576F40" w:rsidP="00C3745F">
            <w:pPr>
              <w:adjustRightInd w:val="0"/>
              <w:jc w:val="center"/>
              <w:rPr>
                <w:color w:val="000000"/>
                <w:sz w:val="16"/>
                <w:szCs w:val="16"/>
              </w:rPr>
            </w:pPr>
            <w:r w:rsidRPr="00105D3A">
              <w:rPr>
                <w:color w:val="000000"/>
                <w:sz w:val="16"/>
                <w:szCs w:val="16"/>
              </w:rPr>
              <w:t xml:space="preserve">3311 </w:t>
            </w:r>
            <w:r w:rsidRPr="00105D3A">
              <w:rPr>
                <w:rFonts w:ascii="Symbol" w:hAnsi="Symbol" w:cs="Symbol"/>
                <w:color w:val="000000"/>
                <w:sz w:val="16"/>
                <w:szCs w:val="16"/>
              </w:rPr>
              <w:t></w:t>
            </w:r>
            <w:r w:rsidRPr="00105D3A">
              <w:rPr>
                <w:rFonts w:ascii="Symbol" w:hAnsi="Symbol" w:cs="Symbol"/>
                <w:color w:val="000000"/>
                <w:sz w:val="16"/>
                <w:szCs w:val="16"/>
              </w:rPr>
              <w:t></w:t>
            </w:r>
            <w:r w:rsidRPr="00105D3A">
              <w:rPr>
                <w:color w:val="000000"/>
                <w:sz w:val="16"/>
                <w:szCs w:val="16"/>
              </w:rPr>
              <w:t xml:space="preserve"> 50 (64)</w:t>
            </w:r>
          </w:p>
        </w:tc>
        <w:tc>
          <w:tcPr>
            <w:tcW w:w="990" w:type="dxa"/>
            <w:tcBorders>
              <w:right w:val="double" w:sz="4" w:space="0" w:color="auto"/>
            </w:tcBorders>
          </w:tcPr>
          <w:p w:rsidR="00576F40" w:rsidRPr="00105D3A" w:rsidRDefault="00576F40" w:rsidP="00C3745F">
            <w:pPr>
              <w:adjustRightInd w:val="0"/>
              <w:jc w:val="center"/>
              <w:rPr>
                <w:color w:val="000000"/>
                <w:sz w:val="16"/>
                <w:szCs w:val="16"/>
              </w:rPr>
            </w:pPr>
            <w:r w:rsidRPr="00105D3A">
              <w:rPr>
                <w:color w:val="000000"/>
                <w:sz w:val="16"/>
                <w:szCs w:val="16"/>
              </w:rPr>
              <w:t xml:space="preserve">3150 </w:t>
            </w:r>
            <w:r w:rsidRPr="00105D3A">
              <w:rPr>
                <w:rFonts w:ascii="Symbol" w:hAnsi="Symbol" w:cs="Symbol"/>
                <w:color w:val="000000"/>
                <w:sz w:val="16"/>
                <w:szCs w:val="16"/>
              </w:rPr>
              <w:t></w:t>
            </w:r>
            <w:r w:rsidRPr="00105D3A">
              <w:rPr>
                <w:rFonts w:ascii="Symbol" w:hAnsi="Symbol" w:cs="Symbol"/>
                <w:color w:val="000000"/>
                <w:sz w:val="16"/>
                <w:szCs w:val="16"/>
              </w:rPr>
              <w:t></w:t>
            </w:r>
            <w:r w:rsidRPr="00105D3A">
              <w:rPr>
                <w:color w:val="000000"/>
                <w:sz w:val="16"/>
                <w:szCs w:val="16"/>
              </w:rPr>
              <w:t xml:space="preserve"> 48 (62)</w:t>
            </w:r>
          </w:p>
        </w:tc>
        <w:tc>
          <w:tcPr>
            <w:tcW w:w="1080" w:type="dxa"/>
            <w:tcBorders>
              <w:left w:val="double" w:sz="4" w:space="0" w:color="auto"/>
            </w:tcBorders>
          </w:tcPr>
          <w:p w:rsidR="00576F40" w:rsidRDefault="00576F40" w:rsidP="00C3745F">
            <w:pPr>
              <w:autoSpaceDE w:val="0"/>
              <w:autoSpaceDN w:val="0"/>
              <w:adjustRightInd w:val="0"/>
              <w:jc w:val="center"/>
              <w:rPr>
                <w:sz w:val="16"/>
                <w:szCs w:val="16"/>
              </w:rPr>
            </w:pPr>
            <w:r w:rsidRPr="00105D3A">
              <w:rPr>
                <w:sz w:val="16"/>
                <w:szCs w:val="16"/>
              </w:rPr>
              <w:t>10,914 ± 120</w:t>
            </w:r>
          </w:p>
          <w:p w:rsidR="0050636C" w:rsidRPr="00105D3A" w:rsidRDefault="0050636C" w:rsidP="00C3745F">
            <w:pPr>
              <w:autoSpaceDE w:val="0"/>
              <w:autoSpaceDN w:val="0"/>
              <w:adjustRightInd w:val="0"/>
              <w:jc w:val="center"/>
              <w:rPr>
                <w:sz w:val="16"/>
                <w:szCs w:val="16"/>
              </w:rPr>
            </w:pPr>
            <w:r>
              <w:rPr>
                <w:sz w:val="16"/>
                <w:szCs w:val="16"/>
              </w:rPr>
              <w:t>(144)</w:t>
            </w:r>
          </w:p>
        </w:tc>
        <w:tc>
          <w:tcPr>
            <w:tcW w:w="1260" w:type="dxa"/>
            <w:tcBorders>
              <w:right w:val="double" w:sz="4" w:space="0" w:color="auto"/>
            </w:tcBorders>
          </w:tcPr>
          <w:p w:rsidR="00576F40" w:rsidRDefault="00576F40" w:rsidP="00C3745F">
            <w:pPr>
              <w:jc w:val="center"/>
              <w:rPr>
                <w:sz w:val="16"/>
                <w:szCs w:val="16"/>
              </w:rPr>
            </w:pPr>
            <w:r w:rsidRPr="00105D3A">
              <w:rPr>
                <w:sz w:val="16"/>
                <w:szCs w:val="16"/>
              </w:rPr>
              <w:t>10,936 ± 134</w:t>
            </w:r>
          </w:p>
          <w:p w:rsidR="0050636C" w:rsidRPr="00105D3A" w:rsidRDefault="0050636C" w:rsidP="00C3745F">
            <w:pPr>
              <w:jc w:val="center"/>
              <w:rPr>
                <w:sz w:val="16"/>
                <w:szCs w:val="16"/>
              </w:rPr>
            </w:pPr>
            <w:r>
              <w:rPr>
                <w:sz w:val="16"/>
                <w:szCs w:val="16"/>
              </w:rPr>
              <w:t>(139)</w:t>
            </w:r>
          </w:p>
        </w:tc>
      </w:tr>
      <w:tr w:rsidR="00E85035" w:rsidRPr="00105D3A" w:rsidTr="00492B39">
        <w:tc>
          <w:tcPr>
            <w:tcW w:w="1427" w:type="dxa"/>
            <w:tcBorders>
              <w:top w:val="nil"/>
              <w:left w:val="double" w:sz="4" w:space="0" w:color="auto"/>
              <w:bottom w:val="double" w:sz="4" w:space="0" w:color="auto"/>
              <w:right w:val="double" w:sz="4" w:space="0" w:color="auto"/>
            </w:tcBorders>
            <w:vAlign w:val="center"/>
          </w:tcPr>
          <w:p w:rsidR="00576F40" w:rsidRPr="00E85035" w:rsidRDefault="00576F40" w:rsidP="00C3745F">
            <w:pPr>
              <w:rPr>
                <w:rFonts w:ascii="Calibri" w:eastAsia="Calibri" w:hAnsi="Calibri" w:cs="Times New Roman"/>
                <w:b/>
                <w:sz w:val="16"/>
                <w:szCs w:val="16"/>
              </w:rPr>
            </w:pPr>
            <w:r w:rsidRPr="00E85035">
              <w:rPr>
                <w:rFonts w:ascii="Calibri" w:eastAsia="Calibri" w:hAnsi="Calibri" w:cs="Times New Roman"/>
                <w:b/>
                <w:sz w:val="16"/>
                <w:szCs w:val="16"/>
              </w:rPr>
              <w:t>Weight gain (g/d)</w:t>
            </w:r>
            <w:r w:rsidRPr="00E85035">
              <w:rPr>
                <w:rFonts w:ascii="Calibri" w:eastAsia="Calibri" w:hAnsi="Calibri" w:cs="Times New Roman"/>
                <w:b/>
                <w:sz w:val="16"/>
                <w:szCs w:val="16"/>
                <w:vertAlign w:val="superscript"/>
              </w:rPr>
              <w:t xml:space="preserve"> </w:t>
            </w:r>
          </w:p>
        </w:tc>
        <w:tc>
          <w:tcPr>
            <w:tcW w:w="1111" w:type="dxa"/>
            <w:tcBorders>
              <w:left w:val="double" w:sz="4" w:space="0" w:color="auto"/>
              <w:bottom w:val="double" w:sz="4" w:space="0" w:color="auto"/>
            </w:tcBorders>
          </w:tcPr>
          <w:p w:rsidR="00576F40" w:rsidRPr="00105D3A" w:rsidRDefault="00576F40" w:rsidP="00FF049E">
            <w:pPr>
              <w:jc w:val="center"/>
              <w:rPr>
                <w:rFonts w:ascii="Calibri" w:eastAsia="Calibri" w:hAnsi="Calibri" w:cs="Times New Roman"/>
                <w:sz w:val="16"/>
                <w:szCs w:val="16"/>
              </w:rPr>
            </w:pPr>
            <w:r w:rsidRPr="00105D3A">
              <w:rPr>
                <w:rFonts w:ascii="Calibri" w:eastAsia="Calibri" w:hAnsi="Calibri" w:cs="Times New Roman"/>
                <w:sz w:val="16"/>
                <w:szCs w:val="16"/>
              </w:rPr>
              <w:t>28.2 ± 4.0</w:t>
            </w:r>
          </w:p>
          <w:p w:rsidR="00576F40" w:rsidRPr="00105D3A" w:rsidRDefault="00576F40" w:rsidP="00FF049E">
            <w:pPr>
              <w:jc w:val="center"/>
              <w:rPr>
                <w:rFonts w:ascii="Calibri" w:eastAsia="Calibri" w:hAnsi="Calibri" w:cs="Times New Roman"/>
                <w:sz w:val="16"/>
                <w:szCs w:val="16"/>
              </w:rPr>
            </w:pPr>
            <w:r w:rsidRPr="00105D3A">
              <w:rPr>
                <w:rFonts w:ascii="Calibri" w:eastAsia="Calibri" w:hAnsi="Calibri" w:cs="Times New Roman"/>
                <w:sz w:val="16"/>
                <w:szCs w:val="16"/>
              </w:rPr>
              <w:t>(21)</w:t>
            </w:r>
          </w:p>
        </w:tc>
        <w:tc>
          <w:tcPr>
            <w:tcW w:w="1080" w:type="dxa"/>
            <w:tcBorders>
              <w:bottom w:val="double" w:sz="4" w:space="0" w:color="auto"/>
            </w:tcBorders>
          </w:tcPr>
          <w:p w:rsidR="00576F40" w:rsidRPr="00105D3A" w:rsidRDefault="00576F40" w:rsidP="00FF049E">
            <w:pPr>
              <w:jc w:val="center"/>
              <w:rPr>
                <w:rFonts w:ascii="Calibri" w:eastAsia="Calibri" w:hAnsi="Calibri" w:cs="Times New Roman"/>
                <w:sz w:val="16"/>
                <w:szCs w:val="16"/>
              </w:rPr>
            </w:pPr>
            <w:r w:rsidRPr="00105D3A">
              <w:rPr>
                <w:rFonts w:ascii="Calibri" w:eastAsia="Calibri" w:hAnsi="Calibri" w:cs="Times New Roman"/>
                <w:sz w:val="16"/>
                <w:szCs w:val="16"/>
              </w:rPr>
              <w:t>29.2 ± 2.3 (18)</w:t>
            </w:r>
          </w:p>
        </w:tc>
        <w:tc>
          <w:tcPr>
            <w:tcW w:w="972" w:type="dxa"/>
            <w:tcBorders>
              <w:bottom w:val="double" w:sz="4" w:space="0" w:color="auto"/>
              <w:right w:val="double" w:sz="4" w:space="0" w:color="auto"/>
            </w:tcBorders>
            <w:vAlign w:val="center"/>
          </w:tcPr>
          <w:p w:rsidR="00576F40" w:rsidRPr="00105D3A" w:rsidRDefault="00576F40" w:rsidP="00C3745F">
            <w:pPr>
              <w:jc w:val="center"/>
              <w:rPr>
                <w:rFonts w:ascii="Calibri" w:eastAsia="Calibri" w:hAnsi="Calibri" w:cs="Times New Roman"/>
                <w:sz w:val="16"/>
                <w:szCs w:val="16"/>
              </w:rPr>
            </w:pPr>
            <w:r w:rsidRPr="00105D3A">
              <w:rPr>
                <w:rFonts w:ascii="Calibri" w:eastAsia="Calibri" w:hAnsi="Calibri" w:cs="Times New Roman"/>
                <w:sz w:val="16"/>
                <w:szCs w:val="16"/>
              </w:rPr>
              <w:t>25.4 ± 2.0 (18)</w:t>
            </w:r>
          </w:p>
        </w:tc>
        <w:tc>
          <w:tcPr>
            <w:tcW w:w="900" w:type="dxa"/>
            <w:tcBorders>
              <w:left w:val="double" w:sz="4" w:space="0" w:color="auto"/>
              <w:bottom w:val="double" w:sz="4" w:space="0" w:color="auto"/>
            </w:tcBorders>
            <w:vAlign w:val="center"/>
          </w:tcPr>
          <w:p w:rsidR="00576F40" w:rsidRPr="00105D3A" w:rsidRDefault="00576F40" w:rsidP="00C3745F">
            <w:pPr>
              <w:jc w:val="center"/>
              <w:rPr>
                <w:rFonts w:ascii="Calibri" w:eastAsia="Calibri" w:hAnsi="Calibri" w:cs="Times New Roman"/>
                <w:sz w:val="16"/>
                <w:szCs w:val="16"/>
              </w:rPr>
            </w:pPr>
            <w:r w:rsidRPr="00105D3A">
              <w:rPr>
                <w:rFonts w:ascii="Calibri" w:eastAsia="Calibri" w:hAnsi="Calibri" w:cs="Times New Roman"/>
                <w:sz w:val="16"/>
                <w:szCs w:val="16"/>
              </w:rPr>
              <w:t>24.6 ± 1.0 (33)</w:t>
            </w:r>
          </w:p>
        </w:tc>
        <w:tc>
          <w:tcPr>
            <w:tcW w:w="990" w:type="dxa"/>
            <w:tcBorders>
              <w:bottom w:val="double" w:sz="4" w:space="0" w:color="auto"/>
            </w:tcBorders>
            <w:vAlign w:val="center"/>
          </w:tcPr>
          <w:p w:rsidR="00576F40" w:rsidRPr="00105D3A" w:rsidRDefault="00576F40" w:rsidP="00C3745F">
            <w:pPr>
              <w:jc w:val="center"/>
              <w:rPr>
                <w:rFonts w:ascii="Calibri" w:eastAsia="Calibri" w:hAnsi="Calibri" w:cs="Times New Roman"/>
                <w:sz w:val="16"/>
                <w:szCs w:val="16"/>
              </w:rPr>
            </w:pPr>
            <w:r w:rsidRPr="00105D3A">
              <w:rPr>
                <w:rFonts w:ascii="Calibri" w:eastAsia="Calibri" w:hAnsi="Calibri" w:cs="Times New Roman"/>
                <w:sz w:val="16"/>
                <w:szCs w:val="16"/>
              </w:rPr>
              <w:t>23.1 ± 1.0 (36)</w:t>
            </w:r>
          </w:p>
        </w:tc>
        <w:tc>
          <w:tcPr>
            <w:tcW w:w="990" w:type="dxa"/>
            <w:tcBorders>
              <w:bottom w:val="double" w:sz="4" w:space="0" w:color="auto"/>
              <w:right w:val="double" w:sz="4" w:space="0" w:color="auto"/>
            </w:tcBorders>
            <w:vAlign w:val="center"/>
          </w:tcPr>
          <w:p w:rsidR="00576F40" w:rsidRPr="00105D3A" w:rsidRDefault="00576F40" w:rsidP="00C3745F">
            <w:pPr>
              <w:jc w:val="center"/>
              <w:rPr>
                <w:rFonts w:ascii="Calibri" w:eastAsia="Calibri" w:hAnsi="Calibri" w:cs="Times New Roman"/>
                <w:sz w:val="16"/>
                <w:szCs w:val="16"/>
              </w:rPr>
            </w:pPr>
            <w:r w:rsidRPr="00105D3A">
              <w:rPr>
                <w:rFonts w:ascii="Calibri" w:eastAsia="Calibri" w:hAnsi="Calibri" w:cs="Times New Roman"/>
                <w:sz w:val="16"/>
                <w:szCs w:val="16"/>
              </w:rPr>
              <w:t>20.8 ± 2.0 (23)</w:t>
            </w:r>
          </w:p>
        </w:tc>
        <w:tc>
          <w:tcPr>
            <w:tcW w:w="900" w:type="dxa"/>
            <w:tcBorders>
              <w:left w:val="double" w:sz="4" w:space="0" w:color="auto"/>
              <w:bottom w:val="double" w:sz="4" w:space="0" w:color="auto"/>
            </w:tcBorders>
          </w:tcPr>
          <w:p w:rsidR="00576F40" w:rsidRDefault="00576F40" w:rsidP="003C2675">
            <w:pPr>
              <w:pStyle w:val="Default"/>
              <w:jc w:val="center"/>
              <w:rPr>
                <w:rFonts w:asciiTheme="minorHAnsi" w:hAnsiTheme="minorHAnsi"/>
                <w:sz w:val="16"/>
                <w:szCs w:val="16"/>
              </w:rPr>
            </w:pPr>
            <w:r w:rsidRPr="00576F40">
              <w:rPr>
                <w:rFonts w:asciiTheme="minorHAnsi" w:hAnsiTheme="minorHAnsi"/>
                <w:sz w:val="16"/>
                <w:szCs w:val="16"/>
              </w:rPr>
              <w:t>39.5 ± 2.3</w:t>
            </w:r>
          </w:p>
          <w:p w:rsidR="003C2675" w:rsidRPr="00576F40" w:rsidRDefault="003C2675" w:rsidP="003C2675">
            <w:pPr>
              <w:pStyle w:val="Default"/>
              <w:jc w:val="center"/>
              <w:rPr>
                <w:rFonts w:asciiTheme="minorHAnsi" w:hAnsiTheme="minorHAnsi"/>
                <w:sz w:val="16"/>
                <w:szCs w:val="16"/>
              </w:rPr>
            </w:pPr>
            <w:r>
              <w:rPr>
                <w:rFonts w:asciiTheme="minorHAnsi" w:hAnsiTheme="minorHAnsi"/>
                <w:sz w:val="16"/>
                <w:szCs w:val="16"/>
              </w:rPr>
              <w:t>(20)</w:t>
            </w:r>
          </w:p>
        </w:tc>
        <w:tc>
          <w:tcPr>
            <w:tcW w:w="900" w:type="dxa"/>
            <w:tcBorders>
              <w:bottom w:val="double" w:sz="4" w:space="0" w:color="auto"/>
            </w:tcBorders>
          </w:tcPr>
          <w:p w:rsidR="00576F40" w:rsidRDefault="00576F40" w:rsidP="003C2675">
            <w:pPr>
              <w:pStyle w:val="Default"/>
              <w:jc w:val="center"/>
              <w:rPr>
                <w:rFonts w:asciiTheme="minorHAnsi" w:hAnsiTheme="minorHAnsi"/>
                <w:sz w:val="16"/>
                <w:szCs w:val="16"/>
              </w:rPr>
            </w:pPr>
            <w:r w:rsidRPr="00576F40">
              <w:rPr>
                <w:rFonts w:asciiTheme="minorHAnsi" w:hAnsiTheme="minorHAnsi"/>
                <w:sz w:val="16"/>
                <w:szCs w:val="16"/>
              </w:rPr>
              <w:t>36.2 ± 2.5</w:t>
            </w:r>
          </w:p>
          <w:p w:rsidR="003C2675" w:rsidRPr="00576F40" w:rsidRDefault="003C2675" w:rsidP="003C2675">
            <w:pPr>
              <w:pStyle w:val="Default"/>
              <w:jc w:val="center"/>
              <w:rPr>
                <w:rFonts w:asciiTheme="minorHAnsi" w:hAnsiTheme="minorHAnsi"/>
                <w:sz w:val="16"/>
                <w:szCs w:val="16"/>
              </w:rPr>
            </w:pPr>
            <w:r>
              <w:rPr>
                <w:rFonts w:asciiTheme="minorHAnsi" w:hAnsiTheme="minorHAnsi"/>
                <w:sz w:val="16"/>
                <w:szCs w:val="16"/>
              </w:rPr>
              <w:t>(21)</w:t>
            </w:r>
          </w:p>
        </w:tc>
        <w:tc>
          <w:tcPr>
            <w:tcW w:w="900" w:type="dxa"/>
            <w:tcBorders>
              <w:bottom w:val="double" w:sz="4" w:space="0" w:color="auto"/>
            </w:tcBorders>
          </w:tcPr>
          <w:p w:rsidR="00576F40" w:rsidRDefault="00576F40" w:rsidP="003C2675">
            <w:pPr>
              <w:pStyle w:val="Default"/>
              <w:jc w:val="center"/>
              <w:rPr>
                <w:rFonts w:asciiTheme="minorHAnsi" w:hAnsiTheme="minorHAnsi"/>
                <w:sz w:val="16"/>
                <w:szCs w:val="16"/>
              </w:rPr>
            </w:pPr>
            <w:r w:rsidRPr="00576F40">
              <w:rPr>
                <w:rFonts w:asciiTheme="minorHAnsi" w:hAnsiTheme="minorHAnsi"/>
                <w:sz w:val="16"/>
                <w:szCs w:val="16"/>
              </w:rPr>
              <w:t>39.0 ± 1.8</w:t>
            </w:r>
          </w:p>
          <w:p w:rsidR="003C2675" w:rsidRPr="00576F40" w:rsidRDefault="003C2675" w:rsidP="003C2675">
            <w:pPr>
              <w:pStyle w:val="Default"/>
              <w:jc w:val="center"/>
              <w:rPr>
                <w:rFonts w:asciiTheme="minorHAnsi" w:hAnsiTheme="minorHAnsi"/>
                <w:sz w:val="16"/>
                <w:szCs w:val="16"/>
              </w:rPr>
            </w:pPr>
            <w:r>
              <w:rPr>
                <w:rFonts w:asciiTheme="minorHAnsi" w:hAnsiTheme="minorHAnsi"/>
                <w:sz w:val="16"/>
                <w:szCs w:val="16"/>
              </w:rPr>
              <w:t>(23)</w:t>
            </w:r>
          </w:p>
        </w:tc>
        <w:tc>
          <w:tcPr>
            <w:tcW w:w="900" w:type="dxa"/>
            <w:tcBorders>
              <w:bottom w:val="double" w:sz="4" w:space="0" w:color="auto"/>
              <w:right w:val="double" w:sz="4" w:space="0" w:color="auto"/>
            </w:tcBorders>
          </w:tcPr>
          <w:p w:rsidR="00576F40" w:rsidRDefault="00576F40" w:rsidP="003C2675">
            <w:pPr>
              <w:pStyle w:val="Default"/>
              <w:jc w:val="center"/>
              <w:rPr>
                <w:rFonts w:asciiTheme="minorHAnsi" w:hAnsiTheme="minorHAnsi"/>
                <w:sz w:val="16"/>
                <w:szCs w:val="16"/>
              </w:rPr>
            </w:pPr>
            <w:r w:rsidRPr="00576F40">
              <w:rPr>
                <w:rFonts w:asciiTheme="minorHAnsi" w:hAnsiTheme="minorHAnsi"/>
                <w:sz w:val="16"/>
                <w:szCs w:val="16"/>
              </w:rPr>
              <w:t>36.3 ± 3.0</w:t>
            </w:r>
          </w:p>
          <w:p w:rsidR="003C2675" w:rsidRPr="00576F40" w:rsidRDefault="003C2675" w:rsidP="003C2675">
            <w:pPr>
              <w:pStyle w:val="Default"/>
              <w:jc w:val="center"/>
              <w:rPr>
                <w:rFonts w:asciiTheme="minorHAnsi" w:hAnsiTheme="minorHAnsi"/>
                <w:sz w:val="16"/>
                <w:szCs w:val="16"/>
              </w:rPr>
            </w:pPr>
            <w:r>
              <w:rPr>
                <w:rFonts w:asciiTheme="minorHAnsi" w:hAnsiTheme="minorHAnsi"/>
                <w:sz w:val="16"/>
                <w:szCs w:val="16"/>
              </w:rPr>
              <w:t>(20)</w:t>
            </w:r>
          </w:p>
        </w:tc>
        <w:tc>
          <w:tcPr>
            <w:tcW w:w="990" w:type="dxa"/>
            <w:tcBorders>
              <w:left w:val="double" w:sz="4" w:space="0" w:color="auto"/>
              <w:bottom w:val="double" w:sz="4" w:space="0" w:color="auto"/>
            </w:tcBorders>
          </w:tcPr>
          <w:p w:rsidR="00576F40" w:rsidRPr="00105D3A" w:rsidRDefault="00576F40" w:rsidP="00C3745F">
            <w:pPr>
              <w:adjustRightInd w:val="0"/>
              <w:jc w:val="center"/>
              <w:rPr>
                <w:color w:val="000000"/>
                <w:sz w:val="16"/>
                <w:szCs w:val="16"/>
              </w:rPr>
            </w:pPr>
            <w:r w:rsidRPr="00105D3A">
              <w:rPr>
                <w:color w:val="000000"/>
                <w:sz w:val="16"/>
                <w:szCs w:val="16"/>
              </w:rPr>
              <w:t xml:space="preserve">35.1 </w:t>
            </w:r>
            <w:r w:rsidRPr="00105D3A">
              <w:rPr>
                <w:rFonts w:ascii="Symbol" w:hAnsi="Symbol" w:cs="Symbol"/>
                <w:color w:val="000000"/>
                <w:sz w:val="16"/>
                <w:szCs w:val="16"/>
              </w:rPr>
              <w:t></w:t>
            </w:r>
            <w:r w:rsidRPr="00105D3A">
              <w:rPr>
                <w:rFonts w:ascii="Symbol" w:hAnsi="Symbol" w:cs="Symbol"/>
                <w:color w:val="000000"/>
                <w:sz w:val="16"/>
                <w:szCs w:val="16"/>
              </w:rPr>
              <w:t></w:t>
            </w:r>
            <w:r w:rsidRPr="00105D3A">
              <w:rPr>
                <w:color w:val="000000"/>
                <w:sz w:val="16"/>
                <w:szCs w:val="16"/>
              </w:rPr>
              <w:t xml:space="preserve"> 1.6 (50)</w:t>
            </w:r>
          </w:p>
        </w:tc>
        <w:tc>
          <w:tcPr>
            <w:tcW w:w="1080" w:type="dxa"/>
            <w:tcBorders>
              <w:bottom w:val="double" w:sz="4" w:space="0" w:color="auto"/>
            </w:tcBorders>
          </w:tcPr>
          <w:p w:rsidR="00576F40" w:rsidRPr="00105D3A" w:rsidRDefault="00576F40" w:rsidP="00C3745F">
            <w:pPr>
              <w:adjustRightInd w:val="0"/>
              <w:jc w:val="center"/>
              <w:rPr>
                <w:color w:val="000000"/>
                <w:sz w:val="16"/>
                <w:szCs w:val="16"/>
              </w:rPr>
            </w:pPr>
            <w:r w:rsidRPr="00105D3A">
              <w:rPr>
                <w:color w:val="000000"/>
                <w:sz w:val="16"/>
                <w:szCs w:val="16"/>
              </w:rPr>
              <w:t xml:space="preserve">34.7 </w:t>
            </w:r>
            <w:r w:rsidRPr="00105D3A">
              <w:rPr>
                <w:rFonts w:ascii="Symbol" w:hAnsi="Symbol" w:cs="Symbol"/>
                <w:color w:val="000000"/>
                <w:sz w:val="16"/>
                <w:szCs w:val="16"/>
              </w:rPr>
              <w:t></w:t>
            </w:r>
            <w:r w:rsidRPr="00105D3A">
              <w:rPr>
                <w:rFonts w:ascii="Symbol" w:hAnsi="Symbol" w:cs="Symbol"/>
                <w:color w:val="000000"/>
                <w:sz w:val="16"/>
                <w:szCs w:val="16"/>
              </w:rPr>
              <w:t></w:t>
            </w:r>
            <w:r w:rsidRPr="00105D3A">
              <w:rPr>
                <w:color w:val="000000"/>
                <w:sz w:val="16"/>
                <w:szCs w:val="16"/>
              </w:rPr>
              <w:t xml:space="preserve"> 1.4 (54)</w:t>
            </w:r>
          </w:p>
        </w:tc>
        <w:tc>
          <w:tcPr>
            <w:tcW w:w="990" w:type="dxa"/>
            <w:tcBorders>
              <w:bottom w:val="double" w:sz="4" w:space="0" w:color="auto"/>
              <w:right w:val="double" w:sz="4" w:space="0" w:color="auto"/>
            </w:tcBorders>
          </w:tcPr>
          <w:p w:rsidR="00576F40" w:rsidRPr="00105D3A" w:rsidRDefault="00576F40" w:rsidP="00C3745F">
            <w:pPr>
              <w:adjustRightInd w:val="0"/>
              <w:jc w:val="center"/>
              <w:rPr>
                <w:color w:val="000000"/>
                <w:sz w:val="16"/>
                <w:szCs w:val="16"/>
              </w:rPr>
            </w:pPr>
            <w:r w:rsidRPr="00105D3A">
              <w:rPr>
                <w:color w:val="000000"/>
                <w:sz w:val="16"/>
                <w:szCs w:val="16"/>
              </w:rPr>
              <w:t xml:space="preserve">35.6 </w:t>
            </w:r>
            <w:r w:rsidRPr="00105D3A">
              <w:rPr>
                <w:rFonts w:ascii="Symbol" w:hAnsi="Symbol" w:cs="Symbol"/>
                <w:color w:val="000000"/>
                <w:sz w:val="16"/>
                <w:szCs w:val="16"/>
              </w:rPr>
              <w:t></w:t>
            </w:r>
            <w:r w:rsidRPr="00105D3A">
              <w:rPr>
                <w:rFonts w:ascii="Symbol" w:hAnsi="Symbol" w:cs="Symbol"/>
                <w:color w:val="000000"/>
                <w:sz w:val="16"/>
                <w:szCs w:val="16"/>
              </w:rPr>
              <w:t></w:t>
            </w:r>
            <w:r w:rsidRPr="00105D3A">
              <w:rPr>
                <w:color w:val="000000"/>
                <w:sz w:val="16"/>
                <w:szCs w:val="16"/>
              </w:rPr>
              <w:t xml:space="preserve"> 1.4 (54)</w:t>
            </w:r>
          </w:p>
        </w:tc>
        <w:tc>
          <w:tcPr>
            <w:tcW w:w="1080" w:type="dxa"/>
            <w:tcBorders>
              <w:left w:val="double" w:sz="4" w:space="0" w:color="auto"/>
              <w:bottom w:val="double" w:sz="4" w:space="0" w:color="auto"/>
            </w:tcBorders>
          </w:tcPr>
          <w:p w:rsidR="00576F40" w:rsidRDefault="00576F40" w:rsidP="00C3745F">
            <w:pPr>
              <w:jc w:val="center"/>
              <w:rPr>
                <w:sz w:val="16"/>
                <w:szCs w:val="16"/>
              </w:rPr>
            </w:pPr>
            <w:r w:rsidRPr="00105D3A">
              <w:rPr>
                <w:sz w:val="16"/>
                <w:szCs w:val="16"/>
              </w:rPr>
              <w:t>5.7 ± 0.6</w:t>
            </w:r>
          </w:p>
          <w:p w:rsidR="003C2675" w:rsidRPr="00105D3A" w:rsidRDefault="003C2675" w:rsidP="00C3745F">
            <w:pPr>
              <w:jc w:val="center"/>
              <w:rPr>
                <w:sz w:val="16"/>
                <w:szCs w:val="16"/>
              </w:rPr>
            </w:pPr>
            <w:r>
              <w:rPr>
                <w:sz w:val="16"/>
                <w:szCs w:val="16"/>
              </w:rPr>
              <w:t>(124)</w:t>
            </w:r>
          </w:p>
        </w:tc>
        <w:tc>
          <w:tcPr>
            <w:tcW w:w="1260" w:type="dxa"/>
            <w:tcBorders>
              <w:bottom w:val="double" w:sz="4" w:space="0" w:color="auto"/>
              <w:right w:val="double" w:sz="4" w:space="0" w:color="auto"/>
            </w:tcBorders>
          </w:tcPr>
          <w:p w:rsidR="00576F40" w:rsidRDefault="00576F40" w:rsidP="00C3745F">
            <w:pPr>
              <w:jc w:val="center"/>
              <w:rPr>
                <w:sz w:val="16"/>
                <w:szCs w:val="16"/>
              </w:rPr>
            </w:pPr>
            <w:r w:rsidRPr="00105D3A">
              <w:rPr>
                <w:sz w:val="16"/>
                <w:szCs w:val="16"/>
              </w:rPr>
              <w:t>6.4 ± 0.6</w:t>
            </w:r>
          </w:p>
          <w:p w:rsidR="003C2675" w:rsidRPr="00105D3A" w:rsidRDefault="003C2675" w:rsidP="00C3745F">
            <w:pPr>
              <w:jc w:val="center"/>
              <w:rPr>
                <w:sz w:val="16"/>
                <w:szCs w:val="16"/>
              </w:rPr>
            </w:pPr>
            <w:r>
              <w:rPr>
                <w:sz w:val="16"/>
                <w:szCs w:val="16"/>
              </w:rPr>
              <w:t>(118)</w:t>
            </w:r>
          </w:p>
        </w:tc>
      </w:tr>
    </w:tbl>
    <w:p w:rsidR="000128D7" w:rsidRPr="000128D7" w:rsidRDefault="0023476B" w:rsidP="00BE4AF5">
      <w:pPr>
        <w:rPr>
          <w:rFonts w:ascii="Calibri" w:eastAsia="Calibri" w:hAnsi="Calibri" w:cs="Times New Roman"/>
          <w:sz w:val="16"/>
        </w:rPr>
      </w:pPr>
      <w:r>
        <w:rPr>
          <w:rFonts w:ascii="Calibri" w:eastAsia="Calibri" w:hAnsi="Calibri" w:cs="Times New Roman"/>
          <w:sz w:val="16"/>
        </w:rPr>
        <w:t>All values are mean ± SEM (n)</w:t>
      </w:r>
      <w:r>
        <w:rPr>
          <w:sz w:val="16"/>
        </w:rPr>
        <w:t xml:space="preserve">. </w:t>
      </w:r>
      <w:r w:rsidR="00BE4AF5">
        <w:rPr>
          <w:rFonts w:ascii="Calibri" w:eastAsia="Calibri" w:hAnsi="Calibri" w:cs="Times New Roman"/>
          <w:sz w:val="16"/>
        </w:rPr>
        <w:t>Within studies, values with different superscripts are significantly different (p&lt;0.05).</w:t>
      </w:r>
      <w:r w:rsidR="000128D7">
        <w:rPr>
          <w:rFonts w:ascii="Calibri" w:eastAsia="Calibri" w:hAnsi="Calibri" w:cs="Times New Roman"/>
          <w:sz w:val="16"/>
        </w:rPr>
        <w:t xml:space="preserve"> * Product  was sucrose-free.</w:t>
      </w:r>
    </w:p>
    <w:p w:rsidR="006978E7" w:rsidRDefault="006978E7" w:rsidP="00762779">
      <w:pPr>
        <w:autoSpaceDE w:val="0"/>
        <w:autoSpaceDN w:val="0"/>
        <w:adjustRightInd w:val="0"/>
        <w:spacing w:after="0" w:line="240" w:lineRule="auto"/>
        <w:rPr>
          <w:rFonts w:ascii="Calibri" w:hAnsi="Calibri" w:cs="Calibri"/>
          <w:sz w:val="24"/>
          <w:szCs w:val="24"/>
        </w:rPr>
      </w:pPr>
    </w:p>
    <w:sectPr w:rsidR="006978E7" w:rsidSect="007451C3">
      <w:pgSz w:w="20160" w:h="12240" w:orient="landscape" w:code="5"/>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745F" w:rsidRDefault="00C3745F" w:rsidP="005860D1">
      <w:pPr>
        <w:spacing w:after="0" w:line="240" w:lineRule="auto"/>
      </w:pPr>
      <w:r>
        <w:separator/>
      </w:r>
    </w:p>
  </w:endnote>
  <w:endnote w:type="continuationSeparator" w:id="0">
    <w:p w:rsidR="00C3745F" w:rsidRDefault="00C3745F" w:rsidP="005860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 w:name="ＭＳ 明朝">
    <w:charset w:val="4E"/>
    <w:family w:val="auto"/>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14142"/>
      <w:docPartObj>
        <w:docPartGallery w:val="Page Numbers (Bottom of Page)"/>
        <w:docPartUnique/>
      </w:docPartObj>
    </w:sdtPr>
    <w:sdtContent>
      <w:p w:rsidR="00C3745F" w:rsidRDefault="00C3745F" w:rsidP="008349C2">
        <w:pPr>
          <w:pStyle w:val="Footer"/>
          <w:jc w:val="center"/>
        </w:pPr>
        <w:r w:rsidRPr="00B41568">
          <w:rPr>
            <w:rFonts w:ascii="Times New Roman" w:hAnsi="Times New Roman" w:cs="Times New Roman"/>
          </w:rPr>
          <w:t>19July2011</w:t>
        </w:r>
        <w:r>
          <w:rPr>
            <w:rFonts w:ascii="Times New Roman" w:hAnsi="Times New Roman" w:cs="Times New Roman"/>
          </w:rPr>
          <w:tab/>
        </w:r>
        <w:r>
          <w:rPr>
            <w:rFonts w:ascii="Times New Roman" w:hAnsi="Times New Roman" w:cs="Times New Roman"/>
          </w:rPr>
          <w:tab/>
        </w:r>
        <w:r w:rsidR="00F559A3">
          <w:fldChar w:fldCharType="begin"/>
        </w:r>
        <w:r>
          <w:instrText xml:space="preserve"> PAGE   \* MERGEFORMAT </w:instrText>
        </w:r>
        <w:r w:rsidR="00F559A3">
          <w:fldChar w:fldCharType="separate"/>
        </w:r>
        <w:r w:rsidR="00E450A0">
          <w:rPr>
            <w:noProof/>
          </w:rPr>
          <w:t>5</w:t>
        </w:r>
        <w:r w:rsidR="00F559A3">
          <w:rPr>
            <w:noProof/>
          </w:rPr>
          <w:fldChar w:fldCharType="end"/>
        </w:r>
      </w:p>
    </w:sdtContent>
  </w:sdt>
  <w:p w:rsidR="00C3745F" w:rsidRPr="00B41568" w:rsidRDefault="00C3745F" w:rsidP="00AE1C64">
    <w:pPr>
      <w:pStyle w:val="Footer"/>
      <w:rPr>
        <w:rFonts w:ascii="Times New Roman" w:hAnsi="Times New Roman"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745F" w:rsidRDefault="00C3745F" w:rsidP="005860D1">
      <w:pPr>
        <w:spacing w:after="0" w:line="240" w:lineRule="auto"/>
      </w:pPr>
      <w:r>
        <w:separator/>
      </w:r>
    </w:p>
  </w:footnote>
  <w:footnote w:type="continuationSeparator" w:id="0">
    <w:p w:rsidR="00C3745F" w:rsidRDefault="00C3745F" w:rsidP="005860D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745F" w:rsidRDefault="00C3745F">
    <w:pPr>
      <w:pStyle w:val="Header"/>
      <w:rPr>
        <w:rFonts w:ascii="Times New Roman" w:hAnsi="Times New Roman" w:cs="Times New Roman"/>
      </w:rPr>
    </w:pPr>
    <w:r w:rsidRPr="00B41568">
      <w:rPr>
        <w:rFonts w:ascii="Times New Roman" w:hAnsi="Times New Roman" w:cs="Times New Roman"/>
      </w:rPr>
      <w:t xml:space="preserve">Response to FSANZ letter of 25May2011 </w:t>
    </w:r>
  </w:p>
  <w:p w:rsidR="00AE6591" w:rsidRDefault="00AE6591">
    <w:pPr>
      <w:pStyle w:val="Header"/>
      <w:rPr>
        <w:rFonts w:ascii="Times New Roman" w:hAnsi="Times New Roman" w:cs="Times New Roman"/>
      </w:rPr>
    </w:pPr>
  </w:p>
  <w:p w:rsidR="00AE6591" w:rsidRPr="00AE6591" w:rsidRDefault="00AE6591" w:rsidP="00AE6591">
    <w:pPr>
      <w:pStyle w:val="Header"/>
      <w:jc w:val="center"/>
      <w:rPr>
        <w:rFonts w:ascii="Times New Roman" w:hAnsi="Times New Roman" w:cs="Times New Roman"/>
        <w:b/>
        <w:sz w:val="24"/>
        <w:szCs w:val="24"/>
      </w:rPr>
    </w:pPr>
    <w:r>
      <w:rPr>
        <w:rFonts w:ascii="Times New Roman" w:hAnsi="Times New Roman" w:cs="Times New Roman"/>
        <w:b/>
        <w:sz w:val="24"/>
        <w:szCs w:val="24"/>
      </w:rPr>
      <w:t xml:space="preserve">A1055 </w:t>
    </w:r>
    <w:r w:rsidRPr="00AE6591">
      <w:rPr>
        <w:rFonts w:ascii="Times New Roman" w:hAnsi="Times New Roman" w:cs="Times New Roman"/>
        <w:b/>
        <w:sz w:val="24"/>
        <w:szCs w:val="24"/>
      </w:rPr>
      <w:t>Application to permit the optional addition of short chain fructo-oligosaccharides (scFOS) to Infant Formula Products, Foods for Infants, &amp; Formulated Supplementary Foods for Young Children</w:t>
    </w:r>
  </w:p>
  <w:p w:rsidR="00C3745F" w:rsidRPr="00AE6591" w:rsidRDefault="00C3745F">
    <w:pPr>
      <w:pStyle w:val="Header"/>
      <w:rPr>
        <w:rFonts w:ascii="Times New Roman" w:hAnsi="Times New Roman" w:cs="Times New Roman"/>
        <w:b/>
        <w:sz w:val="24"/>
        <w:szCs w:val="24"/>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7"/>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C016A6"/>
    <w:rsid w:val="00005BB2"/>
    <w:rsid w:val="000128D7"/>
    <w:rsid w:val="00013024"/>
    <w:rsid w:val="0003033B"/>
    <w:rsid w:val="000356C2"/>
    <w:rsid w:val="000648F6"/>
    <w:rsid w:val="00076A2A"/>
    <w:rsid w:val="000A7BA2"/>
    <w:rsid w:val="000D65EA"/>
    <w:rsid w:val="000E45E1"/>
    <w:rsid w:val="00105D3A"/>
    <w:rsid w:val="00106E31"/>
    <w:rsid w:val="00157102"/>
    <w:rsid w:val="00177D0E"/>
    <w:rsid w:val="001A0CF5"/>
    <w:rsid w:val="001A1A1C"/>
    <w:rsid w:val="001F71E4"/>
    <w:rsid w:val="002257F3"/>
    <w:rsid w:val="0023476B"/>
    <w:rsid w:val="00240B6E"/>
    <w:rsid w:val="00264AFA"/>
    <w:rsid w:val="0027336E"/>
    <w:rsid w:val="0027767F"/>
    <w:rsid w:val="00287B1A"/>
    <w:rsid w:val="002B6DC1"/>
    <w:rsid w:val="002C04EB"/>
    <w:rsid w:val="002E4257"/>
    <w:rsid w:val="002E7D99"/>
    <w:rsid w:val="002F5A68"/>
    <w:rsid w:val="002F5B9D"/>
    <w:rsid w:val="003338F7"/>
    <w:rsid w:val="0034052F"/>
    <w:rsid w:val="0035265C"/>
    <w:rsid w:val="00362D60"/>
    <w:rsid w:val="00380BA4"/>
    <w:rsid w:val="00382841"/>
    <w:rsid w:val="003870B3"/>
    <w:rsid w:val="003C2675"/>
    <w:rsid w:val="003C2FAC"/>
    <w:rsid w:val="003C3EBA"/>
    <w:rsid w:val="003C58B7"/>
    <w:rsid w:val="003D1A93"/>
    <w:rsid w:val="00401BC9"/>
    <w:rsid w:val="00411E3F"/>
    <w:rsid w:val="004258EC"/>
    <w:rsid w:val="0046531C"/>
    <w:rsid w:val="00484798"/>
    <w:rsid w:val="0049000F"/>
    <w:rsid w:val="00492B39"/>
    <w:rsid w:val="004A560A"/>
    <w:rsid w:val="004B4390"/>
    <w:rsid w:val="004B54C8"/>
    <w:rsid w:val="004B6BE4"/>
    <w:rsid w:val="00501483"/>
    <w:rsid w:val="0050636C"/>
    <w:rsid w:val="00533D18"/>
    <w:rsid w:val="00541B9B"/>
    <w:rsid w:val="0055532B"/>
    <w:rsid w:val="005669DB"/>
    <w:rsid w:val="00576F40"/>
    <w:rsid w:val="005860D1"/>
    <w:rsid w:val="005C2278"/>
    <w:rsid w:val="005C76CE"/>
    <w:rsid w:val="005F4A1B"/>
    <w:rsid w:val="00601AC3"/>
    <w:rsid w:val="00634030"/>
    <w:rsid w:val="00646A2D"/>
    <w:rsid w:val="00656301"/>
    <w:rsid w:val="00673F9B"/>
    <w:rsid w:val="00683047"/>
    <w:rsid w:val="00696735"/>
    <w:rsid w:val="006978E7"/>
    <w:rsid w:val="006A0207"/>
    <w:rsid w:val="006A4631"/>
    <w:rsid w:val="006E0272"/>
    <w:rsid w:val="006E4688"/>
    <w:rsid w:val="007104D6"/>
    <w:rsid w:val="00711B00"/>
    <w:rsid w:val="00725020"/>
    <w:rsid w:val="007451C3"/>
    <w:rsid w:val="00757410"/>
    <w:rsid w:val="00762779"/>
    <w:rsid w:val="0079366C"/>
    <w:rsid w:val="007B188E"/>
    <w:rsid w:val="007B4167"/>
    <w:rsid w:val="007E48D8"/>
    <w:rsid w:val="007F2BE6"/>
    <w:rsid w:val="008056EC"/>
    <w:rsid w:val="00813F27"/>
    <w:rsid w:val="008213EF"/>
    <w:rsid w:val="0082516D"/>
    <w:rsid w:val="008349C2"/>
    <w:rsid w:val="00846A4A"/>
    <w:rsid w:val="00853BEA"/>
    <w:rsid w:val="00875C73"/>
    <w:rsid w:val="00886E3A"/>
    <w:rsid w:val="00887E19"/>
    <w:rsid w:val="008C7A65"/>
    <w:rsid w:val="009207A2"/>
    <w:rsid w:val="00925106"/>
    <w:rsid w:val="0094424B"/>
    <w:rsid w:val="009472EA"/>
    <w:rsid w:val="0096105D"/>
    <w:rsid w:val="00961529"/>
    <w:rsid w:val="00962F18"/>
    <w:rsid w:val="00963EF6"/>
    <w:rsid w:val="00973C6B"/>
    <w:rsid w:val="009E3E27"/>
    <w:rsid w:val="009F44F5"/>
    <w:rsid w:val="00A144F9"/>
    <w:rsid w:val="00A328C0"/>
    <w:rsid w:val="00A64EC5"/>
    <w:rsid w:val="00A77E4E"/>
    <w:rsid w:val="00AB6D50"/>
    <w:rsid w:val="00AD4089"/>
    <w:rsid w:val="00AE1C64"/>
    <w:rsid w:val="00AE6591"/>
    <w:rsid w:val="00B1266F"/>
    <w:rsid w:val="00B331B2"/>
    <w:rsid w:val="00B36B81"/>
    <w:rsid w:val="00B41568"/>
    <w:rsid w:val="00B43456"/>
    <w:rsid w:val="00BD4F93"/>
    <w:rsid w:val="00BE30EB"/>
    <w:rsid w:val="00BE4AF5"/>
    <w:rsid w:val="00BF7BE3"/>
    <w:rsid w:val="00C016A6"/>
    <w:rsid w:val="00C13F00"/>
    <w:rsid w:val="00C13FB1"/>
    <w:rsid w:val="00C3745F"/>
    <w:rsid w:val="00C41E59"/>
    <w:rsid w:val="00C4417C"/>
    <w:rsid w:val="00C70D4B"/>
    <w:rsid w:val="00C747BB"/>
    <w:rsid w:val="00C83FCB"/>
    <w:rsid w:val="00C85E6F"/>
    <w:rsid w:val="00CD1522"/>
    <w:rsid w:val="00CF063C"/>
    <w:rsid w:val="00D000FD"/>
    <w:rsid w:val="00D22393"/>
    <w:rsid w:val="00D2657F"/>
    <w:rsid w:val="00D360BF"/>
    <w:rsid w:val="00D77F5D"/>
    <w:rsid w:val="00D95E94"/>
    <w:rsid w:val="00DD2805"/>
    <w:rsid w:val="00DE1BD9"/>
    <w:rsid w:val="00E102F1"/>
    <w:rsid w:val="00E14231"/>
    <w:rsid w:val="00E31628"/>
    <w:rsid w:val="00E450A0"/>
    <w:rsid w:val="00E47A25"/>
    <w:rsid w:val="00E51272"/>
    <w:rsid w:val="00E52232"/>
    <w:rsid w:val="00E85035"/>
    <w:rsid w:val="00E903B8"/>
    <w:rsid w:val="00EB3E25"/>
    <w:rsid w:val="00EF02FD"/>
    <w:rsid w:val="00EF14AB"/>
    <w:rsid w:val="00EF6278"/>
    <w:rsid w:val="00EF6B88"/>
    <w:rsid w:val="00F022F4"/>
    <w:rsid w:val="00F03F66"/>
    <w:rsid w:val="00F07A87"/>
    <w:rsid w:val="00F559A3"/>
    <w:rsid w:val="00F82D86"/>
    <w:rsid w:val="00F94718"/>
    <w:rsid w:val="00FB7C58"/>
    <w:rsid w:val="00FD128E"/>
    <w:rsid w:val="00FD3CA6"/>
    <w:rsid w:val="00FF049E"/>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7D99"/>
  </w:style>
  <w:style w:type="paragraph" w:styleId="Heading1">
    <w:name w:val="heading 1"/>
    <w:aliases w:val="section (I)"/>
    <w:basedOn w:val="Normal"/>
    <w:next w:val="Normal"/>
    <w:link w:val="Heading1Char"/>
    <w:qFormat/>
    <w:rsid w:val="00EF02FD"/>
    <w:pPr>
      <w:keepNext/>
      <w:spacing w:after="0" w:line="240" w:lineRule="auto"/>
      <w:outlineLvl w:val="0"/>
    </w:pPr>
    <w:rPr>
      <w:rFonts w:ascii="Times New Roman" w:eastAsia="Times New Roman" w:hAnsi="Times New Roman" w:cs="Times New Roman"/>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5860D1"/>
    <w:pPr>
      <w:tabs>
        <w:tab w:val="center" w:pos="4680"/>
        <w:tab w:val="right" w:pos="9360"/>
      </w:tabs>
      <w:spacing w:after="0" w:line="240" w:lineRule="auto"/>
    </w:pPr>
  </w:style>
  <w:style w:type="character" w:customStyle="1" w:styleId="HeaderChar">
    <w:name w:val="Header Char"/>
    <w:basedOn w:val="DefaultParagraphFont"/>
    <w:link w:val="Header"/>
    <w:rsid w:val="005860D1"/>
  </w:style>
  <w:style w:type="paragraph" w:styleId="Footer">
    <w:name w:val="footer"/>
    <w:basedOn w:val="Normal"/>
    <w:link w:val="FooterChar"/>
    <w:uiPriority w:val="99"/>
    <w:unhideWhenUsed/>
    <w:rsid w:val="005860D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60D1"/>
  </w:style>
  <w:style w:type="paragraph" w:styleId="BalloonText">
    <w:name w:val="Balloon Text"/>
    <w:basedOn w:val="Normal"/>
    <w:link w:val="BalloonTextChar"/>
    <w:uiPriority w:val="99"/>
    <w:semiHidden/>
    <w:unhideWhenUsed/>
    <w:rsid w:val="005860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60D1"/>
    <w:rPr>
      <w:rFonts w:ascii="Tahoma" w:hAnsi="Tahoma" w:cs="Tahoma"/>
      <w:sz w:val="16"/>
      <w:szCs w:val="16"/>
    </w:rPr>
  </w:style>
  <w:style w:type="table" w:styleId="TableGrid">
    <w:name w:val="Table Grid"/>
    <w:basedOn w:val="TableNormal"/>
    <w:uiPriority w:val="59"/>
    <w:rsid w:val="00177D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aliases w:val="section (I) Char"/>
    <w:basedOn w:val="DefaultParagraphFont"/>
    <w:link w:val="Heading1"/>
    <w:rsid w:val="00EF02FD"/>
    <w:rPr>
      <w:rFonts w:ascii="Times New Roman" w:eastAsia="Times New Roman" w:hAnsi="Times New Roman" w:cs="Times New Roman"/>
      <w:sz w:val="24"/>
      <w:szCs w:val="24"/>
      <w:u w:val="single"/>
    </w:rPr>
  </w:style>
  <w:style w:type="paragraph" w:customStyle="1" w:styleId="Default">
    <w:name w:val="Default"/>
    <w:rsid w:val="007451C3"/>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7D99"/>
  </w:style>
  <w:style w:type="paragraph" w:styleId="Heading1">
    <w:name w:val="heading 1"/>
    <w:aliases w:val="section (I)"/>
    <w:basedOn w:val="Normal"/>
    <w:next w:val="Normal"/>
    <w:link w:val="Heading1Char"/>
    <w:qFormat/>
    <w:rsid w:val="00EF02FD"/>
    <w:pPr>
      <w:keepNext/>
      <w:spacing w:after="0" w:line="240" w:lineRule="auto"/>
      <w:outlineLvl w:val="0"/>
    </w:pPr>
    <w:rPr>
      <w:rFonts w:ascii="Times New Roman" w:eastAsia="Times New Roman" w:hAnsi="Times New Roman" w:cs="Times New Roman"/>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5860D1"/>
    <w:pPr>
      <w:tabs>
        <w:tab w:val="center" w:pos="4680"/>
        <w:tab w:val="right" w:pos="9360"/>
      </w:tabs>
      <w:spacing w:after="0" w:line="240" w:lineRule="auto"/>
    </w:pPr>
  </w:style>
  <w:style w:type="character" w:customStyle="1" w:styleId="HeaderChar">
    <w:name w:val="Header Char"/>
    <w:basedOn w:val="DefaultParagraphFont"/>
    <w:link w:val="Header"/>
    <w:rsid w:val="005860D1"/>
  </w:style>
  <w:style w:type="paragraph" w:styleId="Footer">
    <w:name w:val="footer"/>
    <w:basedOn w:val="Normal"/>
    <w:link w:val="FooterChar"/>
    <w:uiPriority w:val="99"/>
    <w:unhideWhenUsed/>
    <w:rsid w:val="005860D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60D1"/>
  </w:style>
  <w:style w:type="paragraph" w:styleId="BalloonText">
    <w:name w:val="Balloon Text"/>
    <w:basedOn w:val="Normal"/>
    <w:link w:val="BalloonTextChar"/>
    <w:uiPriority w:val="99"/>
    <w:semiHidden/>
    <w:unhideWhenUsed/>
    <w:rsid w:val="005860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60D1"/>
    <w:rPr>
      <w:rFonts w:ascii="Tahoma" w:hAnsi="Tahoma" w:cs="Tahoma"/>
      <w:sz w:val="16"/>
      <w:szCs w:val="16"/>
    </w:rPr>
  </w:style>
  <w:style w:type="table" w:styleId="TableGrid">
    <w:name w:val="Table Grid"/>
    <w:basedOn w:val="TableNormal"/>
    <w:uiPriority w:val="59"/>
    <w:rsid w:val="00177D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aliases w:val="section (I) Char"/>
    <w:basedOn w:val="DefaultParagraphFont"/>
    <w:link w:val="Heading1"/>
    <w:rsid w:val="00EF02FD"/>
    <w:rPr>
      <w:rFonts w:ascii="Times New Roman" w:eastAsia="Times New Roman" w:hAnsi="Times New Roman" w:cs="Times New Roman"/>
      <w:sz w:val="24"/>
      <w:szCs w:val="24"/>
      <w:u w:val="single"/>
    </w:rPr>
  </w:style>
  <w:style w:type="paragraph" w:customStyle="1" w:styleId="Default">
    <w:name w:val="Default"/>
    <w:rsid w:val="007451C3"/>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1712</Words>
  <Characters>9759</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Abbott Laboratories</Company>
  <LinksUpToDate>false</LinksUpToDate>
  <CharactersWithSpaces>11449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anderpa</dc:creator>
  <cp:lastModifiedBy>Administrator</cp:lastModifiedBy>
  <cp:revision>2</cp:revision>
  <cp:lastPrinted>2011-07-18T19:00:00Z</cp:lastPrinted>
  <dcterms:created xsi:type="dcterms:W3CDTF">2011-07-19T23:17:00Z</dcterms:created>
  <dcterms:modified xsi:type="dcterms:W3CDTF">2011-07-19T23:17:00Z</dcterms:modified>
</cp:coreProperties>
</file>